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4DCFB" w14:textId="77777777" w:rsidR="004738AC" w:rsidRPr="00E1515B" w:rsidRDefault="004738AC" w:rsidP="004738AC">
      <w:pPr>
        <w:pStyle w:val="Body1"/>
        <w:spacing w:line="360" w:lineRule="auto"/>
        <w:jc w:val="center"/>
        <w:outlineLvl w:val="9"/>
        <w:rPr>
          <w:b/>
          <w:sz w:val="28"/>
          <w:szCs w:val="28"/>
        </w:rPr>
      </w:pPr>
      <w:bookmarkStart w:id="0" w:name="_GoBack"/>
      <w:bookmarkEnd w:id="0"/>
      <w:r w:rsidRPr="00E1515B">
        <w:rPr>
          <w:b/>
          <w:sz w:val="28"/>
          <w:szCs w:val="28"/>
        </w:rPr>
        <w:t>ЗАКЛЮЧЕНИЕ</w:t>
      </w:r>
    </w:p>
    <w:p w14:paraId="4CDE8125" w14:textId="0A2A2D52" w:rsidR="004738AC" w:rsidRPr="00E1515B" w:rsidRDefault="004738AC" w:rsidP="004738AC">
      <w:pPr>
        <w:pStyle w:val="Body1"/>
        <w:jc w:val="center"/>
        <w:outlineLvl w:val="9"/>
        <w:rPr>
          <w:sz w:val="28"/>
          <w:szCs w:val="28"/>
        </w:rPr>
      </w:pPr>
      <w:r w:rsidRPr="00E1515B">
        <w:rPr>
          <w:sz w:val="28"/>
          <w:szCs w:val="28"/>
        </w:rPr>
        <w:t>на проект федерального закона № 802503-7</w:t>
      </w:r>
    </w:p>
    <w:p w14:paraId="0F0D3ADE" w14:textId="7AFBCD95" w:rsidR="004738AC" w:rsidRPr="00E1515B" w:rsidRDefault="004738AC" w:rsidP="004738AC">
      <w:pPr>
        <w:pStyle w:val="Body1"/>
        <w:jc w:val="center"/>
        <w:outlineLvl w:val="9"/>
        <w:rPr>
          <w:sz w:val="28"/>
          <w:szCs w:val="28"/>
        </w:rPr>
      </w:pPr>
      <w:r w:rsidRPr="00E1515B">
        <w:rPr>
          <w:sz w:val="28"/>
          <w:szCs w:val="28"/>
        </w:rPr>
        <w:t>«О федеральном бюджете на 2020 год и плановый период 2021 и 2022 годов»</w:t>
      </w:r>
    </w:p>
    <w:p w14:paraId="099802A3" w14:textId="77777777" w:rsidR="004738AC" w:rsidRPr="00E1515B" w:rsidRDefault="004738AC" w:rsidP="004738AC">
      <w:pPr>
        <w:pStyle w:val="Body1"/>
        <w:spacing w:line="360" w:lineRule="auto"/>
        <w:ind w:firstLine="567"/>
        <w:jc w:val="center"/>
        <w:outlineLvl w:val="9"/>
        <w:rPr>
          <w:sz w:val="28"/>
          <w:szCs w:val="28"/>
        </w:rPr>
      </w:pPr>
    </w:p>
    <w:p w14:paraId="62B50DE0" w14:textId="77777777" w:rsidR="006C50A5" w:rsidRDefault="004738AC" w:rsidP="006C50A5">
      <w:pPr>
        <w:spacing w:line="360" w:lineRule="auto"/>
        <w:ind w:firstLine="709"/>
        <w:jc w:val="both"/>
        <w:rPr>
          <w:rFonts w:ascii="Times New Roman" w:hAnsi="Times New Roman" w:cs="Times New Roman"/>
          <w:sz w:val="28"/>
          <w:szCs w:val="28"/>
        </w:rPr>
      </w:pPr>
      <w:r w:rsidRPr="00E1515B">
        <w:rPr>
          <w:rFonts w:ascii="Times New Roman" w:hAnsi="Times New Roman" w:cs="Times New Roman"/>
          <w:sz w:val="28"/>
          <w:szCs w:val="28"/>
        </w:rPr>
        <w:t>Проект федерального закона № 802503-7 «О федеральном бюджете на 2020 год  и плановый период 2021 и 2022 годов» (далее – законопроект)</w:t>
      </w:r>
      <w:r w:rsidR="006C50A5">
        <w:rPr>
          <w:rFonts w:ascii="Times New Roman" w:hAnsi="Times New Roman" w:cs="Times New Roman"/>
          <w:sz w:val="28"/>
          <w:szCs w:val="28"/>
        </w:rPr>
        <w:t>:</w:t>
      </w:r>
    </w:p>
    <w:p w14:paraId="4A78E420" w14:textId="6B5C3441" w:rsidR="006C50A5" w:rsidRPr="00E1515B" w:rsidRDefault="006C50A5" w:rsidP="006C50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738AC" w:rsidRPr="00E1515B">
        <w:rPr>
          <w:rFonts w:ascii="Times New Roman" w:hAnsi="Times New Roman" w:cs="Times New Roman"/>
          <w:sz w:val="28"/>
          <w:szCs w:val="28"/>
        </w:rPr>
        <w:t xml:space="preserve"> разработан в соответствии с требованиями Бюджетного кодекса Российской Федерации, </w:t>
      </w:r>
      <w:r w:rsidRPr="00E1515B">
        <w:rPr>
          <w:rFonts w:ascii="Times New Roman" w:hAnsi="Times New Roman" w:cs="Times New Roman"/>
          <w:sz w:val="28"/>
          <w:szCs w:val="28"/>
        </w:rPr>
        <w:t>Основных направлений деятельности Правительства Российской Федерации на период до 2024 года, утвержденных Председателем Правительства Российской Федерации 29 сентября 2018 г., Стратегического прогноза Российской Федерации до 2035 года, одобренного на оперативном совещании Совета Безопасности 22 февраля 2019 г., Бюджетного прогноза Российской Федерации на период до 2036 года, утвержденного распоряжением Правительства Российской Федерации от 29 марта 2019 г. № 558-р, государственных программ Российской Федерации, а также Основных направлений бюджетной, налоговой и таможенно-тарифной политики на 2020 год и на пла</w:t>
      </w:r>
      <w:r>
        <w:rPr>
          <w:rFonts w:ascii="Times New Roman" w:hAnsi="Times New Roman" w:cs="Times New Roman"/>
          <w:sz w:val="28"/>
          <w:szCs w:val="28"/>
        </w:rPr>
        <w:t>новый период 2021 и 2022 годов;</w:t>
      </w:r>
    </w:p>
    <w:p w14:paraId="4B4D95E7" w14:textId="73907D65" w:rsidR="006C50A5" w:rsidRDefault="006C50A5" w:rsidP="00A52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38AC" w:rsidRPr="00E1515B">
        <w:rPr>
          <w:rFonts w:ascii="Times New Roman" w:hAnsi="Times New Roman" w:cs="Times New Roman"/>
          <w:sz w:val="28"/>
          <w:szCs w:val="28"/>
        </w:rPr>
        <w:t>способствует формированию условий для решени</w:t>
      </w:r>
      <w:r w:rsidR="00193453" w:rsidRPr="00E1515B">
        <w:rPr>
          <w:rFonts w:ascii="Times New Roman" w:hAnsi="Times New Roman" w:cs="Times New Roman"/>
          <w:sz w:val="28"/>
          <w:szCs w:val="28"/>
        </w:rPr>
        <w:t>я</w:t>
      </w:r>
      <w:r w:rsidR="004738AC" w:rsidRPr="00E1515B">
        <w:rPr>
          <w:rFonts w:ascii="Times New Roman" w:hAnsi="Times New Roman" w:cs="Times New Roman"/>
          <w:sz w:val="28"/>
          <w:szCs w:val="28"/>
        </w:rPr>
        <w:t xml:space="preserve"> задач, сформулированных в Послании Президента Российской Федерации Федеральному Собранию Российской Федерации от 20 февраля 2019 года</w:t>
      </w:r>
      <w:r w:rsidR="00193453" w:rsidRPr="00E1515B">
        <w:rPr>
          <w:rFonts w:ascii="Times New Roman" w:hAnsi="Times New Roman" w:cs="Times New Roman"/>
          <w:sz w:val="28"/>
          <w:szCs w:val="28"/>
        </w:rPr>
        <w:t xml:space="preserve"> и национальных проектах</w:t>
      </w:r>
      <w:r>
        <w:rPr>
          <w:rFonts w:ascii="Times New Roman" w:hAnsi="Times New Roman" w:cs="Times New Roman"/>
          <w:sz w:val="28"/>
          <w:szCs w:val="28"/>
        </w:rPr>
        <w:t>;</w:t>
      </w:r>
      <w:r w:rsidR="004738AC" w:rsidRPr="00E1515B">
        <w:rPr>
          <w:rFonts w:ascii="Times New Roman" w:hAnsi="Times New Roman" w:cs="Times New Roman"/>
          <w:sz w:val="28"/>
          <w:szCs w:val="28"/>
        </w:rPr>
        <w:t xml:space="preserve"> </w:t>
      </w:r>
    </w:p>
    <w:p w14:paraId="31E0E9FC" w14:textId="1873225C" w:rsidR="00E91D64" w:rsidRPr="00E1515B" w:rsidRDefault="006C50A5" w:rsidP="00A5297D">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4738AC" w:rsidRPr="00E1515B">
        <w:rPr>
          <w:rFonts w:ascii="Times New Roman" w:hAnsi="Times New Roman" w:cs="Times New Roman"/>
          <w:sz w:val="28"/>
          <w:szCs w:val="28"/>
        </w:rPr>
        <w:t xml:space="preserve">ориентирован на </w:t>
      </w:r>
      <w:r w:rsidR="00193453" w:rsidRPr="00E1515B">
        <w:rPr>
          <w:rFonts w:ascii="Times New Roman" w:hAnsi="Times New Roman" w:cs="Times New Roman"/>
          <w:sz w:val="28"/>
          <w:szCs w:val="28"/>
        </w:rPr>
        <w:t xml:space="preserve">минимизацию бюджетных рисков </w:t>
      </w:r>
      <w:r w:rsidR="00193453" w:rsidRPr="00E1515B">
        <w:rPr>
          <w:rFonts w:ascii="Times New Roman" w:hAnsi="Times New Roman" w:cs="Times New Roman"/>
          <w:color w:val="000000"/>
          <w:sz w:val="28"/>
          <w:szCs w:val="28"/>
        </w:rPr>
        <w:t xml:space="preserve">в условиях консервативного изменения внешних условий развития экономики России и продления санкций, проведения денежно-кредитной политики Банка России в рамках режима </w:t>
      </w:r>
      <w:proofErr w:type="spellStart"/>
      <w:r w:rsidR="00193453" w:rsidRPr="00E1515B">
        <w:rPr>
          <w:rFonts w:ascii="Times New Roman" w:hAnsi="Times New Roman" w:cs="Times New Roman"/>
          <w:color w:val="000000"/>
          <w:sz w:val="28"/>
          <w:szCs w:val="28"/>
        </w:rPr>
        <w:t>таргетирования</w:t>
      </w:r>
      <w:proofErr w:type="spellEnd"/>
      <w:r w:rsidR="00193453" w:rsidRPr="00E1515B">
        <w:rPr>
          <w:rFonts w:ascii="Times New Roman" w:hAnsi="Times New Roman" w:cs="Times New Roman"/>
          <w:color w:val="000000"/>
          <w:sz w:val="28"/>
          <w:szCs w:val="28"/>
        </w:rPr>
        <w:t xml:space="preserve"> инфляции. </w:t>
      </w:r>
    </w:p>
    <w:p w14:paraId="0809F239" w14:textId="6E836423" w:rsidR="00E91D64" w:rsidRPr="00E1515B" w:rsidRDefault="00E91D64" w:rsidP="00A5297D">
      <w:pPr>
        <w:spacing w:line="360" w:lineRule="auto"/>
        <w:ind w:firstLine="709"/>
        <w:jc w:val="both"/>
        <w:rPr>
          <w:rFonts w:ascii="Times New Roman" w:hAnsi="Times New Roman" w:cs="Times New Roman"/>
          <w:sz w:val="28"/>
          <w:szCs w:val="28"/>
        </w:rPr>
      </w:pPr>
      <w:r w:rsidRPr="00E1515B">
        <w:rPr>
          <w:rFonts w:ascii="Times New Roman" w:hAnsi="Times New Roman" w:cs="Times New Roman"/>
          <w:sz w:val="28"/>
          <w:szCs w:val="28"/>
        </w:rPr>
        <w:t>Проект федерального бюджета на 2020 год и плановый период 2021 и 2022 годов, сформированный в рамках действующего бюджетного правила, позволяет:</w:t>
      </w:r>
    </w:p>
    <w:p w14:paraId="4E41C734" w14:textId="73854FEC" w:rsidR="00E91D64" w:rsidRPr="00E1515B" w:rsidRDefault="00E91D64" w:rsidP="000B0033">
      <w:pPr>
        <w:spacing w:line="360" w:lineRule="auto"/>
        <w:ind w:firstLine="709"/>
        <w:jc w:val="both"/>
        <w:rPr>
          <w:rFonts w:ascii="Times New Roman" w:hAnsi="Times New Roman" w:cs="Times New Roman"/>
          <w:sz w:val="28"/>
          <w:szCs w:val="28"/>
        </w:rPr>
      </w:pPr>
      <w:r w:rsidRPr="00E1515B">
        <w:rPr>
          <w:rFonts w:ascii="Times New Roman" w:eastAsia="Times New Roman" w:hAnsi="Times New Roman" w:cs="Times New Roman"/>
          <w:sz w:val="28"/>
          <w:szCs w:val="28"/>
        </w:rPr>
        <w:t xml:space="preserve">1) </w:t>
      </w:r>
      <w:r w:rsidRPr="00E1515B">
        <w:rPr>
          <w:rFonts w:ascii="Times New Roman" w:hAnsi="Times New Roman" w:cs="Times New Roman"/>
          <w:sz w:val="28"/>
          <w:szCs w:val="28"/>
        </w:rPr>
        <w:t xml:space="preserve">обеспечить сбалансированность региональных бюджетов с использованием различных инструментов, что позволит субъектам </w:t>
      </w:r>
      <w:r w:rsidRPr="00E1515B">
        <w:rPr>
          <w:rFonts w:ascii="Times New Roman" w:hAnsi="Times New Roman" w:cs="Times New Roman"/>
          <w:sz w:val="28"/>
          <w:szCs w:val="28"/>
        </w:rPr>
        <w:lastRenderedPageBreak/>
        <w:t>федерации выполнять социальные обязательства, гарантированные гражданам Конституцией Российской Федерации;</w:t>
      </w:r>
    </w:p>
    <w:p w14:paraId="1C7D2D69" w14:textId="37050D17" w:rsidR="00E91D64" w:rsidRPr="00E1515B" w:rsidRDefault="000B0033" w:rsidP="00A52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91D64" w:rsidRPr="00E1515B">
        <w:rPr>
          <w:rFonts w:ascii="Times New Roman" w:hAnsi="Times New Roman" w:cs="Times New Roman"/>
          <w:sz w:val="28"/>
          <w:szCs w:val="28"/>
        </w:rPr>
        <w:t>) гарантировать гражданам сохранение низкого уровня   налогообложения доходов и рост качества жизни в долгосрочной перспективе</w:t>
      </w:r>
      <w:r w:rsidR="00193453" w:rsidRPr="00E1515B">
        <w:rPr>
          <w:rFonts w:ascii="Times New Roman" w:hAnsi="Times New Roman" w:cs="Times New Roman"/>
          <w:sz w:val="28"/>
          <w:szCs w:val="28"/>
        </w:rPr>
        <w:t xml:space="preserve">, в том числе </w:t>
      </w:r>
      <w:r w:rsidR="00E91D64" w:rsidRPr="00E1515B">
        <w:rPr>
          <w:rFonts w:ascii="Times New Roman" w:hAnsi="Times New Roman" w:cs="Times New Roman"/>
          <w:sz w:val="28"/>
          <w:szCs w:val="28"/>
        </w:rPr>
        <w:t xml:space="preserve"> </w:t>
      </w:r>
      <w:r w:rsidR="00193453" w:rsidRPr="00E1515B">
        <w:rPr>
          <w:rFonts w:ascii="Times New Roman" w:hAnsi="Times New Roman" w:cs="Times New Roman"/>
          <w:sz w:val="28"/>
          <w:szCs w:val="28"/>
        </w:rPr>
        <w:t xml:space="preserve">с использованием </w:t>
      </w:r>
      <w:r w:rsidR="00E91D64" w:rsidRPr="00E1515B">
        <w:rPr>
          <w:rFonts w:ascii="Times New Roman" w:hAnsi="Times New Roman" w:cs="Times New Roman"/>
          <w:sz w:val="28"/>
          <w:szCs w:val="28"/>
        </w:rPr>
        <w:t xml:space="preserve"> такого финансового </w:t>
      </w:r>
      <w:r w:rsidR="00193453" w:rsidRPr="00E1515B">
        <w:rPr>
          <w:rFonts w:ascii="Times New Roman" w:hAnsi="Times New Roman" w:cs="Times New Roman"/>
          <w:sz w:val="28"/>
          <w:szCs w:val="28"/>
        </w:rPr>
        <w:t>инструмента обеспечения стабильности</w:t>
      </w:r>
      <w:r w:rsidR="00E91D64" w:rsidRPr="00E1515B">
        <w:rPr>
          <w:rFonts w:ascii="Times New Roman" w:hAnsi="Times New Roman" w:cs="Times New Roman"/>
          <w:sz w:val="28"/>
          <w:szCs w:val="28"/>
        </w:rPr>
        <w:t>, как Фонд национального благосостояния.</w:t>
      </w:r>
    </w:p>
    <w:p w14:paraId="793B11D5" w14:textId="77777777" w:rsidR="008F5BE3" w:rsidRDefault="008F5BE3" w:rsidP="008F5BE3">
      <w:pPr>
        <w:autoSpaceDE w:val="0"/>
        <w:autoSpaceDN w:val="0"/>
        <w:adjustRightInd w:val="0"/>
        <w:spacing w:line="360" w:lineRule="auto"/>
        <w:ind w:firstLine="709"/>
        <w:jc w:val="both"/>
        <w:rPr>
          <w:rFonts w:ascii="Times New Roman" w:hAnsi="Times New Roman" w:cs="Times New Roman"/>
          <w:color w:val="000000"/>
          <w:sz w:val="28"/>
          <w:szCs w:val="28"/>
        </w:rPr>
      </w:pPr>
      <w:r w:rsidRPr="00E1515B">
        <w:rPr>
          <w:rFonts w:ascii="Times New Roman" w:hAnsi="Times New Roman" w:cs="Times New Roman"/>
          <w:color w:val="000000"/>
          <w:sz w:val="28"/>
          <w:szCs w:val="28"/>
        </w:rPr>
        <w:t>Основные характеристики федерального бюджета на 2020 год и на плановый период 2021 и 202</w:t>
      </w:r>
      <w:r>
        <w:rPr>
          <w:rFonts w:ascii="Times New Roman" w:hAnsi="Times New Roman" w:cs="Times New Roman"/>
          <w:color w:val="000000"/>
          <w:sz w:val="28"/>
          <w:szCs w:val="28"/>
        </w:rPr>
        <w:t>2 годов представлены в таблице 1</w:t>
      </w:r>
      <w:r w:rsidRPr="00E1515B">
        <w:rPr>
          <w:rFonts w:ascii="Times New Roman" w:hAnsi="Times New Roman" w:cs="Times New Roman"/>
          <w:color w:val="000000"/>
          <w:sz w:val="28"/>
          <w:szCs w:val="28"/>
        </w:rPr>
        <w:t>.</w:t>
      </w:r>
    </w:p>
    <w:p w14:paraId="58B8299D" w14:textId="77777777" w:rsidR="0051781A" w:rsidRDefault="0051781A" w:rsidP="008F5BE3">
      <w:pPr>
        <w:autoSpaceDE w:val="0"/>
        <w:autoSpaceDN w:val="0"/>
        <w:adjustRightInd w:val="0"/>
        <w:spacing w:line="360" w:lineRule="auto"/>
        <w:ind w:firstLine="709"/>
        <w:jc w:val="both"/>
        <w:rPr>
          <w:rFonts w:ascii="Times New Roman" w:hAnsi="Times New Roman" w:cs="Times New Roman"/>
          <w:color w:val="000000"/>
          <w:sz w:val="28"/>
          <w:szCs w:val="28"/>
        </w:rPr>
      </w:pPr>
    </w:p>
    <w:p w14:paraId="173149A1" w14:textId="58E275E3" w:rsidR="0051781A" w:rsidRPr="0051781A" w:rsidRDefault="0051781A" w:rsidP="0051781A">
      <w:pPr>
        <w:autoSpaceDE w:val="0"/>
        <w:autoSpaceDN w:val="0"/>
        <w:adjustRightInd w:val="0"/>
        <w:spacing w:line="360" w:lineRule="auto"/>
        <w:ind w:firstLine="709"/>
        <w:jc w:val="center"/>
        <w:rPr>
          <w:rFonts w:ascii="Times New Roman" w:hAnsi="Times New Roman" w:cs="Times New Roman"/>
          <w:b/>
          <w:color w:val="000000"/>
          <w:sz w:val="28"/>
          <w:szCs w:val="28"/>
        </w:rPr>
      </w:pPr>
      <w:r w:rsidRPr="0051781A">
        <w:rPr>
          <w:rFonts w:ascii="Times New Roman" w:hAnsi="Times New Roman" w:cs="Times New Roman"/>
          <w:b/>
          <w:color w:val="000000"/>
          <w:sz w:val="28"/>
          <w:szCs w:val="28"/>
        </w:rPr>
        <w:t>Системные риски федерального бюджета на 2020-2022 гг.</w:t>
      </w:r>
    </w:p>
    <w:p w14:paraId="2C215E74" w14:textId="77777777" w:rsidR="0051781A" w:rsidRDefault="0051781A" w:rsidP="008F5BE3">
      <w:pPr>
        <w:autoSpaceDE w:val="0"/>
        <w:autoSpaceDN w:val="0"/>
        <w:adjustRightInd w:val="0"/>
        <w:spacing w:line="360" w:lineRule="auto"/>
        <w:ind w:firstLine="709"/>
        <w:jc w:val="both"/>
        <w:rPr>
          <w:rFonts w:ascii="Times New Roman" w:hAnsi="Times New Roman" w:cs="Times New Roman"/>
          <w:color w:val="000000"/>
          <w:sz w:val="28"/>
          <w:szCs w:val="28"/>
        </w:rPr>
      </w:pPr>
    </w:p>
    <w:p w14:paraId="3C8EB86B" w14:textId="77777777" w:rsidR="00406ADF" w:rsidRDefault="000B0033" w:rsidP="008F5BE3">
      <w:pPr>
        <w:autoSpaceDE w:val="0"/>
        <w:autoSpaceDN w:val="0"/>
        <w:adjustRightInd w:val="0"/>
        <w:spacing w:line="360" w:lineRule="auto"/>
        <w:ind w:firstLine="709"/>
        <w:jc w:val="both"/>
        <w:rPr>
          <w:rFonts w:ascii="Times New Roman" w:hAnsi="Times New Roman" w:cs="Times New Roman"/>
          <w:sz w:val="28"/>
          <w:szCs w:val="28"/>
        </w:rPr>
      </w:pPr>
      <w:r w:rsidRPr="00E1515B">
        <w:rPr>
          <w:rFonts w:ascii="Times New Roman" w:hAnsi="Times New Roman" w:cs="Times New Roman"/>
          <w:sz w:val="28"/>
          <w:szCs w:val="28"/>
        </w:rPr>
        <w:t xml:space="preserve">В течение </w:t>
      </w:r>
      <w:r>
        <w:rPr>
          <w:rFonts w:ascii="Times New Roman" w:hAnsi="Times New Roman" w:cs="Times New Roman"/>
          <w:sz w:val="28"/>
          <w:szCs w:val="28"/>
        </w:rPr>
        <w:t>последнего десятилетия бюджетн</w:t>
      </w:r>
      <w:r w:rsidRPr="00E1515B">
        <w:rPr>
          <w:rFonts w:ascii="Times New Roman" w:hAnsi="Times New Roman" w:cs="Times New Roman"/>
          <w:sz w:val="28"/>
          <w:szCs w:val="28"/>
        </w:rPr>
        <w:t>ая политика</w:t>
      </w:r>
      <w:r>
        <w:rPr>
          <w:rFonts w:ascii="Times New Roman" w:hAnsi="Times New Roman" w:cs="Times New Roman"/>
          <w:sz w:val="28"/>
          <w:szCs w:val="28"/>
        </w:rPr>
        <w:t xml:space="preserve"> в России</w:t>
      </w:r>
      <w:r w:rsidRPr="00E1515B">
        <w:rPr>
          <w:rFonts w:ascii="Times New Roman" w:hAnsi="Times New Roman" w:cs="Times New Roman"/>
          <w:sz w:val="28"/>
          <w:szCs w:val="28"/>
        </w:rPr>
        <w:t xml:space="preserve"> была в основном сосредоточена на макроэкономической стабилизации в ответ на внешние шоки, особенно связанные с системными финансовыми кризисами. Меньше внимания уделялось реформам для содействия долгосрочному росту </w:t>
      </w:r>
      <w:r>
        <w:rPr>
          <w:rFonts w:ascii="Times New Roman" w:hAnsi="Times New Roman" w:cs="Times New Roman"/>
          <w:sz w:val="28"/>
          <w:szCs w:val="28"/>
        </w:rPr>
        <w:t>на основе</w:t>
      </w:r>
      <w:r w:rsidRPr="00E1515B">
        <w:rPr>
          <w:rFonts w:ascii="Times New Roman" w:hAnsi="Times New Roman" w:cs="Times New Roman"/>
          <w:sz w:val="28"/>
          <w:szCs w:val="28"/>
        </w:rPr>
        <w:t xml:space="preserve"> адаптации </w:t>
      </w:r>
      <w:r>
        <w:rPr>
          <w:rFonts w:ascii="Times New Roman" w:hAnsi="Times New Roman" w:cs="Times New Roman"/>
          <w:sz w:val="28"/>
          <w:szCs w:val="28"/>
        </w:rPr>
        <w:t>экономии и государственного управления к меняющим</w:t>
      </w:r>
      <w:r w:rsidRPr="00E1515B">
        <w:rPr>
          <w:rFonts w:ascii="Times New Roman" w:hAnsi="Times New Roman" w:cs="Times New Roman"/>
          <w:sz w:val="28"/>
          <w:szCs w:val="28"/>
        </w:rPr>
        <w:t xml:space="preserve">ся демографической </w:t>
      </w:r>
      <w:r>
        <w:rPr>
          <w:rFonts w:ascii="Times New Roman" w:hAnsi="Times New Roman" w:cs="Times New Roman"/>
          <w:sz w:val="28"/>
          <w:szCs w:val="28"/>
        </w:rPr>
        <w:t>ситуации и</w:t>
      </w:r>
      <w:r w:rsidRPr="00E1515B">
        <w:rPr>
          <w:rFonts w:ascii="Times New Roman" w:hAnsi="Times New Roman" w:cs="Times New Roman"/>
          <w:sz w:val="28"/>
          <w:szCs w:val="28"/>
        </w:rPr>
        <w:t xml:space="preserve"> технологическому прогрессу, углублению процессов глобализации. В результате</w:t>
      </w:r>
      <w:r w:rsidR="00406ADF">
        <w:rPr>
          <w:rFonts w:ascii="Times New Roman" w:hAnsi="Times New Roman" w:cs="Times New Roman"/>
          <w:sz w:val="28"/>
          <w:szCs w:val="28"/>
        </w:rPr>
        <w:t>:</w:t>
      </w:r>
    </w:p>
    <w:p w14:paraId="28C1B4AD" w14:textId="3CC30FDB" w:rsidR="00406ADF" w:rsidRPr="00406ADF" w:rsidRDefault="000B0033" w:rsidP="00406ADF">
      <w:pPr>
        <w:pStyle w:val="ac"/>
        <w:numPr>
          <w:ilvl w:val="0"/>
          <w:numId w:val="4"/>
        </w:numPr>
        <w:autoSpaceDE w:val="0"/>
        <w:autoSpaceDN w:val="0"/>
        <w:adjustRightInd w:val="0"/>
        <w:spacing w:line="360" w:lineRule="auto"/>
        <w:jc w:val="both"/>
        <w:rPr>
          <w:szCs w:val="28"/>
        </w:rPr>
      </w:pPr>
      <w:r w:rsidRPr="00406ADF">
        <w:rPr>
          <w:szCs w:val="28"/>
        </w:rPr>
        <w:t xml:space="preserve">сохраняется высокий уровень долга в государственном и негосударственном секторах экономики, </w:t>
      </w:r>
      <w:r w:rsidR="0051781A">
        <w:rPr>
          <w:szCs w:val="28"/>
        </w:rPr>
        <w:t xml:space="preserve">у </w:t>
      </w:r>
      <w:r w:rsidRPr="00406ADF">
        <w:rPr>
          <w:szCs w:val="28"/>
        </w:rPr>
        <w:t xml:space="preserve">домашних хозяйств, а также  неравенства, </w:t>
      </w:r>
    </w:p>
    <w:p w14:paraId="179B60FD" w14:textId="4C47E15D" w:rsidR="008F5BE3" w:rsidRPr="005338DC" w:rsidRDefault="000B0033" w:rsidP="005338DC">
      <w:pPr>
        <w:pStyle w:val="ac"/>
        <w:numPr>
          <w:ilvl w:val="0"/>
          <w:numId w:val="4"/>
        </w:numPr>
        <w:autoSpaceDE w:val="0"/>
        <w:autoSpaceDN w:val="0"/>
        <w:adjustRightInd w:val="0"/>
        <w:spacing w:line="360" w:lineRule="auto"/>
        <w:jc w:val="both"/>
        <w:rPr>
          <w:color w:val="000000"/>
          <w:szCs w:val="28"/>
        </w:rPr>
        <w:sectPr w:rsidR="008F5BE3" w:rsidRPr="005338DC" w:rsidSect="0045386E">
          <w:headerReference w:type="default" r:id="rId8"/>
          <w:footerReference w:type="even" r:id="rId9"/>
          <w:footerReference w:type="default" r:id="rId10"/>
          <w:pgSz w:w="11900" w:h="16840"/>
          <w:pgMar w:top="1134" w:right="850" w:bottom="1134" w:left="1701" w:header="708" w:footer="708" w:gutter="0"/>
          <w:cols w:space="708"/>
          <w:titlePg/>
          <w:docGrid w:linePitch="360"/>
        </w:sectPr>
      </w:pPr>
      <w:r w:rsidRPr="00406ADF">
        <w:rPr>
          <w:szCs w:val="28"/>
        </w:rPr>
        <w:t>долгосрочные перспективы экономического роста остаются неопределенными, особенно в условиях существующий ограничений доступа к внешним источникам финансирования.</w:t>
      </w:r>
    </w:p>
    <w:p w14:paraId="460AB3AF" w14:textId="54078A35" w:rsidR="008F5BE3" w:rsidRPr="008F5BE3" w:rsidRDefault="0027461C" w:rsidP="008F5BE3">
      <w:pPr>
        <w:autoSpaceDE w:val="0"/>
        <w:autoSpaceDN w:val="0"/>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mc:AlternateContent>
          <mc:Choice Requires="wps">
            <w:drawing>
              <wp:anchor distT="0" distB="0" distL="114300" distR="114300" simplePos="0" relativeHeight="251659264" behindDoc="0" locked="0" layoutInCell="1" allowOverlap="1" wp14:anchorId="2495DBEA" wp14:editId="053B727B">
                <wp:simplePos x="0" y="0"/>
                <wp:positionH relativeFrom="column">
                  <wp:posOffset>9452610</wp:posOffset>
                </wp:positionH>
                <wp:positionV relativeFrom="paragraph">
                  <wp:posOffset>2888615</wp:posOffset>
                </wp:positionV>
                <wp:extent cx="381000" cy="666750"/>
                <wp:effectExtent l="0" t="0" r="0" b="0"/>
                <wp:wrapNone/>
                <wp:docPr id="23" name="Надпись 23"/>
                <wp:cNvGraphicFramePr/>
                <a:graphic xmlns:a="http://schemas.openxmlformats.org/drawingml/2006/main">
                  <a:graphicData uri="http://schemas.microsoft.com/office/word/2010/wordprocessingShape">
                    <wps:wsp>
                      <wps:cNvSpPr txBox="1"/>
                      <wps:spPr>
                        <a:xfrm>
                          <a:off x="0" y="0"/>
                          <a:ext cx="381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87FE0" w14:textId="6ECF9A39" w:rsidR="00F32FC8" w:rsidRPr="0027461C" w:rsidRDefault="00F32FC8">
                            <w:pPr>
                              <w:rPr>
                                <w:color w:val="000000" w:themeColor="text1"/>
                              </w:rPr>
                            </w:pPr>
                            <w:r w:rsidRPr="0027461C">
                              <w:t>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3" o:spid="_x0000_s1026" type="#_x0000_t202" style="position:absolute;left:0;text-align:left;margin-left:744.3pt;margin-top:227.45pt;width:30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" filled="f" stroked="f" strokeweight=".5pt">
                <v:textbox style="layout-flow:vertical">
                  <w:txbxContent>
                    <w:p w14:paraId="78287FE0" w14:textId="6ECF9A39" w:rsidR="00F32FC8" w:rsidRPr="0027461C" w:rsidRDefault="00F32FC8">
                      <w:pPr>
                        <w:rPr>
                          <w:color w:val="000000" w:themeColor="text1"/>
                        </w:rPr>
                      </w:pPr>
                      <w:r w:rsidRPr="0027461C">
                        <w:t>3</w:t>
                      </w:r>
                    </w:p>
                  </w:txbxContent>
                </v:textbox>
              </v:shape>
            </w:pict>
          </mc:Fallback>
        </mc:AlternateContent>
      </w:r>
      <w:r w:rsidR="008F5BE3">
        <w:rPr>
          <w:rFonts w:ascii="Times New Roman" w:hAnsi="Times New Roman" w:cs="Times New Roman"/>
          <w:color w:val="000000"/>
          <w:sz w:val="28"/>
          <w:szCs w:val="28"/>
        </w:rPr>
        <w:t>Т</w:t>
      </w:r>
      <w:r w:rsidR="008F5BE3" w:rsidRPr="00E1515B">
        <w:rPr>
          <w:rFonts w:ascii="Times New Roman" w:hAnsi="Times New Roman" w:cs="Times New Roman"/>
          <w:snapToGrid w:val="0"/>
          <w:sz w:val="28"/>
          <w:szCs w:val="28"/>
        </w:rPr>
        <w:t xml:space="preserve">аблица </w:t>
      </w:r>
      <w:r w:rsidR="008F5BE3">
        <w:rPr>
          <w:rFonts w:ascii="Times New Roman" w:hAnsi="Times New Roman" w:cs="Times New Roman"/>
          <w:snapToGrid w:val="0"/>
          <w:sz w:val="28"/>
          <w:szCs w:val="28"/>
        </w:rPr>
        <w:t>1</w:t>
      </w:r>
      <w:r w:rsidR="008F5BE3" w:rsidRPr="00E1515B">
        <w:rPr>
          <w:rFonts w:ascii="Times New Roman" w:hAnsi="Times New Roman" w:cs="Times New Roman"/>
          <w:snapToGrid w:val="0"/>
          <w:sz w:val="28"/>
          <w:szCs w:val="28"/>
        </w:rPr>
        <w:t xml:space="preserve"> – Основные характеристики федерального бюджета на 2020 год и на плановый период 2021 и 2022 годов, </w:t>
      </w:r>
      <w:r w:rsidR="008F5BE3" w:rsidRPr="00E1515B">
        <w:rPr>
          <w:rFonts w:ascii="Times New Roman" w:hAnsi="Times New Roman" w:cs="Times New Roman"/>
          <w:sz w:val="28"/>
          <w:szCs w:val="28"/>
        </w:rPr>
        <w:t>млрд. рублей</w:t>
      </w:r>
    </w:p>
    <w:tbl>
      <w:tblPr>
        <w:tblW w:w="15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9"/>
        <w:gridCol w:w="1097"/>
        <w:gridCol w:w="1246"/>
        <w:gridCol w:w="1196"/>
        <w:gridCol w:w="923"/>
        <w:gridCol w:w="1450"/>
        <w:gridCol w:w="1107"/>
        <w:gridCol w:w="1025"/>
        <w:gridCol w:w="1552"/>
        <w:gridCol w:w="1271"/>
        <w:gridCol w:w="1567"/>
      </w:tblGrid>
      <w:tr w:rsidR="008F5BE3" w:rsidRPr="00EA20B0" w14:paraId="30D31B31" w14:textId="77777777" w:rsidTr="00DC4243">
        <w:trPr>
          <w:trHeight w:val="308"/>
          <w:tblHeader/>
          <w:jc w:val="center"/>
        </w:trPr>
        <w:tc>
          <w:tcPr>
            <w:tcW w:w="0" w:type="auto"/>
            <w:vMerge w:val="restart"/>
            <w:tcBorders>
              <w:right w:val="single" w:sz="4" w:space="0" w:color="auto"/>
            </w:tcBorders>
            <w:shd w:val="clear" w:color="auto" w:fill="auto"/>
            <w:vAlign w:val="center"/>
          </w:tcPr>
          <w:p w14:paraId="239C1FA9" w14:textId="77777777" w:rsidR="008F5BE3" w:rsidRPr="00EA20B0" w:rsidRDefault="008F5BE3" w:rsidP="008F5BE3">
            <w:pPr>
              <w:ind w:left="-57" w:right="-57"/>
              <w:jc w:val="center"/>
              <w:rPr>
                <w:rFonts w:ascii="Times New Roman" w:hAnsi="Times New Roman" w:cs="Times New Roman"/>
                <w:sz w:val="20"/>
                <w:szCs w:val="20"/>
              </w:rPr>
            </w:pPr>
            <w:r w:rsidRPr="00EA20B0">
              <w:rPr>
                <w:rFonts w:ascii="Times New Roman" w:hAnsi="Times New Roman" w:cs="Times New Roman"/>
                <w:sz w:val="20"/>
                <w:szCs w:val="20"/>
              </w:rPr>
              <w:t>Наименование</w:t>
            </w:r>
          </w:p>
        </w:tc>
        <w:tc>
          <w:tcPr>
            <w:tcW w:w="0" w:type="auto"/>
            <w:vMerge w:val="restart"/>
            <w:vAlign w:val="center"/>
          </w:tcPr>
          <w:p w14:paraId="37775D21" w14:textId="77777777" w:rsidR="008F5BE3" w:rsidRPr="00EA20B0" w:rsidRDefault="008F5BE3" w:rsidP="008F5BE3">
            <w:pPr>
              <w:ind w:left="-57" w:right="-57"/>
              <w:jc w:val="center"/>
              <w:rPr>
                <w:rFonts w:ascii="Times New Roman" w:hAnsi="Times New Roman" w:cs="Times New Roman"/>
                <w:sz w:val="20"/>
                <w:szCs w:val="20"/>
              </w:rPr>
            </w:pPr>
            <w:r w:rsidRPr="00EA20B0">
              <w:rPr>
                <w:rFonts w:ascii="Times New Roman" w:hAnsi="Times New Roman" w:cs="Times New Roman"/>
                <w:sz w:val="20"/>
                <w:szCs w:val="20"/>
              </w:rPr>
              <w:t>2018 год (отчет)</w:t>
            </w:r>
          </w:p>
        </w:tc>
        <w:tc>
          <w:tcPr>
            <w:tcW w:w="0" w:type="auto"/>
            <w:vMerge w:val="restart"/>
            <w:vAlign w:val="center"/>
          </w:tcPr>
          <w:p w14:paraId="793C8072" w14:textId="77777777" w:rsidR="008F5BE3" w:rsidRPr="00EA20B0" w:rsidRDefault="008F5BE3" w:rsidP="008F5BE3">
            <w:pPr>
              <w:ind w:left="-57" w:right="-57"/>
              <w:jc w:val="center"/>
              <w:rPr>
                <w:rFonts w:ascii="Times New Roman" w:hAnsi="Times New Roman" w:cs="Times New Roman"/>
                <w:color w:val="000000"/>
                <w:sz w:val="20"/>
                <w:szCs w:val="20"/>
              </w:rPr>
            </w:pPr>
            <w:r w:rsidRPr="00EA20B0">
              <w:rPr>
                <w:rFonts w:ascii="Times New Roman" w:hAnsi="Times New Roman" w:cs="Times New Roman"/>
                <w:sz w:val="20"/>
                <w:szCs w:val="20"/>
              </w:rPr>
              <w:t>2019 год</w:t>
            </w:r>
            <w:r w:rsidRPr="00EA20B0">
              <w:rPr>
                <w:rFonts w:ascii="Times New Roman" w:hAnsi="Times New Roman" w:cs="Times New Roman"/>
                <w:sz w:val="20"/>
                <w:szCs w:val="20"/>
              </w:rPr>
              <w:br/>
            </w:r>
            <w:r>
              <w:rPr>
                <w:rFonts w:ascii="Times New Roman" w:hAnsi="Times New Roman" w:cs="Times New Roman"/>
                <w:color w:val="000000"/>
                <w:spacing w:val="-6"/>
                <w:kern w:val="24"/>
                <w:sz w:val="20"/>
                <w:szCs w:val="20"/>
              </w:rPr>
              <w:t>(з</w:t>
            </w:r>
            <w:r w:rsidRPr="00EA20B0">
              <w:rPr>
                <w:rFonts w:ascii="Times New Roman" w:hAnsi="Times New Roman" w:cs="Times New Roman"/>
                <w:color w:val="000000"/>
                <w:spacing w:val="-6"/>
                <w:kern w:val="24"/>
                <w:sz w:val="20"/>
                <w:szCs w:val="20"/>
              </w:rPr>
              <w:t>акон № 459-ФЗ</w:t>
            </w:r>
            <w:r>
              <w:rPr>
                <w:rFonts w:ascii="Times New Roman" w:hAnsi="Times New Roman" w:cs="Times New Roman"/>
                <w:color w:val="000000"/>
                <w:spacing w:val="-6"/>
                <w:kern w:val="24"/>
                <w:sz w:val="20"/>
                <w:szCs w:val="20"/>
              </w:rPr>
              <w:t>)</w:t>
            </w:r>
          </w:p>
        </w:tc>
        <w:tc>
          <w:tcPr>
            <w:tcW w:w="0" w:type="auto"/>
            <w:gridSpan w:val="3"/>
            <w:tcBorders>
              <w:right w:val="single" w:sz="4" w:space="0" w:color="auto"/>
            </w:tcBorders>
            <w:vAlign w:val="center"/>
          </w:tcPr>
          <w:p w14:paraId="21187DDE" w14:textId="77777777" w:rsidR="008F5BE3" w:rsidRPr="00EA20B0" w:rsidRDefault="008F5BE3" w:rsidP="008F5BE3">
            <w:pPr>
              <w:ind w:left="-57" w:right="-57"/>
              <w:jc w:val="center"/>
              <w:rPr>
                <w:rFonts w:ascii="Times New Roman" w:hAnsi="Times New Roman" w:cs="Times New Roman"/>
                <w:color w:val="000000"/>
                <w:sz w:val="20"/>
                <w:szCs w:val="20"/>
              </w:rPr>
            </w:pPr>
            <w:r w:rsidRPr="00EA20B0">
              <w:rPr>
                <w:rFonts w:ascii="Times New Roman" w:hAnsi="Times New Roman" w:cs="Times New Roman"/>
                <w:sz w:val="20"/>
                <w:szCs w:val="20"/>
              </w:rPr>
              <w:t>2020 год</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43A16937" w14:textId="77777777" w:rsidR="008F5BE3" w:rsidRPr="00EA20B0" w:rsidRDefault="008F5BE3" w:rsidP="008F5BE3">
            <w:pPr>
              <w:ind w:left="-57" w:right="-57"/>
              <w:jc w:val="center"/>
              <w:rPr>
                <w:rFonts w:ascii="Times New Roman" w:hAnsi="Times New Roman" w:cs="Times New Roman"/>
                <w:color w:val="000000"/>
                <w:sz w:val="20"/>
                <w:szCs w:val="20"/>
              </w:rPr>
            </w:pPr>
            <w:r w:rsidRPr="00EA20B0">
              <w:rPr>
                <w:rFonts w:ascii="Times New Roman" w:hAnsi="Times New Roman" w:cs="Times New Roman"/>
                <w:sz w:val="20"/>
                <w:szCs w:val="20"/>
              </w:rPr>
              <w:t>2021 год</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E4C55" w14:textId="77777777" w:rsidR="008F5BE3" w:rsidRPr="00EA20B0" w:rsidRDefault="008F5BE3" w:rsidP="008F5BE3">
            <w:pPr>
              <w:ind w:left="-57" w:right="-57"/>
              <w:jc w:val="center"/>
              <w:rPr>
                <w:rFonts w:ascii="Times New Roman" w:hAnsi="Times New Roman" w:cs="Times New Roman"/>
                <w:color w:val="000000"/>
                <w:sz w:val="20"/>
                <w:szCs w:val="20"/>
              </w:rPr>
            </w:pPr>
            <w:r w:rsidRPr="00EA20B0">
              <w:rPr>
                <w:rFonts w:ascii="Times New Roman" w:hAnsi="Times New Roman" w:cs="Times New Roman"/>
                <w:sz w:val="20"/>
                <w:szCs w:val="20"/>
              </w:rPr>
              <w:t>2022 год</w:t>
            </w:r>
          </w:p>
        </w:tc>
      </w:tr>
      <w:tr w:rsidR="008F5BE3" w:rsidRPr="00EA20B0" w14:paraId="433B2B9B" w14:textId="77777777" w:rsidTr="00DC4243">
        <w:trPr>
          <w:trHeight w:val="308"/>
          <w:tblHeader/>
          <w:jc w:val="center"/>
        </w:trPr>
        <w:tc>
          <w:tcPr>
            <w:tcW w:w="0" w:type="auto"/>
            <w:vMerge/>
            <w:tcBorders>
              <w:right w:val="single" w:sz="4" w:space="0" w:color="auto"/>
            </w:tcBorders>
            <w:shd w:val="clear" w:color="auto" w:fill="auto"/>
            <w:vAlign w:val="center"/>
          </w:tcPr>
          <w:p w14:paraId="2DC6F720" w14:textId="77777777" w:rsidR="008F5BE3" w:rsidRPr="00EA20B0" w:rsidRDefault="008F5BE3" w:rsidP="008F5BE3">
            <w:pPr>
              <w:ind w:left="-57" w:right="-57"/>
              <w:jc w:val="center"/>
              <w:rPr>
                <w:rFonts w:ascii="Times New Roman" w:hAnsi="Times New Roman" w:cs="Times New Roman"/>
                <w:sz w:val="20"/>
                <w:szCs w:val="20"/>
              </w:rPr>
            </w:pPr>
          </w:p>
        </w:tc>
        <w:tc>
          <w:tcPr>
            <w:tcW w:w="0" w:type="auto"/>
            <w:vMerge/>
            <w:vAlign w:val="center"/>
          </w:tcPr>
          <w:p w14:paraId="450355AD" w14:textId="77777777" w:rsidR="008F5BE3" w:rsidRPr="00EA20B0" w:rsidRDefault="008F5BE3" w:rsidP="008F5BE3">
            <w:pPr>
              <w:ind w:left="-57" w:right="-57"/>
              <w:jc w:val="center"/>
              <w:rPr>
                <w:rFonts w:ascii="Times New Roman" w:hAnsi="Times New Roman" w:cs="Times New Roman"/>
                <w:color w:val="000000"/>
                <w:sz w:val="20"/>
                <w:szCs w:val="20"/>
              </w:rPr>
            </w:pPr>
          </w:p>
        </w:tc>
        <w:tc>
          <w:tcPr>
            <w:tcW w:w="0" w:type="auto"/>
            <w:vMerge/>
            <w:vAlign w:val="center"/>
          </w:tcPr>
          <w:p w14:paraId="2BFA9987" w14:textId="77777777" w:rsidR="008F5BE3" w:rsidRPr="00EA20B0" w:rsidRDefault="008F5BE3" w:rsidP="008F5BE3">
            <w:pPr>
              <w:ind w:left="-57" w:right="-57"/>
              <w:jc w:val="center"/>
              <w:rPr>
                <w:rFonts w:ascii="Times New Roman" w:hAnsi="Times New Roman" w:cs="Times New Roman"/>
                <w:color w:val="000000"/>
                <w:sz w:val="20"/>
                <w:szCs w:val="20"/>
              </w:rPr>
            </w:pPr>
          </w:p>
        </w:tc>
        <w:tc>
          <w:tcPr>
            <w:tcW w:w="0" w:type="auto"/>
            <w:tcBorders>
              <w:right w:val="single" w:sz="4" w:space="0" w:color="auto"/>
            </w:tcBorders>
            <w:vAlign w:val="center"/>
          </w:tcPr>
          <w:p w14:paraId="47E0950D" w14:textId="77777777" w:rsidR="008F5BE3" w:rsidRPr="00EA20B0" w:rsidRDefault="008F5BE3" w:rsidP="008F5BE3">
            <w:pPr>
              <w:ind w:left="-57" w:right="-57"/>
              <w:jc w:val="center"/>
              <w:rPr>
                <w:rFonts w:ascii="Times New Roman" w:hAnsi="Times New Roman" w:cs="Times New Roman"/>
                <w:color w:val="000000"/>
                <w:sz w:val="20"/>
                <w:szCs w:val="20"/>
              </w:rPr>
            </w:pPr>
            <w:r w:rsidRPr="00EA20B0">
              <w:rPr>
                <w:rFonts w:ascii="Times New Roman" w:hAnsi="Times New Roman" w:cs="Times New Roman"/>
                <w:color w:val="000000"/>
                <w:spacing w:val="-6"/>
                <w:kern w:val="24"/>
                <w:sz w:val="20"/>
                <w:szCs w:val="20"/>
              </w:rPr>
              <w:t>Закон № 459-ФЗ</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DC2F8BB" w14:textId="6D63E8CD" w:rsidR="008F5BE3" w:rsidRPr="00EA20B0" w:rsidRDefault="008F5BE3" w:rsidP="008F5BE3">
            <w:pPr>
              <w:ind w:left="-57" w:right="-57"/>
              <w:jc w:val="center"/>
              <w:rPr>
                <w:rFonts w:ascii="Times New Roman" w:hAnsi="Times New Roman" w:cs="Times New Roman"/>
                <w:color w:val="000000"/>
                <w:sz w:val="20"/>
                <w:szCs w:val="20"/>
              </w:rPr>
            </w:pPr>
            <w:proofErr w:type="spellStart"/>
            <w:r w:rsidRPr="00EA20B0">
              <w:rPr>
                <w:rFonts w:ascii="Times New Roman" w:hAnsi="Times New Roman" w:cs="Times New Roman"/>
                <w:color w:val="000000"/>
                <w:spacing w:val="-6"/>
                <w:kern w:val="24"/>
                <w:sz w:val="20"/>
                <w:szCs w:val="20"/>
              </w:rPr>
              <w:t>Законо</w:t>
            </w:r>
            <w:proofErr w:type="spellEnd"/>
            <w:r w:rsidRPr="00EA20B0">
              <w:rPr>
                <w:rFonts w:ascii="Times New Roman" w:hAnsi="Times New Roman" w:cs="Times New Roman"/>
                <w:color w:val="000000"/>
                <w:spacing w:val="-6"/>
                <w:kern w:val="24"/>
                <w:sz w:val="20"/>
                <w:szCs w:val="20"/>
              </w:rPr>
              <w:t>-проект</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BCCCBB8" w14:textId="77777777" w:rsidR="008F5BE3" w:rsidRPr="00EA20B0" w:rsidRDefault="008F5BE3" w:rsidP="008F5BE3">
            <w:pPr>
              <w:ind w:left="-57" w:right="-57"/>
              <w:jc w:val="center"/>
              <w:rPr>
                <w:rFonts w:ascii="Times New Roman" w:hAnsi="Times New Roman" w:cs="Times New Roman"/>
                <w:color w:val="000000"/>
                <w:sz w:val="20"/>
                <w:szCs w:val="20"/>
              </w:rPr>
            </w:pPr>
            <w:r>
              <w:rPr>
                <w:rFonts w:ascii="Times New Roman" w:hAnsi="Times New Roman" w:cs="Times New Roman"/>
                <w:sz w:val="20"/>
                <w:szCs w:val="20"/>
              </w:rPr>
              <w:t>Изм.</w:t>
            </w:r>
            <w:r w:rsidRPr="00EA20B0">
              <w:rPr>
                <w:rFonts w:ascii="Times New Roman" w:hAnsi="Times New Roman" w:cs="Times New Roman"/>
                <w:sz w:val="20"/>
                <w:szCs w:val="20"/>
              </w:rPr>
              <w:t xml:space="preserve"> к закону</w:t>
            </w:r>
            <w:r>
              <w:rPr>
                <w:rFonts w:ascii="Times New Roman" w:hAnsi="Times New Roman" w:cs="Times New Roman"/>
                <w:sz w:val="20"/>
                <w:szCs w:val="20"/>
              </w:rPr>
              <w:t xml:space="preserve"> </w:t>
            </w:r>
            <w:r w:rsidRPr="00EA20B0">
              <w:rPr>
                <w:rFonts w:ascii="Times New Roman" w:hAnsi="Times New Roman" w:cs="Times New Roman"/>
                <w:color w:val="000000"/>
                <w:spacing w:val="-6"/>
                <w:kern w:val="24"/>
                <w:sz w:val="20"/>
                <w:szCs w:val="20"/>
              </w:rPr>
              <w:t>№ 459-ФЗ</w:t>
            </w:r>
            <w:r w:rsidRPr="00EA20B0">
              <w:rPr>
                <w:rFonts w:ascii="Times New Roman" w:hAnsi="Times New Roman" w:cs="Times New Roman"/>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14:paraId="4AB004A5" w14:textId="77777777" w:rsidR="008F5BE3" w:rsidRPr="00EA20B0" w:rsidRDefault="008F5BE3" w:rsidP="008F5BE3">
            <w:pPr>
              <w:ind w:left="-57" w:right="-57"/>
              <w:jc w:val="center"/>
              <w:rPr>
                <w:rFonts w:ascii="Times New Roman" w:hAnsi="Times New Roman" w:cs="Times New Roman"/>
                <w:sz w:val="20"/>
                <w:szCs w:val="20"/>
              </w:rPr>
            </w:pPr>
            <w:r w:rsidRPr="00EA20B0">
              <w:rPr>
                <w:rFonts w:ascii="Times New Roman" w:hAnsi="Times New Roman" w:cs="Times New Roman"/>
                <w:color w:val="000000"/>
                <w:spacing w:val="-6"/>
                <w:kern w:val="24"/>
                <w:sz w:val="20"/>
                <w:szCs w:val="20"/>
              </w:rPr>
              <w:t>Закон № 459-ФЗ</w:t>
            </w:r>
          </w:p>
        </w:tc>
        <w:tc>
          <w:tcPr>
            <w:tcW w:w="0" w:type="auto"/>
            <w:tcBorders>
              <w:top w:val="single" w:sz="4" w:space="0" w:color="auto"/>
              <w:left w:val="single" w:sz="4" w:space="0" w:color="auto"/>
              <w:bottom w:val="single" w:sz="4" w:space="0" w:color="auto"/>
              <w:right w:val="single" w:sz="4" w:space="0" w:color="auto"/>
            </w:tcBorders>
            <w:vAlign w:val="center"/>
          </w:tcPr>
          <w:p w14:paraId="5DAF0DA0" w14:textId="074B435D" w:rsidR="008F5BE3" w:rsidRPr="00EA20B0" w:rsidRDefault="008F5BE3" w:rsidP="008F5BE3">
            <w:pPr>
              <w:ind w:left="-57" w:right="-57"/>
              <w:jc w:val="center"/>
              <w:rPr>
                <w:rFonts w:ascii="Times New Roman" w:hAnsi="Times New Roman" w:cs="Times New Roman"/>
                <w:sz w:val="20"/>
                <w:szCs w:val="20"/>
              </w:rPr>
            </w:pPr>
            <w:proofErr w:type="spellStart"/>
            <w:r w:rsidRPr="00EA20B0">
              <w:rPr>
                <w:rFonts w:ascii="Times New Roman" w:hAnsi="Times New Roman" w:cs="Times New Roman"/>
                <w:color w:val="000000"/>
                <w:spacing w:val="-6"/>
                <w:kern w:val="24"/>
                <w:sz w:val="20"/>
                <w:szCs w:val="20"/>
              </w:rPr>
              <w:t>Законо</w:t>
            </w:r>
            <w:proofErr w:type="spellEnd"/>
            <w:r w:rsidRPr="00EA20B0">
              <w:rPr>
                <w:rFonts w:ascii="Times New Roman" w:hAnsi="Times New Roman" w:cs="Times New Roman"/>
                <w:color w:val="000000"/>
                <w:spacing w:val="-6"/>
                <w:kern w:val="24"/>
                <w:sz w:val="20"/>
                <w:szCs w:val="20"/>
              </w:rPr>
              <w:t>-проект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AA8B3E" w14:textId="77777777" w:rsidR="008F5BE3" w:rsidRPr="00EA20B0" w:rsidRDefault="008F5BE3" w:rsidP="008F5BE3">
            <w:pPr>
              <w:ind w:left="-57" w:right="-57"/>
              <w:jc w:val="center"/>
              <w:rPr>
                <w:rFonts w:ascii="Times New Roman" w:hAnsi="Times New Roman" w:cs="Times New Roman"/>
                <w:sz w:val="20"/>
                <w:szCs w:val="20"/>
              </w:rPr>
            </w:pPr>
            <w:r>
              <w:rPr>
                <w:rFonts w:ascii="Times New Roman" w:hAnsi="Times New Roman" w:cs="Times New Roman"/>
                <w:sz w:val="20"/>
                <w:szCs w:val="20"/>
              </w:rPr>
              <w:t>Изм.</w:t>
            </w:r>
            <w:r w:rsidRPr="00EA20B0">
              <w:rPr>
                <w:rFonts w:ascii="Times New Roman" w:hAnsi="Times New Roman" w:cs="Times New Roman"/>
                <w:sz w:val="20"/>
                <w:szCs w:val="20"/>
              </w:rPr>
              <w:t xml:space="preserve"> к закону</w:t>
            </w:r>
            <w:r>
              <w:rPr>
                <w:rFonts w:ascii="Times New Roman" w:hAnsi="Times New Roman" w:cs="Times New Roman"/>
                <w:sz w:val="20"/>
                <w:szCs w:val="20"/>
              </w:rPr>
              <w:t xml:space="preserve"> </w:t>
            </w:r>
            <w:r w:rsidRPr="00EA20B0">
              <w:rPr>
                <w:rFonts w:ascii="Times New Roman" w:hAnsi="Times New Roman" w:cs="Times New Roman"/>
                <w:color w:val="000000"/>
                <w:spacing w:val="-6"/>
                <w:kern w:val="24"/>
                <w:sz w:val="20"/>
                <w:szCs w:val="20"/>
              </w:rPr>
              <w:t>№ 459-ФЗ</w:t>
            </w:r>
            <w:r w:rsidRPr="00EA20B0">
              <w:rPr>
                <w:rFonts w:ascii="Times New Roman" w:hAnsi="Times New Roman" w:cs="Times New Roman"/>
                <w:sz w:val="20"/>
                <w:szCs w:val="20"/>
              </w:rPr>
              <w:t>,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CAC9460" w14:textId="4D671988" w:rsidR="008F5BE3" w:rsidRPr="00EA20B0" w:rsidRDefault="008F5BE3" w:rsidP="008F5BE3">
            <w:pPr>
              <w:ind w:left="-57" w:right="-57"/>
              <w:jc w:val="center"/>
              <w:rPr>
                <w:rFonts w:ascii="Times New Roman" w:hAnsi="Times New Roman" w:cs="Times New Roman"/>
                <w:color w:val="000000"/>
                <w:spacing w:val="-6"/>
                <w:kern w:val="24"/>
                <w:sz w:val="20"/>
                <w:szCs w:val="20"/>
              </w:rPr>
            </w:pPr>
            <w:proofErr w:type="spellStart"/>
            <w:r w:rsidRPr="00EA20B0">
              <w:rPr>
                <w:rFonts w:ascii="Times New Roman" w:hAnsi="Times New Roman" w:cs="Times New Roman"/>
                <w:color w:val="000000"/>
                <w:spacing w:val="-6"/>
                <w:kern w:val="24"/>
                <w:sz w:val="20"/>
                <w:szCs w:val="20"/>
              </w:rPr>
              <w:t>Законо</w:t>
            </w:r>
            <w:proofErr w:type="spellEnd"/>
            <w:r w:rsidRPr="00EA20B0">
              <w:rPr>
                <w:rFonts w:ascii="Times New Roman" w:hAnsi="Times New Roman" w:cs="Times New Roman"/>
                <w:color w:val="000000"/>
                <w:spacing w:val="-6"/>
                <w:kern w:val="24"/>
                <w:sz w:val="20"/>
                <w:szCs w:val="20"/>
              </w:rPr>
              <w:t>-</w:t>
            </w:r>
          </w:p>
          <w:p w14:paraId="33C51253" w14:textId="77777777" w:rsidR="008F5BE3" w:rsidRPr="00EA20B0" w:rsidRDefault="008F5BE3" w:rsidP="008F5BE3">
            <w:pPr>
              <w:ind w:left="-57" w:right="-57"/>
              <w:jc w:val="center"/>
              <w:rPr>
                <w:rFonts w:ascii="Times New Roman" w:hAnsi="Times New Roman" w:cs="Times New Roman"/>
                <w:color w:val="000000"/>
                <w:spacing w:val="-6"/>
                <w:kern w:val="24"/>
                <w:sz w:val="20"/>
                <w:szCs w:val="20"/>
              </w:rPr>
            </w:pPr>
            <w:r w:rsidRPr="00EA20B0">
              <w:rPr>
                <w:rFonts w:ascii="Times New Roman" w:hAnsi="Times New Roman" w:cs="Times New Roman"/>
                <w:color w:val="000000"/>
                <w:spacing w:val="-6"/>
                <w:kern w:val="24"/>
                <w:sz w:val="20"/>
                <w:szCs w:val="20"/>
              </w:rPr>
              <w:t>проект</w:t>
            </w:r>
          </w:p>
        </w:tc>
        <w:tc>
          <w:tcPr>
            <w:tcW w:w="1567" w:type="dxa"/>
            <w:tcBorders>
              <w:top w:val="single" w:sz="4" w:space="0" w:color="auto"/>
              <w:left w:val="single" w:sz="4" w:space="0" w:color="auto"/>
              <w:bottom w:val="single" w:sz="4" w:space="0" w:color="auto"/>
              <w:right w:val="single" w:sz="4" w:space="0" w:color="auto"/>
            </w:tcBorders>
            <w:vAlign w:val="center"/>
          </w:tcPr>
          <w:p w14:paraId="1AA5D9E9" w14:textId="77777777" w:rsidR="00DC4243" w:rsidRDefault="008F5BE3" w:rsidP="008F5BE3">
            <w:pPr>
              <w:ind w:left="-57" w:right="-57"/>
              <w:jc w:val="center"/>
              <w:rPr>
                <w:rFonts w:ascii="Times New Roman" w:hAnsi="Times New Roman" w:cs="Times New Roman"/>
                <w:sz w:val="20"/>
                <w:szCs w:val="20"/>
              </w:rPr>
            </w:pPr>
            <w:r>
              <w:rPr>
                <w:rFonts w:ascii="Times New Roman" w:hAnsi="Times New Roman" w:cs="Times New Roman"/>
                <w:sz w:val="20"/>
                <w:szCs w:val="20"/>
              </w:rPr>
              <w:t>Изм.</w:t>
            </w:r>
            <w:r w:rsidRPr="00EA20B0">
              <w:rPr>
                <w:rFonts w:ascii="Times New Roman" w:hAnsi="Times New Roman" w:cs="Times New Roman"/>
                <w:sz w:val="20"/>
                <w:szCs w:val="20"/>
              </w:rPr>
              <w:t xml:space="preserve"> к закону</w:t>
            </w:r>
            <w:r>
              <w:rPr>
                <w:rFonts w:ascii="Times New Roman" w:hAnsi="Times New Roman" w:cs="Times New Roman"/>
                <w:sz w:val="20"/>
                <w:szCs w:val="20"/>
              </w:rPr>
              <w:t xml:space="preserve"> </w:t>
            </w:r>
          </w:p>
          <w:p w14:paraId="2A5CBFEA" w14:textId="67A570F2" w:rsidR="008F5BE3" w:rsidRPr="00EA20B0" w:rsidRDefault="008F5BE3" w:rsidP="008F5BE3">
            <w:pPr>
              <w:ind w:left="-57" w:right="-57"/>
              <w:jc w:val="center"/>
              <w:rPr>
                <w:rFonts w:ascii="Times New Roman" w:hAnsi="Times New Roman" w:cs="Times New Roman"/>
                <w:sz w:val="20"/>
                <w:szCs w:val="20"/>
              </w:rPr>
            </w:pPr>
            <w:r w:rsidRPr="00EA20B0">
              <w:rPr>
                <w:rFonts w:ascii="Times New Roman" w:hAnsi="Times New Roman" w:cs="Times New Roman"/>
                <w:color w:val="000000"/>
                <w:spacing w:val="-6"/>
                <w:kern w:val="24"/>
                <w:sz w:val="20"/>
                <w:szCs w:val="20"/>
              </w:rPr>
              <w:t>№ 459-ФЗ</w:t>
            </w:r>
            <w:r w:rsidRPr="00EA20B0">
              <w:rPr>
                <w:rFonts w:ascii="Times New Roman" w:hAnsi="Times New Roman" w:cs="Times New Roman"/>
                <w:sz w:val="20"/>
                <w:szCs w:val="20"/>
              </w:rPr>
              <w:t>, %</w:t>
            </w:r>
          </w:p>
        </w:tc>
      </w:tr>
      <w:tr w:rsidR="008F5BE3" w:rsidRPr="00E1515B" w14:paraId="5CA0E3EC" w14:textId="77777777" w:rsidTr="00DC4243">
        <w:trPr>
          <w:trHeight w:val="308"/>
          <w:jc w:val="center"/>
        </w:trPr>
        <w:tc>
          <w:tcPr>
            <w:tcW w:w="0" w:type="auto"/>
            <w:tcBorders>
              <w:right w:val="single" w:sz="4" w:space="0" w:color="auto"/>
            </w:tcBorders>
            <w:shd w:val="clear" w:color="auto" w:fill="auto"/>
            <w:vAlign w:val="center"/>
          </w:tcPr>
          <w:p w14:paraId="7CDA5351" w14:textId="77777777" w:rsidR="008F5BE3" w:rsidRPr="008F5BE3" w:rsidRDefault="008F5BE3" w:rsidP="008F5BE3">
            <w:pPr>
              <w:ind w:left="-57" w:right="-57"/>
              <w:jc w:val="both"/>
              <w:rPr>
                <w:rFonts w:ascii="Times New Roman" w:hAnsi="Times New Roman" w:cs="Times New Roman"/>
              </w:rPr>
            </w:pPr>
            <w:r w:rsidRPr="008F5BE3">
              <w:rPr>
                <w:rFonts w:ascii="Times New Roman" w:hAnsi="Times New Roman" w:cs="Times New Roman"/>
              </w:rPr>
              <w:t xml:space="preserve">Доходы, всего </w:t>
            </w:r>
          </w:p>
        </w:tc>
        <w:tc>
          <w:tcPr>
            <w:tcW w:w="0" w:type="auto"/>
            <w:vAlign w:val="center"/>
          </w:tcPr>
          <w:p w14:paraId="5EBB3379" w14:textId="77777777" w:rsidR="008F5BE3" w:rsidRPr="008F5BE3" w:rsidRDefault="008F5BE3" w:rsidP="008F5BE3">
            <w:pPr>
              <w:ind w:left="-57" w:right="-57"/>
              <w:jc w:val="center"/>
              <w:rPr>
                <w:rFonts w:ascii="Times New Roman" w:hAnsi="Times New Roman" w:cs="Times New Roman"/>
                <w:bCs/>
                <w:color w:val="000000"/>
              </w:rPr>
            </w:pPr>
            <w:r w:rsidRPr="008F5BE3">
              <w:rPr>
                <w:rFonts w:ascii="Times New Roman" w:hAnsi="Times New Roman" w:cs="Times New Roman"/>
                <w:bCs/>
                <w:color w:val="000000"/>
              </w:rPr>
              <w:t>19 454,4</w:t>
            </w:r>
          </w:p>
        </w:tc>
        <w:tc>
          <w:tcPr>
            <w:tcW w:w="0" w:type="auto"/>
            <w:vAlign w:val="center"/>
          </w:tcPr>
          <w:p w14:paraId="4EB29C45" w14:textId="77777777" w:rsidR="008F5BE3" w:rsidRPr="008F5BE3" w:rsidRDefault="008F5BE3" w:rsidP="008F5BE3">
            <w:pPr>
              <w:ind w:left="-57" w:right="-57"/>
              <w:jc w:val="center"/>
              <w:rPr>
                <w:rFonts w:ascii="Times New Roman" w:hAnsi="Times New Roman" w:cs="Times New Roman"/>
                <w:bCs/>
              </w:rPr>
            </w:pPr>
            <w:r w:rsidRPr="008F5BE3">
              <w:rPr>
                <w:rFonts w:ascii="Times New Roman" w:hAnsi="Times New Roman" w:cs="Times New Roman"/>
                <w:bCs/>
              </w:rPr>
              <w:t>20</w:t>
            </w:r>
            <w:r w:rsidRPr="008F5BE3">
              <w:rPr>
                <w:rFonts w:ascii="Times New Roman" w:hAnsi="Times New Roman" w:cs="Times New Roman"/>
                <w:bCs/>
                <w:lang w:val="en-US"/>
              </w:rPr>
              <w:t> </w:t>
            </w:r>
            <w:r w:rsidRPr="008F5BE3">
              <w:rPr>
                <w:rFonts w:ascii="Times New Roman" w:hAnsi="Times New Roman" w:cs="Times New Roman"/>
                <w:bCs/>
              </w:rPr>
              <w:t>174,9</w:t>
            </w:r>
          </w:p>
        </w:tc>
        <w:tc>
          <w:tcPr>
            <w:tcW w:w="0" w:type="auto"/>
            <w:tcBorders>
              <w:right w:val="single" w:sz="4" w:space="0" w:color="auto"/>
            </w:tcBorders>
            <w:vAlign w:val="center"/>
          </w:tcPr>
          <w:p w14:paraId="3521F1D0" w14:textId="77777777" w:rsidR="008F5BE3" w:rsidRPr="008F5BE3" w:rsidRDefault="008F5BE3" w:rsidP="008F5BE3">
            <w:pPr>
              <w:ind w:left="-57" w:right="-57"/>
              <w:jc w:val="center"/>
              <w:rPr>
                <w:rFonts w:ascii="Times New Roman" w:hAnsi="Times New Roman" w:cs="Times New Roman"/>
                <w:bCs/>
              </w:rPr>
            </w:pPr>
            <w:r w:rsidRPr="008F5BE3">
              <w:rPr>
                <w:rFonts w:ascii="Times New Roman" w:hAnsi="Times New Roman" w:cs="Times New Roman"/>
                <w:bCs/>
              </w:rPr>
              <w:t>20</w:t>
            </w:r>
            <w:r w:rsidRPr="008F5BE3">
              <w:rPr>
                <w:rFonts w:ascii="Times New Roman" w:hAnsi="Times New Roman" w:cs="Times New Roman"/>
                <w:bCs/>
                <w:lang w:val="en-US"/>
              </w:rPr>
              <w:t> </w:t>
            </w:r>
            <w:r w:rsidRPr="008F5BE3">
              <w:rPr>
                <w:rFonts w:ascii="Times New Roman" w:hAnsi="Times New Roman" w:cs="Times New Roman"/>
                <w:bCs/>
              </w:rPr>
              <w:t>218,6</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467DDE" w14:textId="77777777" w:rsidR="008F5BE3" w:rsidRPr="008F5BE3" w:rsidRDefault="008F5BE3" w:rsidP="008F5BE3">
            <w:pPr>
              <w:ind w:left="-57" w:right="-57"/>
              <w:jc w:val="center"/>
              <w:rPr>
                <w:rFonts w:ascii="Times New Roman" w:hAnsi="Times New Roman" w:cs="Times New Roman"/>
                <w:bCs/>
              </w:rPr>
            </w:pPr>
            <w:r w:rsidRPr="008F5BE3">
              <w:rPr>
                <w:rFonts w:ascii="Times New Roman" w:hAnsi="Times New Roman" w:cs="Times New Roman"/>
                <w:bCs/>
              </w:rPr>
              <w:t>20 379,4</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57AE87"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100,8</w:t>
            </w:r>
          </w:p>
        </w:tc>
        <w:tc>
          <w:tcPr>
            <w:tcW w:w="0" w:type="auto"/>
            <w:tcBorders>
              <w:top w:val="single" w:sz="4" w:space="0" w:color="auto"/>
              <w:left w:val="single" w:sz="4" w:space="0" w:color="auto"/>
              <w:bottom w:val="single" w:sz="4" w:space="0" w:color="auto"/>
              <w:right w:val="single" w:sz="4" w:space="0" w:color="auto"/>
            </w:tcBorders>
            <w:vAlign w:val="center"/>
          </w:tcPr>
          <w:p w14:paraId="5FCF34B4" w14:textId="77777777" w:rsidR="008F5BE3" w:rsidRPr="008F5BE3" w:rsidRDefault="008F5BE3" w:rsidP="008F5BE3">
            <w:pPr>
              <w:ind w:left="-57" w:right="-57"/>
              <w:jc w:val="center"/>
              <w:rPr>
                <w:rFonts w:ascii="Times New Roman" w:hAnsi="Times New Roman" w:cs="Times New Roman"/>
                <w:bCs/>
              </w:rPr>
            </w:pPr>
            <w:r w:rsidRPr="008F5BE3">
              <w:rPr>
                <w:rFonts w:ascii="Times New Roman" w:hAnsi="Times New Roman" w:cs="Times New Roman"/>
                <w:bCs/>
              </w:rPr>
              <w:t>20 978,0</w:t>
            </w:r>
          </w:p>
        </w:tc>
        <w:tc>
          <w:tcPr>
            <w:tcW w:w="0" w:type="auto"/>
            <w:tcBorders>
              <w:top w:val="single" w:sz="4" w:space="0" w:color="auto"/>
              <w:left w:val="single" w:sz="4" w:space="0" w:color="auto"/>
              <w:bottom w:val="single" w:sz="4" w:space="0" w:color="auto"/>
              <w:right w:val="single" w:sz="4" w:space="0" w:color="auto"/>
            </w:tcBorders>
            <w:vAlign w:val="center"/>
          </w:tcPr>
          <w:p w14:paraId="2B25B80E" w14:textId="77777777" w:rsidR="008F5BE3" w:rsidRPr="008F5BE3" w:rsidRDefault="008F5BE3" w:rsidP="008F5BE3">
            <w:pPr>
              <w:ind w:left="-57" w:right="-57"/>
              <w:jc w:val="center"/>
              <w:rPr>
                <w:rFonts w:ascii="Times New Roman" w:hAnsi="Times New Roman" w:cs="Times New Roman"/>
                <w:bCs/>
              </w:rPr>
            </w:pPr>
            <w:r w:rsidRPr="008F5BE3">
              <w:rPr>
                <w:rFonts w:ascii="Times New Roman" w:hAnsi="Times New Roman" w:cs="Times New Roman"/>
                <w:bCs/>
              </w:rPr>
              <w:t>21 246,5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12C2AE"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101,3</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7C385FF" w14:textId="77777777" w:rsidR="008F5BE3" w:rsidRPr="008F5BE3" w:rsidRDefault="008F5BE3" w:rsidP="008F5BE3">
            <w:pPr>
              <w:ind w:left="-57" w:right="-57"/>
              <w:jc w:val="center"/>
              <w:rPr>
                <w:rFonts w:ascii="Times New Roman" w:hAnsi="Times New Roman" w:cs="Times New Roman"/>
                <w:bCs/>
              </w:rPr>
            </w:pPr>
            <w:r w:rsidRPr="008F5BE3">
              <w:rPr>
                <w:rFonts w:ascii="Times New Roman" w:hAnsi="Times New Roman" w:cs="Times New Roman"/>
                <w:bCs/>
              </w:rPr>
              <w:t>22 058,3</w:t>
            </w:r>
          </w:p>
        </w:tc>
        <w:tc>
          <w:tcPr>
            <w:tcW w:w="1567" w:type="dxa"/>
            <w:tcBorders>
              <w:top w:val="single" w:sz="4" w:space="0" w:color="auto"/>
              <w:left w:val="single" w:sz="4" w:space="0" w:color="auto"/>
              <w:bottom w:val="single" w:sz="4" w:space="0" w:color="auto"/>
              <w:right w:val="single" w:sz="4" w:space="0" w:color="auto"/>
            </w:tcBorders>
            <w:vAlign w:val="center"/>
          </w:tcPr>
          <w:p w14:paraId="12F859FC"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103,8</w:t>
            </w:r>
          </w:p>
        </w:tc>
      </w:tr>
      <w:tr w:rsidR="008F5BE3" w:rsidRPr="00E1515B" w14:paraId="2D304282" w14:textId="77777777" w:rsidTr="00DC4243">
        <w:trPr>
          <w:trHeight w:val="267"/>
          <w:jc w:val="center"/>
        </w:trPr>
        <w:tc>
          <w:tcPr>
            <w:tcW w:w="0" w:type="auto"/>
            <w:tcBorders>
              <w:right w:val="single" w:sz="4" w:space="0" w:color="auto"/>
            </w:tcBorders>
            <w:shd w:val="clear" w:color="auto" w:fill="auto"/>
            <w:vAlign w:val="center"/>
          </w:tcPr>
          <w:p w14:paraId="2354CA99" w14:textId="77777777" w:rsidR="008F5BE3" w:rsidRPr="008F5BE3" w:rsidRDefault="008F5BE3" w:rsidP="008F5BE3">
            <w:pPr>
              <w:ind w:left="-57" w:right="-57"/>
              <w:jc w:val="both"/>
              <w:rPr>
                <w:rFonts w:ascii="Times New Roman" w:hAnsi="Times New Roman" w:cs="Times New Roman"/>
              </w:rPr>
            </w:pPr>
            <w:r w:rsidRPr="008F5BE3">
              <w:rPr>
                <w:rFonts w:ascii="Times New Roman" w:hAnsi="Times New Roman" w:cs="Times New Roman"/>
              </w:rPr>
              <w:t>%% к ВВП</w:t>
            </w:r>
          </w:p>
        </w:tc>
        <w:tc>
          <w:tcPr>
            <w:tcW w:w="0" w:type="auto"/>
            <w:vAlign w:val="center"/>
          </w:tcPr>
          <w:p w14:paraId="06ED1EB6" w14:textId="77777777" w:rsidR="008F5BE3" w:rsidRPr="008F5BE3" w:rsidRDefault="008F5BE3" w:rsidP="008F5BE3">
            <w:pPr>
              <w:ind w:left="-57" w:right="-57"/>
              <w:jc w:val="center"/>
              <w:rPr>
                <w:rFonts w:ascii="Times New Roman" w:hAnsi="Times New Roman" w:cs="Times New Roman"/>
                <w:color w:val="000000"/>
              </w:rPr>
            </w:pPr>
            <w:r w:rsidRPr="008F5BE3">
              <w:rPr>
                <w:rFonts w:ascii="Times New Roman" w:hAnsi="Times New Roman" w:cs="Times New Roman"/>
                <w:color w:val="000000"/>
              </w:rPr>
              <w:t>18,7</w:t>
            </w:r>
          </w:p>
        </w:tc>
        <w:tc>
          <w:tcPr>
            <w:tcW w:w="0" w:type="auto"/>
            <w:vAlign w:val="center"/>
          </w:tcPr>
          <w:p w14:paraId="51BFD866"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18,5</w:t>
            </w:r>
          </w:p>
        </w:tc>
        <w:tc>
          <w:tcPr>
            <w:tcW w:w="0" w:type="auto"/>
            <w:tcBorders>
              <w:right w:val="single" w:sz="4" w:space="0" w:color="auto"/>
            </w:tcBorders>
            <w:vAlign w:val="center"/>
          </w:tcPr>
          <w:p w14:paraId="47DDA84E"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18,3</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D8E9DB7"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18,1</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345461B" w14:textId="2CE6EC25" w:rsidR="008F5BE3" w:rsidRPr="008F5BE3" w:rsidRDefault="008F5BE3" w:rsidP="008F5BE3">
            <w:pPr>
              <w:ind w:left="-57" w:right="-57"/>
              <w:jc w:val="center"/>
              <w:rPr>
                <w:rFonts w:ascii="Times New Roman" w:hAnsi="Times New Roman" w:cs="Times New Roman"/>
                <w:iCs/>
              </w:rPr>
            </w:pPr>
          </w:p>
        </w:tc>
        <w:tc>
          <w:tcPr>
            <w:tcW w:w="0" w:type="auto"/>
            <w:tcBorders>
              <w:top w:val="single" w:sz="4" w:space="0" w:color="auto"/>
              <w:left w:val="single" w:sz="4" w:space="0" w:color="auto"/>
              <w:bottom w:val="single" w:sz="4" w:space="0" w:color="auto"/>
              <w:right w:val="single" w:sz="4" w:space="0" w:color="auto"/>
            </w:tcBorders>
            <w:vAlign w:val="center"/>
          </w:tcPr>
          <w:p w14:paraId="139F3E5F"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17,7</w:t>
            </w:r>
          </w:p>
        </w:tc>
        <w:tc>
          <w:tcPr>
            <w:tcW w:w="0" w:type="auto"/>
            <w:tcBorders>
              <w:top w:val="single" w:sz="4" w:space="0" w:color="auto"/>
              <w:left w:val="single" w:sz="4" w:space="0" w:color="auto"/>
              <w:bottom w:val="single" w:sz="4" w:space="0" w:color="auto"/>
              <w:right w:val="single" w:sz="4" w:space="0" w:color="auto"/>
            </w:tcBorders>
            <w:vAlign w:val="center"/>
          </w:tcPr>
          <w:p w14:paraId="5F287DB5"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17,7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6B6644" w14:textId="31FE2208" w:rsidR="008F5BE3" w:rsidRPr="008F5BE3" w:rsidRDefault="008F5BE3" w:rsidP="008F5BE3">
            <w:pPr>
              <w:ind w:left="-57" w:right="-57"/>
              <w:jc w:val="center"/>
              <w:rPr>
                <w:rFonts w:ascii="Times New Roman" w:hAnsi="Times New Roman" w:cs="Times New Roman"/>
                <w:iCs/>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63F0C8E"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17,2</w:t>
            </w:r>
          </w:p>
        </w:tc>
        <w:tc>
          <w:tcPr>
            <w:tcW w:w="1567" w:type="dxa"/>
            <w:tcBorders>
              <w:top w:val="single" w:sz="4" w:space="0" w:color="auto"/>
              <w:left w:val="single" w:sz="4" w:space="0" w:color="auto"/>
              <w:bottom w:val="single" w:sz="4" w:space="0" w:color="auto"/>
              <w:right w:val="single" w:sz="4" w:space="0" w:color="auto"/>
            </w:tcBorders>
            <w:vAlign w:val="center"/>
          </w:tcPr>
          <w:p w14:paraId="7BD172DB" w14:textId="7D6C5788" w:rsidR="008F5BE3" w:rsidRPr="008F5BE3" w:rsidRDefault="008F5BE3" w:rsidP="008F5BE3">
            <w:pPr>
              <w:ind w:left="-57" w:right="-57"/>
              <w:jc w:val="center"/>
              <w:rPr>
                <w:rFonts w:ascii="Times New Roman" w:hAnsi="Times New Roman" w:cs="Times New Roman"/>
                <w:iCs/>
              </w:rPr>
            </w:pPr>
          </w:p>
        </w:tc>
      </w:tr>
      <w:tr w:rsidR="008F5BE3" w:rsidRPr="00E1515B" w14:paraId="28152E0F" w14:textId="77777777" w:rsidTr="00DC4243">
        <w:trPr>
          <w:trHeight w:val="267"/>
          <w:jc w:val="center"/>
        </w:trPr>
        <w:tc>
          <w:tcPr>
            <w:tcW w:w="0" w:type="auto"/>
            <w:tcBorders>
              <w:right w:val="single" w:sz="4" w:space="0" w:color="auto"/>
            </w:tcBorders>
            <w:shd w:val="clear" w:color="auto" w:fill="auto"/>
            <w:vAlign w:val="center"/>
          </w:tcPr>
          <w:p w14:paraId="2F742DF3" w14:textId="77777777" w:rsidR="008F5BE3" w:rsidRPr="008F5BE3" w:rsidRDefault="008F5BE3" w:rsidP="008F5BE3">
            <w:pPr>
              <w:ind w:left="-57" w:right="-57"/>
              <w:jc w:val="both"/>
              <w:rPr>
                <w:rFonts w:ascii="Times New Roman" w:hAnsi="Times New Roman" w:cs="Times New Roman"/>
              </w:rPr>
            </w:pPr>
            <w:r w:rsidRPr="008F5BE3">
              <w:rPr>
                <w:rFonts w:ascii="Times New Roman" w:hAnsi="Times New Roman" w:cs="Times New Roman"/>
              </w:rPr>
              <w:t xml:space="preserve">Расходы, всего </w:t>
            </w:r>
          </w:p>
        </w:tc>
        <w:tc>
          <w:tcPr>
            <w:tcW w:w="0" w:type="auto"/>
            <w:vAlign w:val="center"/>
          </w:tcPr>
          <w:p w14:paraId="17138A03" w14:textId="77777777" w:rsidR="008F5BE3" w:rsidRPr="008F5BE3" w:rsidRDefault="008F5BE3" w:rsidP="008F5BE3">
            <w:pPr>
              <w:ind w:left="-57" w:right="-57"/>
              <w:jc w:val="center"/>
              <w:rPr>
                <w:rFonts w:ascii="Times New Roman" w:hAnsi="Times New Roman" w:cs="Times New Roman"/>
                <w:bCs/>
                <w:color w:val="000000"/>
              </w:rPr>
            </w:pPr>
            <w:r w:rsidRPr="008F5BE3">
              <w:rPr>
                <w:rFonts w:ascii="Times New Roman" w:hAnsi="Times New Roman" w:cs="Times New Roman"/>
                <w:bCs/>
                <w:color w:val="000000"/>
              </w:rPr>
              <w:t>16 713,0</w:t>
            </w:r>
          </w:p>
        </w:tc>
        <w:tc>
          <w:tcPr>
            <w:tcW w:w="0" w:type="auto"/>
            <w:vAlign w:val="center"/>
          </w:tcPr>
          <w:p w14:paraId="63A25A8C" w14:textId="77777777" w:rsidR="008F5BE3" w:rsidRPr="008F5BE3" w:rsidRDefault="008F5BE3" w:rsidP="008F5BE3">
            <w:pPr>
              <w:ind w:left="-57" w:right="-57"/>
              <w:jc w:val="center"/>
              <w:rPr>
                <w:rFonts w:ascii="Times New Roman" w:hAnsi="Times New Roman" w:cs="Times New Roman"/>
                <w:bCs/>
              </w:rPr>
            </w:pPr>
            <w:r w:rsidRPr="008F5BE3">
              <w:rPr>
                <w:rFonts w:ascii="Times New Roman" w:hAnsi="Times New Roman" w:cs="Times New Roman"/>
                <w:bCs/>
              </w:rPr>
              <w:t>18</w:t>
            </w:r>
            <w:r w:rsidRPr="008F5BE3">
              <w:rPr>
                <w:rFonts w:ascii="Times New Roman" w:hAnsi="Times New Roman" w:cs="Times New Roman"/>
                <w:bCs/>
                <w:lang w:val="en-US"/>
              </w:rPr>
              <w:t> </w:t>
            </w:r>
            <w:r w:rsidRPr="008F5BE3">
              <w:rPr>
                <w:rFonts w:ascii="Times New Roman" w:hAnsi="Times New Roman" w:cs="Times New Roman"/>
                <w:bCs/>
              </w:rPr>
              <w:t>293,7</w:t>
            </w:r>
          </w:p>
        </w:tc>
        <w:tc>
          <w:tcPr>
            <w:tcW w:w="0" w:type="auto"/>
            <w:tcBorders>
              <w:right w:val="single" w:sz="4" w:space="0" w:color="auto"/>
            </w:tcBorders>
            <w:vAlign w:val="center"/>
          </w:tcPr>
          <w:p w14:paraId="6678954F" w14:textId="77777777" w:rsidR="008F5BE3" w:rsidRPr="008F5BE3" w:rsidRDefault="008F5BE3" w:rsidP="008F5BE3">
            <w:pPr>
              <w:ind w:left="-57" w:right="-57"/>
              <w:jc w:val="center"/>
              <w:rPr>
                <w:rFonts w:ascii="Times New Roman" w:hAnsi="Times New Roman" w:cs="Times New Roman"/>
                <w:bCs/>
              </w:rPr>
            </w:pPr>
            <w:r w:rsidRPr="008F5BE3">
              <w:rPr>
                <w:rFonts w:ascii="Times New Roman" w:hAnsi="Times New Roman" w:cs="Times New Roman"/>
                <w:bCs/>
              </w:rPr>
              <w:t>18</w:t>
            </w:r>
            <w:r w:rsidRPr="008F5BE3">
              <w:rPr>
                <w:rFonts w:ascii="Times New Roman" w:hAnsi="Times New Roman" w:cs="Times New Roman"/>
                <w:bCs/>
                <w:lang w:val="en-US"/>
              </w:rPr>
              <w:t> </w:t>
            </w:r>
            <w:r w:rsidRPr="008F5BE3">
              <w:rPr>
                <w:rFonts w:ascii="Times New Roman" w:hAnsi="Times New Roman" w:cs="Times New Roman"/>
                <w:bCs/>
              </w:rPr>
              <w:t>994,3</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B04D97B" w14:textId="77777777" w:rsidR="008F5BE3" w:rsidRPr="008F5BE3" w:rsidRDefault="008F5BE3" w:rsidP="008F5BE3">
            <w:pPr>
              <w:ind w:left="-57" w:right="-57"/>
              <w:jc w:val="center"/>
              <w:rPr>
                <w:rFonts w:ascii="Times New Roman" w:hAnsi="Times New Roman" w:cs="Times New Roman"/>
                <w:bCs/>
              </w:rPr>
            </w:pPr>
            <w:r w:rsidRPr="008F5BE3">
              <w:rPr>
                <w:rFonts w:ascii="Times New Roman" w:hAnsi="Times New Roman" w:cs="Times New Roman"/>
                <w:bCs/>
              </w:rPr>
              <w:t>19 503,3</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4181F19"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102,7</w:t>
            </w:r>
          </w:p>
        </w:tc>
        <w:tc>
          <w:tcPr>
            <w:tcW w:w="0" w:type="auto"/>
            <w:tcBorders>
              <w:top w:val="single" w:sz="4" w:space="0" w:color="auto"/>
              <w:left w:val="single" w:sz="4" w:space="0" w:color="auto"/>
              <w:bottom w:val="single" w:sz="4" w:space="0" w:color="auto"/>
              <w:right w:val="single" w:sz="4" w:space="0" w:color="auto"/>
            </w:tcBorders>
            <w:vAlign w:val="center"/>
          </w:tcPr>
          <w:p w14:paraId="6C6DCCA2" w14:textId="77777777" w:rsidR="008F5BE3" w:rsidRPr="008F5BE3" w:rsidRDefault="008F5BE3" w:rsidP="008F5BE3">
            <w:pPr>
              <w:ind w:left="-57" w:right="-57"/>
              <w:jc w:val="center"/>
              <w:rPr>
                <w:rFonts w:ascii="Times New Roman" w:hAnsi="Times New Roman" w:cs="Times New Roman"/>
                <w:bCs/>
              </w:rPr>
            </w:pPr>
            <w:r w:rsidRPr="008F5BE3">
              <w:rPr>
                <w:rFonts w:ascii="Times New Roman" w:hAnsi="Times New Roman" w:cs="Times New Roman"/>
                <w:bCs/>
              </w:rPr>
              <w:t>20 026,0</w:t>
            </w:r>
          </w:p>
        </w:tc>
        <w:tc>
          <w:tcPr>
            <w:tcW w:w="0" w:type="auto"/>
            <w:tcBorders>
              <w:top w:val="single" w:sz="4" w:space="0" w:color="auto"/>
              <w:left w:val="single" w:sz="4" w:space="0" w:color="auto"/>
              <w:bottom w:val="single" w:sz="4" w:space="0" w:color="auto"/>
              <w:right w:val="single" w:sz="4" w:space="0" w:color="auto"/>
            </w:tcBorders>
            <w:vAlign w:val="center"/>
          </w:tcPr>
          <w:p w14:paraId="4B5058CA" w14:textId="77777777" w:rsidR="008F5BE3" w:rsidRPr="008F5BE3" w:rsidRDefault="008F5BE3" w:rsidP="008F5BE3">
            <w:pPr>
              <w:ind w:left="-57" w:right="-57"/>
              <w:jc w:val="center"/>
              <w:rPr>
                <w:rFonts w:ascii="Times New Roman" w:hAnsi="Times New Roman" w:cs="Times New Roman"/>
                <w:bCs/>
              </w:rPr>
            </w:pPr>
            <w:r w:rsidRPr="008F5BE3">
              <w:rPr>
                <w:rFonts w:ascii="Times New Roman" w:hAnsi="Times New Roman" w:cs="Times New Roman"/>
                <w:bCs/>
              </w:rPr>
              <w:t>20 634,0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6B13A0"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103,0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ADCBD95" w14:textId="77777777" w:rsidR="008F5BE3" w:rsidRPr="008F5BE3" w:rsidRDefault="008F5BE3" w:rsidP="008F5BE3">
            <w:pPr>
              <w:ind w:left="-57" w:right="-57"/>
              <w:jc w:val="center"/>
              <w:rPr>
                <w:rFonts w:ascii="Times New Roman" w:hAnsi="Times New Roman" w:cs="Times New Roman"/>
                <w:bCs/>
              </w:rPr>
            </w:pPr>
            <w:r w:rsidRPr="008F5BE3">
              <w:rPr>
                <w:rFonts w:ascii="Times New Roman" w:hAnsi="Times New Roman" w:cs="Times New Roman"/>
                <w:bCs/>
              </w:rPr>
              <w:t>21 763,3</w:t>
            </w:r>
          </w:p>
        </w:tc>
        <w:tc>
          <w:tcPr>
            <w:tcW w:w="1567" w:type="dxa"/>
            <w:tcBorders>
              <w:top w:val="single" w:sz="4" w:space="0" w:color="auto"/>
              <w:left w:val="single" w:sz="4" w:space="0" w:color="auto"/>
              <w:bottom w:val="single" w:sz="4" w:space="0" w:color="auto"/>
              <w:right w:val="single" w:sz="4" w:space="0" w:color="auto"/>
            </w:tcBorders>
            <w:vAlign w:val="center"/>
          </w:tcPr>
          <w:p w14:paraId="016202E1"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105,5</w:t>
            </w:r>
          </w:p>
        </w:tc>
      </w:tr>
      <w:tr w:rsidR="008F5BE3" w:rsidRPr="00E1515B" w14:paraId="37E55B37" w14:textId="77777777" w:rsidTr="00DC4243">
        <w:trPr>
          <w:trHeight w:val="267"/>
          <w:jc w:val="center"/>
        </w:trPr>
        <w:tc>
          <w:tcPr>
            <w:tcW w:w="0" w:type="auto"/>
            <w:tcBorders>
              <w:right w:val="single" w:sz="4" w:space="0" w:color="auto"/>
            </w:tcBorders>
            <w:shd w:val="clear" w:color="auto" w:fill="auto"/>
            <w:vAlign w:val="center"/>
          </w:tcPr>
          <w:p w14:paraId="4F94B164" w14:textId="77777777" w:rsidR="008F5BE3" w:rsidRPr="008F5BE3" w:rsidRDefault="008F5BE3" w:rsidP="008F5BE3">
            <w:pPr>
              <w:ind w:left="-57" w:right="-57"/>
              <w:jc w:val="both"/>
              <w:rPr>
                <w:rFonts w:ascii="Times New Roman" w:hAnsi="Times New Roman" w:cs="Times New Roman"/>
              </w:rPr>
            </w:pPr>
            <w:r w:rsidRPr="008F5BE3">
              <w:rPr>
                <w:rFonts w:ascii="Times New Roman" w:hAnsi="Times New Roman" w:cs="Times New Roman"/>
              </w:rPr>
              <w:t>%% к ВВП</w:t>
            </w:r>
          </w:p>
        </w:tc>
        <w:tc>
          <w:tcPr>
            <w:tcW w:w="0" w:type="auto"/>
            <w:vAlign w:val="center"/>
          </w:tcPr>
          <w:p w14:paraId="16663AA9" w14:textId="77777777" w:rsidR="008F5BE3" w:rsidRPr="008F5BE3" w:rsidRDefault="008F5BE3" w:rsidP="008F5BE3">
            <w:pPr>
              <w:ind w:left="-57" w:right="-57"/>
              <w:jc w:val="center"/>
              <w:rPr>
                <w:rFonts w:ascii="Times New Roman" w:hAnsi="Times New Roman" w:cs="Times New Roman"/>
                <w:color w:val="000000"/>
              </w:rPr>
            </w:pPr>
            <w:r w:rsidRPr="008F5BE3">
              <w:rPr>
                <w:rFonts w:ascii="Times New Roman" w:hAnsi="Times New Roman" w:cs="Times New Roman"/>
                <w:color w:val="000000"/>
              </w:rPr>
              <w:t>16,1</w:t>
            </w:r>
          </w:p>
        </w:tc>
        <w:tc>
          <w:tcPr>
            <w:tcW w:w="0" w:type="auto"/>
            <w:vAlign w:val="center"/>
          </w:tcPr>
          <w:p w14:paraId="6AE521C9"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16,8</w:t>
            </w:r>
          </w:p>
        </w:tc>
        <w:tc>
          <w:tcPr>
            <w:tcW w:w="0" w:type="auto"/>
            <w:tcBorders>
              <w:right w:val="single" w:sz="4" w:space="0" w:color="auto"/>
            </w:tcBorders>
            <w:vAlign w:val="center"/>
          </w:tcPr>
          <w:p w14:paraId="734E054A"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17,2</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32DF008"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17,3</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5E1807" w14:textId="4066F950" w:rsidR="008F5BE3" w:rsidRPr="008F5BE3" w:rsidRDefault="008F5BE3" w:rsidP="008F5BE3">
            <w:pPr>
              <w:ind w:left="-57" w:right="-57"/>
              <w:jc w:val="center"/>
              <w:rPr>
                <w:rFonts w:ascii="Times New Roman" w:hAnsi="Times New Roman" w:cs="Times New Roman"/>
                <w:iCs/>
              </w:rPr>
            </w:pPr>
          </w:p>
        </w:tc>
        <w:tc>
          <w:tcPr>
            <w:tcW w:w="0" w:type="auto"/>
            <w:tcBorders>
              <w:top w:val="single" w:sz="4" w:space="0" w:color="auto"/>
              <w:left w:val="single" w:sz="4" w:space="0" w:color="auto"/>
              <w:bottom w:val="single" w:sz="4" w:space="0" w:color="auto"/>
              <w:right w:val="single" w:sz="4" w:space="0" w:color="auto"/>
            </w:tcBorders>
            <w:vAlign w:val="center"/>
          </w:tcPr>
          <w:p w14:paraId="08CCBC6F"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16,9</w:t>
            </w:r>
          </w:p>
        </w:tc>
        <w:tc>
          <w:tcPr>
            <w:tcW w:w="0" w:type="auto"/>
            <w:tcBorders>
              <w:top w:val="single" w:sz="4" w:space="0" w:color="auto"/>
              <w:left w:val="single" w:sz="4" w:space="0" w:color="auto"/>
              <w:bottom w:val="single" w:sz="4" w:space="0" w:color="auto"/>
              <w:right w:val="single" w:sz="4" w:space="0" w:color="auto"/>
            </w:tcBorders>
            <w:vAlign w:val="center"/>
          </w:tcPr>
          <w:p w14:paraId="3165936A"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17,1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D51FFA" w14:textId="4977441C" w:rsidR="008F5BE3" w:rsidRPr="008F5BE3" w:rsidRDefault="008F5BE3" w:rsidP="008F5BE3">
            <w:pPr>
              <w:ind w:left="-57" w:right="-57"/>
              <w:jc w:val="center"/>
              <w:rPr>
                <w:rFonts w:ascii="Times New Roman" w:hAnsi="Times New Roman" w:cs="Times New Roman"/>
                <w:iCs/>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B3884D3"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16,9</w:t>
            </w:r>
          </w:p>
        </w:tc>
        <w:tc>
          <w:tcPr>
            <w:tcW w:w="1567" w:type="dxa"/>
            <w:tcBorders>
              <w:top w:val="single" w:sz="4" w:space="0" w:color="auto"/>
              <w:left w:val="single" w:sz="4" w:space="0" w:color="auto"/>
              <w:bottom w:val="single" w:sz="4" w:space="0" w:color="auto"/>
              <w:right w:val="single" w:sz="4" w:space="0" w:color="auto"/>
            </w:tcBorders>
            <w:vAlign w:val="center"/>
          </w:tcPr>
          <w:p w14:paraId="324C65AD" w14:textId="7F7CBC09" w:rsidR="008F5BE3" w:rsidRPr="008F5BE3" w:rsidRDefault="008F5BE3" w:rsidP="008F5BE3">
            <w:pPr>
              <w:ind w:left="-57" w:right="-57"/>
              <w:jc w:val="center"/>
              <w:rPr>
                <w:rFonts w:ascii="Times New Roman" w:hAnsi="Times New Roman" w:cs="Times New Roman"/>
                <w:iCs/>
              </w:rPr>
            </w:pPr>
          </w:p>
        </w:tc>
      </w:tr>
      <w:tr w:rsidR="008F5BE3" w:rsidRPr="00E1515B" w14:paraId="09C802CB" w14:textId="77777777" w:rsidTr="00DC4243">
        <w:trPr>
          <w:trHeight w:val="267"/>
          <w:jc w:val="center"/>
        </w:trPr>
        <w:tc>
          <w:tcPr>
            <w:tcW w:w="0" w:type="auto"/>
            <w:tcBorders>
              <w:right w:val="single" w:sz="4" w:space="0" w:color="auto"/>
            </w:tcBorders>
            <w:shd w:val="clear" w:color="auto" w:fill="auto"/>
          </w:tcPr>
          <w:p w14:paraId="74E91DC0" w14:textId="77777777" w:rsidR="008F5BE3" w:rsidRPr="008F5BE3" w:rsidRDefault="008F5BE3" w:rsidP="008F5BE3">
            <w:pPr>
              <w:ind w:left="-57" w:right="-57"/>
              <w:jc w:val="both"/>
              <w:rPr>
                <w:rFonts w:ascii="Times New Roman" w:hAnsi="Times New Roman" w:cs="Times New Roman"/>
              </w:rPr>
            </w:pPr>
            <w:r w:rsidRPr="008F5BE3">
              <w:rPr>
                <w:rFonts w:ascii="Times New Roman" w:hAnsi="Times New Roman" w:cs="Times New Roman"/>
              </w:rPr>
              <w:t>в том числе условно утвержденные</w:t>
            </w:r>
          </w:p>
        </w:tc>
        <w:tc>
          <w:tcPr>
            <w:tcW w:w="0" w:type="auto"/>
            <w:vAlign w:val="center"/>
          </w:tcPr>
          <w:p w14:paraId="2E27479C" w14:textId="6F46AB9D" w:rsidR="008F5BE3" w:rsidRPr="008F5BE3" w:rsidRDefault="008F5BE3" w:rsidP="008F5BE3">
            <w:pPr>
              <w:ind w:left="-57" w:right="-57"/>
              <w:jc w:val="center"/>
              <w:rPr>
                <w:rFonts w:ascii="Times New Roman" w:hAnsi="Times New Roman" w:cs="Times New Roman"/>
                <w:color w:val="000000"/>
              </w:rPr>
            </w:pPr>
          </w:p>
        </w:tc>
        <w:tc>
          <w:tcPr>
            <w:tcW w:w="0" w:type="auto"/>
            <w:vAlign w:val="center"/>
          </w:tcPr>
          <w:p w14:paraId="33F30510" w14:textId="05329A1A" w:rsidR="008F5BE3" w:rsidRPr="008F5BE3" w:rsidRDefault="008F5BE3" w:rsidP="008F5BE3">
            <w:pPr>
              <w:ind w:left="-57" w:right="-57"/>
              <w:jc w:val="center"/>
              <w:rPr>
                <w:rFonts w:ascii="Times New Roman" w:hAnsi="Times New Roman" w:cs="Times New Roman"/>
              </w:rPr>
            </w:pPr>
          </w:p>
        </w:tc>
        <w:tc>
          <w:tcPr>
            <w:tcW w:w="0" w:type="auto"/>
            <w:tcBorders>
              <w:right w:val="single" w:sz="4" w:space="0" w:color="auto"/>
            </w:tcBorders>
            <w:vAlign w:val="center"/>
          </w:tcPr>
          <w:p w14:paraId="0D16050B" w14:textId="77777777" w:rsidR="008F5BE3" w:rsidRPr="008F5BE3" w:rsidRDefault="008F5BE3" w:rsidP="008F5BE3">
            <w:pPr>
              <w:ind w:left="-57" w:right="-57"/>
              <w:jc w:val="center"/>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CC1C63" w14:textId="014E98DD" w:rsidR="008F5BE3" w:rsidRPr="008F5BE3" w:rsidRDefault="008F5BE3" w:rsidP="008F5BE3">
            <w:pPr>
              <w:ind w:left="-57" w:right="-57"/>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169CDF1" w14:textId="3F4AF95A" w:rsidR="008F5BE3" w:rsidRPr="008F5BE3" w:rsidRDefault="008F5BE3" w:rsidP="008F5BE3">
            <w:pPr>
              <w:ind w:left="-57" w:right="-57"/>
              <w:jc w:val="center"/>
              <w:rPr>
                <w:rFonts w:ascii="Times New Roman" w:hAnsi="Times New Roman" w:cs="Times New Roman"/>
                <w:iCs/>
              </w:rPr>
            </w:pPr>
          </w:p>
        </w:tc>
        <w:tc>
          <w:tcPr>
            <w:tcW w:w="0" w:type="auto"/>
            <w:tcBorders>
              <w:top w:val="single" w:sz="4" w:space="0" w:color="auto"/>
              <w:left w:val="single" w:sz="4" w:space="0" w:color="auto"/>
              <w:bottom w:val="single" w:sz="4" w:space="0" w:color="auto"/>
              <w:right w:val="single" w:sz="4" w:space="0" w:color="auto"/>
            </w:tcBorders>
            <w:vAlign w:val="center"/>
          </w:tcPr>
          <w:p w14:paraId="630E776E" w14:textId="77777777" w:rsidR="008F5BE3" w:rsidRPr="008F5BE3" w:rsidRDefault="008F5BE3" w:rsidP="008F5BE3">
            <w:pPr>
              <w:ind w:left="-57" w:right="-57"/>
              <w:jc w:val="center"/>
              <w:rPr>
                <w:rFonts w:ascii="Times New Roman" w:hAnsi="Times New Roman" w:cs="Times New Roman"/>
              </w:rPr>
            </w:pPr>
            <w:r w:rsidRPr="008F5BE3">
              <w:rPr>
                <w:rFonts w:ascii="Times New Roman" w:hAnsi="Times New Roman" w:cs="Times New Roman"/>
              </w:rPr>
              <w:t>1 001,3</w:t>
            </w:r>
          </w:p>
        </w:tc>
        <w:tc>
          <w:tcPr>
            <w:tcW w:w="0" w:type="auto"/>
            <w:tcBorders>
              <w:top w:val="single" w:sz="4" w:space="0" w:color="auto"/>
              <w:left w:val="single" w:sz="4" w:space="0" w:color="auto"/>
              <w:bottom w:val="single" w:sz="4" w:space="0" w:color="auto"/>
              <w:right w:val="single" w:sz="4" w:space="0" w:color="auto"/>
            </w:tcBorders>
            <w:vAlign w:val="center"/>
          </w:tcPr>
          <w:p w14:paraId="3D08B1D8" w14:textId="77777777" w:rsidR="008F5BE3" w:rsidRPr="008F5BE3" w:rsidRDefault="008F5BE3" w:rsidP="008F5BE3">
            <w:pPr>
              <w:ind w:left="-57" w:right="-57"/>
              <w:jc w:val="center"/>
              <w:rPr>
                <w:rFonts w:ascii="Times New Roman" w:hAnsi="Times New Roman" w:cs="Times New Roman"/>
              </w:rPr>
            </w:pPr>
            <w:r w:rsidRPr="008F5BE3">
              <w:rPr>
                <w:rFonts w:ascii="Times New Roman" w:hAnsi="Times New Roman" w:cs="Times New Roman"/>
              </w:rPr>
              <w:t>515,9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9B811D"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51,5</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5B5009E" w14:textId="77777777" w:rsidR="008F5BE3" w:rsidRPr="008F5BE3" w:rsidRDefault="008F5BE3" w:rsidP="008F5BE3">
            <w:pPr>
              <w:ind w:left="-57" w:right="-57"/>
              <w:jc w:val="center"/>
              <w:rPr>
                <w:rFonts w:ascii="Times New Roman" w:hAnsi="Times New Roman" w:cs="Times New Roman"/>
              </w:rPr>
            </w:pPr>
            <w:r w:rsidRPr="008F5BE3">
              <w:rPr>
                <w:rFonts w:ascii="Times New Roman" w:hAnsi="Times New Roman" w:cs="Times New Roman"/>
              </w:rPr>
              <w:t>1 088,2</w:t>
            </w:r>
          </w:p>
        </w:tc>
        <w:tc>
          <w:tcPr>
            <w:tcW w:w="1567" w:type="dxa"/>
            <w:tcBorders>
              <w:top w:val="single" w:sz="4" w:space="0" w:color="auto"/>
              <w:left w:val="single" w:sz="4" w:space="0" w:color="auto"/>
              <w:bottom w:val="single" w:sz="4" w:space="0" w:color="auto"/>
              <w:right w:val="single" w:sz="4" w:space="0" w:color="auto"/>
            </w:tcBorders>
            <w:vAlign w:val="center"/>
          </w:tcPr>
          <w:p w14:paraId="5BE56106"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210,9</w:t>
            </w:r>
          </w:p>
        </w:tc>
      </w:tr>
      <w:tr w:rsidR="008F5BE3" w:rsidRPr="00E1515B" w14:paraId="6BDD0AC9" w14:textId="77777777" w:rsidTr="00DC4243">
        <w:trPr>
          <w:trHeight w:val="267"/>
          <w:jc w:val="center"/>
        </w:trPr>
        <w:tc>
          <w:tcPr>
            <w:tcW w:w="0" w:type="auto"/>
            <w:tcBorders>
              <w:right w:val="single" w:sz="4" w:space="0" w:color="auto"/>
            </w:tcBorders>
            <w:shd w:val="clear" w:color="auto" w:fill="auto"/>
            <w:vAlign w:val="center"/>
          </w:tcPr>
          <w:p w14:paraId="591FD087" w14:textId="77777777" w:rsidR="008F5BE3" w:rsidRPr="008F5BE3" w:rsidRDefault="008F5BE3" w:rsidP="008F5BE3">
            <w:pPr>
              <w:ind w:left="-57" w:right="-57"/>
              <w:jc w:val="both"/>
              <w:rPr>
                <w:rFonts w:ascii="Times New Roman" w:hAnsi="Times New Roman" w:cs="Times New Roman"/>
              </w:rPr>
            </w:pPr>
            <w:r w:rsidRPr="008F5BE3">
              <w:rPr>
                <w:rFonts w:ascii="Times New Roman" w:hAnsi="Times New Roman" w:cs="Times New Roman"/>
              </w:rPr>
              <w:t>%% к общему объему расходов</w:t>
            </w:r>
          </w:p>
        </w:tc>
        <w:tc>
          <w:tcPr>
            <w:tcW w:w="0" w:type="auto"/>
            <w:vAlign w:val="center"/>
          </w:tcPr>
          <w:p w14:paraId="348FC062" w14:textId="77777777" w:rsidR="008F5BE3" w:rsidRPr="008F5BE3" w:rsidRDefault="008F5BE3" w:rsidP="008F5BE3">
            <w:pPr>
              <w:ind w:left="-57" w:right="-57"/>
              <w:jc w:val="center"/>
              <w:rPr>
                <w:rFonts w:ascii="Times New Roman" w:hAnsi="Times New Roman" w:cs="Times New Roman"/>
                <w:color w:val="000000"/>
              </w:rPr>
            </w:pPr>
          </w:p>
        </w:tc>
        <w:tc>
          <w:tcPr>
            <w:tcW w:w="0" w:type="auto"/>
            <w:vAlign w:val="center"/>
          </w:tcPr>
          <w:p w14:paraId="09D43450" w14:textId="3A4CCBD6" w:rsidR="008F5BE3" w:rsidRPr="008F5BE3" w:rsidRDefault="008F5BE3" w:rsidP="008F5BE3">
            <w:pPr>
              <w:ind w:left="-57" w:right="-57"/>
              <w:jc w:val="center"/>
              <w:rPr>
                <w:rFonts w:ascii="Times New Roman" w:hAnsi="Times New Roman" w:cs="Times New Roman"/>
                <w:iCs/>
              </w:rPr>
            </w:pPr>
          </w:p>
        </w:tc>
        <w:tc>
          <w:tcPr>
            <w:tcW w:w="0" w:type="auto"/>
            <w:tcBorders>
              <w:right w:val="single" w:sz="4" w:space="0" w:color="auto"/>
            </w:tcBorders>
            <w:vAlign w:val="center"/>
          </w:tcPr>
          <w:p w14:paraId="2CE7AA32" w14:textId="77777777" w:rsidR="008F5BE3" w:rsidRPr="008F5BE3" w:rsidRDefault="008F5BE3" w:rsidP="008F5BE3">
            <w:pPr>
              <w:ind w:left="-57" w:right="-57"/>
              <w:jc w:val="center"/>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E78FE6E" w14:textId="2F34A364" w:rsidR="008F5BE3" w:rsidRPr="008F5BE3" w:rsidRDefault="008F5BE3" w:rsidP="008F5BE3">
            <w:pPr>
              <w:ind w:left="-57" w:right="-57"/>
              <w:jc w:val="center"/>
              <w:rPr>
                <w:rFonts w:ascii="Times New Roman" w:hAnsi="Times New Roman" w:cs="Times New Roman"/>
                <w:iC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2C599A1" w14:textId="116CF438" w:rsidR="008F5BE3" w:rsidRPr="008F5BE3" w:rsidRDefault="008F5BE3" w:rsidP="008F5BE3">
            <w:pPr>
              <w:ind w:left="-57" w:right="-57"/>
              <w:jc w:val="center"/>
              <w:rPr>
                <w:rFonts w:ascii="Times New Roman" w:hAnsi="Times New Roman" w:cs="Times New Roman"/>
                <w:iCs/>
              </w:rPr>
            </w:pPr>
          </w:p>
        </w:tc>
        <w:tc>
          <w:tcPr>
            <w:tcW w:w="0" w:type="auto"/>
            <w:tcBorders>
              <w:top w:val="single" w:sz="4" w:space="0" w:color="auto"/>
              <w:left w:val="single" w:sz="4" w:space="0" w:color="auto"/>
              <w:bottom w:val="single" w:sz="4" w:space="0" w:color="auto"/>
              <w:right w:val="single" w:sz="4" w:space="0" w:color="auto"/>
            </w:tcBorders>
            <w:vAlign w:val="center"/>
          </w:tcPr>
          <w:p w14:paraId="41A37CE5" w14:textId="77777777" w:rsidR="008F5BE3" w:rsidRPr="008F5BE3" w:rsidRDefault="008F5BE3" w:rsidP="008F5BE3">
            <w:pPr>
              <w:ind w:left="-57" w:right="-57"/>
              <w:jc w:val="center"/>
              <w:rPr>
                <w:rFonts w:ascii="Times New Roman" w:hAnsi="Times New Roman" w:cs="Times New Roman"/>
              </w:rPr>
            </w:pPr>
            <w:r w:rsidRPr="008F5BE3">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vAlign w:val="center"/>
          </w:tcPr>
          <w:p w14:paraId="37FB3B01"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1358B9" w14:textId="1BE1C75C" w:rsidR="008F5BE3" w:rsidRPr="008F5BE3" w:rsidRDefault="008F5BE3" w:rsidP="008F5BE3">
            <w:pPr>
              <w:ind w:left="-57" w:right="-57"/>
              <w:jc w:val="center"/>
              <w:rPr>
                <w:rFonts w:ascii="Times New Roman" w:hAnsi="Times New Roman" w:cs="Times New Roman"/>
                <w:iCs/>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D3F965C"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5,0</w:t>
            </w:r>
          </w:p>
        </w:tc>
        <w:tc>
          <w:tcPr>
            <w:tcW w:w="1567" w:type="dxa"/>
            <w:tcBorders>
              <w:top w:val="single" w:sz="4" w:space="0" w:color="auto"/>
              <w:left w:val="single" w:sz="4" w:space="0" w:color="auto"/>
              <w:bottom w:val="single" w:sz="4" w:space="0" w:color="auto"/>
              <w:right w:val="single" w:sz="4" w:space="0" w:color="auto"/>
            </w:tcBorders>
            <w:vAlign w:val="center"/>
          </w:tcPr>
          <w:p w14:paraId="1B782981" w14:textId="3FA9E50C" w:rsidR="008F5BE3" w:rsidRPr="008F5BE3" w:rsidRDefault="008F5BE3" w:rsidP="008F5BE3">
            <w:pPr>
              <w:ind w:left="-57" w:right="-57"/>
              <w:jc w:val="center"/>
              <w:rPr>
                <w:rFonts w:ascii="Times New Roman" w:hAnsi="Times New Roman" w:cs="Times New Roman"/>
                <w:iCs/>
              </w:rPr>
            </w:pPr>
          </w:p>
        </w:tc>
      </w:tr>
      <w:tr w:rsidR="008F5BE3" w:rsidRPr="00E1515B" w14:paraId="06226648" w14:textId="77777777" w:rsidTr="00DC4243">
        <w:trPr>
          <w:trHeight w:val="267"/>
          <w:jc w:val="center"/>
        </w:trPr>
        <w:tc>
          <w:tcPr>
            <w:tcW w:w="0" w:type="auto"/>
            <w:tcBorders>
              <w:right w:val="single" w:sz="4" w:space="0" w:color="auto"/>
            </w:tcBorders>
            <w:shd w:val="clear" w:color="auto" w:fill="auto"/>
            <w:vAlign w:val="center"/>
          </w:tcPr>
          <w:p w14:paraId="19F3A174" w14:textId="77777777" w:rsidR="008F5BE3" w:rsidRPr="008F5BE3" w:rsidRDefault="008F5BE3" w:rsidP="008F5BE3">
            <w:pPr>
              <w:ind w:left="-57" w:right="-57"/>
              <w:jc w:val="both"/>
              <w:rPr>
                <w:rFonts w:ascii="Times New Roman" w:hAnsi="Times New Roman" w:cs="Times New Roman"/>
              </w:rPr>
            </w:pPr>
            <w:r w:rsidRPr="008F5BE3">
              <w:rPr>
                <w:rFonts w:ascii="Times New Roman" w:hAnsi="Times New Roman" w:cs="Times New Roman"/>
              </w:rPr>
              <w:t>Дефицит (–) / Профицит (+)</w:t>
            </w:r>
          </w:p>
        </w:tc>
        <w:tc>
          <w:tcPr>
            <w:tcW w:w="0" w:type="auto"/>
            <w:vAlign w:val="center"/>
          </w:tcPr>
          <w:p w14:paraId="3285B04A" w14:textId="77777777" w:rsidR="008F5BE3" w:rsidRPr="008F5BE3" w:rsidRDefault="008F5BE3" w:rsidP="008F5BE3">
            <w:pPr>
              <w:ind w:left="-57" w:right="-57"/>
              <w:jc w:val="center"/>
              <w:rPr>
                <w:rFonts w:ascii="Times New Roman" w:hAnsi="Times New Roman" w:cs="Times New Roman"/>
                <w:bCs/>
                <w:color w:val="000000"/>
              </w:rPr>
            </w:pPr>
            <w:r w:rsidRPr="008F5BE3">
              <w:rPr>
                <w:rFonts w:ascii="Times New Roman" w:hAnsi="Times New Roman" w:cs="Times New Roman"/>
                <w:bCs/>
                <w:color w:val="000000"/>
              </w:rPr>
              <w:t>2 741,4</w:t>
            </w:r>
          </w:p>
        </w:tc>
        <w:tc>
          <w:tcPr>
            <w:tcW w:w="0" w:type="auto"/>
            <w:vAlign w:val="center"/>
          </w:tcPr>
          <w:p w14:paraId="4DC8D5DB" w14:textId="77777777" w:rsidR="008F5BE3" w:rsidRPr="008F5BE3" w:rsidRDefault="008F5BE3" w:rsidP="008F5BE3">
            <w:pPr>
              <w:ind w:left="-57" w:right="-57"/>
              <w:jc w:val="center"/>
              <w:rPr>
                <w:rFonts w:ascii="Times New Roman" w:hAnsi="Times New Roman" w:cs="Times New Roman"/>
                <w:bCs/>
              </w:rPr>
            </w:pPr>
            <w:r w:rsidRPr="008F5BE3">
              <w:rPr>
                <w:rFonts w:ascii="Times New Roman" w:hAnsi="Times New Roman" w:cs="Times New Roman"/>
                <w:bCs/>
              </w:rPr>
              <w:t>+1</w:t>
            </w:r>
            <w:r w:rsidRPr="008F5BE3">
              <w:rPr>
                <w:rFonts w:ascii="Times New Roman" w:hAnsi="Times New Roman" w:cs="Times New Roman"/>
                <w:bCs/>
                <w:lang w:val="en-US"/>
              </w:rPr>
              <w:t> </w:t>
            </w:r>
            <w:r w:rsidRPr="008F5BE3">
              <w:rPr>
                <w:rFonts w:ascii="Times New Roman" w:hAnsi="Times New Roman" w:cs="Times New Roman"/>
                <w:bCs/>
              </w:rPr>
              <w:t>881,2</w:t>
            </w:r>
          </w:p>
        </w:tc>
        <w:tc>
          <w:tcPr>
            <w:tcW w:w="0" w:type="auto"/>
            <w:tcBorders>
              <w:right w:val="single" w:sz="4" w:space="0" w:color="auto"/>
            </w:tcBorders>
            <w:vAlign w:val="center"/>
          </w:tcPr>
          <w:p w14:paraId="2CC11DA2" w14:textId="77777777" w:rsidR="008F5BE3" w:rsidRPr="008F5BE3" w:rsidRDefault="008F5BE3" w:rsidP="008F5BE3">
            <w:pPr>
              <w:ind w:left="-57" w:right="-57"/>
              <w:jc w:val="center"/>
              <w:rPr>
                <w:rFonts w:ascii="Times New Roman" w:hAnsi="Times New Roman" w:cs="Times New Roman"/>
                <w:bCs/>
              </w:rPr>
            </w:pPr>
            <w:r w:rsidRPr="008F5BE3">
              <w:rPr>
                <w:rFonts w:ascii="Times New Roman" w:hAnsi="Times New Roman" w:cs="Times New Roman"/>
                <w:bCs/>
              </w:rPr>
              <w:t>+1</w:t>
            </w:r>
            <w:r w:rsidRPr="008F5BE3">
              <w:rPr>
                <w:rFonts w:ascii="Times New Roman" w:hAnsi="Times New Roman" w:cs="Times New Roman"/>
                <w:bCs/>
                <w:lang w:val="en-US"/>
              </w:rPr>
              <w:t> </w:t>
            </w:r>
            <w:r w:rsidRPr="008F5BE3">
              <w:rPr>
                <w:rFonts w:ascii="Times New Roman" w:hAnsi="Times New Roman" w:cs="Times New Roman"/>
                <w:bCs/>
              </w:rPr>
              <w:t>224,4</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79A98FC" w14:textId="77777777" w:rsidR="008F5BE3" w:rsidRPr="008F5BE3" w:rsidRDefault="008F5BE3" w:rsidP="008F5BE3">
            <w:pPr>
              <w:ind w:left="-57" w:right="-57"/>
              <w:jc w:val="center"/>
              <w:rPr>
                <w:rFonts w:ascii="Times New Roman" w:hAnsi="Times New Roman" w:cs="Times New Roman"/>
                <w:bCs/>
              </w:rPr>
            </w:pPr>
            <w:r w:rsidRPr="008F5BE3">
              <w:rPr>
                <w:rFonts w:ascii="Times New Roman" w:hAnsi="Times New Roman" w:cs="Times New Roman"/>
                <w:bCs/>
              </w:rPr>
              <w:t>+876,1</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0EBB9D0"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71,6</w:t>
            </w:r>
          </w:p>
        </w:tc>
        <w:tc>
          <w:tcPr>
            <w:tcW w:w="0" w:type="auto"/>
            <w:tcBorders>
              <w:top w:val="single" w:sz="4" w:space="0" w:color="auto"/>
              <w:left w:val="single" w:sz="4" w:space="0" w:color="auto"/>
              <w:bottom w:val="single" w:sz="4" w:space="0" w:color="auto"/>
              <w:right w:val="single" w:sz="4" w:space="0" w:color="auto"/>
            </w:tcBorders>
            <w:vAlign w:val="center"/>
          </w:tcPr>
          <w:p w14:paraId="7E44383A" w14:textId="77777777" w:rsidR="008F5BE3" w:rsidRPr="008F5BE3" w:rsidRDefault="008F5BE3" w:rsidP="008F5BE3">
            <w:pPr>
              <w:ind w:left="-57" w:right="-57"/>
              <w:jc w:val="center"/>
              <w:rPr>
                <w:rFonts w:ascii="Times New Roman" w:hAnsi="Times New Roman" w:cs="Times New Roman"/>
                <w:bCs/>
              </w:rPr>
            </w:pPr>
            <w:r w:rsidRPr="008F5BE3">
              <w:rPr>
                <w:rFonts w:ascii="Times New Roman" w:hAnsi="Times New Roman" w:cs="Times New Roman"/>
                <w:bCs/>
              </w:rPr>
              <w:t>+952,0</w:t>
            </w:r>
          </w:p>
        </w:tc>
        <w:tc>
          <w:tcPr>
            <w:tcW w:w="0" w:type="auto"/>
            <w:tcBorders>
              <w:top w:val="single" w:sz="4" w:space="0" w:color="auto"/>
              <w:left w:val="single" w:sz="4" w:space="0" w:color="auto"/>
              <w:bottom w:val="single" w:sz="4" w:space="0" w:color="auto"/>
              <w:right w:val="single" w:sz="4" w:space="0" w:color="auto"/>
            </w:tcBorders>
            <w:vAlign w:val="center"/>
          </w:tcPr>
          <w:p w14:paraId="1A2DF6D8" w14:textId="77777777" w:rsidR="008F5BE3" w:rsidRPr="008F5BE3" w:rsidRDefault="008F5BE3" w:rsidP="008F5BE3">
            <w:pPr>
              <w:ind w:left="-57" w:right="-57"/>
              <w:jc w:val="center"/>
              <w:rPr>
                <w:rFonts w:ascii="Times New Roman" w:hAnsi="Times New Roman" w:cs="Times New Roman"/>
                <w:bCs/>
              </w:rPr>
            </w:pPr>
            <w:r w:rsidRPr="008F5BE3">
              <w:rPr>
                <w:rFonts w:ascii="Times New Roman" w:hAnsi="Times New Roman" w:cs="Times New Roman"/>
                <w:bCs/>
              </w:rPr>
              <w:t>+612,5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6373FD"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64,3</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265A19A" w14:textId="77777777" w:rsidR="008F5BE3" w:rsidRPr="008F5BE3" w:rsidRDefault="008F5BE3" w:rsidP="008F5BE3">
            <w:pPr>
              <w:ind w:left="-57" w:right="-57"/>
              <w:jc w:val="center"/>
              <w:rPr>
                <w:rFonts w:ascii="Times New Roman" w:hAnsi="Times New Roman" w:cs="Times New Roman"/>
                <w:bCs/>
              </w:rPr>
            </w:pPr>
            <w:r w:rsidRPr="008F5BE3">
              <w:rPr>
                <w:rFonts w:ascii="Times New Roman" w:hAnsi="Times New Roman" w:cs="Times New Roman"/>
                <w:bCs/>
              </w:rPr>
              <w:t>+295,0</w:t>
            </w:r>
          </w:p>
        </w:tc>
        <w:tc>
          <w:tcPr>
            <w:tcW w:w="1567" w:type="dxa"/>
            <w:tcBorders>
              <w:top w:val="single" w:sz="4" w:space="0" w:color="auto"/>
              <w:left w:val="single" w:sz="4" w:space="0" w:color="auto"/>
              <w:bottom w:val="single" w:sz="4" w:space="0" w:color="auto"/>
              <w:right w:val="single" w:sz="4" w:space="0" w:color="auto"/>
            </w:tcBorders>
            <w:vAlign w:val="center"/>
          </w:tcPr>
          <w:p w14:paraId="7FF571F9"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48,2</w:t>
            </w:r>
          </w:p>
        </w:tc>
      </w:tr>
      <w:tr w:rsidR="008F5BE3" w:rsidRPr="00E1515B" w14:paraId="667E68AE" w14:textId="77777777" w:rsidTr="00DC4243">
        <w:trPr>
          <w:trHeight w:val="267"/>
          <w:jc w:val="center"/>
        </w:trPr>
        <w:tc>
          <w:tcPr>
            <w:tcW w:w="0" w:type="auto"/>
            <w:tcBorders>
              <w:right w:val="single" w:sz="4" w:space="0" w:color="auto"/>
            </w:tcBorders>
            <w:shd w:val="clear" w:color="auto" w:fill="auto"/>
            <w:vAlign w:val="center"/>
          </w:tcPr>
          <w:p w14:paraId="70BA7F57" w14:textId="77777777" w:rsidR="008F5BE3" w:rsidRPr="008F5BE3" w:rsidRDefault="008F5BE3" w:rsidP="008F5BE3">
            <w:pPr>
              <w:ind w:left="-57" w:right="-57"/>
              <w:jc w:val="both"/>
              <w:rPr>
                <w:rFonts w:ascii="Times New Roman" w:hAnsi="Times New Roman" w:cs="Times New Roman"/>
              </w:rPr>
            </w:pPr>
            <w:r w:rsidRPr="008F5BE3">
              <w:rPr>
                <w:rFonts w:ascii="Times New Roman" w:hAnsi="Times New Roman" w:cs="Times New Roman"/>
              </w:rPr>
              <w:t>%% к ВВП</w:t>
            </w:r>
          </w:p>
        </w:tc>
        <w:tc>
          <w:tcPr>
            <w:tcW w:w="0" w:type="auto"/>
            <w:vAlign w:val="center"/>
          </w:tcPr>
          <w:p w14:paraId="3DB42CBC" w14:textId="77777777" w:rsidR="008F5BE3" w:rsidRPr="008F5BE3" w:rsidRDefault="008F5BE3" w:rsidP="008F5BE3">
            <w:pPr>
              <w:ind w:left="-57" w:right="-57"/>
              <w:jc w:val="center"/>
              <w:rPr>
                <w:rFonts w:ascii="Times New Roman" w:hAnsi="Times New Roman" w:cs="Times New Roman"/>
                <w:color w:val="000000"/>
              </w:rPr>
            </w:pPr>
            <w:r w:rsidRPr="008F5BE3">
              <w:rPr>
                <w:rFonts w:ascii="Times New Roman" w:hAnsi="Times New Roman" w:cs="Times New Roman"/>
                <w:color w:val="000000"/>
              </w:rPr>
              <w:t>2,6</w:t>
            </w:r>
          </w:p>
        </w:tc>
        <w:tc>
          <w:tcPr>
            <w:tcW w:w="0" w:type="auto"/>
            <w:vAlign w:val="center"/>
          </w:tcPr>
          <w:p w14:paraId="4424F326"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1,7</w:t>
            </w:r>
          </w:p>
        </w:tc>
        <w:tc>
          <w:tcPr>
            <w:tcW w:w="0" w:type="auto"/>
            <w:tcBorders>
              <w:right w:val="single" w:sz="4" w:space="0" w:color="auto"/>
            </w:tcBorders>
            <w:vAlign w:val="center"/>
          </w:tcPr>
          <w:p w14:paraId="5890E440"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1,1</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9915739"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0,8</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7CBF5BA" w14:textId="73C4C1EA" w:rsidR="008F5BE3" w:rsidRPr="008F5BE3" w:rsidRDefault="008F5BE3" w:rsidP="008F5BE3">
            <w:pPr>
              <w:ind w:left="-57" w:right="-57"/>
              <w:jc w:val="center"/>
              <w:rPr>
                <w:rFonts w:ascii="Times New Roman" w:hAnsi="Times New Roman" w:cs="Times New Roman"/>
                <w:iCs/>
              </w:rPr>
            </w:pPr>
          </w:p>
        </w:tc>
        <w:tc>
          <w:tcPr>
            <w:tcW w:w="0" w:type="auto"/>
            <w:tcBorders>
              <w:top w:val="single" w:sz="4" w:space="0" w:color="auto"/>
              <w:left w:val="single" w:sz="4" w:space="0" w:color="auto"/>
              <w:bottom w:val="single" w:sz="4" w:space="0" w:color="auto"/>
              <w:right w:val="single" w:sz="4" w:space="0" w:color="auto"/>
            </w:tcBorders>
            <w:vAlign w:val="center"/>
          </w:tcPr>
          <w:p w14:paraId="169EE07A"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0,8</w:t>
            </w:r>
          </w:p>
        </w:tc>
        <w:tc>
          <w:tcPr>
            <w:tcW w:w="0" w:type="auto"/>
            <w:tcBorders>
              <w:top w:val="single" w:sz="4" w:space="0" w:color="auto"/>
              <w:left w:val="single" w:sz="4" w:space="0" w:color="auto"/>
              <w:bottom w:val="single" w:sz="4" w:space="0" w:color="auto"/>
              <w:right w:val="single" w:sz="4" w:space="0" w:color="auto"/>
            </w:tcBorders>
            <w:vAlign w:val="center"/>
          </w:tcPr>
          <w:p w14:paraId="68165E1E"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258EC6" w14:textId="5E5035ED" w:rsidR="008F5BE3" w:rsidRPr="008F5BE3" w:rsidRDefault="008F5BE3" w:rsidP="008F5BE3">
            <w:pPr>
              <w:ind w:left="-57" w:right="-57"/>
              <w:jc w:val="center"/>
              <w:rPr>
                <w:rFonts w:ascii="Times New Roman" w:hAnsi="Times New Roman" w:cs="Times New Roman"/>
                <w:iCs/>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4E30EA8"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0,2</w:t>
            </w:r>
          </w:p>
        </w:tc>
        <w:tc>
          <w:tcPr>
            <w:tcW w:w="1567" w:type="dxa"/>
            <w:tcBorders>
              <w:top w:val="single" w:sz="4" w:space="0" w:color="auto"/>
              <w:left w:val="single" w:sz="4" w:space="0" w:color="auto"/>
              <w:bottom w:val="single" w:sz="4" w:space="0" w:color="auto"/>
              <w:right w:val="single" w:sz="4" w:space="0" w:color="auto"/>
            </w:tcBorders>
            <w:vAlign w:val="center"/>
          </w:tcPr>
          <w:p w14:paraId="75B61CDE" w14:textId="4631B21E" w:rsidR="008F5BE3" w:rsidRPr="008F5BE3" w:rsidRDefault="008F5BE3" w:rsidP="008F5BE3">
            <w:pPr>
              <w:ind w:left="-57" w:right="-57"/>
              <w:jc w:val="center"/>
              <w:rPr>
                <w:rFonts w:ascii="Times New Roman" w:hAnsi="Times New Roman" w:cs="Times New Roman"/>
                <w:iCs/>
              </w:rPr>
            </w:pPr>
          </w:p>
        </w:tc>
      </w:tr>
      <w:tr w:rsidR="008F5BE3" w:rsidRPr="00E1515B" w14:paraId="3BD559C6" w14:textId="77777777" w:rsidTr="00DC4243">
        <w:trPr>
          <w:trHeight w:val="267"/>
          <w:jc w:val="center"/>
        </w:trPr>
        <w:tc>
          <w:tcPr>
            <w:tcW w:w="0" w:type="auto"/>
            <w:tcBorders>
              <w:right w:val="single" w:sz="4" w:space="0" w:color="auto"/>
            </w:tcBorders>
            <w:shd w:val="clear" w:color="auto" w:fill="auto"/>
            <w:vAlign w:val="center"/>
          </w:tcPr>
          <w:p w14:paraId="1A82DB1E" w14:textId="77777777" w:rsidR="008F5BE3" w:rsidRPr="008F5BE3" w:rsidRDefault="008F5BE3" w:rsidP="008F5BE3">
            <w:pPr>
              <w:ind w:left="-57" w:right="-57"/>
              <w:jc w:val="both"/>
              <w:rPr>
                <w:rFonts w:ascii="Times New Roman" w:hAnsi="Times New Roman" w:cs="Times New Roman"/>
              </w:rPr>
            </w:pPr>
            <w:proofErr w:type="spellStart"/>
            <w:r w:rsidRPr="008F5BE3">
              <w:rPr>
                <w:rFonts w:ascii="Times New Roman" w:hAnsi="Times New Roman" w:cs="Times New Roman"/>
              </w:rPr>
              <w:t>Ненефтегазовый</w:t>
            </w:r>
            <w:proofErr w:type="spellEnd"/>
            <w:r w:rsidRPr="008F5BE3">
              <w:rPr>
                <w:rFonts w:ascii="Times New Roman" w:hAnsi="Times New Roman" w:cs="Times New Roman"/>
              </w:rPr>
              <w:t xml:space="preserve"> дефицит</w:t>
            </w:r>
          </w:p>
        </w:tc>
        <w:tc>
          <w:tcPr>
            <w:tcW w:w="0" w:type="auto"/>
            <w:vAlign w:val="center"/>
          </w:tcPr>
          <w:p w14:paraId="291CC3B3" w14:textId="77777777" w:rsidR="008F5BE3" w:rsidRPr="008F5BE3" w:rsidRDefault="008F5BE3" w:rsidP="008F5BE3">
            <w:pPr>
              <w:ind w:left="-57" w:right="-57"/>
              <w:jc w:val="center"/>
              <w:rPr>
                <w:rFonts w:ascii="Times New Roman" w:hAnsi="Times New Roman" w:cs="Times New Roman"/>
                <w:bCs/>
                <w:color w:val="000000"/>
              </w:rPr>
            </w:pPr>
            <w:r w:rsidRPr="008F5BE3">
              <w:rPr>
                <w:rFonts w:ascii="Times New Roman" w:hAnsi="Times New Roman" w:cs="Times New Roman"/>
                <w:bCs/>
                <w:color w:val="000000"/>
              </w:rPr>
              <w:t>-6 276,4</w:t>
            </w:r>
          </w:p>
        </w:tc>
        <w:tc>
          <w:tcPr>
            <w:tcW w:w="0" w:type="auto"/>
            <w:vAlign w:val="center"/>
          </w:tcPr>
          <w:p w14:paraId="4F8C6D8A" w14:textId="77777777" w:rsidR="008F5BE3" w:rsidRPr="008F5BE3" w:rsidRDefault="008F5BE3" w:rsidP="008F5BE3">
            <w:pPr>
              <w:ind w:left="-57" w:right="-57"/>
              <w:jc w:val="center"/>
              <w:rPr>
                <w:rFonts w:ascii="Times New Roman" w:hAnsi="Times New Roman" w:cs="Times New Roman"/>
              </w:rPr>
            </w:pPr>
            <w:r w:rsidRPr="008F5BE3">
              <w:rPr>
                <w:rFonts w:ascii="Times New Roman" w:hAnsi="Times New Roman" w:cs="Times New Roman"/>
              </w:rPr>
              <w:t>-6 358,3</w:t>
            </w:r>
          </w:p>
        </w:tc>
        <w:tc>
          <w:tcPr>
            <w:tcW w:w="0" w:type="auto"/>
            <w:tcBorders>
              <w:right w:val="single" w:sz="4" w:space="0" w:color="auto"/>
            </w:tcBorders>
            <w:vAlign w:val="center"/>
          </w:tcPr>
          <w:p w14:paraId="595313DC" w14:textId="77777777" w:rsidR="008F5BE3" w:rsidRPr="008F5BE3" w:rsidRDefault="008F5BE3" w:rsidP="008F5BE3">
            <w:pPr>
              <w:ind w:left="-57" w:right="-57"/>
              <w:jc w:val="center"/>
              <w:rPr>
                <w:rFonts w:ascii="Times New Roman" w:hAnsi="Times New Roman" w:cs="Times New Roman"/>
              </w:rPr>
            </w:pPr>
            <w:r w:rsidRPr="008F5BE3">
              <w:rPr>
                <w:rFonts w:ascii="Times New Roman" w:hAnsi="Times New Roman" w:cs="Times New Roman"/>
              </w:rPr>
              <w:t>-6</w:t>
            </w:r>
            <w:r w:rsidRPr="008F5BE3">
              <w:rPr>
                <w:rFonts w:ascii="Times New Roman" w:hAnsi="Times New Roman" w:cs="Times New Roman"/>
                <w:lang w:val="en-US"/>
              </w:rPr>
              <w:t> </w:t>
            </w:r>
            <w:r w:rsidRPr="008F5BE3">
              <w:rPr>
                <w:rFonts w:ascii="Times New Roman" w:hAnsi="Times New Roman" w:cs="Times New Roman"/>
              </w:rPr>
              <w:t>711,9</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32DB8C2" w14:textId="77777777" w:rsidR="008F5BE3" w:rsidRPr="008F5BE3" w:rsidRDefault="008F5BE3" w:rsidP="008F5BE3">
            <w:pPr>
              <w:ind w:left="-57" w:right="-57"/>
              <w:jc w:val="center"/>
              <w:rPr>
                <w:rFonts w:ascii="Times New Roman" w:hAnsi="Times New Roman" w:cs="Times New Roman"/>
                <w:bCs/>
              </w:rPr>
            </w:pPr>
            <w:r w:rsidRPr="008F5BE3">
              <w:rPr>
                <w:rFonts w:ascii="Times New Roman" w:hAnsi="Times New Roman" w:cs="Times New Roman"/>
                <w:bCs/>
              </w:rPr>
              <w:t>-6 596,2</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C15E282"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98,3</w:t>
            </w:r>
          </w:p>
        </w:tc>
        <w:tc>
          <w:tcPr>
            <w:tcW w:w="0" w:type="auto"/>
            <w:tcBorders>
              <w:top w:val="single" w:sz="4" w:space="0" w:color="auto"/>
              <w:left w:val="single" w:sz="4" w:space="0" w:color="auto"/>
              <w:bottom w:val="single" w:sz="4" w:space="0" w:color="auto"/>
              <w:right w:val="single" w:sz="4" w:space="0" w:color="auto"/>
            </w:tcBorders>
            <w:vAlign w:val="center"/>
          </w:tcPr>
          <w:p w14:paraId="1E9F94FB" w14:textId="77777777" w:rsidR="008F5BE3" w:rsidRPr="008F5BE3" w:rsidRDefault="008F5BE3" w:rsidP="008F5BE3">
            <w:pPr>
              <w:ind w:left="-57" w:right="-57"/>
              <w:jc w:val="center"/>
              <w:rPr>
                <w:rFonts w:ascii="Times New Roman" w:hAnsi="Times New Roman" w:cs="Times New Roman"/>
                <w:bCs/>
              </w:rPr>
            </w:pPr>
            <w:r w:rsidRPr="008F5BE3">
              <w:rPr>
                <w:rFonts w:ascii="Times New Roman" w:hAnsi="Times New Roman" w:cs="Times New Roman"/>
                <w:bCs/>
              </w:rPr>
              <w:t>-7 066,3</w:t>
            </w:r>
          </w:p>
        </w:tc>
        <w:tc>
          <w:tcPr>
            <w:tcW w:w="0" w:type="auto"/>
            <w:tcBorders>
              <w:top w:val="single" w:sz="4" w:space="0" w:color="auto"/>
              <w:left w:val="single" w:sz="4" w:space="0" w:color="auto"/>
              <w:bottom w:val="single" w:sz="4" w:space="0" w:color="auto"/>
              <w:right w:val="single" w:sz="4" w:space="0" w:color="auto"/>
            </w:tcBorders>
            <w:vAlign w:val="center"/>
          </w:tcPr>
          <w:p w14:paraId="6B232F7B" w14:textId="77777777" w:rsidR="008F5BE3" w:rsidRPr="008F5BE3" w:rsidRDefault="008F5BE3" w:rsidP="008F5BE3">
            <w:pPr>
              <w:ind w:left="-57" w:right="-57"/>
              <w:jc w:val="center"/>
              <w:rPr>
                <w:rFonts w:ascii="Times New Roman" w:hAnsi="Times New Roman" w:cs="Times New Roman"/>
                <w:bCs/>
              </w:rPr>
            </w:pPr>
            <w:r w:rsidRPr="008F5BE3">
              <w:rPr>
                <w:rFonts w:ascii="Times New Roman" w:hAnsi="Times New Roman" w:cs="Times New Roman"/>
                <w:bCs/>
              </w:rPr>
              <w:t>-7 066,9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E17AC5"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100,0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82F9F6C" w14:textId="77777777" w:rsidR="008F5BE3" w:rsidRPr="008F5BE3" w:rsidRDefault="008F5BE3" w:rsidP="008F5BE3">
            <w:pPr>
              <w:ind w:left="-57" w:right="-57"/>
              <w:jc w:val="center"/>
              <w:rPr>
                <w:rFonts w:ascii="Times New Roman" w:hAnsi="Times New Roman" w:cs="Times New Roman"/>
                <w:bCs/>
              </w:rPr>
            </w:pPr>
            <w:r w:rsidRPr="008F5BE3">
              <w:rPr>
                <w:rFonts w:ascii="Times New Roman" w:hAnsi="Times New Roman" w:cs="Times New Roman"/>
                <w:bCs/>
              </w:rPr>
              <w:t>-7 435,7</w:t>
            </w:r>
          </w:p>
        </w:tc>
        <w:tc>
          <w:tcPr>
            <w:tcW w:w="1567" w:type="dxa"/>
            <w:tcBorders>
              <w:top w:val="single" w:sz="4" w:space="0" w:color="auto"/>
              <w:left w:val="single" w:sz="4" w:space="0" w:color="auto"/>
              <w:bottom w:val="single" w:sz="4" w:space="0" w:color="auto"/>
              <w:right w:val="single" w:sz="4" w:space="0" w:color="auto"/>
            </w:tcBorders>
            <w:vAlign w:val="center"/>
          </w:tcPr>
          <w:p w14:paraId="6603D37D" w14:textId="3D7BBC5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105,2</w:t>
            </w:r>
          </w:p>
        </w:tc>
      </w:tr>
      <w:tr w:rsidR="008F5BE3" w:rsidRPr="00E1515B" w14:paraId="6062F68D" w14:textId="77777777" w:rsidTr="00DC4243">
        <w:trPr>
          <w:trHeight w:val="267"/>
          <w:jc w:val="center"/>
        </w:trPr>
        <w:tc>
          <w:tcPr>
            <w:tcW w:w="0" w:type="auto"/>
            <w:tcBorders>
              <w:right w:val="single" w:sz="4" w:space="0" w:color="auto"/>
            </w:tcBorders>
            <w:shd w:val="clear" w:color="auto" w:fill="auto"/>
            <w:vAlign w:val="center"/>
          </w:tcPr>
          <w:p w14:paraId="02E1C1F9" w14:textId="74068390" w:rsidR="008F5BE3" w:rsidRPr="008F5BE3" w:rsidRDefault="008F5BE3" w:rsidP="008F5BE3">
            <w:pPr>
              <w:ind w:left="-57" w:right="-57"/>
              <w:jc w:val="both"/>
              <w:rPr>
                <w:rFonts w:ascii="Times New Roman" w:hAnsi="Times New Roman" w:cs="Times New Roman"/>
              </w:rPr>
            </w:pPr>
            <w:r w:rsidRPr="008F5BE3">
              <w:rPr>
                <w:rFonts w:ascii="Times New Roman" w:hAnsi="Times New Roman" w:cs="Times New Roman"/>
              </w:rPr>
              <w:t>%% к ВВП</w:t>
            </w:r>
          </w:p>
        </w:tc>
        <w:tc>
          <w:tcPr>
            <w:tcW w:w="0" w:type="auto"/>
            <w:vAlign w:val="center"/>
          </w:tcPr>
          <w:p w14:paraId="29DB140C" w14:textId="771A68E7" w:rsidR="008F5BE3" w:rsidRPr="008F5BE3" w:rsidRDefault="008F5BE3" w:rsidP="008F5BE3">
            <w:pPr>
              <w:ind w:left="-57" w:right="-57"/>
              <w:jc w:val="center"/>
              <w:rPr>
                <w:rFonts w:ascii="Times New Roman" w:hAnsi="Times New Roman" w:cs="Times New Roman"/>
                <w:color w:val="000000"/>
              </w:rPr>
            </w:pPr>
            <w:r w:rsidRPr="008F5BE3">
              <w:rPr>
                <w:rFonts w:ascii="Times New Roman" w:hAnsi="Times New Roman" w:cs="Times New Roman"/>
                <w:color w:val="000000"/>
              </w:rPr>
              <w:t>6,0</w:t>
            </w:r>
          </w:p>
        </w:tc>
        <w:tc>
          <w:tcPr>
            <w:tcW w:w="0" w:type="auto"/>
            <w:vAlign w:val="center"/>
          </w:tcPr>
          <w:p w14:paraId="549CD8BE" w14:textId="00C15CE9"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5,8</w:t>
            </w:r>
          </w:p>
        </w:tc>
        <w:tc>
          <w:tcPr>
            <w:tcW w:w="0" w:type="auto"/>
            <w:tcBorders>
              <w:right w:val="single" w:sz="4" w:space="0" w:color="auto"/>
            </w:tcBorders>
            <w:vAlign w:val="center"/>
          </w:tcPr>
          <w:p w14:paraId="2033CD56" w14:textId="7A1F143E"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6,1</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592DB0" w14:textId="004AE3A4"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5,8</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E3AA3C9" w14:textId="3037CD42" w:rsidR="008F5BE3" w:rsidRPr="008F5BE3" w:rsidRDefault="008F5BE3" w:rsidP="008F5BE3">
            <w:pPr>
              <w:ind w:left="-57" w:right="-57"/>
              <w:jc w:val="center"/>
              <w:rPr>
                <w:rFonts w:ascii="Times New Roman" w:hAnsi="Times New Roman" w:cs="Times New Roman"/>
                <w:iCs/>
              </w:rPr>
            </w:pPr>
          </w:p>
        </w:tc>
        <w:tc>
          <w:tcPr>
            <w:tcW w:w="0" w:type="auto"/>
            <w:tcBorders>
              <w:top w:val="single" w:sz="4" w:space="0" w:color="auto"/>
              <w:left w:val="single" w:sz="4" w:space="0" w:color="auto"/>
              <w:bottom w:val="single" w:sz="4" w:space="0" w:color="auto"/>
              <w:right w:val="single" w:sz="4" w:space="0" w:color="auto"/>
            </w:tcBorders>
            <w:vAlign w:val="center"/>
          </w:tcPr>
          <w:p w14:paraId="6AAA30C1" w14:textId="7777777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6,0</w:t>
            </w:r>
          </w:p>
        </w:tc>
        <w:tc>
          <w:tcPr>
            <w:tcW w:w="0" w:type="auto"/>
            <w:tcBorders>
              <w:top w:val="single" w:sz="4" w:space="0" w:color="auto"/>
              <w:left w:val="single" w:sz="4" w:space="0" w:color="auto"/>
              <w:bottom w:val="single" w:sz="4" w:space="0" w:color="auto"/>
              <w:right w:val="single" w:sz="4" w:space="0" w:color="auto"/>
            </w:tcBorders>
            <w:vAlign w:val="center"/>
          </w:tcPr>
          <w:p w14:paraId="1E1D5B0B" w14:textId="2225A74A"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3A834B" w14:textId="32FE8052" w:rsidR="008F5BE3" w:rsidRPr="008F5BE3" w:rsidRDefault="008F5BE3" w:rsidP="008F5BE3">
            <w:pPr>
              <w:ind w:left="-57" w:right="-57"/>
              <w:jc w:val="center"/>
              <w:rPr>
                <w:rFonts w:ascii="Times New Roman" w:hAnsi="Times New Roman" w:cs="Times New Roman"/>
                <w:iCs/>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ACBCD54" w14:textId="5E5D9737" w:rsidR="008F5BE3" w:rsidRPr="008F5BE3" w:rsidRDefault="008F5BE3" w:rsidP="008F5BE3">
            <w:pPr>
              <w:ind w:left="-57" w:right="-57"/>
              <w:jc w:val="center"/>
              <w:rPr>
                <w:rFonts w:ascii="Times New Roman" w:hAnsi="Times New Roman" w:cs="Times New Roman"/>
                <w:iCs/>
              </w:rPr>
            </w:pPr>
            <w:r w:rsidRPr="008F5BE3">
              <w:rPr>
                <w:rFonts w:ascii="Times New Roman" w:hAnsi="Times New Roman" w:cs="Times New Roman"/>
                <w:iCs/>
              </w:rPr>
              <w:t>5,8</w:t>
            </w:r>
          </w:p>
        </w:tc>
        <w:tc>
          <w:tcPr>
            <w:tcW w:w="1567" w:type="dxa"/>
            <w:tcBorders>
              <w:top w:val="single" w:sz="4" w:space="0" w:color="auto"/>
              <w:left w:val="single" w:sz="4" w:space="0" w:color="auto"/>
              <w:bottom w:val="single" w:sz="4" w:space="0" w:color="auto"/>
              <w:right w:val="single" w:sz="4" w:space="0" w:color="auto"/>
            </w:tcBorders>
            <w:vAlign w:val="center"/>
          </w:tcPr>
          <w:p w14:paraId="0790FDBD" w14:textId="7C86A226" w:rsidR="008F5BE3" w:rsidRPr="008F5BE3" w:rsidRDefault="008F5BE3" w:rsidP="008F5BE3">
            <w:pPr>
              <w:ind w:left="-57" w:right="-57"/>
              <w:jc w:val="center"/>
              <w:rPr>
                <w:rFonts w:ascii="Times New Roman" w:hAnsi="Times New Roman" w:cs="Times New Roman"/>
                <w:iCs/>
              </w:rPr>
            </w:pPr>
          </w:p>
        </w:tc>
      </w:tr>
    </w:tbl>
    <w:p w14:paraId="5F2C6AD1" w14:textId="5A1CAD9E" w:rsidR="008F5BE3" w:rsidRDefault="008F5BE3">
      <w:pPr>
        <w:rPr>
          <w:rFonts w:ascii="Times New Roman" w:hAnsi="Times New Roman" w:cs="Times New Roman"/>
          <w:sz w:val="28"/>
          <w:szCs w:val="28"/>
        </w:rPr>
        <w:sectPr w:rsidR="008F5BE3" w:rsidSect="008F5BE3">
          <w:pgSz w:w="16840" w:h="11901" w:orient="landscape"/>
          <w:pgMar w:top="851" w:right="1134" w:bottom="1701" w:left="1134" w:header="709" w:footer="709" w:gutter="0"/>
          <w:cols w:space="708"/>
          <w:titlePg/>
          <w:docGrid w:linePitch="360"/>
        </w:sectPr>
      </w:pPr>
    </w:p>
    <w:p w14:paraId="5784A6C5" w14:textId="3F425704" w:rsidR="00761F4B" w:rsidRPr="00E1515B" w:rsidRDefault="0027461C" w:rsidP="00761F4B">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58239" behindDoc="0" locked="0" layoutInCell="1" allowOverlap="1" wp14:anchorId="2914EFE2" wp14:editId="6F1102C0">
                <wp:simplePos x="0" y="0"/>
                <wp:positionH relativeFrom="column">
                  <wp:posOffset>2577465</wp:posOffset>
                </wp:positionH>
                <wp:positionV relativeFrom="paragraph">
                  <wp:posOffset>-300990</wp:posOffset>
                </wp:positionV>
                <wp:extent cx="638175" cy="314325"/>
                <wp:effectExtent l="0" t="0" r="0" b="47625"/>
                <wp:wrapNone/>
                <wp:docPr id="22" name="Прямоугольник 22"/>
                <wp:cNvGraphicFramePr/>
                <a:graphic xmlns:a="http://schemas.openxmlformats.org/drawingml/2006/main">
                  <a:graphicData uri="http://schemas.microsoft.com/office/word/2010/wordprocessingShape">
                    <wps:wsp>
                      <wps:cNvSpPr/>
                      <wps:spPr>
                        <a:xfrm>
                          <a:off x="0" y="0"/>
                          <a:ext cx="638175" cy="314325"/>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32CB2568" w14:textId="241A418E" w:rsidR="00F32FC8" w:rsidRPr="0027461C" w:rsidRDefault="00F32FC8" w:rsidP="0027461C">
                            <w:pPr>
                              <w:jc w:val="center"/>
                              <w:rPr>
                                <w:rFonts w:ascii="Times New Roman" w:hAnsi="Times New Roman"/>
                                <w:color w:val="000000" w:themeColor="text1"/>
                              </w:rPr>
                            </w:pPr>
                            <w:r w:rsidRPr="0027461C">
                              <w:rPr>
                                <w:rFonts w:ascii="Times New Roman" w:hAnsi="Times New Roman"/>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2" o:spid="_x0000_s1027" style="position:absolute;left:0;text-align:left;margin-left:202.95pt;margin-top:-23.7pt;width:50.25pt;height:24.7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" filled="f" stroked="f">
                <v:shadow on="t" color="black" opacity="22937f" origin=",.5" offset="0,.63889mm"/>
                <v:textbox>
                  <w:txbxContent>
                    <w:p w14:paraId="32CB2568" w14:textId="241A418E" w:rsidR="00F32FC8" w:rsidRPr="0027461C" w:rsidRDefault="00F32FC8" w:rsidP="0027461C">
                      <w:pPr>
                        <w:jc w:val="center"/>
                        <w:rPr>
                          <w:rFonts w:ascii="Times New Roman" w:hAnsi="Times New Roman"/>
                          <w:color w:val="000000" w:themeColor="text1"/>
                        </w:rPr>
                      </w:pPr>
                      <w:r w:rsidRPr="0027461C">
                        <w:rPr>
                          <w:rFonts w:ascii="Times New Roman" w:hAnsi="Times New Roman"/>
                          <w:color w:val="000000" w:themeColor="text1"/>
                        </w:rPr>
                        <w:t>4</w:t>
                      </w:r>
                    </w:p>
                  </w:txbxContent>
                </v:textbox>
              </v:rect>
            </w:pict>
          </mc:Fallback>
        </mc:AlternateContent>
      </w:r>
      <w:r w:rsidR="00761F4B" w:rsidRPr="00E1515B">
        <w:rPr>
          <w:rFonts w:ascii="Times New Roman" w:hAnsi="Times New Roman" w:cs="Times New Roman"/>
          <w:sz w:val="28"/>
          <w:szCs w:val="28"/>
        </w:rPr>
        <w:t xml:space="preserve">В условиях низких темпов экономического роста и повышения неопределенности </w:t>
      </w:r>
      <w:r w:rsidR="00761F4B" w:rsidRPr="005C5BC8">
        <w:rPr>
          <w:rFonts w:ascii="Times New Roman" w:hAnsi="Times New Roman" w:cs="Times New Roman"/>
          <w:i/>
          <w:sz w:val="28"/>
          <w:szCs w:val="28"/>
        </w:rPr>
        <w:t>бюджетная политика должна обеспечивать подготовку к возможным спадам, поддерживая при  этом  баланс между целями роста и устойчивости, что требует пересмотра структуры основных параметров  федерального бюджета на инклюзивной и способствующей экономическому росту основе</w:t>
      </w:r>
      <w:r w:rsidR="00761F4B" w:rsidRPr="00E1515B">
        <w:rPr>
          <w:rFonts w:ascii="Times New Roman" w:hAnsi="Times New Roman" w:cs="Times New Roman"/>
          <w:sz w:val="28"/>
          <w:szCs w:val="28"/>
        </w:rPr>
        <w:t xml:space="preserve">. Решение этой задачи требует совершенствования налогообложения, повышения эффективности социальных расходов бюджета, проведения активной политики на рынке труда, а также роста инвестиций в инфраструктуру и повышения качества и доступности государственных услуг </w:t>
      </w:r>
      <w:r w:rsidR="00761F4B">
        <w:rPr>
          <w:rFonts w:ascii="Times New Roman" w:hAnsi="Times New Roman" w:cs="Times New Roman"/>
          <w:sz w:val="28"/>
          <w:szCs w:val="28"/>
        </w:rPr>
        <w:t>в рамках</w:t>
      </w:r>
      <w:r w:rsidR="00761F4B" w:rsidRPr="00E1515B">
        <w:rPr>
          <w:rFonts w:ascii="Times New Roman" w:hAnsi="Times New Roman" w:cs="Times New Roman"/>
          <w:sz w:val="28"/>
          <w:szCs w:val="28"/>
        </w:rPr>
        <w:t xml:space="preserve"> реализации</w:t>
      </w:r>
      <w:r w:rsidR="00761F4B">
        <w:rPr>
          <w:rFonts w:ascii="Times New Roman" w:hAnsi="Times New Roman" w:cs="Times New Roman"/>
          <w:sz w:val="28"/>
          <w:szCs w:val="28"/>
        </w:rPr>
        <w:t xml:space="preserve"> глобальных</w:t>
      </w:r>
      <w:r w:rsidR="00761F4B" w:rsidRPr="00E1515B">
        <w:rPr>
          <w:rFonts w:ascii="Times New Roman" w:hAnsi="Times New Roman" w:cs="Times New Roman"/>
          <w:sz w:val="28"/>
          <w:szCs w:val="28"/>
        </w:rPr>
        <w:t xml:space="preserve"> целей в области устойчивого развития  ООН 2016-2030 гг. (ЦУР).</w:t>
      </w:r>
    </w:p>
    <w:p w14:paraId="16FEBA85" w14:textId="10133DCB" w:rsidR="00761F4B" w:rsidRPr="00E1515B" w:rsidRDefault="00761F4B" w:rsidP="00761F4B">
      <w:pPr>
        <w:spacing w:line="360" w:lineRule="auto"/>
        <w:ind w:firstLine="709"/>
        <w:jc w:val="both"/>
        <w:rPr>
          <w:rFonts w:ascii="Times New Roman" w:hAnsi="Times New Roman" w:cs="Times New Roman"/>
          <w:sz w:val="28"/>
          <w:szCs w:val="28"/>
        </w:rPr>
      </w:pPr>
      <w:r w:rsidRPr="00E1515B">
        <w:rPr>
          <w:rFonts w:ascii="Times New Roman" w:hAnsi="Times New Roman" w:cs="Times New Roman"/>
          <w:sz w:val="28"/>
          <w:szCs w:val="28"/>
        </w:rPr>
        <w:t xml:space="preserve">Меняющаяся демографическая ситуация, технологический прогресс, углубление процессов глобализации порождают структурные проблемы. Старение населения обостряет проблему устойчивости системы государственного пенсионного обеспечения и здравоохранения. Технологический прогресс и цифровизация экономики обусловливают необходимость государственного финансового стимулирования создания новых рабочих мест, модернизации государственной инфраструктуры, в том числе </w:t>
      </w:r>
      <w:proofErr w:type="gramStart"/>
      <w:r w:rsidRPr="00E1515B">
        <w:rPr>
          <w:rFonts w:ascii="Times New Roman" w:hAnsi="Times New Roman" w:cs="Times New Roman"/>
          <w:sz w:val="28"/>
          <w:szCs w:val="28"/>
        </w:rPr>
        <w:t>с</w:t>
      </w:r>
      <w:proofErr w:type="gramEnd"/>
      <w:r w:rsidRPr="00E1515B">
        <w:rPr>
          <w:rFonts w:ascii="Times New Roman" w:hAnsi="Times New Roman" w:cs="Times New Roman"/>
          <w:sz w:val="28"/>
          <w:szCs w:val="28"/>
        </w:rPr>
        <w:t xml:space="preserve"> сфере оказания услуг образования и здравоохранения, удовлетворения потребностей населения в условиях стремительной урбанизации. Бюджетная политика и структура расходов федерального бюджета должны изменяться адекватно современным изменениям </w:t>
      </w:r>
      <w:r w:rsidR="00406ADF">
        <w:rPr>
          <w:rFonts w:ascii="Times New Roman" w:hAnsi="Times New Roman" w:cs="Times New Roman"/>
          <w:sz w:val="28"/>
          <w:szCs w:val="28"/>
        </w:rPr>
        <w:t>рынков</w:t>
      </w:r>
      <w:r w:rsidRPr="00E1515B">
        <w:rPr>
          <w:rFonts w:ascii="Times New Roman" w:hAnsi="Times New Roman" w:cs="Times New Roman"/>
          <w:sz w:val="28"/>
          <w:szCs w:val="28"/>
        </w:rPr>
        <w:t xml:space="preserve"> товаров, услуг, труда</w:t>
      </w:r>
      <w:r w:rsidR="00406ADF">
        <w:rPr>
          <w:rFonts w:ascii="Times New Roman" w:hAnsi="Times New Roman" w:cs="Times New Roman"/>
          <w:sz w:val="28"/>
          <w:szCs w:val="28"/>
        </w:rPr>
        <w:t>, половозрастной структуры населения</w:t>
      </w:r>
      <w:r w:rsidRPr="00E1515B">
        <w:rPr>
          <w:rFonts w:ascii="Times New Roman" w:hAnsi="Times New Roman" w:cs="Times New Roman"/>
          <w:sz w:val="28"/>
          <w:szCs w:val="28"/>
        </w:rPr>
        <w:t>.</w:t>
      </w:r>
    </w:p>
    <w:p w14:paraId="47C9D4FF" w14:textId="5D3D491F" w:rsidR="00654C69" w:rsidRDefault="00654C69" w:rsidP="00654C6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 в государственных программах Российской Федерации (с учетом внесенных в 2018-2019 гг. Уточнений), ни в Основных направлениях бюджетной, налоговой и таможенно-тарифной политики Российской Федерации на 2020 год и плановый период 2021-2022 годов не содержится увязка целей расходования бюджетных средств с решением социальных проблем в разрезе Целей устойчивого развития </w:t>
      </w:r>
      <w:r w:rsidRPr="00E1515B">
        <w:rPr>
          <w:rFonts w:ascii="Times New Roman" w:hAnsi="Times New Roman" w:cs="Times New Roman"/>
          <w:sz w:val="28"/>
          <w:szCs w:val="28"/>
        </w:rPr>
        <w:t>ООН 2016-2030 гг.</w:t>
      </w:r>
      <w:r>
        <w:rPr>
          <w:rFonts w:ascii="Times New Roman" w:hAnsi="Times New Roman" w:cs="Times New Roman"/>
          <w:sz w:val="28"/>
          <w:szCs w:val="28"/>
        </w:rPr>
        <w:t xml:space="preserve"> </w:t>
      </w:r>
      <w:r>
        <w:rPr>
          <w:rFonts w:ascii="Times New Roman" w:hAnsi="Times New Roman" w:cs="Times New Roman"/>
          <w:sz w:val="28"/>
          <w:szCs w:val="28"/>
        </w:rPr>
        <w:lastRenderedPageBreak/>
        <w:t>(</w:t>
      </w:r>
      <w:r>
        <w:rPr>
          <w:rFonts w:ascii="Times New Roman" w:hAnsi="Times New Roman" w:cs="Times New Roman"/>
          <w:sz w:val="28"/>
          <w:szCs w:val="28"/>
          <w:lang w:val="en-US"/>
        </w:rPr>
        <w:t>Sustainable</w:t>
      </w:r>
      <w:r w:rsidRPr="00A632D7">
        <w:rPr>
          <w:rFonts w:ascii="Times New Roman" w:hAnsi="Times New Roman" w:cs="Times New Roman"/>
          <w:sz w:val="28"/>
          <w:szCs w:val="28"/>
        </w:rPr>
        <w:t xml:space="preserve"> </w:t>
      </w:r>
      <w:r>
        <w:rPr>
          <w:rFonts w:ascii="Times New Roman" w:hAnsi="Times New Roman" w:cs="Times New Roman"/>
          <w:sz w:val="28"/>
          <w:szCs w:val="28"/>
          <w:lang w:val="en-US"/>
        </w:rPr>
        <w:t>Development</w:t>
      </w:r>
      <w:r w:rsidRPr="00A632D7">
        <w:rPr>
          <w:rFonts w:ascii="Times New Roman" w:hAnsi="Times New Roman" w:cs="Times New Roman"/>
          <w:sz w:val="28"/>
          <w:szCs w:val="28"/>
        </w:rPr>
        <w:t xml:space="preserve"> </w:t>
      </w:r>
      <w:r>
        <w:rPr>
          <w:rFonts w:ascii="Times New Roman" w:hAnsi="Times New Roman" w:cs="Times New Roman"/>
          <w:sz w:val="28"/>
          <w:szCs w:val="28"/>
          <w:lang w:val="en-US"/>
        </w:rPr>
        <w:t>Goals</w:t>
      </w:r>
      <w:r w:rsidRPr="00A632D7">
        <w:rPr>
          <w:rFonts w:ascii="Times New Roman" w:hAnsi="Times New Roman" w:cs="Times New Roman"/>
          <w:sz w:val="28"/>
          <w:szCs w:val="28"/>
        </w:rPr>
        <w:t xml:space="preserve"> </w:t>
      </w:r>
      <w:r>
        <w:rPr>
          <w:rFonts w:ascii="Times New Roman" w:hAnsi="Times New Roman" w:cs="Times New Roman"/>
          <w:sz w:val="28"/>
          <w:szCs w:val="28"/>
        </w:rPr>
        <w:t>–</w:t>
      </w:r>
      <w:r w:rsidRPr="00A632D7">
        <w:rPr>
          <w:rFonts w:ascii="Times New Roman" w:hAnsi="Times New Roman" w:cs="Times New Roman"/>
          <w:sz w:val="28"/>
          <w:szCs w:val="28"/>
        </w:rPr>
        <w:t xml:space="preserve"> </w:t>
      </w:r>
      <w:r>
        <w:rPr>
          <w:rFonts w:ascii="Times New Roman" w:hAnsi="Times New Roman" w:cs="Times New Roman"/>
          <w:sz w:val="28"/>
          <w:szCs w:val="28"/>
          <w:lang w:val="en-US"/>
        </w:rPr>
        <w:t>SDG</w:t>
      </w:r>
      <w:r w:rsidRPr="00A632D7">
        <w:rPr>
          <w:rFonts w:ascii="Times New Roman" w:hAnsi="Times New Roman" w:cs="Times New Roman"/>
          <w:sz w:val="28"/>
          <w:szCs w:val="28"/>
        </w:rPr>
        <w:t>)</w:t>
      </w:r>
      <w:r>
        <w:rPr>
          <w:rFonts w:ascii="Times New Roman" w:hAnsi="Times New Roman" w:cs="Times New Roman"/>
          <w:sz w:val="28"/>
          <w:szCs w:val="28"/>
        </w:rPr>
        <w:t>, в частности с такими проблемами, который были отражены в рамках Индекса 2019 года</w:t>
      </w:r>
      <w:r>
        <w:rPr>
          <w:rStyle w:val="a5"/>
          <w:rFonts w:ascii="Times New Roman" w:hAnsi="Times New Roman" w:cs="Times New Roman"/>
        </w:rPr>
        <w:footnoteReference w:id="1"/>
      </w:r>
      <w:r>
        <w:rPr>
          <w:rFonts w:ascii="Times New Roman" w:hAnsi="Times New Roman" w:cs="Times New Roman"/>
          <w:sz w:val="28"/>
          <w:szCs w:val="28"/>
        </w:rPr>
        <w:t xml:space="preserve"> (таблица 2).</w:t>
      </w:r>
    </w:p>
    <w:p w14:paraId="07DFEC54" w14:textId="72170ECE" w:rsidR="00654C69" w:rsidRPr="00813259" w:rsidRDefault="00654C69" w:rsidP="00654C69">
      <w:pPr>
        <w:spacing w:line="360" w:lineRule="auto"/>
        <w:ind w:firstLine="709"/>
        <w:jc w:val="both"/>
        <w:rPr>
          <w:rFonts w:ascii="Times New Roman" w:hAnsi="Times New Roman" w:cs="Times New Roman"/>
          <w:sz w:val="28"/>
          <w:szCs w:val="28"/>
        </w:rPr>
      </w:pPr>
      <w:r w:rsidRPr="00813259">
        <w:rPr>
          <w:rFonts w:ascii="Times New Roman" w:hAnsi="Times New Roman" w:cs="Times New Roman"/>
          <w:sz w:val="28"/>
          <w:szCs w:val="28"/>
        </w:rPr>
        <w:t xml:space="preserve">Таблица </w:t>
      </w:r>
      <w:r>
        <w:rPr>
          <w:rFonts w:ascii="Times New Roman" w:hAnsi="Times New Roman" w:cs="Times New Roman"/>
          <w:sz w:val="28"/>
          <w:szCs w:val="28"/>
        </w:rPr>
        <w:t>2</w:t>
      </w:r>
      <w:r w:rsidRPr="00813259">
        <w:rPr>
          <w:rFonts w:ascii="Times New Roman" w:hAnsi="Times New Roman" w:cs="Times New Roman"/>
          <w:sz w:val="28"/>
          <w:szCs w:val="28"/>
        </w:rPr>
        <w:t xml:space="preserve"> – Отдельные показатели Индекса </w:t>
      </w:r>
      <w:r w:rsidRPr="00813259">
        <w:rPr>
          <w:rFonts w:ascii="Times New Roman" w:hAnsi="Times New Roman" w:cs="Times New Roman"/>
          <w:color w:val="212529"/>
          <w:sz w:val="28"/>
          <w:szCs w:val="28"/>
        </w:rPr>
        <w:t xml:space="preserve">SDG </w:t>
      </w:r>
      <w:proofErr w:type="spellStart"/>
      <w:r w:rsidRPr="00813259">
        <w:rPr>
          <w:rFonts w:ascii="Times New Roman" w:hAnsi="Times New Roman" w:cs="Times New Roman"/>
          <w:color w:val="212529"/>
          <w:sz w:val="28"/>
          <w:szCs w:val="28"/>
        </w:rPr>
        <w:t>Dashboard</w:t>
      </w:r>
      <w:proofErr w:type="spellEnd"/>
      <w:r w:rsidRPr="00813259">
        <w:rPr>
          <w:rFonts w:ascii="Times New Roman" w:hAnsi="Times New Roman" w:cs="Times New Roman"/>
          <w:color w:val="212529"/>
          <w:sz w:val="28"/>
          <w:szCs w:val="28"/>
        </w:rPr>
        <w:t xml:space="preserve"> по России в 2019 году (</w:t>
      </w:r>
      <w:r w:rsidRPr="00654C69">
        <w:rPr>
          <w:rFonts w:ascii="Times New Roman" w:hAnsi="Times New Roman" w:cs="Times New Roman"/>
          <w:color w:val="FF0000"/>
          <w:sz w:val="28"/>
          <w:szCs w:val="28"/>
        </w:rPr>
        <w:t>красным</w:t>
      </w:r>
      <w:r w:rsidRPr="00813259">
        <w:rPr>
          <w:rFonts w:ascii="Times New Roman" w:hAnsi="Times New Roman" w:cs="Times New Roman"/>
          <w:color w:val="212529"/>
          <w:sz w:val="28"/>
          <w:szCs w:val="28"/>
        </w:rPr>
        <w:t xml:space="preserve"> выделены показатели, которые отражают основны</w:t>
      </w:r>
      <w:r w:rsidR="007342BB">
        <w:rPr>
          <w:rFonts w:ascii="Times New Roman" w:hAnsi="Times New Roman" w:cs="Times New Roman"/>
          <w:color w:val="212529"/>
          <w:sz w:val="28"/>
          <w:szCs w:val="28"/>
        </w:rPr>
        <w:t>е</w:t>
      </w:r>
      <w:r w:rsidRPr="00813259">
        <w:rPr>
          <w:rFonts w:ascii="Times New Roman" w:hAnsi="Times New Roman" w:cs="Times New Roman"/>
          <w:color w:val="212529"/>
          <w:sz w:val="28"/>
          <w:szCs w:val="28"/>
        </w:rPr>
        <w:t xml:space="preserve"> проблем</w:t>
      </w:r>
      <w:r w:rsidR="007342BB">
        <w:rPr>
          <w:rFonts w:ascii="Times New Roman" w:hAnsi="Times New Roman" w:cs="Times New Roman"/>
          <w:color w:val="212529"/>
          <w:sz w:val="28"/>
          <w:szCs w:val="28"/>
        </w:rPr>
        <w:t>ы России в рамках достижения ЦУР</w:t>
      </w:r>
      <w:proofErr w:type="gramStart"/>
      <w:r w:rsidR="007342BB">
        <w:rPr>
          <w:rFonts w:ascii="Times New Roman" w:hAnsi="Times New Roman" w:cs="Times New Roman"/>
          <w:color w:val="212529"/>
          <w:sz w:val="28"/>
          <w:szCs w:val="28"/>
        </w:rPr>
        <w:t xml:space="preserve"> </w:t>
      </w:r>
      <w:r w:rsidRPr="00813259">
        <w:rPr>
          <w:rFonts w:ascii="Times New Roman" w:hAnsi="Times New Roman" w:cs="Times New Roman"/>
          <w:color w:val="212529"/>
          <w:sz w:val="28"/>
          <w:szCs w:val="28"/>
        </w:rPr>
        <w:t>)</w:t>
      </w:r>
      <w:proofErr w:type="gramEnd"/>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70"/>
        <w:gridCol w:w="1346"/>
        <w:gridCol w:w="1607"/>
        <w:gridCol w:w="1542"/>
      </w:tblGrid>
      <w:tr w:rsidR="00654C69" w:rsidRPr="00A632D7" w14:paraId="79675CD6" w14:textId="77777777" w:rsidTr="00654C69">
        <w:tc>
          <w:tcPr>
            <w:tcW w:w="5070" w:type="dxa"/>
            <w:vMerge w:val="restart"/>
          </w:tcPr>
          <w:p w14:paraId="347A041F" w14:textId="77777777" w:rsidR="00654C69" w:rsidRPr="00761F4B" w:rsidRDefault="00654C69" w:rsidP="00654C69">
            <w:pPr>
              <w:spacing w:line="360" w:lineRule="auto"/>
              <w:jc w:val="both"/>
              <w:rPr>
                <w:rFonts w:ascii="Times New Roman" w:hAnsi="Times New Roman"/>
              </w:rPr>
            </w:pPr>
          </w:p>
        </w:tc>
        <w:tc>
          <w:tcPr>
            <w:tcW w:w="0" w:type="auto"/>
            <w:vMerge w:val="restart"/>
          </w:tcPr>
          <w:p w14:paraId="47FCD62E" w14:textId="77777777" w:rsidR="00654C69" w:rsidRPr="00761F4B" w:rsidRDefault="00654C69" w:rsidP="00654C69">
            <w:pPr>
              <w:spacing w:line="360" w:lineRule="auto"/>
              <w:ind w:firstLine="35"/>
              <w:jc w:val="center"/>
              <w:rPr>
                <w:rFonts w:ascii="Times New Roman" w:hAnsi="Times New Roman"/>
              </w:rPr>
            </w:pPr>
            <w:r w:rsidRPr="00761F4B">
              <w:rPr>
                <w:rFonts w:ascii="Times New Roman" w:hAnsi="Times New Roman"/>
              </w:rPr>
              <w:t>Макс.</w:t>
            </w:r>
          </w:p>
          <w:p w14:paraId="49B17009" w14:textId="77777777" w:rsidR="00654C69" w:rsidRPr="00761F4B" w:rsidRDefault="00654C69" w:rsidP="00654C69">
            <w:pPr>
              <w:spacing w:line="360" w:lineRule="auto"/>
              <w:ind w:firstLine="35"/>
              <w:jc w:val="center"/>
              <w:rPr>
                <w:rFonts w:ascii="Times New Roman" w:hAnsi="Times New Roman"/>
              </w:rPr>
            </w:pPr>
            <w:r w:rsidRPr="00761F4B">
              <w:rPr>
                <w:rFonts w:ascii="Times New Roman" w:hAnsi="Times New Roman"/>
              </w:rPr>
              <w:t>100</w:t>
            </w:r>
          </w:p>
        </w:tc>
        <w:tc>
          <w:tcPr>
            <w:tcW w:w="0" w:type="auto"/>
            <w:gridSpan w:val="2"/>
          </w:tcPr>
          <w:p w14:paraId="3723F47E" w14:textId="77777777" w:rsidR="00654C69" w:rsidRPr="00761F4B" w:rsidRDefault="00654C69" w:rsidP="00654C69">
            <w:pPr>
              <w:spacing w:line="360" w:lineRule="auto"/>
              <w:jc w:val="both"/>
              <w:rPr>
                <w:rFonts w:ascii="Times New Roman" w:hAnsi="Times New Roman"/>
              </w:rPr>
            </w:pPr>
            <w:r w:rsidRPr="00761F4B">
              <w:rPr>
                <w:rFonts w:ascii="Times New Roman" w:hAnsi="Times New Roman"/>
              </w:rPr>
              <w:t>Справочно:</w:t>
            </w:r>
          </w:p>
        </w:tc>
      </w:tr>
      <w:tr w:rsidR="00654C69" w:rsidRPr="00A632D7" w14:paraId="12816A05" w14:textId="77777777" w:rsidTr="00654C69">
        <w:tc>
          <w:tcPr>
            <w:tcW w:w="5070" w:type="dxa"/>
            <w:vMerge/>
          </w:tcPr>
          <w:p w14:paraId="0D61807F" w14:textId="77777777" w:rsidR="00654C69" w:rsidRPr="00761F4B" w:rsidRDefault="00654C69" w:rsidP="00654C69">
            <w:pPr>
              <w:spacing w:line="360" w:lineRule="auto"/>
              <w:jc w:val="both"/>
              <w:rPr>
                <w:rFonts w:ascii="Times New Roman" w:hAnsi="Times New Roman"/>
              </w:rPr>
            </w:pPr>
          </w:p>
        </w:tc>
        <w:tc>
          <w:tcPr>
            <w:tcW w:w="0" w:type="auto"/>
            <w:vMerge/>
          </w:tcPr>
          <w:p w14:paraId="708B3A43" w14:textId="77777777" w:rsidR="00654C69" w:rsidRPr="00761F4B" w:rsidRDefault="00654C69" w:rsidP="00654C69">
            <w:pPr>
              <w:spacing w:line="360" w:lineRule="auto"/>
              <w:jc w:val="both"/>
              <w:rPr>
                <w:rFonts w:ascii="Times New Roman" w:hAnsi="Times New Roman"/>
              </w:rPr>
            </w:pPr>
          </w:p>
        </w:tc>
        <w:tc>
          <w:tcPr>
            <w:tcW w:w="0" w:type="auto"/>
          </w:tcPr>
          <w:p w14:paraId="28470A09" w14:textId="77777777" w:rsidR="00654C69" w:rsidRPr="00761F4B" w:rsidRDefault="00654C69" w:rsidP="00654C69">
            <w:pPr>
              <w:spacing w:line="360" w:lineRule="auto"/>
              <w:ind w:firstLine="4"/>
              <w:jc w:val="center"/>
              <w:rPr>
                <w:rFonts w:ascii="Times New Roman" w:hAnsi="Times New Roman"/>
              </w:rPr>
            </w:pPr>
            <w:r w:rsidRPr="00761F4B">
              <w:rPr>
                <w:rFonts w:ascii="Times New Roman" w:hAnsi="Times New Roman"/>
              </w:rPr>
              <w:t>Белоруссия</w:t>
            </w:r>
          </w:p>
        </w:tc>
        <w:tc>
          <w:tcPr>
            <w:tcW w:w="0" w:type="auto"/>
          </w:tcPr>
          <w:p w14:paraId="4858D21C" w14:textId="77777777" w:rsidR="00654C69" w:rsidRPr="00761F4B" w:rsidRDefault="00654C69" w:rsidP="00654C69">
            <w:pPr>
              <w:spacing w:line="360" w:lineRule="auto"/>
              <w:jc w:val="center"/>
              <w:rPr>
                <w:rFonts w:ascii="Times New Roman" w:hAnsi="Times New Roman"/>
              </w:rPr>
            </w:pPr>
            <w:r w:rsidRPr="00761F4B">
              <w:rPr>
                <w:rFonts w:ascii="Times New Roman" w:hAnsi="Times New Roman"/>
              </w:rPr>
              <w:t>Казахстан</w:t>
            </w:r>
          </w:p>
        </w:tc>
      </w:tr>
      <w:tr w:rsidR="00654C69" w:rsidRPr="00A632D7" w14:paraId="35F491CD" w14:textId="77777777" w:rsidTr="00654C69">
        <w:tc>
          <w:tcPr>
            <w:tcW w:w="5070" w:type="dxa"/>
          </w:tcPr>
          <w:p w14:paraId="09CD003C" w14:textId="77777777" w:rsidR="00654C69" w:rsidRPr="00761F4B" w:rsidRDefault="00654C69" w:rsidP="00654C69">
            <w:pPr>
              <w:spacing w:line="360" w:lineRule="auto"/>
              <w:jc w:val="both"/>
              <w:rPr>
                <w:rFonts w:ascii="Times New Roman" w:hAnsi="Times New Roman"/>
              </w:rPr>
            </w:pPr>
            <w:r w:rsidRPr="00761F4B">
              <w:rPr>
                <w:rFonts w:ascii="Times New Roman" w:hAnsi="Times New Roman"/>
              </w:rPr>
              <w:t>Общий показатель</w:t>
            </w:r>
          </w:p>
        </w:tc>
        <w:tc>
          <w:tcPr>
            <w:tcW w:w="0" w:type="auto"/>
          </w:tcPr>
          <w:p w14:paraId="188EBD0A" w14:textId="77777777" w:rsidR="00654C69" w:rsidRPr="00761F4B" w:rsidRDefault="00654C69" w:rsidP="00654C69">
            <w:pPr>
              <w:spacing w:line="360" w:lineRule="auto"/>
              <w:jc w:val="center"/>
              <w:rPr>
                <w:rFonts w:ascii="Times New Roman" w:hAnsi="Times New Roman"/>
              </w:rPr>
            </w:pPr>
            <w:r w:rsidRPr="00761F4B">
              <w:rPr>
                <w:rFonts w:ascii="Times New Roman" w:hAnsi="Times New Roman"/>
              </w:rPr>
              <w:t>70,9</w:t>
            </w:r>
          </w:p>
        </w:tc>
        <w:tc>
          <w:tcPr>
            <w:tcW w:w="0" w:type="auto"/>
          </w:tcPr>
          <w:p w14:paraId="36F6E7CC" w14:textId="77777777" w:rsidR="00654C69" w:rsidRPr="00761F4B" w:rsidRDefault="00654C69" w:rsidP="00654C69">
            <w:pPr>
              <w:spacing w:line="360" w:lineRule="auto"/>
              <w:jc w:val="center"/>
              <w:rPr>
                <w:rFonts w:ascii="Times New Roman" w:hAnsi="Times New Roman"/>
              </w:rPr>
            </w:pPr>
            <w:r w:rsidRPr="00761F4B">
              <w:rPr>
                <w:rFonts w:ascii="Times New Roman" w:hAnsi="Times New Roman"/>
              </w:rPr>
              <w:t>77,4</w:t>
            </w:r>
          </w:p>
        </w:tc>
        <w:tc>
          <w:tcPr>
            <w:tcW w:w="0" w:type="auto"/>
          </w:tcPr>
          <w:p w14:paraId="39275BAB" w14:textId="77777777" w:rsidR="00654C69" w:rsidRPr="00761F4B" w:rsidRDefault="00654C69" w:rsidP="00654C69">
            <w:pPr>
              <w:spacing w:line="360" w:lineRule="auto"/>
              <w:jc w:val="center"/>
              <w:rPr>
                <w:rFonts w:ascii="Times New Roman" w:hAnsi="Times New Roman"/>
              </w:rPr>
            </w:pPr>
            <w:r w:rsidRPr="00761F4B">
              <w:rPr>
                <w:rFonts w:ascii="Times New Roman" w:hAnsi="Times New Roman"/>
              </w:rPr>
              <w:t>68,7</w:t>
            </w:r>
          </w:p>
        </w:tc>
      </w:tr>
      <w:tr w:rsidR="00654C69" w:rsidRPr="00A632D7" w14:paraId="551CB801" w14:textId="77777777" w:rsidTr="00654C69">
        <w:tc>
          <w:tcPr>
            <w:tcW w:w="5070" w:type="dxa"/>
          </w:tcPr>
          <w:p w14:paraId="028A47C8" w14:textId="77777777" w:rsidR="00654C69" w:rsidRPr="00761F4B" w:rsidRDefault="00654C69" w:rsidP="00654C69">
            <w:pPr>
              <w:spacing w:line="360" w:lineRule="auto"/>
              <w:jc w:val="both"/>
              <w:rPr>
                <w:rFonts w:ascii="Times New Roman" w:hAnsi="Times New Roman"/>
              </w:rPr>
            </w:pPr>
            <w:r w:rsidRPr="00761F4B">
              <w:rPr>
                <w:rFonts w:ascii="Times New Roman" w:hAnsi="Times New Roman"/>
              </w:rPr>
              <w:t>Место в рейтинге</w:t>
            </w:r>
          </w:p>
        </w:tc>
        <w:tc>
          <w:tcPr>
            <w:tcW w:w="0" w:type="auto"/>
          </w:tcPr>
          <w:p w14:paraId="0DF08320" w14:textId="77777777" w:rsidR="00654C69" w:rsidRPr="00761F4B" w:rsidRDefault="00654C69" w:rsidP="00654C69">
            <w:pPr>
              <w:jc w:val="center"/>
              <w:rPr>
                <w:rFonts w:ascii="Times New Roman" w:hAnsi="Times New Roman"/>
              </w:rPr>
            </w:pPr>
            <w:r w:rsidRPr="00761F4B">
              <w:rPr>
                <w:rFonts w:ascii="Times New Roman" w:hAnsi="Times New Roman"/>
              </w:rPr>
              <w:t>55 из 162 стран</w:t>
            </w:r>
          </w:p>
        </w:tc>
        <w:tc>
          <w:tcPr>
            <w:tcW w:w="0" w:type="auto"/>
          </w:tcPr>
          <w:p w14:paraId="5EE31055" w14:textId="77777777" w:rsidR="00654C69" w:rsidRPr="00761F4B" w:rsidRDefault="00654C69" w:rsidP="00654C69">
            <w:pPr>
              <w:jc w:val="center"/>
              <w:rPr>
                <w:rFonts w:ascii="Times New Roman" w:hAnsi="Times New Roman"/>
              </w:rPr>
            </w:pPr>
            <w:r w:rsidRPr="00761F4B">
              <w:rPr>
                <w:rFonts w:ascii="Times New Roman" w:hAnsi="Times New Roman"/>
              </w:rPr>
              <w:t>23 из 162 стран</w:t>
            </w:r>
          </w:p>
        </w:tc>
        <w:tc>
          <w:tcPr>
            <w:tcW w:w="0" w:type="auto"/>
          </w:tcPr>
          <w:p w14:paraId="47F67614" w14:textId="77777777" w:rsidR="00654C69" w:rsidRPr="00761F4B" w:rsidRDefault="00654C69" w:rsidP="00654C69">
            <w:pPr>
              <w:jc w:val="center"/>
              <w:rPr>
                <w:rFonts w:ascii="Times New Roman" w:hAnsi="Times New Roman"/>
              </w:rPr>
            </w:pPr>
            <w:r w:rsidRPr="00761F4B">
              <w:rPr>
                <w:rFonts w:ascii="Times New Roman" w:hAnsi="Times New Roman"/>
              </w:rPr>
              <w:t>77 из 162 стран</w:t>
            </w:r>
          </w:p>
        </w:tc>
      </w:tr>
      <w:tr w:rsidR="00654C69" w:rsidRPr="00A632D7" w14:paraId="738E6FE0" w14:textId="77777777" w:rsidTr="00654C69">
        <w:tc>
          <w:tcPr>
            <w:tcW w:w="5070" w:type="dxa"/>
          </w:tcPr>
          <w:p w14:paraId="49CBD6EE" w14:textId="77777777" w:rsidR="00654C69" w:rsidRPr="00761F4B" w:rsidRDefault="00654C69" w:rsidP="00654C69">
            <w:pPr>
              <w:jc w:val="both"/>
              <w:rPr>
                <w:rFonts w:ascii="Times New Roman" w:hAnsi="Times New Roman"/>
              </w:rPr>
            </w:pPr>
            <w:r w:rsidRPr="00761F4B">
              <w:rPr>
                <w:rFonts w:ascii="Times New Roman" w:hAnsi="Times New Roman"/>
              </w:rPr>
              <w:t>Цель 1. Повсеместная ликвидация нищеты во всех ее формах</w:t>
            </w:r>
          </w:p>
        </w:tc>
        <w:tc>
          <w:tcPr>
            <w:tcW w:w="0" w:type="auto"/>
          </w:tcPr>
          <w:p w14:paraId="2C0136C3" w14:textId="77777777" w:rsidR="00654C69" w:rsidRPr="00761F4B" w:rsidRDefault="00654C69" w:rsidP="00654C69">
            <w:pPr>
              <w:spacing w:line="360" w:lineRule="auto"/>
              <w:jc w:val="center"/>
              <w:rPr>
                <w:rFonts w:ascii="Times New Roman" w:hAnsi="Times New Roman"/>
              </w:rPr>
            </w:pPr>
            <w:r w:rsidRPr="00761F4B">
              <w:rPr>
                <w:rFonts w:ascii="Times New Roman" w:hAnsi="Times New Roman"/>
              </w:rPr>
              <w:t>100</w:t>
            </w:r>
          </w:p>
        </w:tc>
        <w:tc>
          <w:tcPr>
            <w:tcW w:w="0" w:type="auto"/>
          </w:tcPr>
          <w:p w14:paraId="459EA990" w14:textId="77777777" w:rsidR="00654C69" w:rsidRPr="00761F4B" w:rsidRDefault="00654C69" w:rsidP="00654C69">
            <w:pPr>
              <w:spacing w:line="360" w:lineRule="auto"/>
              <w:jc w:val="center"/>
              <w:rPr>
                <w:rFonts w:ascii="Times New Roman" w:hAnsi="Times New Roman"/>
              </w:rPr>
            </w:pPr>
            <w:r w:rsidRPr="00761F4B">
              <w:rPr>
                <w:rFonts w:ascii="Times New Roman" w:hAnsi="Times New Roman"/>
              </w:rPr>
              <w:t>100</w:t>
            </w:r>
          </w:p>
        </w:tc>
        <w:tc>
          <w:tcPr>
            <w:tcW w:w="0" w:type="auto"/>
          </w:tcPr>
          <w:p w14:paraId="72DBC12A" w14:textId="77777777" w:rsidR="00654C69" w:rsidRPr="00761F4B" w:rsidRDefault="00654C69" w:rsidP="00654C69">
            <w:pPr>
              <w:spacing w:line="360" w:lineRule="auto"/>
              <w:jc w:val="center"/>
              <w:rPr>
                <w:rFonts w:ascii="Times New Roman" w:hAnsi="Times New Roman"/>
              </w:rPr>
            </w:pPr>
            <w:r w:rsidRPr="00761F4B">
              <w:rPr>
                <w:rFonts w:ascii="Times New Roman" w:hAnsi="Times New Roman"/>
              </w:rPr>
              <w:t>100</w:t>
            </w:r>
          </w:p>
        </w:tc>
      </w:tr>
      <w:tr w:rsidR="00654C69" w:rsidRPr="00A632D7" w14:paraId="733730EC" w14:textId="77777777" w:rsidTr="00654C69">
        <w:tc>
          <w:tcPr>
            <w:tcW w:w="5070" w:type="dxa"/>
          </w:tcPr>
          <w:p w14:paraId="3A66DBE3" w14:textId="77777777" w:rsidR="00654C69" w:rsidRPr="00761F4B" w:rsidRDefault="00654C69" w:rsidP="00654C69">
            <w:pPr>
              <w:jc w:val="both"/>
              <w:rPr>
                <w:rFonts w:ascii="Times New Roman" w:hAnsi="Times New Roman"/>
                <w:color w:val="FF0000"/>
              </w:rPr>
            </w:pPr>
            <w:r w:rsidRPr="00761F4B">
              <w:rPr>
                <w:rFonts w:ascii="Times New Roman" w:hAnsi="Times New Roman"/>
                <w:color w:val="FF0000"/>
              </w:rPr>
              <w:t>Цель 2. Ликвидация голода, обеспечение продовольственной безопасности и улучшение питания и содействие устойчивому развитию сельского хозяйства</w:t>
            </w:r>
          </w:p>
        </w:tc>
        <w:tc>
          <w:tcPr>
            <w:tcW w:w="0" w:type="auto"/>
          </w:tcPr>
          <w:p w14:paraId="170E6284" w14:textId="77777777" w:rsidR="00654C69" w:rsidRPr="00761F4B" w:rsidRDefault="00654C69" w:rsidP="00654C69">
            <w:pPr>
              <w:spacing w:line="360" w:lineRule="auto"/>
              <w:jc w:val="center"/>
              <w:rPr>
                <w:rFonts w:ascii="Times New Roman" w:hAnsi="Times New Roman"/>
                <w:color w:val="FF0000"/>
              </w:rPr>
            </w:pPr>
            <w:r w:rsidRPr="00761F4B">
              <w:rPr>
                <w:rFonts w:ascii="Times New Roman" w:hAnsi="Times New Roman"/>
                <w:color w:val="FF0000"/>
              </w:rPr>
              <w:t>45,6</w:t>
            </w:r>
          </w:p>
        </w:tc>
        <w:tc>
          <w:tcPr>
            <w:tcW w:w="0" w:type="auto"/>
          </w:tcPr>
          <w:p w14:paraId="1DE62DA2" w14:textId="77777777" w:rsidR="00654C69" w:rsidRPr="00761F4B" w:rsidRDefault="00654C69" w:rsidP="00654C69">
            <w:pPr>
              <w:spacing w:line="360" w:lineRule="auto"/>
              <w:jc w:val="center"/>
              <w:rPr>
                <w:rFonts w:ascii="Times New Roman" w:hAnsi="Times New Roman"/>
              </w:rPr>
            </w:pPr>
            <w:r w:rsidRPr="00761F4B">
              <w:rPr>
                <w:rFonts w:ascii="Times New Roman" w:hAnsi="Times New Roman"/>
              </w:rPr>
              <w:t>57,2</w:t>
            </w:r>
          </w:p>
        </w:tc>
        <w:tc>
          <w:tcPr>
            <w:tcW w:w="0" w:type="auto"/>
          </w:tcPr>
          <w:p w14:paraId="227164DD" w14:textId="77777777" w:rsidR="00654C69" w:rsidRPr="00761F4B" w:rsidRDefault="00654C69" w:rsidP="00654C69">
            <w:pPr>
              <w:spacing w:line="360" w:lineRule="auto"/>
              <w:jc w:val="center"/>
              <w:rPr>
                <w:rFonts w:ascii="Times New Roman" w:hAnsi="Times New Roman"/>
              </w:rPr>
            </w:pPr>
            <w:r w:rsidRPr="00761F4B">
              <w:rPr>
                <w:rFonts w:ascii="Times New Roman" w:hAnsi="Times New Roman"/>
              </w:rPr>
              <w:t>50,9</w:t>
            </w:r>
          </w:p>
        </w:tc>
      </w:tr>
      <w:tr w:rsidR="00654C69" w:rsidRPr="00A632D7" w14:paraId="5B805FCB" w14:textId="77777777" w:rsidTr="00654C69">
        <w:tc>
          <w:tcPr>
            <w:tcW w:w="5070" w:type="dxa"/>
          </w:tcPr>
          <w:p w14:paraId="275CC83E" w14:textId="77777777" w:rsidR="00654C69" w:rsidRPr="00761F4B" w:rsidRDefault="00654C69" w:rsidP="00654C69">
            <w:pPr>
              <w:jc w:val="both"/>
              <w:rPr>
                <w:rFonts w:ascii="Times New Roman" w:hAnsi="Times New Roman"/>
                <w:color w:val="FF0000"/>
              </w:rPr>
            </w:pPr>
            <w:r w:rsidRPr="00761F4B">
              <w:rPr>
                <w:rFonts w:ascii="Times New Roman" w:hAnsi="Times New Roman"/>
                <w:color w:val="FF0000"/>
              </w:rPr>
              <w:t>Цель 3. Обеспечение здорового образа жизни и содействие благополучию для всех в любом возрасте</w:t>
            </w:r>
          </w:p>
        </w:tc>
        <w:tc>
          <w:tcPr>
            <w:tcW w:w="0" w:type="auto"/>
          </w:tcPr>
          <w:p w14:paraId="2D7ACBC4" w14:textId="77777777" w:rsidR="00654C69" w:rsidRPr="00761F4B" w:rsidRDefault="00654C69" w:rsidP="00654C69">
            <w:pPr>
              <w:spacing w:line="360" w:lineRule="auto"/>
              <w:jc w:val="center"/>
              <w:rPr>
                <w:rFonts w:ascii="Times New Roman" w:hAnsi="Times New Roman"/>
                <w:color w:val="FF0000"/>
              </w:rPr>
            </w:pPr>
            <w:r w:rsidRPr="00761F4B">
              <w:rPr>
                <w:rFonts w:ascii="Times New Roman" w:hAnsi="Times New Roman"/>
                <w:color w:val="FF0000"/>
              </w:rPr>
              <w:t>78,1</w:t>
            </w:r>
          </w:p>
        </w:tc>
        <w:tc>
          <w:tcPr>
            <w:tcW w:w="0" w:type="auto"/>
          </w:tcPr>
          <w:p w14:paraId="5AE7DE7E" w14:textId="77777777" w:rsidR="00654C69" w:rsidRPr="00761F4B" w:rsidRDefault="00654C69" w:rsidP="00654C69">
            <w:pPr>
              <w:spacing w:line="360" w:lineRule="auto"/>
              <w:jc w:val="center"/>
              <w:rPr>
                <w:rFonts w:ascii="Times New Roman" w:hAnsi="Times New Roman"/>
              </w:rPr>
            </w:pPr>
            <w:r w:rsidRPr="00761F4B">
              <w:rPr>
                <w:rFonts w:ascii="Times New Roman" w:hAnsi="Times New Roman"/>
              </w:rPr>
              <w:t>81,7</w:t>
            </w:r>
          </w:p>
        </w:tc>
        <w:tc>
          <w:tcPr>
            <w:tcW w:w="0" w:type="auto"/>
          </w:tcPr>
          <w:p w14:paraId="0C4F5BC6" w14:textId="77777777" w:rsidR="00654C69" w:rsidRPr="00761F4B" w:rsidRDefault="00654C69" w:rsidP="00654C69">
            <w:pPr>
              <w:spacing w:line="360" w:lineRule="auto"/>
              <w:jc w:val="center"/>
              <w:rPr>
                <w:rFonts w:ascii="Times New Roman" w:hAnsi="Times New Roman"/>
              </w:rPr>
            </w:pPr>
            <w:r w:rsidRPr="00761F4B">
              <w:rPr>
                <w:rFonts w:ascii="Times New Roman" w:hAnsi="Times New Roman"/>
              </w:rPr>
              <w:t>75,8</w:t>
            </w:r>
          </w:p>
        </w:tc>
      </w:tr>
      <w:tr w:rsidR="00654C69" w:rsidRPr="00A632D7" w14:paraId="31219488" w14:textId="77777777" w:rsidTr="00654C69">
        <w:tc>
          <w:tcPr>
            <w:tcW w:w="5070" w:type="dxa"/>
            <w:vAlign w:val="center"/>
          </w:tcPr>
          <w:p w14:paraId="66E7D6AB" w14:textId="77777777" w:rsidR="00654C69" w:rsidRPr="00761F4B" w:rsidRDefault="00654C69" w:rsidP="00654C69">
            <w:pPr>
              <w:jc w:val="both"/>
              <w:rPr>
                <w:rFonts w:ascii="Times New Roman" w:hAnsi="Times New Roman"/>
              </w:rPr>
            </w:pPr>
            <w:r w:rsidRPr="00761F4B">
              <w:rPr>
                <w:rFonts w:ascii="Times New Roman" w:hAnsi="Times New Roman"/>
              </w:rPr>
              <w:t>Цель 4. Обеспечение всеохватного и справедливого качественного образования и поощрение возможности обучения на протяжении всей жизни для всех</w:t>
            </w:r>
          </w:p>
        </w:tc>
        <w:tc>
          <w:tcPr>
            <w:tcW w:w="0" w:type="auto"/>
          </w:tcPr>
          <w:p w14:paraId="67235BD9" w14:textId="77777777" w:rsidR="00654C69" w:rsidRPr="00761F4B" w:rsidRDefault="00654C69" w:rsidP="00654C69">
            <w:pPr>
              <w:spacing w:line="360" w:lineRule="auto"/>
              <w:jc w:val="center"/>
              <w:rPr>
                <w:rFonts w:ascii="Times New Roman" w:hAnsi="Times New Roman"/>
              </w:rPr>
            </w:pPr>
            <w:r w:rsidRPr="00761F4B">
              <w:rPr>
                <w:rFonts w:ascii="Times New Roman" w:hAnsi="Times New Roman"/>
              </w:rPr>
              <w:t>97,2</w:t>
            </w:r>
          </w:p>
        </w:tc>
        <w:tc>
          <w:tcPr>
            <w:tcW w:w="0" w:type="auto"/>
          </w:tcPr>
          <w:p w14:paraId="52878C17" w14:textId="77777777" w:rsidR="00654C69" w:rsidRPr="00761F4B" w:rsidRDefault="00654C69" w:rsidP="00654C69">
            <w:pPr>
              <w:spacing w:line="360" w:lineRule="auto"/>
              <w:jc w:val="center"/>
              <w:rPr>
                <w:rFonts w:ascii="Times New Roman" w:hAnsi="Times New Roman"/>
              </w:rPr>
            </w:pPr>
            <w:r w:rsidRPr="00761F4B">
              <w:rPr>
                <w:rFonts w:ascii="Times New Roman" w:hAnsi="Times New Roman"/>
              </w:rPr>
              <w:t>96,8</w:t>
            </w:r>
          </w:p>
        </w:tc>
        <w:tc>
          <w:tcPr>
            <w:tcW w:w="0" w:type="auto"/>
          </w:tcPr>
          <w:p w14:paraId="35163CA7" w14:textId="77777777" w:rsidR="00654C69" w:rsidRPr="00761F4B" w:rsidRDefault="00654C69" w:rsidP="00654C69">
            <w:pPr>
              <w:spacing w:line="360" w:lineRule="auto"/>
              <w:jc w:val="center"/>
              <w:rPr>
                <w:rFonts w:ascii="Times New Roman" w:hAnsi="Times New Roman"/>
              </w:rPr>
            </w:pPr>
            <w:r w:rsidRPr="00761F4B">
              <w:rPr>
                <w:rFonts w:ascii="Times New Roman" w:hAnsi="Times New Roman"/>
              </w:rPr>
              <w:t>91</w:t>
            </w:r>
          </w:p>
        </w:tc>
      </w:tr>
      <w:tr w:rsidR="00654C69" w:rsidRPr="00844606" w14:paraId="4506E930" w14:textId="77777777" w:rsidTr="00654C69">
        <w:tc>
          <w:tcPr>
            <w:tcW w:w="5070" w:type="dxa"/>
            <w:vAlign w:val="center"/>
          </w:tcPr>
          <w:p w14:paraId="704BF248" w14:textId="77777777" w:rsidR="00654C69" w:rsidRPr="00761F4B" w:rsidRDefault="00654C69" w:rsidP="00654C69">
            <w:pPr>
              <w:jc w:val="both"/>
              <w:rPr>
                <w:rFonts w:ascii="Times New Roman" w:hAnsi="Times New Roman"/>
                <w:color w:val="FF0000"/>
              </w:rPr>
            </w:pPr>
            <w:r w:rsidRPr="00761F4B">
              <w:rPr>
                <w:rFonts w:ascii="Times New Roman" w:hAnsi="Times New Roman"/>
                <w:color w:val="FF0000"/>
              </w:rPr>
              <w:t>Цель 5. Гендерное равенство</w:t>
            </w:r>
          </w:p>
        </w:tc>
        <w:tc>
          <w:tcPr>
            <w:tcW w:w="0" w:type="auto"/>
          </w:tcPr>
          <w:p w14:paraId="2C9A9BEF" w14:textId="77777777" w:rsidR="00654C69" w:rsidRPr="00761F4B" w:rsidRDefault="00654C69" w:rsidP="00654C69">
            <w:pPr>
              <w:spacing w:line="360" w:lineRule="auto"/>
              <w:jc w:val="center"/>
              <w:rPr>
                <w:rFonts w:ascii="Times New Roman" w:hAnsi="Times New Roman"/>
                <w:color w:val="FF0000"/>
              </w:rPr>
            </w:pPr>
            <w:r w:rsidRPr="00761F4B">
              <w:rPr>
                <w:rFonts w:ascii="Times New Roman" w:hAnsi="Times New Roman"/>
                <w:color w:val="FF0000"/>
              </w:rPr>
              <w:t>67,2</w:t>
            </w:r>
          </w:p>
        </w:tc>
        <w:tc>
          <w:tcPr>
            <w:tcW w:w="0" w:type="auto"/>
          </w:tcPr>
          <w:p w14:paraId="425CE954" w14:textId="77777777" w:rsidR="00654C69" w:rsidRPr="00761F4B" w:rsidRDefault="00654C69" w:rsidP="00654C69">
            <w:pPr>
              <w:spacing w:line="360" w:lineRule="auto"/>
              <w:jc w:val="center"/>
              <w:rPr>
                <w:rFonts w:ascii="Times New Roman" w:hAnsi="Times New Roman"/>
              </w:rPr>
            </w:pPr>
            <w:r w:rsidRPr="00761F4B">
              <w:rPr>
                <w:rFonts w:ascii="Times New Roman" w:hAnsi="Times New Roman"/>
              </w:rPr>
              <w:t>78</w:t>
            </w:r>
          </w:p>
        </w:tc>
        <w:tc>
          <w:tcPr>
            <w:tcW w:w="0" w:type="auto"/>
          </w:tcPr>
          <w:p w14:paraId="01701CA0" w14:textId="77777777" w:rsidR="00654C69" w:rsidRPr="00761F4B" w:rsidRDefault="00654C69" w:rsidP="00654C69">
            <w:pPr>
              <w:spacing w:line="360" w:lineRule="auto"/>
              <w:jc w:val="center"/>
              <w:rPr>
                <w:rFonts w:ascii="Times New Roman" w:hAnsi="Times New Roman"/>
              </w:rPr>
            </w:pPr>
            <w:r w:rsidRPr="00761F4B">
              <w:rPr>
                <w:rFonts w:ascii="Times New Roman" w:hAnsi="Times New Roman"/>
              </w:rPr>
              <w:t>77,2</w:t>
            </w:r>
          </w:p>
        </w:tc>
      </w:tr>
      <w:tr w:rsidR="00654C69" w:rsidRPr="00844606" w14:paraId="18DECC24" w14:textId="77777777" w:rsidTr="00654C69">
        <w:trPr>
          <w:trHeight w:val="415"/>
        </w:trPr>
        <w:tc>
          <w:tcPr>
            <w:tcW w:w="5070" w:type="dxa"/>
            <w:vAlign w:val="center"/>
          </w:tcPr>
          <w:p w14:paraId="352C9FB8" w14:textId="77777777" w:rsidR="00654C69" w:rsidRPr="00761F4B" w:rsidRDefault="00654C69" w:rsidP="00654C69">
            <w:pPr>
              <w:jc w:val="both"/>
              <w:rPr>
                <w:rFonts w:ascii="Times New Roman" w:hAnsi="Times New Roman"/>
              </w:rPr>
            </w:pPr>
            <w:r w:rsidRPr="00761F4B">
              <w:rPr>
                <w:rFonts w:ascii="Times New Roman" w:hAnsi="Times New Roman"/>
              </w:rPr>
              <w:t>Цель 6. Обеспечение наличия и рационального использования водных ресурсов и санитарии для всех</w:t>
            </w:r>
          </w:p>
        </w:tc>
        <w:tc>
          <w:tcPr>
            <w:tcW w:w="0" w:type="auto"/>
          </w:tcPr>
          <w:p w14:paraId="0BF82D83" w14:textId="77777777" w:rsidR="00654C69" w:rsidRPr="00761F4B" w:rsidRDefault="00654C69" w:rsidP="00654C69">
            <w:pPr>
              <w:spacing w:line="360" w:lineRule="auto"/>
              <w:jc w:val="center"/>
              <w:rPr>
                <w:rFonts w:ascii="Times New Roman" w:hAnsi="Times New Roman"/>
              </w:rPr>
            </w:pPr>
            <w:r w:rsidRPr="00761F4B">
              <w:rPr>
                <w:rFonts w:ascii="Times New Roman" w:hAnsi="Times New Roman"/>
              </w:rPr>
              <w:t>89</w:t>
            </w:r>
          </w:p>
        </w:tc>
        <w:tc>
          <w:tcPr>
            <w:tcW w:w="0" w:type="auto"/>
          </w:tcPr>
          <w:p w14:paraId="4AF6C1FF" w14:textId="77777777" w:rsidR="00654C69" w:rsidRPr="00761F4B" w:rsidRDefault="00654C69" w:rsidP="00654C69">
            <w:pPr>
              <w:spacing w:line="360" w:lineRule="auto"/>
              <w:jc w:val="center"/>
              <w:rPr>
                <w:rFonts w:ascii="Times New Roman" w:hAnsi="Times New Roman"/>
              </w:rPr>
            </w:pPr>
            <w:r w:rsidRPr="00761F4B">
              <w:rPr>
                <w:rFonts w:ascii="Times New Roman" w:hAnsi="Times New Roman"/>
              </w:rPr>
              <w:t>92,2</w:t>
            </w:r>
          </w:p>
        </w:tc>
        <w:tc>
          <w:tcPr>
            <w:tcW w:w="0" w:type="auto"/>
          </w:tcPr>
          <w:p w14:paraId="777D3172" w14:textId="77777777" w:rsidR="00654C69" w:rsidRPr="00761F4B" w:rsidRDefault="00654C69" w:rsidP="00654C69">
            <w:pPr>
              <w:spacing w:line="360" w:lineRule="auto"/>
              <w:jc w:val="center"/>
              <w:rPr>
                <w:rFonts w:ascii="Times New Roman" w:hAnsi="Times New Roman"/>
              </w:rPr>
            </w:pPr>
            <w:r w:rsidRPr="00761F4B">
              <w:rPr>
                <w:rFonts w:ascii="Times New Roman" w:hAnsi="Times New Roman"/>
              </w:rPr>
              <w:t>74,8</w:t>
            </w:r>
          </w:p>
        </w:tc>
      </w:tr>
      <w:tr w:rsidR="00654C69" w:rsidRPr="00A632D7" w14:paraId="664E38B6" w14:textId="77777777" w:rsidTr="00654C69">
        <w:tc>
          <w:tcPr>
            <w:tcW w:w="5070" w:type="dxa"/>
            <w:vAlign w:val="center"/>
          </w:tcPr>
          <w:p w14:paraId="364A3FF2" w14:textId="77777777" w:rsidR="00654C69" w:rsidRPr="00761F4B" w:rsidRDefault="00654C69" w:rsidP="00654C69">
            <w:pPr>
              <w:jc w:val="both"/>
              <w:rPr>
                <w:rFonts w:ascii="Times New Roman" w:hAnsi="Times New Roman"/>
                <w:color w:val="FF0000"/>
              </w:rPr>
            </w:pPr>
            <w:r w:rsidRPr="00761F4B">
              <w:rPr>
                <w:rFonts w:ascii="Times New Roman" w:hAnsi="Times New Roman"/>
                <w:color w:val="FF0000"/>
              </w:rPr>
              <w:t>Цель 10. Сокращение неравенства внутри стран и между ними</w:t>
            </w:r>
          </w:p>
        </w:tc>
        <w:tc>
          <w:tcPr>
            <w:tcW w:w="0" w:type="auto"/>
          </w:tcPr>
          <w:p w14:paraId="5983E999" w14:textId="77777777" w:rsidR="00654C69" w:rsidRPr="00761F4B" w:rsidRDefault="00654C69" w:rsidP="00654C69">
            <w:pPr>
              <w:spacing w:line="360" w:lineRule="auto"/>
              <w:jc w:val="center"/>
              <w:rPr>
                <w:rFonts w:ascii="Times New Roman" w:hAnsi="Times New Roman"/>
                <w:color w:val="FF0000"/>
              </w:rPr>
            </w:pPr>
            <w:r w:rsidRPr="00761F4B">
              <w:rPr>
                <w:rFonts w:ascii="Times New Roman" w:hAnsi="Times New Roman"/>
                <w:color w:val="FF0000"/>
              </w:rPr>
              <w:t>54</w:t>
            </w:r>
          </w:p>
        </w:tc>
        <w:tc>
          <w:tcPr>
            <w:tcW w:w="0" w:type="auto"/>
          </w:tcPr>
          <w:p w14:paraId="34A585BF" w14:textId="77777777" w:rsidR="00654C69" w:rsidRPr="00761F4B" w:rsidRDefault="00654C69" w:rsidP="00654C69">
            <w:pPr>
              <w:spacing w:line="360" w:lineRule="auto"/>
              <w:jc w:val="center"/>
              <w:rPr>
                <w:rFonts w:ascii="Times New Roman" w:hAnsi="Times New Roman"/>
              </w:rPr>
            </w:pPr>
            <w:r w:rsidRPr="00761F4B">
              <w:rPr>
                <w:rFonts w:ascii="Times New Roman" w:hAnsi="Times New Roman"/>
              </w:rPr>
              <w:t>85,8</w:t>
            </w:r>
          </w:p>
        </w:tc>
        <w:tc>
          <w:tcPr>
            <w:tcW w:w="0" w:type="auto"/>
          </w:tcPr>
          <w:p w14:paraId="4D08D132" w14:textId="77777777" w:rsidR="00654C69" w:rsidRPr="00761F4B" w:rsidRDefault="00654C69" w:rsidP="00654C69">
            <w:pPr>
              <w:spacing w:line="360" w:lineRule="auto"/>
              <w:jc w:val="center"/>
              <w:rPr>
                <w:rFonts w:ascii="Times New Roman" w:hAnsi="Times New Roman"/>
              </w:rPr>
            </w:pPr>
            <w:r w:rsidRPr="00761F4B">
              <w:rPr>
                <w:rFonts w:ascii="Times New Roman" w:hAnsi="Times New Roman"/>
              </w:rPr>
              <w:t>62,1</w:t>
            </w:r>
          </w:p>
        </w:tc>
      </w:tr>
      <w:tr w:rsidR="00654C69" w:rsidRPr="00A632D7" w14:paraId="54A9B646" w14:textId="77777777" w:rsidTr="00654C69">
        <w:tc>
          <w:tcPr>
            <w:tcW w:w="5070" w:type="dxa"/>
            <w:vAlign w:val="center"/>
          </w:tcPr>
          <w:p w14:paraId="61E29E3E" w14:textId="77777777" w:rsidR="00654C69" w:rsidRPr="00761F4B" w:rsidRDefault="00654C69" w:rsidP="00654C69">
            <w:pPr>
              <w:jc w:val="both"/>
              <w:rPr>
                <w:rFonts w:ascii="Times New Roman" w:hAnsi="Times New Roman"/>
              </w:rPr>
            </w:pPr>
            <w:r w:rsidRPr="00761F4B">
              <w:rPr>
                <w:rFonts w:ascii="Times New Roman" w:hAnsi="Times New Roman"/>
              </w:rPr>
              <w:t>Цель 11.  Обеспечение открытости, безопасности, жизнестойкости и экологической устойчивости городов и населенных пунктов</w:t>
            </w:r>
          </w:p>
        </w:tc>
        <w:tc>
          <w:tcPr>
            <w:tcW w:w="0" w:type="auto"/>
          </w:tcPr>
          <w:p w14:paraId="4DDDA197" w14:textId="77777777" w:rsidR="00654C69" w:rsidRPr="00761F4B" w:rsidRDefault="00654C69" w:rsidP="00654C69">
            <w:pPr>
              <w:spacing w:line="360" w:lineRule="auto"/>
              <w:jc w:val="center"/>
              <w:rPr>
                <w:rFonts w:ascii="Times New Roman" w:hAnsi="Times New Roman"/>
              </w:rPr>
            </w:pPr>
            <w:r w:rsidRPr="00761F4B">
              <w:rPr>
                <w:rFonts w:ascii="Times New Roman" w:hAnsi="Times New Roman"/>
              </w:rPr>
              <w:t>82,3</w:t>
            </w:r>
          </w:p>
        </w:tc>
        <w:tc>
          <w:tcPr>
            <w:tcW w:w="0" w:type="auto"/>
          </w:tcPr>
          <w:p w14:paraId="4A8CFB5E" w14:textId="77777777" w:rsidR="00654C69" w:rsidRPr="00761F4B" w:rsidRDefault="00654C69" w:rsidP="00654C69">
            <w:pPr>
              <w:spacing w:line="360" w:lineRule="auto"/>
              <w:jc w:val="center"/>
              <w:rPr>
                <w:rFonts w:ascii="Times New Roman" w:hAnsi="Times New Roman"/>
              </w:rPr>
            </w:pPr>
            <w:r w:rsidRPr="00761F4B">
              <w:rPr>
                <w:rFonts w:ascii="Times New Roman" w:hAnsi="Times New Roman"/>
              </w:rPr>
              <w:t>81</w:t>
            </w:r>
          </w:p>
        </w:tc>
        <w:tc>
          <w:tcPr>
            <w:tcW w:w="0" w:type="auto"/>
          </w:tcPr>
          <w:p w14:paraId="1D941300" w14:textId="77777777" w:rsidR="00654C69" w:rsidRPr="00761F4B" w:rsidRDefault="00654C69" w:rsidP="00654C69">
            <w:pPr>
              <w:spacing w:line="360" w:lineRule="auto"/>
              <w:jc w:val="center"/>
              <w:rPr>
                <w:rFonts w:ascii="Times New Roman" w:hAnsi="Times New Roman"/>
              </w:rPr>
            </w:pPr>
            <w:r w:rsidRPr="00761F4B">
              <w:rPr>
                <w:rFonts w:ascii="Times New Roman" w:hAnsi="Times New Roman"/>
              </w:rPr>
              <w:t>78,4</w:t>
            </w:r>
          </w:p>
        </w:tc>
      </w:tr>
    </w:tbl>
    <w:p w14:paraId="0DC27C04" w14:textId="77777777" w:rsidR="00654C69" w:rsidRPr="004D585B" w:rsidRDefault="00654C69" w:rsidP="00654C69">
      <w:pPr>
        <w:jc w:val="both"/>
        <w:rPr>
          <w:rFonts w:ascii="Times New Roman" w:hAnsi="Times New Roman" w:cs="Times New Roman"/>
          <w:lang w:val="en-US"/>
        </w:rPr>
      </w:pPr>
      <w:r w:rsidRPr="00813259">
        <w:rPr>
          <w:rFonts w:ascii="Times New Roman" w:hAnsi="Times New Roman" w:cs="Times New Roman"/>
          <w:i/>
        </w:rPr>
        <w:t>Источник</w:t>
      </w:r>
      <w:r w:rsidRPr="00813259">
        <w:rPr>
          <w:rFonts w:ascii="Times New Roman" w:hAnsi="Times New Roman" w:cs="Times New Roman"/>
          <w:lang w:val="en-US"/>
        </w:rPr>
        <w:t xml:space="preserve">: </w:t>
      </w:r>
      <w:r w:rsidRPr="00813259">
        <w:rPr>
          <w:rFonts w:ascii="Times New Roman" w:hAnsi="Times New Roman" w:cs="Times New Roman"/>
        </w:rPr>
        <w:t>составлено</w:t>
      </w:r>
      <w:r w:rsidRPr="00813259">
        <w:rPr>
          <w:rFonts w:ascii="Times New Roman" w:hAnsi="Times New Roman" w:cs="Times New Roman"/>
          <w:lang w:val="en-US"/>
        </w:rPr>
        <w:t xml:space="preserve"> </w:t>
      </w:r>
      <w:r w:rsidRPr="00813259">
        <w:rPr>
          <w:rFonts w:ascii="Times New Roman" w:hAnsi="Times New Roman" w:cs="Times New Roman"/>
        </w:rPr>
        <w:t>на</w:t>
      </w:r>
      <w:r w:rsidRPr="00813259">
        <w:rPr>
          <w:rFonts w:ascii="Times New Roman" w:hAnsi="Times New Roman" w:cs="Times New Roman"/>
          <w:lang w:val="en-US"/>
        </w:rPr>
        <w:t xml:space="preserve"> </w:t>
      </w:r>
      <w:r w:rsidRPr="00813259">
        <w:rPr>
          <w:rFonts w:ascii="Times New Roman" w:hAnsi="Times New Roman" w:cs="Times New Roman"/>
        </w:rPr>
        <w:t>основе</w:t>
      </w:r>
      <w:r w:rsidRPr="00813259">
        <w:rPr>
          <w:rFonts w:ascii="Times New Roman" w:hAnsi="Times New Roman" w:cs="Times New Roman"/>
          <w:lang w:val="en-US"/>
        </w:rPr>
        <w:t xml:space="preserve"> Sachs, J., Schmidt-</w:t>
      </w:r>
      <w:proofErr w:type="spellStart"/>
      <w:r w:rsidRPr="00813259">
        <w:rPr>
          <w:rFonts w:ascii="Times New Roman" w:hAnsi="Times New Roman" w:cs="Times New Roman"/>
          <w:lang w:val="en-US"/>
        </w:rPr>
        <w:t>Traub</w:t>
      </w:r>
      <w:proofErr w:type="spellEnd"/>
      <w:r w:rsidRPr="00813259">
        <w:rPr>
          <w:rFonts w:ascii="Times New Roman" w:hAnsi="Times New Roman" w:cs="Times New Roman"/>
          <w:lang w:val="en-US"/>
        </w:rPr>
        <w:t xml:space="preserve">, G., Kroll, C., </w:t>
      </w:r>
      <w:proofErr w:type="spellStart"/>
      <w:r w:rsidRPr="00813259">
        <w:rPr>
          <w:rFonts w:ascii="Times New Roman" w:hAnsi="Times New Roman" w:cs="Times New Roman"/>
          <w:lang w:val="en-US"/>
        </w:rPr>
        <w:t>Lafortune</w:t>
      </w:r>
      <w:proofErr w:type="spellEnd"/>
      <w:r w:rsidRPr="00813259">
        <w:rPr>
          <w:rFonts w:ascii="Times New Roman" w:hAnsi="Times New Roman" w:cs="Times New Roman"/>
          <w:lang w:val="en-US"/>
        </w:rPr>
        <w:t xml:space="preserve">, G., Fuller, G. (2019): Sustainable Development Report 2019. </w:t>
      </w:r>
      <w:r w:rsidRPr="004D585B">
        <w:rPr>
          <w:rFonts w:ascii="Times New Roman" w:hAnsi="Times New Roman" w:cs="Times New Roman"/>
          <w:lang w:val="en-US"/>
        </w:rPr>
        <w:t xml:space="preserve">New York: Bertelsmann </w:t>
      </w:r>
      <w:proofErr w:type="spellStart"/>
      <w:r w:rsidRPr="004D585B">
        <w:rPr>
          <w:rFonts w:ascii="Times New Roman" w:hAnsi="Times New Roman" w:cs="Times New Roman"/>
          <w:lang w:val="en-US"/>
        </w:rPr>
        <w:t>Stiftung</w:t>
      </w:r>
      <w:proofErr w:type="spellEnd"/>
      <w:r w:rsidRPr="004D585B">
        <w:rPr>
          <w:rFonts w:ascii="Times New Roman" w:hAnsi="Times New Roman" w:cs="Times New Roman"/>
          <w:lang w:val="en-US"/>
        </w:rPr>
        <w:t xml:space="preserve"> and Sustainable Development Solutions Network (SDSN).</w:t>
      </w:r>
    </w:p>
    <w:p w14:paraId="791C5E19" w14:textId="77777777" w:rsidR="00654C69" w:rsidRPr="001B4181" w:rsidRDefault="00654C69" w:rsidP="00654C69">
      <w:pPr>
        <w:spacing w:line="360" w:lineRule="auto"/>
        <w:ind w:firstLine="709"/>
        <w:jc w:val="both"/>
        <w:rPr>
          <w:rFonts w:ascii="Times New Roman" w:hAnsi="Times New Roman" w:cs="Times New Roman"/>
          <w:b/>
          <w:sz w:val="28"/>
          <w:szCs w:val="28"/>
          <w:lang w:val="en-US"/>
        </w:rPr>
      </w:pPr>
    </w:p>
    <w:p w14:paraId="06F39DF2" w14:textId="4BF23953" w:rsidR="00612C7B" w:rsidRDefault="00654C69" w:rsidP="005C5BC8">
      <w:pPr>
        <w:spacing w:line="360" w:lineRule="auto"/>
        <w:ind w:firstLine="709"/>
        <w:jc w:val="both"/>
        <w:rPr>
          <w:rFonts w:ascii="Times New Roman" w:hAnsi="Times New Roman" w:cs="Times New Roman"/>
          <w:sz w:val="28"/>
          <w:szCs w:val="28"/>
        </w:rPr>
      </w:pPr>
      <w:r w:rsidRPr="00844606">
        <w:rPr>
          <w:rFonts w:ascii="Times New Roman" w:hAnsi="Times New Roman" w:cs="Times New Roman"/>
          <w:sz w:val="28"/>
          <w:szCs w:val="28"/>
        </w:rPr>
        <w:t xml:space="preserve">Наиболее низкий показатель у России даже по сравнению с Белоруссией и Казахстаном </w:t>
      </w:r>
      <w:r w:rsidRPr="00A437A7">
        <w:rPr>
          <w:rFonts w:ascii="Times New Roman" w:hAnsi="Times New Roman" w:cs="Times New Roman"/>
          <w:i/>
          <w:sz w:val="28"/>
          <w:szCs w:val="28"/>
        </w:rPr>
        <w:t>по цели 10 «Сокращение неравенства внутри стран и между ними</w:t>
      </w:r>
      <w:r w:rsidR="00406ADF" w:rsidRPr="00A437A7">
        <w:rPr>
          <w:rFonts w:ascii="Times New Roman" w:hAnsi="Times New Roman" w:cs="Times New Roman"/>
          <w:i/>
          <w:sz w:val="28"/>
          <w:szCs w:val="28"/>
        </w:rPr>
        <w:t>»</w:t>
      </w:r>
      <w:r w:rsidRPr="00A437A7">
        <w:rPr>
          <w:rFonts w:ascii="Times New Roman" w:hAnsi="Times New Roman" w:cs="Times New Roman"/>
          <w:i/>
          <w:sz w:val="28"/>
          <w:szCs w:val="28"/>
        </w:rPr>
        <w:t>.</w:t>
      </w:r>
      <w:r>
        <w:rPr>
          <w:rFonts w:ascii="Times New Roman" w:hAnsi="Times New Roman" w:cs="Times New Roman"/>
          <w:sz w:val="28"/>
          <w:szCs w:val="28"/>
        </w:rPr>
        <w:t xml:space="preserve"> Эта проблема не решается </w:t>
      </w:r>
      <w:r w:rsidR="00406ADF">
        <w:rPr>
          <w:rFonts w:ascii="Times New Roman" w:hAnsi="Times New Roman" w:cs="Times New Roman"/>
          <w:sz w:val="28"/>
          <w:szCs w:val="28"/>
        </w:rPr>
        <w:t xml:space="preserve">как </w:t>
      </w:r>
      <w:r>
        <w:rPr>
          <w:rFonts w:ascii="Times New Roman" w:hAnsi="Times New Roman" w:cs="Times New Roman"/>
          <w:sz w:val="28"/>
          <w:szCs w:val="28"/>
        </w:rPr>
        <w:t xml:space="preserve">ориентацией социальных выплат на достижение прожиточного минимума, в т.ч. </w:t>
      </w:r>
      <w:r>
        <w:rPr>
          <w:rFonts w:ascii="Times New Roman" w:hAnsi="Times New Roman" w:cs="Times New Roman"/>
          <w:sz w:val="28"/>
          <w:szCs w:val="28"/>
        </w:rPr>
        <w:lastRenderedPageBreak/>
        <w:t>пенсионеров, которые заложены в законопроекте</w:t>
      </w:r>
      <w:r w:rsidR="00406ADF">
        <w:rPr>
          <w:rFonts w:ascii="Times New Roman" w:hAnsi="Times New Roman" w:cs="Times New Roman"/>
          <w:sz w:val="28"/>
          <w:szCs w:val="28"/>
        </w:rPr>
        <w:t xml:space="preserve"> и государственных программах, т</w:t>
      </w:r>
      <w:r>
        <w:rPr>
          <w:rFonts w:ascii="Times New Roman" w:hAnsi="Times New Roman" w:cs="Times New Roman"/>
          <w:sz w:val="28"/>
          <w:szCs w:val="28"/>
        </w:rPr>
        <w:t xml:space="preserve">ак и </w:t>
      </w:r>
      <w:r w:rsidR="00761F4B">
        <w:rPr>
          <w:rFonts w:ascii="Times New Roman" w:hAnsi="Times New Roman" w:cs="Times New Roman"/>
          <w:sz w:val="28"/>
          <w:szCs w:val="28"/>
        </w:rPr>
        <w:t xml:space="preserve">ростом </w:t>
      </w:r>
      <w:r>
        <w:rPr>
          <w:rFonts w:ascii="Times New Roman" w:hAnsi="Times New Roman" w:cs="Times New Roman"/>
          <w:sz w:val="28"/>
          <w:szCs w:val="28"/>
        </w:rPr>
        <w:t>расход</w:t>
      </w:r>
      <w:r w:rsidR="00761F4B">
        <w:rPr>
          <w:rFonts w:ascii="Times New Roman" w:hAnsi="Times New Roman" w:cs="Times New Roman"/>
          <w:sz w:val="28"/>
          <w:szCs w:val="28"/>
        </w:rPr>
        <w:t xml:space="preserve">ов </w:t>
      </w:r>
      <w:r>
        <w:rPr>
          <w:rFonts w:ascii="Times New Roman" w:hAnsi="Times New Roman" w:cs="Times New Roman"/>
          <w:sz w:val="28"/>
          <w:szCs w:val="28"/>
        </w:rPr>
        <w:t xml:space="preserve"> бюджетов социальной направленности</w:t>
      </w:r>
      <w:r w:rsidR="00761F4B">
        <w:rPr>
          <w:rFonts w:ascii="Times New Roman" w:hAnsi="Times New Roman" w:cs="Times New Roman"/>
          <w:sz w:val="28"/>
          <w:szCs w:val="28"/>
        </w:rPr>
        <w:t xml:space="preserve"> в абсолютном выражении</w:t>
      </w:r>
      <w:r>
        <w:rPr>
          <w:rFonts w:ascii="Times New Roman" w:hAnsi="Times New Roman" w:cs="Times New Roman"/>
          <w:sz w:val="28"/>
          <w:szCs w:val="28"/>
        </w:rPr>
        <w:t xml:space="preserve">. </w:t>
      </w:r>
    </w:p>
    <w:p w14:paraId="4D83BB57" w14:textId="6B94E987" w:rsidR="005C271F" w:rsidRPr="00E1515B" w:rsidRDefault="005C271F" w:rsidP="005C271F">
      <w:pPr>
        <w:spacing w:line="360" w:lineRule="auto"/>
        <w:ind w:firstLine="709"/>
        <w:jc w:val="both"/>
        <w:rPr>
          <w:rFonts w:ascii="Times New Roman" w:hAnsi="Times New Roman" w:cs="Times New Roman"/>
          <w:sz w:val="28"/>
          <w:szCs w:val="28"/>
        </w:rPr>
      </w:pPr>
      <w:r w:rsidRPr="00E1515B">
        <w:rPr>
          <w:rFonts w:ascii="Times New Roman" w:hAnsi="Times New Roman" w:cs="Times New Roman"/>
          <w:sz w:val="28"/>
          <w:szCs w:val="28"/>
        </w:rPr>
        <w:t xml:space="preserve">Хотя определенное неравенство неизбежно в экономической системе, основанной на  рыночных принципах,  высокий уровень неравенства может  снижать социальную стабильность, привести к поляризации общества и, в конечном счете, снижен темпов экономического роста. </w:t>
      </w:r>
    </w:p>
    <w:p w14:paraId="7C2E0D34" w14:textId="3333C8A6" w:rsidR="005C62AD" w:rsidRPr="00E1515B" w:rsidRDefault="00DE535A" w:rsidP="005C62AD">
      <w:pPr>
        <w:spacing w:line="360" w:lineRule="auto"/>
        <w:ind w:firstLine="709"/>
        <w:jc w:val="both"/>
        <w:rPr>
          <w:rFonts w:ascii="Times New Roman" w:hAnsi="Times New Roman" w:cs="Times New Roman"/>
          <w:sz w:val="28"/>
          <w:szCs w:val="28"/>
        </w:rPr>
      </w:pPr>
      <w:r w:rsidRPr="004D585B">
        <w:rPr>
          <w:rFonts w:ascii="Times New Roman" w:hAnsi="Times New Roman" w:cs="Times New Roman"/>
          <w:sz w:val="28"/>
          <w:szCs w:val="28"/>
        </w:rPr>
        <w:t xml:space="preserve">Инвестиции в  образование и здравоохранение могут </w:t>
      </w:r>
      <w:r w:rsidR="005C62AD" w:rsidRPr="004D585B">
        <w:rPr>
          <w:rFonts w:ascii="Times New Roman" w:hAnsi="Times New Roman" w:cs="Times New Roman"/>
          <w:sz w:val="28"/>
          <w:szCs w:val="28"/>
        </w:rPr>
        <w:t xml:space="preserve">способствовать снижению </w:t>
      </w:r>
      <w:r w:rsidR="005C62AD" w:rsidRPr="00E1515B">
        <w:rPr>
          <w:rFonts w:ascii="Times New Roman" w:hAnsi="Times New Roman" w:cs="Times New Roman"/>
          <w:sz w:val="28"/>
          <w:szCs w:val="28"/>
        </w:rPr>
        <w:t>неравенства в доходах в среднесрочной перспективу, решению проблемы бедности, сохраняющей</w:t>
      </w:r>
      <w:r w:rsidR="00406ADF">
        <w:rPr>
          <w:rFonts w:ascii="Times New Roman" w:hAnsi="Times New Roman" w:cs="Times New Roman"/>
          <w:sz w:val="28"/>
          <w:szCs w:val="28"/>
        </w:rPr>
        <w:t>ся</w:t>
      </w:r>
      <w:r w:rsidR="005C62AD" w:rsidRPr="00E1515B">
        <w:rPr>
          <w:rFonts w:ascii="Times New Roman" w:hAnsi="Times New Roman" w:cs="Times New Roman"/>
          <w:sz w:val="28"/>
          <w:szCs w:val="28"/>
        </w:rPr>
        <w:t xml:space="preserve"> для нескольких поколений, повысить  социальную мобильность </w:t>
      </w:r>
      <w:r w:rsidR="00406ADF">
        <w:rPr>
          <w:rFonts w:ascii="Times New Roman" w:hAnsi="Times New Roman" w:cs="Times New Roman"/>
          <w:sz w:val="28"/>
          <w:szCs w:val="28"/>
        </w:rPr>
        <w:t xml:space="preserve">населения </w:t>
      </w:r>
      <w:r w:rsidR="005C62AD" w:rsidRPr="00E1515B">
        <w:rPr>
          <w:rFonts w:ascii="Times New Roman" w:hAnsi="Times New Roman" w:cs="Times New Roman"/>
          <w:sz w:val="28"/>
          <w:szCs w:val="28"/>
        </w:rPr>
        <w:t xml:space="preserve">и, в конечном счете, способствовать сокращению региональных диспропорций и устойчивому экономическому росту. </w:t>
      </w:r>
    </w:p>
    <w:p w14:paraId="014943CA" w14:textId="348ADE66" w:rsidR="0029446F" w:rsidRPr="00E1515B" w:rsidRDefault="00761F4B" w:rsidP="005C27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w:t>
      </w:r>
      <w:r w:rsidR="0029446F" w:rsidRPr="00E1515B">
        <w:rPr>
          <w:rFonts w:ascii="Times New Roman" w:hAnsi="Times New Roman" w:cs="Times New Roman"/>
          <w:sz w:val="28"/>
          <w:szCs w:val="28"/>
        </w:rPr>
        <w:t>ледует учитывать, что в последние десятилетия показатели здоровья населения определяются и другими факторами, помимо объема расходов на здравоохранение и состояния этой отрасли, в частности, такими как питание, образование, здоровый образ жизни.</w:t>
      </w:r>
    </w:p>
    <w:p w14:paraId="714B9472" w14:textId="792AEE9E" w:rsidR="0029446F" w:rsidRDefault="0029446F" w:rsidP="005C62AD">
      <w:pPr>
        <w:spacing w:line="360" w:lineRule="auto"/>
        <w:ind w:firstLine="709"/>
        <w:jc w:val="both"/>
        <w:rPr>
          <w:rFonts w:ascii="Times New Roman" w:hAnsi="Times New Roman" w:cs="Times New Roman"/>
          <w:sz w:val="28"/>
          <w:szCs w:val="28"/>
        </w:rPr>
      </w:pPr>
      <w:r w:rsidRPr="00E1515B">
        <w:rPr>
          <w:rFonts w:ascii="Times New Roman" w:hAnsi="Times New Roman" w:cs="Times New Roman"/>
          <w:sz w:val="28"/>
          <w:szCs w:val="28"/>
        </w:rPr>
        <w:t xml:space="preserve">Устранение сохраняющегося неравенства требует  повышения уровня адресности бюджетных расходов, особенно в социальной сфере (образовании, здравоохранении). </w:t>
      </w:r>
    </w:p>
    <w:p w14:paraId="51A99F4E" w14:textId="7031CC46" w:rsidR="003216A3" w:rsidRPr="0033517A" w:rsidRDefault="00761F4B" w:rsidP="003216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Углубляет</w:t>
      </w:r>
      <w:r w:rsidR="005C271F">
        <w:rPr>
          <w:rFonts w:ascii="Times New Roman" w:hAnsi="Times New Roman" w:cs="Times New Roman"/>
          <w:sz w:val="28"/>
          <w:szCs w:val="28"/>
        </w:rPr>
        <w:t xml:space="preserve"> проблем</w:t>
      </w:r>
      <w:r>
        <w:rPr>
          <w:rFonts w:ascii="Times New Roman" w:hAnsi="Times New Roman" w:cs="Times New Roman"/>
          <w:sz w:val="28"/>
          <w:szCs w:val="28"/>
        </w:rPr>
        <w:t>у</w:t>
      </w:r>
      <w:r w:rsidR="005C271F">
        <w:rPr>
          <w:rFonts w:ascii="Times New Roman" w:hAnsi="Times New Roman" w:cs="Times New Roman"/>
          <w:sz w:val="28"/>
          <w:szCs w:val="28"/>
        </w:rPr>
        <w:t xml:space="preserve"> неравенства </w:t>
      </w:r>
      <w:r w:rsidR="005C271F" w:rsidRPr="00A437A7">
        <w:rPr>
          <w:rFonts w:ascii="Times New Roman" w:hAnsi="Times New Roman" w:cs="Times New Roman"/>
          <w:i/>
          <w:sz w:val="28"/>
          <w:szCs w:val="28"/>
        </w:rPr>
        <w:t>дифференциаци</w:t>
      </w:r>
      <w:r w:rsidRPr="00A437A7">
        <w:rPr>
          <w:rFonts w:ascii="Times New Roman" w:hAnsi="Times New Roman" w:cs="Times New Roman"/>
          <w:i/>
          <w:sz w:val="28"/>
          <w:szCs w:val="28"/>
        </w:rPr>
        <w:t>я</w:t>
      </w:r>
      <w:r w:rsidR="005C271F" w:rsidRPr="00A437A7">
        <w:rPr>
          <w:rFonts w:ascii="Times New Roman" w:hAnsi="Times New Roman" w:cs="Times New Roman"/>
          <w:i/>
          <w:sz w:val="28"/>
          <w:szCs w:val="28"/>
        </w:rPr>
        <w:t xml:space="preserve"> </w:t>
      </w:r>
      <w:r w:rsidR="003216A3" w:rsidRPr="00A437A7">
        <w:rPr>
          <w:rFonts w:ascii="Times New Roman" w:hAnsi="Times New Roman" w:cs="Times New Roman"/>
          <w:i/>
          <w:sz w:val="28"/>
          <w:szCs w:val="28"/>
        </w:rPr>
        <w:t>регионов</w:t>
      </w:r>
      <w:r w:rsidR="003216A3">
        <w:rPr>
          <w:rFonts w:ascii="Times New Roman" w:hAnsi="Times New Roman" w:cs="Times New Roman"/>
          <w:sz w:val="28"/>
          <w:szCs w:val="28"/>
        </w:rPr>
        <w:t xml:space="preserve"> по уровню социально-экономического развития</w:t>
      </w:r>
      <w:r>
        <w:rPr>
          <w:rFonts w:ascii="Times New Roman" w:hAnsi="Times New Roman" w:cs="Times New Roman"/>
          <w:sz w:val="28"/>
          <w:szCs w:val="28"/>
        </w:rPr>
        <w:t xml:space="preserve">, решить которую </w:t>
      </w:r>
      <w:r w:rsidR="003216A3">
        <w:rPr>
          <w:rFonts w:ascii="Times New Roman" w:hAnsi="Times New Roman" w:cs="Times New Roman"/>
          <w:sz w:val="28"/>
          <w:szCs w:val="28"/>
        </w:rPr>
        <w:t>сложившаяся систем</w:t>
      </w:r>
      <w:r>
        <w:rPr>
          <w:rFonts w:ascii="Times New Roman" w:hAnsi="Times New Roman" w:cs="Times New Roman"/>
          <w:sz w:val="28"/>
          <w:szCs w:val="28"/>
        </w:rPr>
        <w:t>а</w:t>
      </w:r>
      <w:r w:rsidR="003216A3">
        <w:rPr>
          <w:rFonts w:ascii="Times New Roman" w:hAnsi="Times New Roman" w:cs="Times New Roman"/>
          <w:sz w:val="28"/>
          <w:szCs w:val="28"/>
        </w:rPr>
        <w:t xml:space="preserve"> межбюджетных отношений</w:t>
      </w:r>
      <w:r>
        <w:rPr>
          <w:rFonts w:ascii="Times New Roman" w:hAnsi="Times New Roman" w:cs="Times New Roman"/>
          <w:sz w:val="28"/>
          <w:szCs w:val="28"/>
        </w:rPr>
        <w:t xml:space="preserve"> не способна</w:t>
      </w:r>
      <w:r w:rsidR="003216A3">
        <w:rPr>
          <w:rFonts w:ascii="Times New Roman" w:hAnsi="Times New Roman" w:cs="Times New Roman"/>
          <w:sz w:val="28"/>
          <w:szCs w:val="28"/>
        </w:rPr>
        <w:t xml:space="preserve">. Результаты анализа официальной статистической информации свидетельствуют, что у субъектов Российской Федерации в 2016-2020 гг. не происходит сколько бы значимого изменения уровня расчетной бюджетной обеспеченности, при этом </w:t>
      </w:r>
      <w:r w:rsidR="0065387A">
        <w:rPr>
          <w:rFonts w:ascii="Times New Roman" w:hAnsi="Times New Roman" w:cs="Times New Roman"/>
          <w:sz w:val="28"/>
          <w:szCs w:val="28"/>
        </w:rPr>
        <w:t xml:space="preserve">регионы с примерно одинаковым – </w:t>
      </w:r>
      <w:r>
        <w:rPr>
          <w:rFonts w:ascii="Times New Roman" w:hAnsi="Times New Roman" w:cs="Times New Roman"/>
          <w:sz w:val="28"/>
          <w:szCs w:val="28"/>
        </w:rPr>
        <w:t>средним или</w:t>
      </w:r>
      <w:r w:rsidR="0065387A">
        <w:rPr>
          <w:rFonts w:ascii="Times New Roman" w:hAnsi="Times New Roman" w:cs="Times New Roman"/>
          <w:sz w:val="28"/>
          <w:szCs w:val="28"/>
        </w:rPr>
        <w:t xml:space="preserve"> выше среднего по федеральному округу – уровнем ВРП на душу населения и расчетной бюджетной обеспеченности </w:t>
      </w:r>
      <w:r w:rsidR="003216A3">
        <w:rPr>
          <w:rFonts w:ascii="Times New Roman" w:hAnsi="Times New Roman" w:cs="Times New Roman"/>
          <w:sz w:val="28"/>
          <w:szCs w:val="28"/>
        </w:rPr>
        <w:t xml:space="preserve"> </w:t>
      </w:r>
      <w:r w:rsidR="0065387A">
        <w:rPr>
          <w:rFonts w:ascii="Times New Roman" w:hAnsi="Times New Roman" w:cs="Times New Roman"/>
          <w:sz w:val="28"/>
          <w:szCs w:val="28"/>
        </w:rPr>
        <w:t>могут получать в 2019-2021 гг. разный объем дотации на выравнив</w:t>
      </w:r>
      <w:r>
        <w:rPr>
          <w:rFonts w:ascii="Times New Roman" w:hAnsi="Times New Roman" w:cs="Times New Roman"/>
          <w:sz w:val="28"/>
          <w:szCs w:val="28"/>
        </w:rPr>
        <w:t xml:space="preserve">ание бюджетной обеспеченности  </w:t>
      </w:r>
      <w:r w:rsidR="0065387A">
        <w:rPr>
          <w:rFonts w:ascii="Times New Roman" w:hAnsi="Times New Roman" w:cs="Times New Roman"/>
          <w:sz w:val="28"/>
          <w:szCs w:val="28"/>
        </w:rPr>
        <w:t xml:space="preserve">(Тульская и Тверская области в ЦАО, Псковская </w:t>
      </w:r>
      <w:r w:rsidR="0065387A">
        <w:rPr>
          <w:rFonts w:ascii="Times New Roman" w:hAnsi="Times New Roman" w:cs="Times New Roman"/>
          <w:sz w:val="28"/>
          <w:szCs w:val="28"/>
        </w:rPr>
        <w:lastRenderedPageBreak/>
        <w:t xml:space="preserve">область и Республика Карелия в СЗФО,  Республика Дагестан и Чеченская Республика в СКФО, Республика Марий Эл и Кировская область в ПФО, Хабаровский край </w:t>
      </w:r>
      <w:r>
        <w:rPr>
          <w:rFonts w:ascii="Times New Roman" w:hAnsi="Times New Roman" w:cs="Times New Roman"/>
          <w:sz w:val="28"/>
          <w:szCs w:val="28"/>
        </w:rPr>
        <w:t xml:space="preserve">и Амурская область в ДФО и др.). На фоне роста межбюджетных трансфертов из федерального бюджета во многих регионах снижаются доходы населения от предпринимательской деятельности, возрастает </w:t>
      </w:r>
      <w:r w:rsidRPr="0033517A">
        <w:rPr>
          <w:rFonts w:ascii="Times New Roman" w:hAnsi="Times New Roman" w:cs="Times New Roman"/>
          <w:sz w:val="28"/>
          <w:szCs w:val="28"/>
        </w:rPr>
        <w:t>удельный вес социальных выплат и заработной платы работающих в государственных и муниципальных учреждениях в доходах граждан.</w:t>
      </w:r>
    </w:p>
    <w:p w14:paraId="40C03D06" w14:textId="567489DC" w:rsidR="00DE535A" w:rsidRPr="0033517A" w:rsidRDefault="00761F4B" w:rsidP="00B51BA4">
      <w:pPr>
        <w:pStyle w:val="31"/>
        <w:ind w:firstLine="709"/>
        <w:rPr>
          <w:rFonts w:ascii="Times New Roman" w:hAnsi="Times New Roman" w:cs="Times New Roman"/>
        </w:rPr>
      </w:pPr>
      <w:r w:rsidRPr="0033517A">
        <w:rPr>
          <w:rFonts w:ascii="Times New Roman" w:hAnsi="Times New Roman" w:cs="Times New Roman"/>
        </w:rPr>
        <w:t xml:space="preserve">В этой связи </w:t>
      </w:r>
      <w:r w:rsidR="005C271F" w:rsidRPr="0033517A">
        <w:rPr>
          <w:rFonts w:ascii="Times New Roman" w:hAnsi="Times New Roman" w:cs="Times New Roman"/>
        </w:rPr>
        <w:t xml:space="preserve">следует пересмотреть подходы к установлению нормативов зачисления налогов в региональные бюджеты, предусмотрев возможность введения нормативов, дифференцированных по группам субъектов федерации. Критериями такой группировки могут быть, например, объем ВРП (или расходов бюджета) на душу постоянного населения, плотность населения и т.п. </w:t>
      </w:r>
      <w:proofErr w:type="gramStart"/>
      <w:r w:rsidR="005C271F" w:rsidRPr="0033517A">
        <w:rPr>
          <w:rFonts w:ascii="Times New Roman" w:hAnsi="Times New Roman" w:cs="Times New Roman"/>
        </w:rPr>
        <w:t>Распределение поступлений налога на доходы физических лиц можно производить по принципу зачисления в региональные и местные бюджеты  части поступлений по установленному в Бюджетном кодексу Российской Федерации нормативу, а часть поступлений перераспределять в соответствии с численностью постоянного населения публично-правового образования.</w:t>
      </w:r>
      <w:proofErr w:type="gramEnd"/>
      <w:r w:rsidR="005C271F" w:rsidRPr="0033517A">
        <w:rPr>
          <w:rFonts w:ascii="Times New Roman" w:hAnsi="Times New Roman" w:cs="Times New Roman"/>
        </w:rPr>
        <w:t xml:space="preserve"> Такой подход позволит решить проблему несовпадения места уплаты налога на доходы физических лиц у источника и места получения государственных </w:t>
      </w:r>
      <w:r w:rsidR="00B51BA4" w:rsidRPr="0033517A">
        <w:rPr>
          <w:rFonts w:ascii="Times New Roman" w:hAnsi="Times New Roman" w:cs="Times New Roman"/>
        </w:rPr>
        <w:t>(</w:t>
      </w:r>
      <w:r w:rsidR="005C271F" w:rsidRPr="0033517A">
        <w:rPr>
          <w:rFonts w:ascii="Times New Roman" w:hAnsi="Times New Roman" w:cs="Times New Roman"/>
        </w:rPr>
        <w:t>муниципальных</w:t>
      </w:r>
      <w:r w:rsidR="00B51BA4" w:rsidRPr="0033517A">
        <w:rPr>
          <w:rFonts w:ascii="Times New Roman" w:hAnsi="Times New Roman" w:cs="Times New Roman"/>
        </w:rPr>
        <w:t>)</w:t>
      </w:r>
      <w:r w:rsidR="005C271F" w:rsidRPr="0033517A">
        <w:rPr>
          <w:rFonts w:ascii="Times New Roman" w:hAnsi="Times New Roman" w:cs="Times New Roman"/>
        </w:rPr>
        <w:t xml:space="preserve"> услуг в сфере образования, здравоохранения,</w:t>
      </w:r>
      <w:r w:rsidR="00B51BA4" w:rsidRPr="0033517A">
        <w:rPr>
          <w:rFonts w:ascii="Times New Roman" w:hAnsi="Times New Roman" w:cs="Times New Roman"/>
        </w:rPr>
        <w:t xml:space="preserve"> социального обеспечения и т.д., оказываемых в соответствии с государственным (муниципальным) заданием. </w:t>
      </w:r>
    </w:p>
    <w:p w14:paraId="209118DA" w14:textId="3F72C913" w:rsidR="00E91D64" w:rsidRPr="0033517A" w:rsidRDefault="00E91D64" w:rsidP="00E91D64">
      <w:pPr>
        <w:pStyle w:val="31"/>
        <w:ind w:firstLine="709"/>
        <w:rPr>
          <w:rFonts w:ascii="Times New Roman" w:hAnsi="Times New Roman" w:cs="Times New Roman"/>
        </w:rPr>
      </w:pPr>
      <w:r w:rsidRPr="0033517A">
        <w:rPr>
          <w:rFonts w:ascii="Times New Roman" w:hAnsi="Times New Roman" w:cs="Times New Roman"/>
        </w:rPr>
        <w:t xml:space="preserve">Не менее важной является проблема </w:t>
      </w:r>
      <w:r w:rsidRPr="0033517A">
        <w:rPr>
          <w:rFonts w:ascii="Times New Roman" w:hAnsi="Times New Roman" w:cs="Times New Roman"/>
          <w:i/>
        </w:rPr>
        <w:t xml:space="preserve">повышения эффективности программно-целевого управления </w:t>
      </w:r>
      <w:r w:rsidR="00B51BA4" w:rsidRPr="0033517A">
        <w:rPr>
          <w:rFonts w:ascii="Times New Roman" w:hAnsi="Times New Roman" w:cs="Times New Roman"/>
          <w:i/>
        </w:rPr>
        <w:t>расходами федерального бюджета</w:t>
      </w:r>
      <w:r w:rsidRPr="0033517A">
        <w:rPr>
          <w:rFonts w:ascii="Times New Roman" w:hAnsi="Times New Roman" w:cs="Times New Roman"/>
        </w:rPr>
        <w:t>. Несмотря на имеющиеся позитивные результаты внедрения государственных программ</w:t>
      </w:r>
      <w:r w:rsidR="00B51BA4" w:rsidRPr="0033517A">
        <w:rPr>
          <w:rFonts w:ascii="Times New Roman" w:hAnsi="Times New Roman" w:cs="Times New Roman"/>
        </w:rPr>
        <w:t xml:space="preserve"> Российской Федерации</w:t>
      </w:r>
      <w:r w:rsidRPr="0033517A">
        <w:rPr>
          <w:rFonts w:ascii="Times New Roman" w:hAnsi="Times New Roman" w:cs="Times New Roman"/>
        </w:rPr>
        <w:t>, они не стали эффективным инструментом управления и полноценным элементом бюджетного планирования в связи с тем, что:</w:t>
      </w:r>
    </w:p>
    <w:p w14:paraId="797328E0" w14:textId="0A72F46F" w:rsidR="00E91D64" w:rsidRPr="0033517A" w:rsidRDefault="00E91D64" w:rsidP="00E91D64">
      <w:pPr>
        <w:spacing w:line="360" w:lineRule="auto"/>
        <w:ind w:firstLine="709"/>
        <w:jc w:val="both"/>
        <w:rPr>
          <w:rFonts w:ascii="Times New Roman" w:hAnsi="Times New Roman" w:cs="Times New Roman"/>
          <w:sz w:val="28"/>
          <w:szCs w:val="28"/>
        </w:rPr>
      </w:pPr>
      <w:r w:rsidRPr="0033517A">
        <w:rPr>
          <w:rFonts w:ascii="Times New Roman" w:hAnsi="Times New Roman" w:cs="Times New Roman"/>
          <w:sz w:val="28"/>
          <w:szCs w:val="28"/>
        </w:rPr>
        <w:lastRenderedPageBreak/>
        <w:t xml:space="preserve">- </w:t>
      </w:r>
      <w:proofErr w:type="spellStart"/>
      <w:r w:rsidRPr="0033517A">
        <w:rPr>
          <w:rFonts w:ascii="Times New Roman" w:hAnsi="Times New Roman" w:cs="Times New Roman"/>
          <w:sz w:val="28"/>
          <w:szCs w:val="28"/>
        </w:rPr>
        <w:t>приоритизация</w:t>
      </w:r>
      <w:proofErr w:type="spellEnd"/>
      <w:r w:rsidRPr="0033517A">
        <w:rPr>
          <w:rFonts w:ascii="Times New Roman" w:hAnsi="Times New Roman" w:cs="Times New Roman"/>
          <w:sz w:val="28"/>
          <w:szCs w:val="28"/>
        </w:rPr>
        <w:t xml:space="preserve"> мероприятий и бюджетных ас</w:t>
      </w:r>
      <w:r w:rsidR="00B51BA4" w:rsidRPr="0033517A">
        <w:rPr>
          <w:rFonts w:ascii="Times New Roman" w:hAnsi="Times New Roman" w:cs="Times New Roman"/>
          <w:sz w:val="28"/>
          <w:szCs w:val="28"/>
        </w:rPr>
        <w:t xml:space="preserve">сигнований </w:t>
      </w:r>
      <w:r w:rsidR="00A437A7" w:rsidRPr="0033517A">
        <w:rPr>
          <w:rFonts w:ascii="Times New Roman" w:hAnsi="Times New Roman" w:cs="Times New Roman"/>
          <w:sz w:val="28"/>
          <w:szCs w:val="28"/>
        </w:rPr>
        <w:t xml:space="preserve">фактически </w:t>
      </w:r>
      <w:r w:rsidR="00B51BA4" w:rsidRPr="0033517A">
        <w:rPr>
          <w:rFonts w:ascii="Times New Roman" w:hAnsi="Times New Roman" w:cs="Times New Roman"/>
          <w:sz w:val="28"/>
          <w:szCs w:val="28"/>
        </w:rPr>
        <w:t>не была осуществлена:</w:t>
      </w:r>
      <w:r w:rsidRPr="0033517A">
        <w:rPr>
          <w:rFonts w:ascii="Times New Roman" w:hAnsi="Times New Roman" w:cs="Times New Roman"/>
          <w:sz w:val="28"/>
          <w:szCs w:val="28"/>
        </w:rPr>
        <w:t xml:space="preserve"> программы сформированы путем простой перегруппировки существ</w:t>
      </w:r>
      <w:r w:rsidR="00B51BA4" w:rsidRPr="0033517A">
        <w:rPr>
          <w:rFonts w:ascii="Times New Roman" w:hAnsi="Times New Roman" w:cs="Times New Roman"/>
          <w:sz w:val="28"/>
          <w:szCs w:val="28"/>
        </w:rPr>
        <w:t xml:space="preserve">овавших </w:t>
      </w:r>
      <w:r w:rsidRPr="0033517A">
        <w:rPr>
          <w:rFonts w:ascii="Times New Roman" w:hAnsi="Times New Roman" w:cs="Times New Roman"/>
          <w:sz w:val="28"/>
          <w:szCs w:val="28"/>
        </w:rPr>
        <w:t>мероприятий</w:t>
      </w:r>
      <w:r w:rsidR="00B51BA4" w:rsidRPr="0033517A">
        <w:rPr>
          <w:rFonts w:ascii="Times New Roman" w:hAnsi="Times New Roman" w:cs="Times New Roman"/>
          <w:sz w:val="28"/>
          <w:szCs w:val="28"/>
        </w:rPr>
        <w:t xml:space="preserve">, </w:t>
      </w:r>
      <w:r w:rsidR="00A437A7" w:rsidRPr="0033517A">
        <w:rPr>
          <w:rFonts w:ascii="Times New Roman" w:hAnsi="Times New Roman" w:cs="Times New Roman"/>
          <w:sz w:val="28"/>
          <w:szCs w:val="28"/>
        </w:rPr>
        <w:t>проектов</w:t>
      </w:r>
      <w:r w:rsidR="00B51BA4" w:rsidRPr="0033517A">
        <w:rPr>
          <w:rFonts w:ascii="Times New Roman" w:hAnsi="Times New Roman" w:cs="Times New Roman"/>
          <w:sz w:val="28"/>
          <w:szCs w:val="28"/>
        </w:rPr>
        <w:t>, программ</w:t>
      </w:r>
      <w:r w:rsidRPr="0033517A">
        <w:rPr>
          <w:rFonts w:ascii="Times New Roman" w:hAnsi="Times New Roman" w:cs="Times New Roman"/>
          <w:sz w:val="28"/>
          <w:szCs w:val="28"/>
        </w:rPr>
        <w:t>;</w:t>
      </w:r>
    </w:p>
    <w:p w14:paraId="51F416BB" w14:textId="6C9DAD3D" w:rsidR="00E91D64" w:rsidRPr="0033517A" w:rsidRDefault="00E91D64" w:rsidP="00E91D64">
      <w:pPr>
        <w:spacing w:line="360" w:lineRule="auto"/>
        <w:ind w:firstLine="709"/>
        <w:jc w:val="both"/>
        <w:rPr>
          <w:rFonts w:ascii="Times New Roman" w:hAnsi="Times New Roman" w:cs="Times New Roman"/>
          <w:sz w:val="28"/>
          <w:szCs w:val="28"/>
        </w:rPr>
      </w:pPr>
      <w:r w:rsidRPr="0033517A">
        <w:rPr>
          <w:rFonts w:ascii="Times New Roman" w:hAnsi="Times New Roman" w:cs="Times New Roman"/>
          <w:sz w:val="28"/>
          <w:szCs w:val="28"/>
        </w:rPr>
        <w:t xml:space="preserve">- увязка бюджетных ассигнований с результатами не </w:t>
      </w:r>
      <w:r w:rsidR="00A437A7" w:rsidRPr="0033517A">
        <w:rPr>
          <w:rFonts w:ascii="Times New Roman" w:hAnsi="Times New Roman" w:cs="Times New Roman"/>
          <w:sz w:val="28"/>
          <w:szCs w:val="28"/>
        </w:rPr>
        <w:t>получи</w:t>
      </w:r>
      <w:r w:rsidRPr="0033517A">
        <w:rPr>
          <w:rFonts w:ascii="Times New Roman" w:hAnsi="Times New Roman" w:cs="Times New Roman"/>
          <w:sz w:val="28"/>
          <w:szCs w:val="28"/>
        </w:rPr>
        <w:t>лась, хотя федеральный бюджет сформирован в программном формате с отражением структуры гос</w:t>
      </w:r>
      <w:r w:rsidR="00B51BA4" w:rsidRPr="0033517A">
        <w:rPr>
          <w:rFonts w:ascii="Times New Roman" w:hAnsi="Times New Roman" w:cs="Times New Roman"/>
          <w:sz w:val="28"/>
          <w:szCs w:val="28"/>
        </w:rPr>
        <w:t xml:space="preserve">ударственных </w:t>
      </w:r>
      <w:r w:rsidRPr="0033517A">
        <w:rPr>
          <w:rFonts w:ascii="Times New Roman" w:hAnsi="Times New Roman" w:cs="Times New Roman"/>
          <w:sz w:val="28"/>
          <w:szCs w:val="28"/>
        </w:rPr>
        <w:t>программ, их подпрограмм и основных мероприятий;</w:t>
      </w:r>
    </w:p>
    <w:p w14:paraId="1C18D96E" w14:textId="745650AD" w:rsidR="00E91D64" w:rsidRPr="0033517A" w:rsidRDefault="00E91D64" w:rsidP="00E91D64">
      <w:pPr>
        <w:spacing w:line="360" w:lineRule="auto"/>
        <w:ind w:firstLine="709"/>
        <w:jc w:val="both"/>
        <w:rPr>
          <w:rFonts w:ascii="Times New Roman" w:hAnsi="Times New Roman" w:cs="Times New Roman"/>
          <w:sz w:val="28"/>
          <w:szCs w:val="28"/>
        </w:rPr>
      </w:pPr>
      <w:r w:rsidRPr="0033517A">
        <w:rPr>
          <w:rFonts w:ascii="Times New Roman" w:hAnsi="Times New Roman" w:cs="Times New Roman"/>
          <w:sz w:val="28"/>
          <w:szCs w:val="28"/>
        </w:rPr>
        <w:t xml:space="preserve">- результаты реализации и оценки эффективности </w:t>
      </w:r>
      <w:r w:rsidR="00B51BA4" w:rsidRPr="0033517A">
        <w:rPr>
          <w:rFonts w:ascii="Times New Roman" w:hAnsi="Times New Roman" w:cs="Times New Roman"/>
          <w:sz w:val="28"/>
          <w:szCs w:val="28"/>
        </w:rPr>
        <w:t xml:space="preserve">государственных </w:t>
      </w:r>
      <w:r w:rsidRPr="0033517A">
        <w:rPr>
          <w:rFonts w:ascii="Times New Roman" w:hAnsi="Times New Roman" w:cs="Times New Roman"/>
          <w:sz w:val="28"/>
          <w:szCs w:val="28"/>
        </w:rPr>
        <w:t xml:space="preserve">программ </w:t>
      </w:r>
      <w:r w:rsidR="00A437A7" w:rsidRPr="0033517A">
        <w:rPr>
          <w:rFonts w:ascii="Times New Roman" w:hAnsi="Times New Roman" w:cs="Times New Roman"/>
          <w:sz w:val="28"/>
          <w:szCs w:val="28"/>
        </w:rPr>
        <w:t>слабо</w:t>
      </w:r>
      <w:r w:rsidRPr="0033517A">
        <w:rPr>
          <w:rFonts w:ascii="Times New Roman" w:hAnsi="Times New Roman" w:cs="Times New Roman"/>
          <w:sz w:val="28"/>
          <w:szCs w:val="28"/>
        </w:rPr>
        <w:t xml:space="preserve"> учитываются при формировании федерального бюджета;</w:t>
      </w:r>
    </w:p>
    <w:p w14:paraId="005A0E1B" w14:textId="2E61E107" w:rsidR="00E91D64" w:rsidRPr="0033517A" w:rsidRDefault="00E91D64" w:rsidP="00E91D64">
      <w:pPr>
        <w:spacing w:line="360" w:lineRule="auto"/>
        <w:ind w:firstLine="709"/>
        <w:jc w:val="both"/>
        <w:rPr>
          <w:rFonts w:ascii="Times New Roman" w:hAnsi="Times New Roman" w:cs="Times New Roman"/>
          <w:sz w:val="28"/>
          <w:szCs w:val="28"/>
        </w:rPr>
      </w:pPr>
      <w:r w:rsidRPr="0033517A">
        <w:rPr>
          <w:rFonts w:ascii="Times New Roman" w:hAnsi="Times New Roman" w:cs="Times New Roman"/>
          <w:sz w:val="28"/>
          <w:szCs w:val="28"/>
        </w:rPr>
        <w:t xml:space="preserve">- существующие процедуры управления </w:t>
      </w:r>
      <w:r w:rsidR="00B51BA4" w:rsidRPr="0033517A">
        <w:rPr>
          <w:rFonts w:ascii="Times New Roman" w:hAnsi="Times New Roman" w:cs="Times New Roman"/>
          <w:sz w:val="28"/>
          <w:szCs w:val="28"/>
        </w:rPr>
        <w:t xml:space="preserve">бюджетными расходами </w:t>
      </w:r>
      <w:r w:rsidRPr="0033517A">
        <w:rPr>
          <w:rFonts w:ascii="Times New Roman" w:hAnsi="Times New Roman" w:cs="Times New Roman"/>
          <w:sz w:val="28"/>
          <w:szCs w:val="28"/>
        </w:rPr>
        <w:t>с внедрением гос</w:t>
      </w:r>
      <w:r w:rsidR="00B51BA4" w:rsidRPr="0033517A">
        <w:rPr>
          <w:rFonts w:ascii="Times New Roman" w:hAnsi="Times New Roman" w:cs="Times New Roman"/>
          <w:sz w:val="28"/>
          <w:szCs w:val="28"/>
        </w:rPr>
        <w:t xml:space="preserve">ударственных </w:t>
      </w:r>
      <w:r w:rsidRPr="0033517A">
        <w:rPr>
          <w:rFonts w:ascii="Times New Roman" w:hAnsi="Times New Roman" w:cs="Times New Roman"/>
          <w:sz w:val="28"/>
          <w:szCs w:val="28"/>
        </w:rPr>
        <w:t xml:space="preserve">программ </w:t>
      </w:r>
      <w:r w:rsidR="00A437A7" w:rsidRPr="0033517A">
        <w:rPr>
          <w:rFonts w:ascii="Times New Roman" w:hAnsi="Times New Roman" w:cs="Times New Roman"/>
          <w:sz w:val="28"/>
          <w:szCs w:val="28"/>
        </w:rPr>
        <w:t xml:space="preserve">и проектов </w:t>
      </w:r>
      <w:r w:rsidRPr="0033517A">
        <w:rPr>
          <w:rFonts w:ascii="Times New Roman" w:hAnsi="Times New Roman" w:cs="Times New Roman"/>
          <w:sz w:val="28"/>
          <w:szCs w:val="28"/>
        </w:rPr>
        <w:t>фактически не изменились.</w:t>
      </w:r>
    </w:p>
    <w:p w14:paraId="19DBDDAE" w14:textId="77777777" w:rsidR="00E91D64" w:rsidRPr="0033517A" w:rsidRDefault="00E91D64" w:rsidP="00E91D64">
      <w:pPr>
        <w:spacing w:line="360" w:lineRule="auto"/>
        <w:ind w:firstLine="709"/>
        <w:jc w:val="both"/>
        <w:rPr>
          <w:rFonts w:ascii="Times New Roman" w:hAnsi="Times New Roman" w:cs="Times New Roman"/>
          <w:sz w:val="28"/>
          <w:szCs w:val="28"/>
        </w:rPr>
      </w:pPr>
      <w:r w:rsidRPr="0033517A">
        <w:rPr>
          <w:rFonts w:ascii="Times New Roman" w:hAnsi="Times New Roman" w:cs="Times New Roman"/>
          <w:sz w:val="28"/>
          <w:szCs w:val="28"/>
        </w:rPr>
        <w:t>Сложившаяся ситуация обусловлена следующими причинами:</w:t>
      </w:r>
    </w:p>
    <w:p w14:paraId="22D414B6" w14:textId="4F973059" w:rsidR="00E91D64" w:rsidRPr="0033517A" w:rsidRDefault="00E91D64" w:rsidP="00E91D64">
      <w:pPr>
        <w:spacing w:line="360" w:lineRule="auto"/>
        <w:ind w:firstLine="709"/>
        <w:jc w:val="both"/>
        <w:rPr>
          <w:rFonts w:ascii="Times New Roman" w:hAnsi="Times New Roman" w:cs="Times New Roman"/>
          <w:sz w:val="28"/>
          <w:szCs w:val="28"/>
        </w:rPr>
      </w:pPr>
      <w:r w:rsidRPr="0033517A">
        <w:rPr>
          <w:rFonts w:ascii="Times New Roman" w:hAnsi="Times New Roman" w:cs="Times New Roman"/>
          <w:sz w:val="28"/>
          <w:szCs w:val="28"/>
        </w:rPr>
        <w:t xml:space="preserve">во-первых, низким </w:t>
      </w:r>
      <w:r w:rsidRPr="0033517A">
        <w:rPr>
          <w:rFonts w:ascii="Times New Roman" w:hAnsi="Times New Roman" w:cs="Times New Roman"/>
          <w:bCs/>
          <w:iCs/>
          <w:sz w:val="28"/>
          <w:szCs w:val="28"/>
        </w:rPr>
        <w:t xml:space="preserve">качеством целеполагания и системы целевых показателей в связи с: </w:t>
      </w:r>
      <w:r w:rsidRPr="0033517A">
        <w:rPr>
          <w:rFonts w:ascii="Times New Roman" w:hAnsi="Times New Roman" w:cs="Times New Roman"/>
          <w:sz w:val="28"/>
          <w:szCs w:val="28"/>
        </w:rPr>
        <w:t xml:space="preserve">отсутствием </w:t>
      </w:r>
      <w:r w:rsidR="00A437A7" w:rsidRPr="0033517A">
        <w:rPr>
          <w:rFonts w:ascii="Times New Roman" w:hAnsi="Times New Roman" w:cs="Times New Roman"/>
          <w:sz w:val="28"/>
          <w:szCs w:val="28"/>
        </w:rPr>
        <w:t xml:space="preserve">обоснованных </w:t>
      </w:r>
      <w:r w:rsidRPr="0033517A">
        <w:rPr>
          <w:rFonts w:ascii="Times New Roman" w:hAnsi="Times New Roman" w:cs="Times New Roman"/>
          <w:sz w:val="28"/>
          <w:szCs w:val="28"/>
        </w:rPr>
        <w:t>показателей «верхнего уровня»; состав показателей и их значения формулируются самими исполнителями программ (отсутств</w:t>
      </w:r>
      <w:r w:rsidR="00A437A7" w:rsidRPr="0033517A">
        <w:rPr>
          <w:rFonts w:ascii="Times New Roman" w:hAnsi="Times New Roman" w:cs="Times New Roman"/>
          <w:sz w:val="28"/>
          <w:szCs w:val="28"/>
        </w:rPr>
        <w:t>у</w:t>
      </w:r>
      <w:r w:rsidRPr="0033517A">
        <w:rPr>
          <w:rFonts w:ascii="Times New Roman" w:hAnsi="Times New Roman" w:cs="Times New Roman"/>
          <w:sz w:val="28"/>
          <w:szCs w:val="28"/>
        </w:rPr>
        <w:t>е</w:t>
      </w:r>
      <w:r w:rsidR="00A437A7" w:rsidRPr="0033517A">
        <w:rPr>
          <w:rFonts w:ascii="Times New Roman" w:hAnsi="Times New Roman" w:cs="Times New Roman"/>
          <w:sz w:val="28"/>
          <w:szCs w:val="28"/>
        </w:rPr>
        <w:t>т механизм</w:t>
      </w:r>
      <w:r w:rsidRPr="0033517A">
        <w:rPr>
          <w:rFonts w:ascii="Times New Roman" w:hAnsi="Times New Roman" w:cs="Times New Roman"/>
          <w:sz w:val="28"/>
          <w:szCs w:val="28"/>
        </w:rPr>
        <w:t xml:space="preserve"> внешнего подтверждения); избыточным количеством показателей и отсутствием их иерархии (показатели конечных результатов находятся в одном ряду с техническими); преобладанием ведомственного принципа формирования </w:t>
      </w:r>
      <w:r w:rsidR="00B51BA4" w:rsidRPr="0033517A">
        <w:rPr>
          <w:rFonts w:ascii="Times New Roman" w:hAnsi="Times New Roman" w:cs="Times New Roman"/>
          <w:sz w:val="28"/>
          <w:szCs w:val="28"/>
        </w:rPr>
        <w:t xml:space="preserve">государственных </w:t>
      </w:r>
      <w:r w:rsidRPr="0033517A">
        <w:rPr>
          <w:rFonts w:ascii="Times New Roman" w:hAnsi="Times New Roman" w:cs="Times New Roman"/>
          <w:sz w:val="28"/>
          <w:szCs w:val="28"/>
        </w:rPr>
        <w:t>программ над логикой целеполагания; отсутствием единого подхода к работе с кросс-функциональными показателями;</w:t>
      </w:r>
    </w:p>
    <w:p w14:paraId="3D2B4A50" w14:textId="41DE950A" w:rsidR="00E91D64" w:rsidRPr="0033517A" w:rsidRDefault="00E91D64" w:rsidP="00E91D64">
      <w:pPr>
        <w:spacing w:line="360" w:lineRule="auto"/>
        <w:ind w:firstLine="709"/>
        <w:jc w:val="both"/>
        <w:rPr>
          <w:rFonts w:ascii="Times New Roman" w:hAnsi="Times New Roman" w:cs="Times New Roman"/>
          <w:sz w:val="28"/>
          <w:szCs w:val="28"/>
        </w:rPr>
      </w:pPr>
      <w:r w:rsidRPr="0033517A">
        <w:rPr>
          <w:rFonts w:ascii="Times New Roman" w:hAnsi="Times New Roman" w:cs="Times New Roman"/>
          <w:sz w:val="28"/>
          <w:szCs w:val="28"/>
        </w:rPr>
        <w:t>во-вторых, н</w:t>
      </w:r>
      <w:r w:rsidRPr="0033517A">
        <w:rPr>
          <w:rFonts w:ascii="Times New Roman" w:hAnsi="Times New Roman" w:cs="Times New Roman"/>
          <w:bCs/>
          <w:iCs/>
          <w:sz w:val="28"/>
          <w:szCs w:val="28"/>
        </w:rPr>
        <w:t xml:space="preserve">едостаточной интеграцией </w:t>
      </w:r>
      <w:r w:rsidR="00B51BA4" w:rsidRPr="0033517A">
        <w:rPr>
          <w:rFonts w:ascii="Times New Roman" w:hAnsi="Times New Roman" w:cs="Times New Roman"/>
          <w:sz w:val="28"/>
          <w:szCs w:val="28"/>
        </w:rPr>
        <w:t xml:space="preserve">государственных </w:t>
      </w:r>
      <w:r w:rsidRPr="0033517A">
        <w:rPr>
          <w:rFonts w:ascii="Times New Roman" w:hAnsi="Times New Roman" w:cs="Times New Roman"/>
          <w:bCs/>
          <w:iCs/>
          <w:sz w:val="28"/>
          <w:szCs w:val="28"/>
        </w:rPr>
        <w:t>программ в бюджетный процесс, что приводит к</w:t>
      </w:r>
      <w:r w:rsidR="00B51BA4" w:rsidRPr="0033517A">
        <w:rPr>
          <w:rFonts w:ascii="Times New Roman" w:hAnsi="Times New Roman" w:cs="Times New Roman"/>
          <w:bCs/>
          <w:iCs/>
          <w:sz w:val="28"/>
          <w:szCs w:val="28"/>
        </w:rPr>
        <w:t xml:space="preserve"> </w:t>
      </w:r>
      <w:r w:rsidRPr="0033517A">
        <w:rPr>
          <w:rFonts w:ascii="Times New Roman" w:hAnsi="Times New Roman" w:cs="Times New Roman"/>
          <w:sz w:val="28"/>
          <w:szCs w:val="28"/>
        </w:rPr>
        <w:t>неопределенности полномо</w:t>
      </w:r>
      <w:r w:rsidR="00A437A7" w:rsidRPr="0033517A">
        <w:rPr>
          <w:rFonts w:ascii="Times New Roman" w:hAnsi="Times New Roman" w:cs="Times New Roman"/>
          <w:sz w:val="28"/>
          <w:szCs w:val="28"/>
        </w:rPr>
        <w:t xml:space="preserve">чий ответственного исполнителя </w:t>
      </w:r>
      <w:r w:rsidRPr="0033517A">
        <w:rPr>
          <w:rFonts w:ascii="Times New Roman" w:hAnsi="Times New Roman" w:cs="Times New Roman"/>
          <w:sz w:val="28"/>
          <w:szCs w:val="28"/>
        </w:rPr>
        <w:t>программы в бюджетном процессе; отсутствию гибкости при исполнении бюджета.</w:t>
      </w:r>
    </w:p>
    <w:p w14:paraId="40CEB3F5" w14:textId="44B7DD87" w:rsidR="00E91D64" w:rsidRPr="0033517A" w:rsidRDefault="00E91D64" w:rsidP="00E91D64">
      <w:pPr>
        <w:spacing w:line="360" w:lineRule="auto"/>
        <w:ind w:firstLine="709"/>
        <w:jc w:val="both"/>
        <w:rPr>
          <w:rFonts w:ascii="Times New Roman" w:hAnsi="Times New Roman" w:cs="Times New Roman"/>
          <w:sz w:val="28"/>
          <w:szCs w:val="28"/>
        </w:rPr>
      </w:pPr>
      <w:r w:rsidRPr="0033517A">
        <w:rPr>
          <w:rFonts w:ascii="Times New Roman" w:hAnsi="Times New Roman" w:cs="Times New Roman"/>
          <w:sz w:val="28"/>
          <w:szCs w:val="28"/>
        </w:rPr>
        <w:t xml:space="preserve">Это обусловливает необходимость совершенствования механизма формирования </w:t>
      </w:r>
      <w:r w:rsidR="00B51BA4" w:rsidRPr="0033517A">
        <w:rPr>
          <w:rFonts w:ascii="Times New Roman" w:hAnsi="Times New Roman" w:cs="Times New Roman"/>
          <w:sz w:val="28"/>
          <w:szCs w:val="28"/>
        </w:rPr>
        <w:t xml:space="preserve">государственных программ, </w:t>
      </w:r>
      <w:proofErr w:type="spellStart"/>
      <w:r w:rsidR="00B51BA4" w:rsidRPr="0033517A">
        <w:rPr>
          <w:rFonts w:ascii="Times New Roman" w:hAnsi="Times New Roman" w:cs="Times New Roman"/>
          <w:sz w:val="28"/>
          <w:szCs w:val="28"/>
        </w:rPr>
        <w:t>легитимизации</w:t>
      </w:r>
      <w:proofErr w:type="spellEnd"/>
      <w:r w:rsidR="00B51BA4" w:rsidRPr="0033517A">
        <w:rPr>
          <w:rFonts w:ascii="Times New Roman" w:hAnsi="Times New Roman" w:cs="Times New Roman"/>
          <w:sz w:val="28"/>
          <w:szCs w:val="28"/>
        </w:rPr>
        <w:t xml:space="preserve"> механизма интеграции этих программ,  федеральных и национальных проектов </w:t>
      </w:r>
      <w:r w:rsidRPr="0033517A">
        <w:rPr>
          <w:rFonts w:ascii="Times New Roman" w:hAnsi="Times New Roman" w:cs="Times New Roman"/>
          <w:sz w:val="28"/>
          <w:szCs w:val="28"/>
        </w:rPr>
        <w:t>с целью повышения бюджетной эффективности.</w:t>
      </w:r>
    </w:p>
    <w:p w14:paraId="44F7C39F" w14:textId="711191ED" w:rsidR="008F5BE3" w:rsidRPr="0033517A" w:rsidRDefault="00A437A7" w:rsidP="00A437A7">
      <w:pPr>
        <w:pStyle w:val="31"/>
        <w:ind w:firstLine="709"/>
        <w:jc w:val="center"/>
        <w:rPr>
          <w:rFonts w:ascii="Times New Roman" w:hAnsi="Times New Roman" w:cs="Times New Roman"/>
          <w:b/>
          <w:color w:val="000000"/>
        </w:rPr>
      </w:pPr>
      <w:r w:rsidRPr="0033517A">
        <w:rPr>
          <w:rFonts w:ascii="Times New Roman" w:hAnsi="Times New Roman" w:cs="Times New Roman"/>
          <w:b/>
        </w:rPr>
        <w:lastRenderedPageBreak/>
        <w:t>Анализ отдельных макроэкономических показателей</w:t>
      </w:r>
    </w:p>
    <w:p w14:paraId="59DD89F4" w14:textId="77777777" w:rsidR="00A437A7" w:rsidRPr="0033517A" w:rsidRDefault="00A437A7" w:rsidP="00E1515B">
      <w:pPr>
        <w:autoSpaceDE w:val="0"/>
        <w:autoSpaceDN w:val="0"/>
        <w:adjustRightInd w:val="0"/>
        <w:spacing w:line="336" w:lineRule="auto"/>
        <w:ind w:firstLine="709"/>
        <w:jc w:val="both"/>
        <w:rPr>
          <w:rFonts w:ascii="Times New Roman" w:hAnsi="Times New Roman" w:cs="Times New Roman"/>
          <w:color w:val="000000"/>
          <w:sz w:val="28"/>
          <w:szCs w:val="28"/>
        </w:rPr>
      </w:pPr>
    </w:p>
    <w:p w14:paraId="3922C13D" w14:textId="3A871E6F" w:rsidR="00E1515B" w:rsidRPr="0033517A" w:rsidRDefault="00E1515B" w:rsidP="00E1515B">
      <w:pPr>
        <w:autoSpaceDE w:val="0"/>
        <w:autoSpaceDN w:val="0"/>
        <w:adjustRightInd w:val="0"/>
        <w:spacing w:line="336" w:lineRule="auto"/>
        <w:ind w:firstLine="709"/>
        <w:jc w:val="both"/>
        <w:rPr>
          <w:rFonts w:ascii="Times New Roman" w:hAnsi="Times New Roman" w:cs="Times New Roman"/>
          <w:color w:val="000000"/>
          <w:sz w:val="28"/>
          <w:szCs w:val="28"/>
        </w:rPr>
      </w:pPr>
      <w:r w:rsidRPr="0033517A">
        <w:rPr>
          <w:rFonts w:ascii="Times New Roman" w:hAnsi="Times New Roman" w:cs="Times New Roman"/>
          <w:color w:val="000000"/>
          <w:sz w:val="28"/>
          <w:szCs w:val="28"/>
        </w:rPr>
        <w:t xml:space="preserve">В основе </w:t>
      </w:r>
      <w:r w:rsidR="00D95D1D" w:rsidRPr="0033517A">
        <w:rPr>
          <w:rFonts w:ascii="Times New Roman" w:hAnsi="Times New Roman" w:cs="Times New Roman"/>
          <w:color w:val="000000"/>
          <w:sz w:val="28"/>
          <w:szCs w:val="28"/>
        </w:rPr>
        <w:t xml:space="preserve">плановых параметров федерального </w:t>
      </w:r>
      <w:r w:rsidRPr="0033517A">
        <w:rPr>
          <w:rFonts w:ascii="Times New Roman" w:hAnsi="Times New Roman" w:cs="Times New Roman"/>
          <w:color w:val="000000"/>
          <w:sz w:val="28"/>
          <w:szCs w:val="28"/>
        </w:rPr>
        <w:t>бюджет</w:t>
      </w:r>
      <w:r w:rsidR="00D95D1D" w:rsidRPr="0033517A">
        <w:rPr>
          <w:rFonts w:ascii="Times New Roman" w:hAnsi="Times New Roman" w:cs="Times New Roman"/>
          <w:color w:val="000000"/>
          <w:sz w:val="28"/>
          <w:szCs w:val="28"/>
        </w:rPr>
        <w:t xml:space="preserve">а на 2020 г. и плановый период 2021 и 2022 гг. </w:t>
      </w:r>
      <w:r w:rsidRPr="0033517A">
        <w:rPr>
          <w:rFonts w:ascii="Times New Roman" w:hAnsi="Times New Roman" w:cs="Times New Roman"/>
          <w:color w:val="000000"/>
          <w:sz w:val="28"/>
          <w:szCs w:val="28"/>
        </w:rPr>
        <w:t xml:space="preserve"> лежит «базовый вариант» прогноза социально-экономического развития России на среднесрочную перспективу.</w:t>
      </w:r>
    </w:p>
    <w:p w14:paraId="055C11C9" w14:textId="6A70EDD1" w:rsidR="00E1515B" w:rsidRPr="00E1515B" w:rsidRDefault="00E1515B" w:rsidP="00E1515B">
      <w:pPr>
        <w:spacing w:line="360" w:lineRule="auto"/>
        <w:ind w:firstLine="709"/>
        <w:contextualSpacing/>
        <w:jc w:val="both"/>
        <w:rPr>
          <w:rFonts w:ascii="Times New Roman" w:eastAsia="Calibri" w:hAnsi="Times New Roman" w:cs="Times New Roman"/>
          <w:sz w:val="28"/>
          <w:szCs w:val="28"/>
          <w:lang w:eastAsia="en-US"/>
        </w:rPr>
      </w:pPr>
      <w:r w:rsidRPr="0033517A">
        <w:rPr>
          <w:rFonts w:ascii="Times New Roman" w:eastAsia="Calibri" w:hAnsi="Times New Roman" w:cs="Times New Roman"/>
          <w:sz w:val="28"/>
          <w:szCs w:val="28"/>
          <w:lang w:eastAsia="en-US"/>
        </w:rPr>
        <w:t xml:space="preserve">При анализе тенденций развития экономики и влияния бюджетной политики на макроэкономические показатели и условия </w:t>
      </w:r>
      <w:r w:rsidR="00D95D1D" w:rsidRPr="0033517A">
        <w:rPr>
          <w:rFonts w:ascii="Times New Roman" w:eastAsia="Calibri" w:hAnsi="Times New Roman" w:cs="Times New Roman"/>
          <w:sz w:val="28"/>
          <w:szCs w:val="28"/>
          <w:lang w:eastAsia="en-US"/>
        </w:rPr>
        <w:t xml:space="preserve">функционирования бюджетной системы России </w:t>
      </w:r>
      <w:r w:rsidRPr="0033517A">
        <w:rPr>
          <w:rFonts w:ascii="Times New Roman" w:eastAsia="Calibri" w:hAnsi="Times New Roman" w:cs="Times New Roman"/>
          <w:sz w:val="28"/>
          <w:szCs w:val="28"/>
          <w:lang w:eastAsia="en-US"/>
        </w:rPr>
        <w:t>следует обратить особое внимание на проблемы растущего в последние годы долга частного сектора, что уже в ближайшие годы может создать угрозы для финансовой стабильности в российской экономике и серьезно осложнить задачи выхода на траекторию устойчивого экономического роста, негативн</w:t>
      </w:r>
      <w:r w:rsidRPr="00E1515B">
        <w:rPr>
          <w:rFonts w:ascii="Times New Roman" w:eastAsia="Calibri" w:hAnsi="Times New Roman" w:cs="Times New Roman"/>
          <w:sz w:val="28"/>
          <w:szCs w:val="28"/>
          <w:lang w:eastAsia="en-US"/>
        </w:rPr>
        <w:t>ым образом повлиять на достижение ключевых прогнозных показателей, указанных в п</w:t>
      </w:r>
      <w:r w:rsidR="00D95D1D">
        <w:rPr>
          <w:rFonts w:ascii="Times New Roman" w:eastAsia="Calibri" w:hAnsi="Times New Roman" w:cs="Times New Roman"/>
          <w:sz w:val="28"/>
          <w:szCs w:val="28"/>
          <w:lang w:eastAsia="en-US"/>
        </w:rPr>
        <w:t>ояснительной записке к проекту ф</w:t>
      </w:r>
      <w:r w:rsidRPr="00E1515B">
        <w:rPr>
          <w:rFonts w:ascii="Times New Roman" w:eastAsia="Calibri" w:hAnsi="Times New Roman" w:cs="Times New Roman"/>
          <w:sz w:val="28"/>
          <w:szCs w:val="28"/>
          <w:lang w:eastAsia="en-US"/>
        </w:rPr>
        <w:t xml:space="preserve">едерального бюджета на 2020 г. и плановый период 2021 </w:t>
      </w:r>
      <w:r w:rsidR="00D95D1D">
        <w:rPr>
          <w:rFonts w:ascii="Times New Roman" w:eastAsia="Calibri" w:hAnsi="Times New Roman" w:cs="Times New Roman"/>
          <w:sz w:val="28"/>
          <w:szCs w:val="28"/>
          <w:lang w:eastAsia="en-US"/>
        </w:rPr>
        <w:t>и</w:t>
      </w:r>
      <w:r w:rsidRPr="00E1515B">
        <w:rPr>
          <w:rFonts w:ascii="Times New Roman" w:eastAsia="Calibri" w:hAnsi="Times New Roman" w:cs="Times New Roman"/>
          <w:sz w:val="28"/>
          <w:szCs w:val="28"/>
          <w:lang w:eastAsia="en-US"/>
        </w:rPr>
        <w:t xml:space="preserve"> 2022 гг. Наблюдаемые в последние годы тенденции в частном секторе – прежде всего в секторе домохозяйств, создают угрозу негативной динамики потребительской активности и внутреннего спроса в целом, что, в свою очередь, может негативно повлиять на динамику ряда ключевых показателей и неблагоприятно сказаться как на конкурентоспособности и динамике ряда экономических отраслей, так и на динамике ВВП страны в целом.</w:t>
      </w:r>
    </w:p>
    <w:p w14:paraId="38231094" w14:textId="6D012232" w:rsidR="00E1515B" w:rsidRPr="00E1515B" w:rsidRDefault="00E1515B" w:rsidP="00E1515B">
      <w:pPr>
        <w:spacing w:line="360" w:lineRule="auto"/>
        <w:ind w:firstLine="709"/>
        <w:contextualSpacing/>
        <w:jc w:val="both"/>
        <w:rPr>
          <w:rFonts w:ascii="Times New Roman" w:eastAsia="Calibri" w:hAnsi="Times New Roman" w:cs="Times New Roman"/>
          <w:sz w:val="28"/>
          <w:szCs w:val="28"/>
          <w:lang w:eastAsia="en-US"/>
        </w:rPr>
      </w:pPr>
      <w:r w:rsidRPr="00E1515B">
        <w:rPr>
          <w:rFonts w:ascii="Times New Roman" w:eastAsia="Calibri" w:hAnsi="Times New Roman" w:cs="Times New Roman"/>
          <w:sz w:val="28"/>
          <w:szCs w:val="28"/>
          <w:lang w:eastAsia="en-US"/>
        </w:rPr>
        <w:t>В табл</w:t>
      </w:r>
      <w:r w:rsidR="00D95D1D">
        <w:rPr>
          <w:rFonts w:ascii="Times New Roman" w:eastAsia="Calibri" w:hAnsi="Times New Roman" w:cs="Times New Roman"/>
          <w:sz w:val="28"/>
          <w:szCs w:val="28"/>
          <w:lang w:eastAsia="en-US"/>
        </w:rPr>
        <w:t xml:space="preserve">ице </w:t>
      </w:r>
      <w:r w:rsidR="00A437A7">
        <w:rPr>
          <w:rFonts w:ascii="Times New Roman" w:eastAsia="Calibri" w:hAnsi="Times New Roman" w:cs="Times New Roman"/>
          <w:sz w:val="28"/>
          <w:szCs w:val="28"/>
          <w:lang w:eastAsia="en-US"/>
        </w:rPr>
        <w:t>3</w:t>
      </w:r>
      <w:r w:rsidRPr="00E1515B">
        <w:rPr>
          <w:rFonts w:ascii="Times New Roman" w:eastAsia="Calibri" w:hAnsi="Times New Roman" w:cs="Times New Roman"/>
          <w:sz w:val="28"/>
          <w:szCs w:val="28"/>
          <w:lang w:eastAsia="en-US"/>
        </w:rPr>
        <w:t xml:space="preserve"> приведена численная оценка элементов использования ВВП по данным Росстата (структура ВВП «по расходам»).</w:t>
      </w:r>
    </w:p>
    <w:p w14:paraId="1CB80DB1" w14:textId="77777777" w:rsidR="00A437A7" w:rsidRDefault="00A437A7">
      <w:r>
        <w:br w:type="page"/>
      </w:r>
    </w:p>
    <w:tbl>
      <w:tblPr>
        <w:tblW w:w="9356" w:type="dxa"/>
        <w:tblLayout w:type="fixed"/>
        <w:tblLook w:val="04A0" w:firstRow="1" w:lastRow="0" w:firstColumn="1" w:lastColumn="0" w:noHBand="0" w:noVBand="1"/>
      </w:tblPr>
      <w:tblGrid>
        <w:gridCol w:w="3022"/>
        <w:gridCol w:w="1226"/>
        <w:gridCol w:w="924"/>
        <w:gridCol w:w="1064"/>
        <w:gridCol w:w="924"/>
        <w:gridCol w:w="1204"/>
        <w:gridCol w:w="992"/>
      </w:tblGrid>
      <w:tr w:rsidR="00E1515B" w:rsidRPr="00E1515B" w14:paraId="116739AA" w14:textId="77777777" w:rsidTr="00E1515B">
        <w:trPr>
          <w:trHeight w:val="360"/>
          <w:tblHeader/>
        </w:trPr>
        <w:tc>
          <w:tcPr>
            <w:tcW w:w="9356" w:type="dxa"/>
            <w:gridSpan w:val="7"/>
            <w:tcBorders>
              <w:top w:val="nil"/>
              <w:left w:val="nil"/>
              <w:bottom w:val="single" w:sz="4" w:space="0" w:color="auto"/>
              <w:right w:val="nil"/>
            </w:tcBorders>
            <w:shd w:val="clear" w:color="auto" w:fill="auto"/>
            <w:hideMark/>
          </w:tcPr>
          <w:p w14:paraId="343FDF53" w14:textId="41B7F3F0" w:rsidR="00E1515B" w:rsidRPr="00E1515B" w:rsidRDefault="00A437A7" w:rsidP="00D95D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3</w:t>
            </w:r>
            <w:r w:rsidR="00E1515B" w:rsidRPr="00E1515B">
              <w:rPr>
                <w:rFonts w:ascii="Times New Roman" w:hAnsi="Times New Roman" w:cs="Times New Roman"/>
                <w:sz w:val="28"/>
                <w:szCs w:val="28"/>
              </w:rPr>
              <w:t xml:space="preserve"> – Элементы использования валового внутреннего продукта (в текущих ценах, млрд руб.)</w:t>
            </w:r>
            <w:r w:rsidR="00D95D1D">
              <w:rPr>
                <w:rStyle w:val="a5"/>
                <w:rFonts w:ascii="Times New Roman" w:hAnsi="Times New Roman" w:cs="Times New Roman"/>
                <w:sz w:val="28"/>
                <w:szCs w:val="28"/>
              </w:rPr>
              <w:footnoteReference w:id="2"/>
            </w:r>
          </w:p>
        </w:tc>
      </w:tr>
      <w:tr w:rsidR="00E1515B" w:rsidRPr="00E1515B" w14:paraId="04F33889" w14:textId="77777777" w:rsidTr="00E1515B">
        <w:trPr>
          <w:trHeight w:val="1008"/>
          <w:tblHeader/>
        </w:trPr>
        <w:tc>
          <w:tcPr>
            <w:tcW w:w="3022" w:type="dxa"/>
            <w:tcBorders>
              <w:top w:val="nil"/>
              <w:left w:val="single" w:sz="4" w:space="0" w:color="auto"/>
              <w:bottom w:val="single" w:sz="4" w:space="0" w:color="auto"/>
              <w:right w:val="single" w:sz="4" w:space="0" w:color="auto"/>
            </w:tcBorders>
            <w:shd w:val="clear" w:color="000000" w:fill="FFFFFF"/>
            <w:hideMark/>
          </w:tcPr>
          <w:p w14:paraId="401BDF50"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Показатель</w:t>
            </w:r>
          </w:p>
        </w:tc>
        <w:tc>
          <w:tcPr>
            <w:tcW w:w="1226" w:type="dxa"/>
            <w:tcBorders>
              <w:top w:val="nil"/>
              <w:left w:val="nil"/>
              <w:bottom w:val="single" w:sz="4" w:space="0" w:color="auto"/>
              <w:right w:val="single" w:sz="4" w:space="0" w:color="auto"/>
            </w:tcBorders>
            <w:shd w:val="clear" w:color="000000" w:fill="FFFFFF"/>
            <w:hideMark/>
          </w:tcPr>
          <w:p w14:paraId="0852CE84"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2016</w:t>
            </w:r>
          </w:p>
        </w:tc>
        <w:tc>
          <w:tcPr>
            <w:tcW w:w="924" w:type="dxa"/>
            <w:tcBorders>
              <w:top w:val="nil"/>
              <w:left w:val="nil"/>
              <w:bottom w:val="single" w:sz="4" w:space="0" w:color="auto"/>
              <w:right w:val="single" w:sz="4" w:space="0" w:color="auto"/>
            </w:tcBorders>
            <w:shd w:val="clear" w:color="000000" w:fill="FFFFFF"/>
            <w:hideMark/>
          </w:tcPr>
          <w:p w14:paraId="6BC9583F" w14:textId="77777777" w:rsidR="00E1515B" w:rsidRPr="00D95D1D" w:rsidRDefault="00E1515B" w:rsidP="00D95D1D">
            <w:pPr>
              <w:jc w:val="center"/>
              <w:rPr>
                <w:rFonts w:ascii="Times New Roman" w:hAnsi="Times New Roman" w:cs="Times New Roman"/>
              </w:rPr>
            </w:pPr>
            <w:proofErr w:type="spellStart"/>
            <w:r w:rsidRPr="00D95D1D">
              <w:rPr>
                <w:rFonts w:ascii="Times New Roman" w:hAnsi="Times New Roman" w:cs="Times New Roman"/>
              </w:rPr>
              <w:t>Удель-ный</w:t>
            </w:r>
            <w:proofErr w:type="spellEnd"/>
            <w:r w:rsidRPr="00D95D1D">
              <w:rPr>
                <w:rFonts w:ascii="Times New Roman" w:hAnsi="Times New Roman" w:cs="Times New Roman"/>
              </w:rPr>
              <w:t xml:space="preserve"> вес в ВВП, %</w:t>
            </w:r>
          </w:p>
        </w:tc>
        <w:tc>
          <w:tcPr>
            <w:tcW w:w="1064" w:type="dxa"/>
            <w:tcBorders>
              <w:top w:val="nil"/>
              <w:left w:val="nil"/>
              <w:bottom w:val="single" w:sz="4" w:space="0" w:color="auto"/>
              <w:right w:val="single" w:sz="4" w:space="0" w:color="auto"/>
            </w:tcBorders>
            <w:shd w:val="clear" w:color="000000" w:fill="FFFFFF"/>
            <w:hideMark/>
          </w:tcPr>
          <w:p w14:paraId="264B4EDE"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2017</w:t>
            </w:r>
          </w:p>
        </w:tc>
        <w:tc>
          <w:tcPr>
            <w:tcW w:w="924" w:type="dxa"/>
            <w:tcBorders>
              <w:top w:val="nil"/>
              <w:left w:val="nil"/>
              <w:bottom w:val="single" w:sz="4" w:space="0" w:color="auto"/>
              <w:right w:val="single" w:sz="4" w:space="0" w:color="auto"/>
            </w:tcBorders>
            <w:shd w:val="clear" w:color="000000" w:fill="FFFFFF"/>
            <w:hideMark/>
          </w:tcPr>
          <w:p w14:paraId="321D565E" w14:textId="77777777" w:rsidR="00E1515B" w:rsidRPr="00D95D1D" w:rsidRDefault="00E1515B" w:rsidP="00D95D1D">
            <w:pPr>
              <w:jc w:val="center"/>
              <w:rPr>
                <w:rFonts w:ascii="Times New Roman" w:hAnsi="Times New Roman" w:cs="Times New Roman"/>
              </w:rPr>
            </w:pPr>
            <w:proofErr w:type="spellStart"/>
            <w:r w:rsidRPr="00D95D1D">
              <w:rPr>
                <w:rFonts w:ascii="Times New Roman" w:hAnsi="Times New Roman" w:cs="Times New Roman"/>
              </w:rPr>
              <w:t>Удель-ный</w:t>
            </w:r>
            <w:proofErr w:type="spellEnd"/>
            <w:r w:rsidRPr="00D95D1D">
              <w:rPr>
                <w:rFonts w:ascii="Times New Roman" w:hAnsi="Times New Roman" w:cs="Times New Roman"/>
              </w:rPr>
              <w:t xml:space="preserve"> вес в ВВП, %</w:t>
            </w:r>
          </w:p>
        </w:tc>
        <w:tc>
          <w:tcPr>
            <w:tcW w:w="1204" w:type="dxa"/>
            <w:tcBorders>
              <w:top w:val="nil"/>
              <w:left w:val="nil"/>
              <w:bottom w:val="single" w:sz="4" w:space="0" w:color="auto"/>
              <w:right w:val="single" w:sz="4" w:space="0" w:color="auto"/>
            </w:tcBorders>
            <w:shd w:val="clear" w:color="000000" w:fill="FFFFFF"/>
            <w:hideMark/>
          </w:tcPr>
          <w:p w14:paraId="2A872513"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2018</w:t>
            </w:r>
          </w:p>
        </w:tc>
        <w:tc>
          <w:tcPr>
            <w:tcW w:w="992" w:type="dxa"/>
            <w:tcBorders>
              <w:top w:val="nil"/>
              <w:left w:val="nil"/>
              <w:bottom w:val="single" w:sz="4" w:space="0" w:color="auto"/>
              <w:right w:val="single" w:sz="4" w:space="0" w:color="auto"/>
            </w:tcBorders>
            <w:shd w:val="clear" w:color="auto" w:fill="auto"/>
            <w:hideMark/>
          </w:tcPr>
          <w:p w14:paraId="1DA603F9" w14:textId="77777777" w:rsidR="00E1515B" w:rsidRPr="00D95D1D" w:rsidRDefault="00E1515B" w:rsidP="00D95D1D">
            <w:pPr>
              <w:jc w:val="center"/>
              <w:rPr>
                <w:rFonts w:ascii="Times New Roman" w:hAnsi="Times New Roman" w:cs="Times New Roman"/>
              </w:rPr>
            </w:pPr>
            <w:proofErr w:type="spellStart"/>
            <w:r w:rsidRPr="00D95D1D">
              <w:rPr>
                <w:rFonts w:ascii="Times New Roman" w:hAnsi="Times New Roman" w:cs="Times New Roman"/>
              </w:rPr>
              <w:t>Удель-ный</w:t>
            </w:r>
            <w:proofErr w:type="spellEnd"/>
            <w:r w:rsidRPr="00D95D1D">
              <w:rPr>
                <w:rFonts w:ascii="Times New Roman" w:hAnsi="Times New Roman" w:cs="Times New Roman"/>
              </w:rPr>
              <w:t xml:space="preserve"> вес в ВВП, %</w:t>
            </w:r>
          </w:p>
        </w:tc>
      </w:tr>
      <w:tr w:rsidR="00E1515B" w:rsidRPr="00E1515B" w14:paraId="01F83529" w14:textId="77777777" w:rsidTr="00E1515B">
        <w:trPr>
          <w:trHeight w:val="312"/>
        </w:trPr>
        <w:tc>
          <w:tcPr>
            <w:tcW w:w="3022" w:type="dxa"/>
            <w:tcBorders>
              <w:top w:val="nil"/>
              <w:left w:val="single" w:sz="4" w:space="0" w:color="auto"/>
              <w:bottom w:val="single" w:sz="4" w:space="0" w:color="auto"/>
              <w:right w:val="nil"/>
            </w:tcBorders>
            <w:shd w:val="clear" w:color="auto" w:fill="auto"/>
            <w:hideMark/>
          </w:tcPr>
          <w:p w14:paraId="01CC816B" w14:textId="77777777" w:rsidR="00E1515B" w:rsidRPr="00D95D1D" w:rsidRDefault="00E1515B" w:rsidP="00D95D1D">
            <w:pPr>
              <w:jc w:val="center"/>
              <w:rPr>
                <w:rFonts w:ascii="Times New Roman" w:hAnsi="Times New Roman" w:cs="Times New Roman"/>
                <w:b/>
                <w:bCs/>
              </w:rPr>
            </w:pPr>
            <w:r w:rsidRPr="00D95D1D">
              <w:rPr>
                <w:rFonts w:ascii="Times New Roman" w:hAnsi="Times New Roman" w:cs="Times New Roman"/>
                <w:b/>
                <w:bCs/>
              </w:rPr>
              <w:t xml:space="preserve">Валовой внутренний продукт </w:t>
            </w:r>
          </w:p>
        </w:tc>
        <w:tc>
          <w:tcPr>
            <w:tcW w:w="1226" w:type="dxa"/>
            <w:tcBorders>
              <w:top w:val="nil"/>
              <w:left w:val="single" w:sz="4" w:space="0" w:color="auto"/>
              <w:bottom w:val="single" w:sz="4" w:space="0" w:color="auto"/>
              <w:right w:val="single" w:sz="4" w:space="0" w:color="auto"/>
            </w:tcBorders>
            <w:shd w:val="clear" w:color="auto" w:fill="auto"/>
            <w:hideMark/>
          </w:tcPr>
          <w:p w14:paraId="1D8D8857" w14:textId="77777777" w:rsidR="00E1515B" w:rsidRPr="00D95D1D" w:rsidRDefault="00E1515B" w:rsidP="00D95D1D">
            <w:pPr>
              <w:jc w:val="center"/>
              <w:rPr>
                <w:rFonts w:ascii="Times New Roman" w:hAnsi="Times New Roman" w:cs="Times New Roman"/>
                <w:b/>
                <w:bCs/>
              </w:rPr>
            </w:pPr>
            <w:r w:rsidRPr="00D95D1D">
              <w:rPr>
                <w:rFonts w:ascii="Times New Roman" w:hAnsi="Times New Roman" w:cs="Times New Roman"/>
                <w:b/>
                <w:bCs/>
              </w:rPr>
              <w:t xml:space="preserve">86 014,2  </w:t>
            </w:r>
          </w:p>
        </w:tc>
        <w:tc>
          <w:tcPr>
            <w:tcW w:w="924" w:type="dxa"/>
            <w:tcBorders>
              <w:top w:val="nil"/>
              <w:left w:val="nil"/>
              <w:bottom w:val="single" w:sz="4" w:space="0" w:color="auto"/>
              <w:right w:val="single" w:sz="4" w:space="0" w:color="auto"/>
            </w:tcBorders>
            <w:shd w:val="clear" w:color="auto" w:fill="auto"/>
            <w:hideMark/>
          </w:tcPr>
          <w:p w14:paraId="59B43A5D" w14:textId="77777777" w:rsidR="00E1515B" w:rsidRPr="00D95D1D" w:rsidRDefault="00E1515B" w:rsidP="00D95D1D">
            <w:pPr>
              <w:jc w:val="center"/>
              <w:rPr>
                <w:rFonts w:ascii="Times New Roman" w:hAnsi="Times New Roman" w:cs="Times New Roman"/>
                <w:b/>
                <w:bCs/>
              </w:rPr>
            </w:pPr>
            <w:r w:rsidRPr="00D95D1D">
              <w:rPr>
                <w:rFonts w:ascii="Times New Roman" w:hAnsi="Times New Roman" w:cs="Times New Roman"/>
                <w:b/>
                <w:bCs/>
              </w:rPr>
              <w:t> </w:t>
            </w:r>
          </w:p>
        </w:tc>
        <w:tc>
          <w:tcPr>
            <w:tcW w:w="1064" w:type="dxa"/>
            <w:tcBorders>
              <w:top w:val="nil"/>
              <w:left w:val="nil"/>
              <w:bottom w:val="single" w:sz="4" w:space="0" w:color="auto"/>
              <w:right w:val="single" w:sz="4" w:space="0" w:color="auto"/>
            </w:tcBorders>
            <w:shd w:val="clear" w:color="auto" w:fill="auto"/>
            <w:hideMark/>
          </w:tcPr>
          <w:p w14:paraId="722FDA93" w14:textId="77777777" w:rsidR="00E1515B" w:rsidRPr="00D95D1D" w:rsidRDefault="00E1515B" w:rsidP="00D95D1D">
            <w:pPr>
              <w:jc w:val="center"/>
              <w:rPr>
                <w:rFonts w:ascii="Times New Roman" w:hAnsi="Times New Roman" w:cs="Times New Roman"/>
                <w:b/>
                <w:bCs/>
              </w:rPr>
            </w:pPr>
            <w:r w:rsidRPr="00D95D1D">
              <w:rPr>
                <w:rFonts w:ascii="Times New Roman" w:hAnsi="Times New Roman" w:cs="Times New Roman"/>
                <w:b/>
                <w:bCs/>
              </w:rPr>
              <w:t xml:space="preserve">92 101,3  </w:t>
            </w:r>
          </w:p>
        </w:tc>
        <w:tc>
          <w:tcPr>
            <w:tcW w:w="924" w:type="dxa"/>
            <w:tcBorders>
              <w:top w:val="nil"/>
              <w:left w:val="nil"/>
              <w:bottom w:val="single" w:sz="4" w:space="0" w:color="auto"/>
              <w:right w:val="single" w:sz="4" w:space="0" w:color="auto"/>
            </w:tcBorders>
            <w:shd w:val="clear" w:color="auto" w:fill="auto"/>
            <w:hideMark/>
          </w:tcPr>
          <w:p w14:paraId="30E11C9C" w14:textId="77777777" w:rsidR="00E1515B" w:rsidRPr="00D95D1D" w:rsidRDefault="00E1515B" w:rsidP="00D95D1D">
            <w:pPr>
              <w:jc w:val="center"/>
              <w:rPr>
                <w:rFonts w:ascii="Times New Roman" w:hAnsi="Times New Roman" w:cs="Times New Roman"/>
                <w:b/>
                <w:bCs/>
              </w:rPr>
            </w:pPr>
            <w:r w:rsidRPr="00D95D1D">
              <w:rPr>
                <w:rFonts w:ascii="Times New Roman" w:hAnsi="Times New Roman" w:cs="Times New Roman"/>
                <w:b/>
                <w:bCs/>
              </w:rPr>
              <w:t> </w:t>
            </w:r>
          </w:p>
        </w:tc>
        <w:tc>
          <w:tcPr>
            <w:tcW w:w="1204" w:type="dxa"/>
            <w:tcBorders>
              <w:top w:val="nil"/>
              <w:left w:val="nil"/>
              <w:bottom w:val="single" w:sz="4" w:space="0" w:color="auto"/>
              <w:right w:val="single" w:sz="4" w:space="0" w:color="auto"/>
            </w:tcBorders>
            <w:shd w:val="clear" w:color="auto" w:fill="auto"/>
            <w:hideMark/>
          </w:tcPr>
          <w:p w14:paraId="47135308" w14:textId="77777777" w:rsidR="00E1515B" w:rsidRPr="00D95D1D" w:rsidRDefault="00E1515B" w:rsidP="00D95D1D">
            <w:pPr>
              <w:jc w:val="center"/>
              <w:rPr>
                <w:rFonts w:ascii="Times New Roman" w:hAnsi="Times New Roman" w:cs="Times New Roman"/>
                <w:b/>
                <w:bCs/>
              </w:rPr>
            </w:pPr>
            <w:r w:rsidRPr="00D95D1D">
              <w:rPr>
                <w:rFonts w:ascii="Times New Roman" w:hAnsi="Times New Roman" w:cs="Times New Roman"/>
                <w:b/>
                <w:bCs/>
              </w:rPr>
              <w:t xml:space="preserve">103 875,8  </w:t>
            </w:r>
          </w:p>
        </w:tc>
        <w:tc>
          <w:tcPr>
            <w:tcW w:w="992" w:type="dxa"/>
            <w:tcBorders>
              <w:top w:val="nil"/>
              <w:left w:val="nil"/>
              <w:bottom w:val="single" w:sz="4" w:space="0" w:color="auto"/>
              <w:right w:val="single" w:sz="4" w:space="0" w:color="auto"/>
            </w:tcBorders>
            <w:shd w:val="clear" w:color="auto" w:fill="auto"/>
            <w:hideMark/>
          </w:tcPr>
          <w:p w14:paraId="4B6522E3" w14:textId="77777777" w:rsidR="00E1515B" w:rsidRPr="00D95D1D" w:rsidRDefault="00E1515B" w:rsidP="00D95D1D">
            <w:pPr>
              <w:jc w:val="center"/>
              <w:rPr>
                <w:rFonts w:ascii="Times New Roman" w:hAnsi="Times New Roman" w:cs="Times New Roman"/>
                <w:b/>
                <w:bCs/>
              </w:rPr>
            </w:pPr>
            <w:r w:rsidRPr="00D95D1D">
              <w:rPr>
                <w:rFonts w:ascii="Times New Roman" w:hAnsi="Times New Roman" w:cs="Times New Roman"/>
                <w:b/>
                <w:bCs/>
              </w:rPr>
              <w:t> </w:t>
            </w:r>
          </w:p>
        </w:tc>
      </w:tr>
      <w:tr w:rsidR="00E1515B" w:rsidRPr="00E1515B" w14:paraId="732A863F" w14:textId="77777777" w:rsidTr="00E1515B">
        <w:trPr>
          <w:trHeight w:val="624"/>
        </w:trPr>
        <w:tc>
          <w:tcPr>
            <w:tcW w:w="3022" w:type="dxa"/>
            <w:tcBorders>
              <w:top w:val="nil"/>
              <w:left w:val="single" w:sz="4" w:space="0" w:color="auto"/>
              <w:bottom w:val="nil"/>
              <w:right w:val="nil"/>
            </w:tcBorders>
            <w:shd w:val="clear" w:color="auto" w:fill="auto"/>
            <w:hideMark/>
          </w:tcPr>
          <w:p w14:paraId="2A1C1F71" w14:textId="77777777" w:rsidR="00E1515B" w:rsidRPr="00D95D1D" w:rsidRDefault="00E1515B" w:rsidP="00D95D1D">
            <w:pPr>
              <w:rPr>
                <w:rFonts w:ascii="Times New Roman" w:hAnsi="Times New Roman" w:cs="Times New Roman"/>
              </w:rPr>
            </w:pPr>
            <w:r w:rsidRPr="00D95D1D">
              <w:rPr>
                <w:rFonts w:ascii="Times New Roman" w:hAnsi="Times New Roman" w:cs="Times New Roman"/>
              </w:rPr>
              <w:t>расходы на конечное потребление:</w:t>
            </w:r>
          </w:p>
        </w:tc>
        <w:tc>
          <w:tcPr>
            <w:tcW w:w="1226" w:type="dxa"/>
            <w:tcBorders>
              <w:top w:val="nil"/>
              <w:left w:val="single" w:sz="4" w:space="0" w:color="auto"/>
              <w:bottom w:val="nil"/>
              <w:right w:val="single" w:sz="4" w:space="0" w:color="auto"/>
            </w:tcBorders>
            <w:shd w:val="clear" w:color="auto" w:fill="auto"/>
            <w:hideMark/>
          </w:tcPr>
          <w:p w14:paraId="13EEF8B7"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61 389,8  </w:t>
            </w:r>
          </w:p>
        </w:tc>
        <w:tc>
          <w:tcPr>
            <w:tcW w:w="924" w:type="dxa"/>
            <w:tcBorders>
              <w:top w:val="nil"/>
              <w:left w:val="nil"/>
              <w:bottom w:val="nil"/>
              <w:right w:val="single" w:sz="4" w:space="0" w:color="auto"/>
            </w:tcBorders>
            <w:shd w:val="clear" w:color="auto" w:fill="auto"/>
            <w:hideMark/>
          </w:tcPr>
          <w:p w14:paraId="51C8339C"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71,4  </w:t>
            </w:r>
          </w:p>
        </w:tc>
        <w:tc>
          <w:tcPr>
            <w:tcW w:w="1064" w:type="dxa"/>
            <w:tcBorders>
              <w:top w:val="nil"/>
              <w:left w:val="nil"/>
              <w:bottom w:val="nil"/>
              <w:right w:val="single" w:sz="4" w:space="0" w:color="auto"/>
            </w:tcBorders>
            <w:shd w:val="clear" w:color="auto" w:fill="auto"/>
            <w:hideMark/>
          </w:tcPr>
          <w:p w14:paraId="0870CB2E"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65 165,5  </w:t>
            </w:r>
          </w:p>
        </w:tc>
        <w:tc>
          <w:tcPr>
            <w:tcW w:w="924" w:type="dxa"/>
            <w:tcBorders>
              <w:top w:val="nil"/>
              <w:left w:val="nil"/>
              <w:bottom w:val="nil"/>
              <w:right w:val="single" w:sz="4" w:space="0" w:color="auto"/>
            </w:tcBorders>
            <w:shd w:val="clear" w:color="auto" w:fill="auto"/>
            <w:hideMark/>
          </w:tcPr>
          <w:p w14:paraId="6A2F5F94"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70,8  </w:t>
            </w:r>
          </w:p>
        </w:tc>
        <w:tc>
          <w:tcPr>
            <w:tcW w:w="1204" w:type="dxa"/>
            <w:tcBorders>
              <w:top w:val="nil"/>
              <w:left w:val="nil"/>
              <w:bottom w:val="nil"/>
              <w:right w:val="single" w:sz="4" w:space="0" w:color="auto"/>
            </w:tcBorders>
            <w:shd w:val="clear" w:color="auto" w:fill="auto"/>
            <w:hideMark/>
          </w:tcPr>
          <w:p w14:paraId="36728FA0"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69 333,0  </w:t>
            </w:r>
          </w:p>
        </w:tc>
        <w:tc>
          <w:tcPr>
            <w:tcW w:w="992" w:type="dxa"/>
            <w:tcBorders>
              <w:top w:val="nil"/>
              <w:left w:val="nil"/>
              <w:bottom w:val="nil"/>
              <w:right w:val="single" w:sz="4" w:space="0" w:color="auto"/>
            </w:tcBorders>
            <w:shd w:val="clear" w:color="auto" w:fill="auto"/>
            <w:hideMark/>
          </w:tcPr>
          <w:p w14:paraId="63FCC550"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66,7  </w:t>
            </w:r>
          </w:p>
        </w:tc>
      </w:tr>
      <w:tr w:rsidR="00E1515B" w:rsidRPr="00E1515B" w14:paraId="41BF30D9" w14:textId="77777777" w:rsidTr="00E1515B">
        <w:trPr>
          <w:trHeight w:val="312"/>
        </w:trPr>
        <w:tc>
          <w:tcPr>
            <w:tcW w:w="3022" w:type="dxa"/>
            <w:tcBorders>
              <w:top w:val="nil"/>
              <w:left w:val="single" w:sz="4" w:space="0" w:color="auto"/>
              <w:bottom w:val="nil"/>
              <w:right w:val="nil"/>
            </w:tcBorders>
            <w:shd w:val="clear" w:color="auto" w:fill="auto"/>
            <w:hideMark/>
          </w:tcPr>
          <w:p w14:paraId="416D0637" w14:textId="77777777" w:rsidR="00E1515B" w:rsidRPr="00D95D1D" w:rsidRDefault="00E1515B" w:rsidP="00D95D1D">
            <w:pPr>
              <w:jc w:val="right"/>
              <w:rPr>
                <w:rFonts w:ascii="Times New Roman" w:hAnsi="Times New Roman" w:cs="Times New Roman"/>
              </w:rPr>
            </w:pPr>
            <w:r w:rsidRPr="00D95D1D">
              <w:rPr>
                <w:rFonts w:ascii="Times New Roman" w:hAnsi="Times New Roman" w:cs="Times New Roman"/>
              </w:rPr>
              <w:t>домашних хозяйств</w:t>
            </w:r>
          </w:p>
        </w:tc>
        <w:tc>
          <w:tcPr>
            <w:tcW w:w="1226" w:type="dxa"/>
            <w:tcBorders>
              <w:top w:val="nil"/>
              <w:left w:val="single" w:sz="4" w:space="0" w:color="auto"/>
              <w:bottom w:val="nil"/>
              <w:right w:val="single" w:sz="4" w:space="0" w:color="auto"/>
            </w:tcBorders>
            <w:shd w:val="clear" w:color="auto" w:fill="auto"/>
            <w:hideMark/>
          </w:tcPr>
          <w:p w14:paraId="0E94320B"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45 317,1  </w:t>
            </w:r>
          </w:p>
        </w:tc>
        <w:tc>
          <w:tcPr>
            <w:tcW w:w="924" w:type="dxa"/>
            <w:tcBorders>
              <w:top w:val="nil"/>
              <w:left w:val="nil"/>
              <w:bottom w:val="nil"/>
              <w:right w:val="single" w:sz="4" w:space="0" w:color="auto"/>
            </w:tcBorders>
            <w:shd w:val="clear" w:color="auto" w:fill="auto"/>
            <w:hideMark/>
          </w:tcPr>
          <w:p w14:paraId="66507D1A"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52,7  </w:t>
            </w:r>
          </w:p>
        </w:tc>
        <w:tc>
          <w:tcPr>
            <w:tcW w:w="1064" w:type="dxa"/>
            <w:tcBorders>
              <w:top w:val="nil"/>
              <w:left w:val="nil"/>
              <w:bottom w:val="nil"/>
              <w:right w:val="single" w:sz="4" w:space="0" w:color="auto"/>
            </w:tcBorders>
            <w:shd w:val="clear" w:color="auto" w:fill="auto"/>
            <w:hideMark/>
          </w:tcPr>
          <w:p w14:paraId="38DC359F"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48 135,7  </w:t>
            </w:r>
          </w:p>
        </w:tc>
        <w:tc>
          <w:tcPr>
            <w:tcW w:w="924" w:type="dxa"/>
            <w:tcBorders>
              <w:top w:val="nil"/>
              <w:left w:val="nil"/>
              <w:bottom w:val="nil"/>
              <w:right w:val="single" w:sz="4" w:space="0" w:color="auto"/>
            </w:tcBorders>
            <w:shd w:val="clear" w:color="auto" w:fill="auto"/>
            <w:hideMark/>
          </w:tcPr>
          <w:p w14:paraId="7301F32B"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52,3  </w:t>
            </w:r>
          </w:p>
        </w:tc>
        <w:tc>
          <w:tcPr>
            <w:tcW w:w="1204" w:type="dxa"/>
            <w:tcBorders>
              <w:top w:val="nil"/>
              <w:left w:val="nil"/>
              <w:bottom w:val="nil"/>
              <w:right w:val="single" w:sz="4" w:space="0" w:color="auto"/>
            </w:tcBorders>
            <w:shd w:val="clear" w:color="auto" w:fill="auto"/>
            <w:hideMark/>
          </w:tcPr>
          <w:p w14:paraId="2CDAB3BB"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50 851,1  </w:t>
            </w:r>
          </w:p>
        </w:tc>
        <w:tc>
          <w:tcPr>
            <w:tcW w:w="992" w:type="dxa"/>
            <w:tcBorders>
              <w:top w:val="nil"/>
              <w:left w:val="nil"/>
              <w:bottom w:val="nil"/>
              <w:right w:val="single" w:sz="4" w:space="0" w:color="auto"/>
            </w:tcBorders>
            <w:shd w:val="clear" w:color="auto" w:fill="auto"/>
            <w:hideMark/>
          </w:tcPr>
          <w:p w14:paraId="5D2DD131"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49,0  </w:t>
            </w:r>
          </w:p>
        </w:tc>
      </w:tr>
      <w:tr w:rsidR="00E1515B" w:rsidRPr="00E1515B" w14:paraId="449E87FF" w14:textId="77777777" w:rsidTr="00E1515B">
        <w:trPr>
          <w:trHeight w:val="312"/>
        </w:trPr>
        <w:tc>
          <w:tcPr>
            <w:tcW w:w="3022" w:type="dxa"/>
            <w:tcBorders>
              <w:top w:val="nil"/>
              <w:left w:val="single" w:sz="4" w:space="0" w:color="auto"/>
              <w:bottom w:val="nil"/>
              <w:right w:val="nil"/>
            </w:tcBorders>
            <w:shd w:val="clear" w:color="auto" w:fill="auto"/>
            <w:hideMark/>
          </w:tcPr>
          <w:p w14:paraId="5EC1CBD2" w14:textId="77777777" w:rsidR="00E1515B" w:rsidRPr="00D95D1D" w:rsidRDefault="00E1515B" w:rsidP="00D95D1D">
            <w:pPr>
              <w:jc w:val="right"/>
              <w:rPr>
                <w:rFonts w:ascii="Times New Roman" w:hAnsi="Times New Roman" w:cs="Times New Roman"/>
              </w:rPr>
            </w:pPr>
            <w:r w:rsidRPr="00D95D1D">
              <w:rPr>
                <w:rFonts w:ascii="Times New Roman" w:hAnsi="Times New Roman" w:cs="Times New Roman"/>
              </w:rPr>
              <w:t>государственного управления</w:t>
            </w:r>
          </w:p>
        </w:tc>
        <w:tc>
          <w:tcPr>
            <w:tcW w:w="1226" w:type="dxa"/>
            <w:tcBorders>
              <w:top w:val="nil"/>
              <w:left w:val="single" w:sz="4" w:space="0" w:color="auto"/>
              <w:bottom w:val="nil"/>
              <w:right w:val="single" w:sz="4" w:space="0" w:color="auto"/>
            </w:tcBorders>
            <w:shd w:val="clear" w:color="auto" w:fill="auto"/>
            <w:hideMark/>
          </w:tcPr>
          <w:p w14:paraId="4BB53312"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15 728,5  </w:t>
            </w:r>
          </w:p>
        </w:tc>
        <w:tc>
          <w:tcPr>
            <w:tcW w:w="924" w:type="dxa"/>
            <w:tcBorders>
              <w:top w:val="nil"/>
              <w:left w:val="nil"/>
              <w:bottom w:val="nil"/>
              <w:right w:val="single" w:sz="4" w:space="0" w:color="auto"/>
            </w:tcBorders>
            <w:shd w:val="clear" w:color="auto" w:fill="auto"/>
            <w:hideMark/>
          </w:tcPr>
          <w:p w14:paraId="01751614"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18,3  </w:t>
            </w:r>
          </w:p>
        </w:tc>
        <w:tc>
          <w:tcPr>
            <w:tcW w:w="1064" w:type="dxa"/>
            <w:tcBorders>
              <w:top w:val="nil"/>
              <w:left w:val="nil"/>
              <w:bottom w:val="nil"/>
              <w:right w:val="single" w:sz="4" w:space="0" w:color="auto"/>
            </w:tcBorders>
            <w:shd w:val="clear" w:color="auto" w:fill="auto"/>
            <w:hideMark/>
          </w:tcPr>
          <w:p w14:paraId="03DCBD42"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16 649,2  </w:t>
            </w:r>
          </w:p>
        </w:tc>
        <w:tc>
          <w:tcPr>
            <w:tcW w:w="924" w:type="dxa"/>
            <w:tcBorders>
              <w:top w:val="nil"/>
              <w:left w:val="nil"/>
              <w:bottom w:val="nil"/>
              <w:right w:val="single" w:sz="4" w:space="0" w:color="auto"/>
            </w:tcBorders>
            <w:shd w:val="clear" w:color="auto" w:fill="auto"/>
            <w:hideMark/>
          </w:tcPr>
          <w:p w14:paraId="46554519"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18,1  </w:t>
            </w:r>
          </w:p>
        </w:tc>
        <w:tc>
          <w:tcPr>
            <w:tcW w:w="1204" w:type="dxa"/>
            <w:tcBorders>
              <w:top w:val="nil"/>
              <w:left w:val="nil"/>
              <w:bottom w:val="nil"/>
              <w:right w:val="single" w:sz="4" w:space="0" w:color="auto"/>
            </w:tcBorders>
            <w:shd w:val="clear" w:color="auto" w:fill="auto"/>
            <w:hideMark/>
          </w:tcPr>
          <w:p w14:paraId="5048B74A"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18 049,3  </w:t>
            </w:r>
          </w:p>
        </w:tc>
        <w:tc>
          <w:tcPr>
            <w:tcW w:w="992" w:type="dxa"/>
            <w:tcBorders>
              <w:top w:val="nil"/>
              <w:left w:val="nil"/>
              <w:right w:val="single" w:sz="4" w:space="0" w:color="auto"/>
            </w:tcBorders>
            <w:shd w:val="clear" w:color="auto" w:fill="auto"/>
            <w:hideMark/>
          </w:tcPr>
          <w:p w14:paraId="10AC7F5B"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17,4  </w:t>
            </w:r>
          </w:p>
        </w:tc>
      </w:tr>
      <w:tr w:rsidR="00E1515B" w:rsidRPr="00E1515B" w14:paraId="01EB0A92" w14:textId="77777777" w:rsidTr="00E1515B">
        <w:trPr>
          <w:trHeight w:val="1308"/>
        </w:trPr>
        <w:tc>
          <w:tcPr>
            <w:tcW w:w="3022" w:type="dxa"/>
            <w:tcBorders>
              <w:top w:val="nil"/>
              <w:left w:val="single" w:sz="4" w:space="0" w:color="auto"/>
              <w:bottom w:val="single" w:sz="4" w:space="0" w:color="auto"/>
              <w:right w:val="nil"/>
            </w:tcBorders>
            <w:shd w:val="clear" w:color="auto" w:fill="auto"/>
            <w:hideMark/>
          </w:tcPr>
          <w:p w14:paraId="10D4157C" w14:textId="77777777" w:rsidR="00E1515B" w:rsidRPr="00D95D1D" w:rsidRDefault="00E1515B" w:rsidP="00D95D1D">
            <w:pPr>
              <w:jc w:val="right"/>
              <w:rPr>
                <w:rFonts w:ascii="Times New Roman" w:hAnsi="Times New Roman" w:cs="Times New Roman"/>
              </w:rPr>
            </w:pPr>
            <w:r w:rsidRPr="00D95D1D">
              <w:rPr>
                <w:rFonts w:ascii="Times New Roman" w:hAnsi="Times New Roman" w:cs="Times New Roman"/>
              </w:rPr>
              <w:t>некоммерческих организаций, обслуживающих домашние хозяйства</w:t>
            </w:r>
          </w:p>
        </w:tc>
        <w:tc>
          <w:tcPr>
            <w:tcW w:w="1226" w:type="dxa"/>
            <w:tcBorders>
              <w:top w:val="nil"/>
              <w:left w:val="single" w:sz="4" w:space="0" w:color="auto"/>
              <w:bottom w:val="single" w:sz="4" w:space="0" w:color="auto"/>
              <w:right w:val="single" w:sz="4" w:space="0" w:color="auto"/>
            </w:tcBorders>
            <w:shd w:val="clear" w:color="auto" w:fill="auto"/>
            <w:hideMark/>
          </w:tcPr>
          <w:p w14:paraId="3348F357"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344,2  </w:t>
            </w:r>
          </w:p>
        </w:tc>
        <w:tc>
          <w:tcPr>
            <w:tcW w:w="924" w:type="dxa"/>
            <w:tcBorders>
              <w:top w:val="nil"/>
              <w:left w:val="nil"/>
              <w:bottom w:val="single" w:sz="4" w:space="0" w:color="auto"/>
              <w:right w:val="single" w:sz="4" w:space="0" w:color="auto"/>
            </w:tcBorders>
            <w:shd w:val="clear" w:color="auto" w:fill="auto"/>
            <w:hideMark/>
          </w:tcPr>
          <w:p w14:paraId="10AC1A6A"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0,4  </w:t>
            </w:r>
          </w:p>
        </w:tc>
        <w:tc>
          <w:tcPr>
            <w:tcW w:w="1064" w:type="dxa"/>
            <w:tcBorders>
              <w:top w:val="nil"/>
              <w:left w:val="nil"/>
              <w:bottom w:val="single" w:sz="4" w:space="0" w:color="auto"/>
              <w:right w:val="single" w:sz="4" w:space="0" w:color="auto"/>
            </w:tcBorders>
            <w:shd w:val="clear" w:color="auto" w:fill="auto"/>
            <w:hideMark/>
          </w:tcPr>
          <w:p w14:paraId="357E04C3"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380,6  </w:t>
            </w:r>
          </w:p>
        </w:tc>
        <w:tc>
          <w:tcPr>
            <w:tcW w:w="924" w:type="dxa"/>
            <w:tcBorders>
              <w:top w:val="nil"/>
              <w:left w:val="nil"/>
              <w:bottom w:val="single" w:sz="4" w:space="0" w:color="auto"/>
              <w:right w:val="single" w:sz="4" w:space="0" w:color="auto"/>
            </w:tcBorders>
            <w:shd w:val="clear" w:color="auto" w:fill="auto"/>
            <w:hideMark/>
          </w:tcPr>
          <w:p w14:paraId="3E8985C8"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0,4  </w:t>
            </w:r>
          </w:p>
        </w:tc>
        <w:tc>
          <w:tcPr>
            <w:tcW w:w="1204" w:type="dxa"/>
            <w:tcBorders>
              <w:top w:val="nil"/>
              <w:left w:val="nil"/>
              <w:bottom w:val="single" w:sz="4" w:space="0" w:color="auto"/>
              <w:right w:val="single" w:sz="4" w:space="0" w:color="auto"/>
            </w:tcBorders>
            <w:shd w:val="clear" w:color="auto" w:fill="auto"/>
            <w:hideMark/>
          </w:tcPr>
          <w:p w14:paraId="3CDE146F"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432,6  </w:t>
            </w:r>
          </w:p>
        </w:tc>
        <w:tc>
          <w:tcPr>
            <w:tcW w:w="992" w:type="dxa"/>
            <w:tcBorders>
              <w:top w:val="nil"/>
              <w:left w:val="nil"/>
              <w:bottom w:val="nil"/>
              <w:right w:val="single" w:sz="4" w:space="0" w:color="auto"/>
            </w:tcBorders>
            <w:shd w:val="clear" w:color="auto" w:fill="auto"/>
            <w:hideMark/>
          </w:tcPr>
          <w:p w14:paraId="2EC2CACE"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0,4  </w:t>
            </w:r>
          </w:p>
        </w:tc>
      </w:tr>
      <w:tr w:rsidR="00E1515B" w:rsidRPr="00E1515B" w14:paraId="172AC0F9" w14:textId="77777777" w:rsidTr="00E1515B">
        <w:trPr>
          <w:trHeight w:val="312"/>
        </w:trPr>
        <w:tc>
          <w:tcPr>
            <w:tcW w:w="3022" w:type="dxa"/>
            <w:tcBorders>
              <w:top w:val="nil"/>
              <w:left w:val="single" w:sz="4" w:space="0" w:color="auto"/>
              <w:bottom w:val="nil"/>
              <w:right w:val="nil"/>
            </w:tcBorders>
            <w:shd w:val="clear" w:color="auto" w:fill="auto"/>
            <w:hideMark/>
          </w:tcPr>
          <w:p w14:paraId="31012C53" w14:textId="77777777" w:rsidR="00E1515B" w:rsidRPr="00D95D1D" w:rsidRDefault="00E1515B" w:rsidP="00D95D1D">
            <w:pPr>
              <w:rPr>
                <w:rFonts w:ascii="Times New Roman" w:hAnsi="Times New Roman" w:cs="Times New Roman"/>
              </w:rPr>
            </w:pPr>
            <w:r w:rsidRPr="00D95D1D">
              <w:rPr>
                <w:rFonts w:ascii="Times New Roman" w:hAnsi="Times New Roman" w:cs="Times New Roman"/>
              </w:rPr>
              <w:t>валовое накопление</w:t>
            </w:r>
          </w:p>
        </w:tc>
        <w:tc>
          <w:tcPr>
            <w:tcW w:w="1226" w:type="dxa"/>
            <w:tcBorders>
              <w:top w:val="nil"/>
              <w:left w:val="single" w:sz="4" w:space="0" w:color="auto"/>
              <w:bottom w:val="nil"/>
              <w:right w:val="single" w:sz="4" w:space="0" w:color="auto"/>
            </w:tcBorders>
            <w:shd w:val="clear" w:color="auto" w:fill="auto"/>
            <w:hideMark/>
          </w:tcPr>
          <w:p w14:paraId="150E4938"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20 242,8  </w:t>
            </w:r>
          </w:p>
        </w:tc>
        <w:tc>
          <w:tcPr>
            <w:tcW w:w="924" w:type="dxa"/>
            <w:tcBorders>
              <w:top w:val="nil"/>
              <w:left w:val="nil"/>
              <w:bottom w:val="nil"/>
              <w:right w:val="single" w:sz="4" w:space="0" w:color="auto"/>
            </w:tcBorders>
            <w:shd w:val="clear" w:color="auto" w:fill="auto"/>
            <w:hideMark/>
          </w:tcPr>
          <w:p w14:paraId="601BA463"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23,5  </w:t>
            </w:r>
          </w:p>
        </w:tc>
        <w:tc>
          <w:tcPr>
            <w:tcW w:w="1064" w:type="dxa"/>
            <w:tcBorders>
              <w:top w:val="nil"/>
              <w:left w:val="nil"/>
              <w:bottom w:val="nil"/>
              <w:right w:val="single" w:sz="4" w:space="0" w:color="auto"/>
            </w:tcBorders>
            <w:shd w:val="clear" w:color="auto" w:fill="auto"/>
            <w:hideMark/>
          </w:tcPr>
          <w:p w14:paraId="1F7E48E7"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22 189,2  </w:t>
            </w:r>
          </w:p>
        </w:tc>
        <w:tc>
          <w:tcPr>
            <w:tcW w:w="924" w:type="dxa"/>
            <w:tcBorders>
              <w:top w:val="nil"/>
              <w:left w:val="nil"/>
              <w:bottom w:val="nil"/>
              <w:right w:val="single" w:sz="4" w:space="0" w:color="auto"/>
            </w:tcBorders>
            <w:shd w:val="clear" w:color="auto" w:fill="auto"/>
            <w:hideMark/>
          </w:tcPr>
          <w:p w14:paraId="4ABF7EB7"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24,1  </w:t>
            </w:r>
          </w:p>
        </w:tc>
        <w:tc>
          <w:tcPr>
            <w:tcW w:w="1204" w:type="dxa"/>
            <w:tcBorders>
              <w:top w:val="nil"/>
              <w:left w:val="nil"/>
              <w:bottom w:val="nil"/>
              <w:right w:val="single" w:sz="4" w:space="0" w:color="auto"/>
            </w:tcBorders>
            <w:shd w:val="clear" w:color="auto" w:fill="auto"/>
            <w:hideMark/>
          </w:tcPr>
          <w:p w14:paraId="2F6D002F"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23 611,2  </w:t>
            </w:r>
          </w:p>
        </w:tc>
        <w:tc>
          <w:tcPr>
            <w:tcW w:w="992" w:type="dxa"/>
            <w:tcBorders>
              <w:top w:val="single" w:sz="4" w:space="0" w:color="auto"/>
              <w:left w:val="nil"/>
              <w:bottom w:val="nil"/>
              <w:right w:val="single" w:sz="4" w:space="0" w:color="auto"/>
            </w:tcBorders>
            <w:shd w:val="clear" w:color="auto" w:fill="auto"/>
            <w:hideMark/>
          </w:tcPr>
          <w:p w14:paraId="03ACCC6A"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22,7  </w:t>
            </w:r>
          </w:p>
        </w:tc>
      </w:tr>
      <w:tr w:rsidR="00E1515B" w:rsidRPr="00E1515B" w14:paraId="7340DB79" w14:textId="77777777" w:rsidTr="00E1515B">
        <w:trPr>
          <w:trHeight w:val="624"/>
        </w:trPr>
        <w:tc>
          <w:tcPr>
            <w:tcW w:w="3022" w:type="dxa"/>
            <w:tcBorders>
              <w:top w:val="nil"/>
              <w:left w:val="single" w:sz="4" w:space="0" w:color="auto"/>
              <w:bottom w:val="nil"/>
              <w:right w:val="nil"/>
            </w:tcBorders>
            <w:shd w:val="clear" w:color="auto" w:fill="auto"/>
            <w:hideMark/>
          </w:tcPr>
          <w:p w14:paraId="5E39C85A" w14:textId="77777777" w:rsidR="00E1515B" w:rsidRPr="00D95D1D" w:rsidRDefault="00E1515B" w:rsidP="00D95D1D">
            <w:pPr>
              <w:jc w:val="right"/>
              <w:rPr>
                <w:rFonts w:ascii="Times New Roman" w:hAnsi="Times New Roman" w:cs="Times New Roman"/>
              </w:rPr>
            </w:pPr>
            <w:r w:rsidRPr="00D95D1D">
              <w:rPr>
                <w:rFonts w:ascii="Times New Roman" w:hAnsi="Times New Roman" w:cs="Times New Roman"/>
              </w:rPr>
              <w:t>валовое накопление основного капитала</w:t>
            </w:r>
          </w:p>
        </w:tc>
        <w:tc>
          <w:tcPr>
            <w:tcW w:w="1226" w:type="dxa"/>
            <w:tcBorders>
              <w:top w:val="nil"/>
              <w:left w:val="single" w:sz="4" w:space="0" w:color="auto"/>
              <w:bottom w:val="nil"/>
              <w:right w:val="single" w:sz="4" w:space="0" w:color="auto"/>
            </w:tcBorders>
            <w:shd w:val="clear" w:color="auto" w:fill="auto"/>
            <w:hideMark/>
          </w:tcPr>
          <w:p w14:paraId="4F877FF5" w14:textId="77777777" w:rsidR="00D95D1D" w:rsidRDefault="00D95D1D" w:rsidP="00D95D1D">
            <w:pPr>
              <w:jc w:val="center"/>
              <w:rPr>
                <w:rFonts w:ascii="Times New Roman" w:hAnsi="Times New Roman" w:cs="Times New Roman"/>
              </w:rPr>
            </w:pPr>
          </w:p>
          <w:p w14:paraId="69C811DD"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18 910,5  </w:t>
            </w:r>
          </w:p>
        </w:tc>
        <w:tc>
          <w:tcPr>
            <w:tcW w:w="924" w:type="dxa"/>
            <w:tcBorders>
              <w:top w:val="nil"/>
              <w:left w:val="nil"/>
              <w:bottom w:val="nil"/>
              <w:right w:val="single" w:sz="4" w:space="0" w:color="auto"/>
            </w:tcBorders>
            <w:shd w:val="clear" w:color="auto" w:fill="auto"/>
            <w:hideMark/>
          </w:tcPr>
          <w:p w14:paraId="15B0D4BE" w14:textId="77777777" w:rsidR="00D95D1D" w:rsidRDefault="00D95D1D" w:rsidP="00D95D1D">
            <w:pPr>
              <w:jc w:val="center"/>
              <w:rPr>
                <w:rFonts w:ascii="Times New Roman" w:hAnsi="Times New Roman" w:cs="Times New Roman"/>
              </w:rPr>
            </w:pPr>
          </w:p>
          <w:p w14:paraId="3B623E13"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22,0  </w:t>
            </w:r>
          </w:p>
        </w:tc>
        <w:tc>
          <w:tcPr>
            <w:tcW w:w="1064" w:type="dxa"/>
            <w:tcBorders>
              <w:top w:val="nil"/>
              <w:left w:val="nil"/>
              <w:bottom w:val="nil"/>
              <w:right w:val="single" w:sz="4" w:space="0" w:color="auto"/>
            </w:tcBorders>
            <w:shd w:val="clear" w:color="auto" w:fill="auto"/>
            <w:hideMark/>
          </w:tcPr>
          <w:p w14:paraId="5858D4C1" w14:textId="77777777" w:rsidR="00D95D1D" w:rsidRDefault="00D95D1D" w:rsidP="00D95D1D">
            <w:pPr>
              <w:jc w:val="center"/>
              <w:rPr>
                <w:rFonts w:ascii="Times New Roman" w:hAnsi="Times New Roman" w:cs="Times New Roman"/>
              </w:rPr>
            </w:pPr>
          </w:p>
          <w:p w14:paraId="42F4433B"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20 571,1  </w:t>
            </w:r>
          </w:p>
        </w:tc>
        <w:tc>
          <w:tcPr>
            <w:tcW w:w="924" w:type="dxa"/>
            <w:tcBorders>
              <w:top w:val="nil"/>
              <w:left w:val="nil"/>
              <w:bottom w:val="nil"/>
              <w:right w:val="single" w:sz="4" w:space="0" w:color="auto"/>
            </w:tcBorders>
            <w:shd w:val="clear" w:color="auto" w:fill="auto"/>
            <w:hideMark/>
          </w:tcPr>
          <w:p w14:paraId="4C1A9916" w14:textId="77777777" w:rsidR="00D95D1D" w:rsidRDefault="00D95D1D" w:rsidP="00D95D1D">
            <w:pPr>
              <w:jc w:val="center"/>
              <w:rPr>
                <w:rFonts w:ascii="Times New Roman" w:hAnsi="Times New Roman" w:cs="Times New Roman"/>
              </w:rPr>
            </w:pPr>
          </w:p>
          <w:p w14:paraId="2FC41097"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22,3  </w:t>
            </w:r>
          </w:p>
        </w:tc>
        <w:tc>
          <w:tcPr>
            <w:tcW w:w="1204" w:type="dxa"/>
            <w:tcBorders>
              <w:top w:val="nil"/>
              <w:left w:val="nil"/>
              <w:bottom w:val="nil"/>
              <w:right w:val="single" w:sz="4" w:space="0" w:color="auto"/>
            </w:tcBorders>
            <w:shd w:val="clear" w:color="auto" w:fill="auto"/>
            <w:hideMark/>
          </w:tcPr>
          <w:p w14:paraId="615C43AB" w14:textId="77777777" w:rsidR="00D95D1D" w:rsidRDefault="00D95D1D" w:rsidP="00D95D1D">
            <w:pPr>
              <w:jc w:val="center"/>
              <w:rPr>
                <w:rFonts w:ascii="Times New Roman" w:hAnsi="Times New Roman" w:cs="Times New Roman"/>
              </w:rPr>
            </w:pPr>
          </w:p>
          <w:p w14:paraId="0FBD48C0"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22 237,4  </w:t>
            </w:r>
          </w:p>
        </w:tc>
        <w:tc>
          <w:tcPr>
            <w:tcW w:w="992" w:type="dxa"/>
            <w:tcBorders>
              <w:top w:val="nil"/>
              <w:left w:val="nil"/>
              <w:bottom w:val="nil"/>
              <w:right w:val="single" w:sz="4" w:space="0" w:color="auto"/>
            </w:tcBorders>
            <w:shd w:val="clear" w:color="auto" w:fill="auto"/>
            <w:hideMark/>
          </w:tcPr>
          <w:p w14:paraId="3D1CDB9B" w14:textId="77777777" w:rsidR="00D95D1D" w:rsidRDefault="00D95D1D" w:rsidP="00D95D1D">
            <w:pPr>
              <w:jc w:val="center"/>
              <w:rPr>
                <w:rFonts w:ascii="Times New Roman" w:hAnsi="Times New Roman" w:cs="Times New Roman"/>
              </w:rPr>
            </w:pPr>
          </w:p>
          <w:p w14:paraId="6B9CA3B2"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21,4  </w:t>
            </w:r>
          </w:p>
        </w:tc>
      </w:tr>
      <w:tr w:rsidR="00E1515B" w:rsidRPr="00E1515B" w14:paraId="651796F7" w14:textId="77777777" w:rsidTr="00E1515B">
        <w:trPr>
          <w:trHeight w:val="660"/>
        </w:trPr>
        <w:tc>
          <w:tcPr>
            <w:tcW w:w="3022" w:type="dxa"/>
            <w:tcBorders>
              <w:top w:val="nil"/>
              <w:left w:val="single" w:sz="4" w:space="0" w:color="auto"/>
              <w:bottom w:val="single" w:sz="4" w:space="0" w:color="auto"/>
              <w:right w:val="nil"/>
            </w:tcBorders>
            <w:shd w:val="clear" w:color="auto" w:fill="auto"/>
            <w:hideMark/>
          </w:tcPr>
          <w:p w14:paraId="1A309BE2" w14:textId="77777777" w:rsidR="00E1515B" w:rsidRPr="00D95D1D" w:rsidRDefault="00E1515B" w:rsidP="00D95D1D">
            <w:pPr>
              <w:jc w:val="right"/>
              <w:rPr>
                <w:rFonts w:ascii="Times New Roman" w:hAnsi="Times New Roman" w:cs="Times New Roman"/>
              </w:rPr>
            </w:pPr>
            <w:r w:rsidRPr="00D95D1D">
              <w:rPr>
                <w:rFonts w:ascii="Times New Roman" w:hAnsi="Times New Roman" w:cs="Times New Roman"/>
              </w:rPr>
              <w:t>изменение запасов материальных оборотных средств</w:t>
            </w:r>
          </w:p>
        </w:tc>
        <w:tc>
          <w:tcPr>
            <w:tcW w:w="1226" w:type="dxa"/>
            <w:tcBorders>
              <w:top w:val="nil"/>
              <w:left w:val="single" w:sz="4" w:space="0" w:color="auto"/>
              <w:bottom w:val="single" w:sz="4" w:space="0" w:color="auto"/>
              <w:right w:val="single" w:sz="4" w:space="0" w:color="auto"/>
            </w:tcBorders>
            <w:shd w:val="clear" w:color="auto" w:fill="auto"/>
            <w:hideMark/>
          </w:tcPr>
          <w:p w14:paraId="1C44C7C7" w14:textId="77777777" w:rsidR="00D95D1D" w:rsidRDefault="00D95D1D" w:rsidP="00D95D1D">
            <w:pPr>
              <w:jc w:val="center"/>
              <w:rPr>
                <w:rFonts w:ascii="Times New Roman" w:hAnsi="Times New Roman" w:cs="Times New Roman"/>
              </w:rPr>
            </w:pPr>
          </w:p>
          <w:p w14:paraId="55D8E85E"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1 332,3  </w:t>
            </w:r>
          </w:p>
        </w:tc>
        <w:tc>
          <w:tcPr>
            <w:tcW w:w="924" w:type="dxa"/>
            <w:tcBorders>
              <w:top w:val="nil"/>
              <w:left w:val="nil"/>
              <w:bottom w:val="single" w:sz="4" w:space="0" w:color="auto"/>
              <w:right w:val="single" w:sz="4" w:space="0" w:color="auto"/>
            </w:tcBorders>
            <w:shd w:val="clear" w:color="auto" w:fill="auto"/>
            <w:hideMark/>
          </w:tcPr>
          <w:p w14:paraId="3BDE4062" w14:textId="77777777" w:rsidR="00D95D1D" w:rsidRDefault="00D95D1D" w:rsidP="00D95D1D">
            <w:pPr>
              <w:jc w:val="center"/>
              <w:rPr>
                <w:rFonts w:ascii="Times New Roman" w:hAnsi="Times New Roman" w:cs="Times New Roman"/>
              </w:rPr>
            </w:pPr>
          </w:p>
          <w:p w14:paraId="7D5751FC"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1,5  </w:t>
            </w:r>
          </w:p>
        </w:tc>
        <w:tc>
          <w:tcPr>
            <w:tcW w:w="1064" w:type="dxa"/>
            <w:tcBorders>
              <w:top w:val="nil"/>
              <w:left w:val="nil"/>
              <w:bottom w:val="single" w:sz="4" w:space="0" w:color="auto"/>
              <w:right w:val="single" w:sz="4" w:space="0" w:color="auto"/>
            </w:tcBorders>
            <w:shd w:val="clear" w:color="auto" w:fill="auto"/>
            <w:hideMark/>
          </w:tcPr>
          <w:p w14:paraId="62E6D231" w14:textId="77777777" w:rsidR="00D95D1D" w:rsidRDefault="00D95D1D" w:rsidP="00D95D1D">
            <w:pPr>
              <w:jc w:val="center"/>
              <w:rPr>
                <w:rFonts w:ascii="Times New Roman" w:hAnsi="Times New Roman" w:cs="Times New Roman"/>
              </w:rPr>
            </w:pPr>
          </w:p>
          <w:p w14:paraId="19F129B5"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1 618,1  </w:t>
            </w:r>
          </w:p>
        </w:tc>
        <w:tc>
          <w:tcPr>
            <w:tcW w:w="924" w:type="dxa"/>
            <w:tcBorders>
              <w:top w:val="nil"/>
              <w:left w:val="nil"/>
              <w:bottom w:val="single" w:sz="4" w:space="0" w:color="auto"/>
              <w:right w:val="single" w:sz="4" w:space="0" w:color="auto"/>
            </w:tcBorders>
            <w:shd w:val="clear" w:color="auto" w:fill="auto"/>
            <w:hideMark/>
          </w:tcPr>
          <w:p w14:paraId="336FC16D" w14:textId="77777777" w:rsidR="00D95D1D" w:rsidRDefault="00D95D1D" w:rsidP="00D95D1D">
            <w:pPr>
              <w:jc w:val="center"/>
              <w:rPr>
                <w:rFonts w:ascii="Times New Roman" w:hAnsi="Times New Roman" w:cs="Times New Roman"/>
              </w:rPr>
            </w:pPr>
          </w:p>
          <w:p w14:paraId="53D9D3A7"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1,8  </w:t>
            </w:r>
          </w:p>
        </w:tc>
        <w:tc>
          <w:tcPr>
            <w:tcW w:w="1204" w:type="dxa"/>
            <w:tcBorders>
              <w:top w:val="nil"/>
              <w:left w:val="nil"/>
              <w:bottom w:val="single" w:sz="4" w:space="0" w:color="auto"/>
              <w:right w:val="single" w:sz="4" w:space="0" w:color="auto"/>
            </w:tcBorders>
            <w:shd w:val="clear" w:color="auto" w:fill="auto"/>
            <w:hideMark/>
          </w:tcPr>
          <w:p w14:paraId="2B9CE57E" w14:textId="77777777" w:rsidR="00D95D1D" w:rsidRDefault="00D95D1D" w:rsidP="00D95D1D">
            <w:pPr>
              <w:jc w:val="center"/>
              <w:rPr>
                <w:rFonts w:ascii="Times New Roman" w:hAnsi="Times New Roman" w:cs="Times New Roman"/>
              </w:rPr>
            </w:pPr>
          </w:p>
          <w:p w14:paraId="669991C5"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1 373,8  </w:t>
            </w:r>
          </w:p>
        </w:tc>
        <w:tc>
          <w:tcPr>
            <w:tcW w:w="992" w:type="dxa"/>
            <w:tcBorders>
              <w:top w:val="nil"/>
              <w:left w:val="nil"/>
              <w:bottom w:val="single" w:sz="4" w:space="0" w:color="auto"/>
              <w:right w:val="single" w:sz="4" w:space="0" w:color="auto"/>
            </w:tcBorders>
            <w:shd w:val="clear" w:color="auto" w:fill="auto"/>
            <w:hideMark/>
          </w:tcPr>
          <w:p w14:paraId="17219211" w14:textId="77777777" w:rsidR="00D95D1D" w:rsidRDefault="00D95D1D" w:rsidP="00D95D1D">
            <w:pPr>
              <w:jc w:val="center"/>
              <w:rPr>
                <w:rFonts w:ascii="Times New Roman" w:hAnsi="Times New Roman" w:cs="Times New Roman"/>
              </w:rPr>
            </w:pPr>
          </w:p>
          <w:p w14:paraId="2C7A262F"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1,3  </w:t>
            </w:r>
          </w:p>
        </w:tc>
      </w:tr>
      <w:tr w:rsidR="00E1515B" w:rsidRPr="00E1515B" w14:paraId="117F8768" w14:textId="77777777" w:rsidTr="00E1515B">
        <w:trPr>
          <w:trHeight w:val="312"/>
        </w:trPr>
        <w:tc>
          <w:tcPr>
            <w:tcW w:w="3022" w:type="dxa"/>
            <w:tcBorders>
              <w:top w:val="nil"/>
              <w:left w:val="single" w:sz="4" w:space="0" w:color="auto"/>
              <w:bottom w:val="nil"/>
              <w:right w:val="nil"/>
            </w:tcBorders>
            <w:shd w:val="clear" w:color="auto" w:fill="auto"/>
            <w:hideMark/>
          </w:tcPr>
          <w:p w14:paraId="55075CEB" w14:textId="77777777" w:rsidR="00E1515B" w:rsidRPr="00D95D1D" w:rsidRDefault="00E1515B" w:rsidP="00D95D1D">
            <w:pPr>
              <w:rPr>
                <w:rFonts w:ascii="Times New Roman" w:hAnsi="Times New Roman" w:cs="Times New Roman"/>
              </w:rPr>
            </w:pPr>
            <w:r w:rsidRPr="00D95D1D">
              <w:rPr>
                <w:rFonts w:ascii="Times New Roman" w:hAnsi="Times New Roman" w:cs="Times New Roman"/>
              </w:rPr>
              <w:t xml:space="preserve">чистый экспорт </w:t>
            </w:r>
          </w:p>
        </w:tc>
        <w:tc>
          <w:tcPr>
            <w:tcW w:w="1226" w:type="dxa"/>
            <w:tcBorders>
              <w:top w:val="nil"/>
              <w:left w:val="single" w:sz="4" w:space="0" w:color="auto"/>
              <w:bottom w:val="nil"/>
              <w:right w:val="single" w:sz="4" w:space="0" w:color="auto"/>
            </w:tcBorders>
            <w:shd w:val="clear" w:color="auto" w:fill="auto"/>
            <w:hideMark/>
          </w:tcPr>
          <w:p w14:paraId="16847F63"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4 448,6  </w:t>
            </w:r>
          </w:p>
        </w:tc>
        <w:tc>
          <w:tcPr>
            <w:tcW w:w="924" w:type="dxa"/>
            <w:tcBorders>
              <w:top w:val="nil"/>
              <w:left w:val="nil"/>
              <w:bottom w:val="nil"/>
              <w:right w:val="single" w:sz="4" w:space="0" w:color="auto"/>
            </w:tcBorders>
            <w:shd w:val="clear" w:color="auto" w:fill="auto"/>
            <w:hideMark/>
          </w:tcPr>
          <w:p w14:paraId="7417AE89"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5,2  </w:t>
            </w:r>
          </w:p>
        </w:tc>
        <w:tc>
          <w:tcPr>
            <w:tcW w:w="1064" w:type="dxa"/>
            <w:tcBorders>
              <w:top w:val="nil"/>
              <w:left w:val="nil"/>
              <w:bottom w:val="nil"/>
              <w:right w:val="single" w:sz="4" w:space="0" w:color="auto"/>
            </w:tcBorders>
            <w:shd w:val="clear" w:color="auto" w:fill="auto"/>
            <w:hideMark/>
          </w:tcPr>
          <w:p w14:paraId="4B8FB91A"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4 921,3  </w:t>
            </w:r>
          </w:p>
        </w:tc>
        <w:tc>
          <w:tcPr>
            <w:tcW w:w="924" w:type="dxa"/>
            <w:tcBorders>
              <w:top w:val="nil"/>
              <w:left w:val="nil"/>
              <w:bottom w:val="nil"/>
              <w:right w:val="single" w:sz="4" w:space="0" w:color="auto"/>
            </w:tcBorders>
            <w:shd w:val="clear" w:color="auto" w:fill="auto"/>
            <w:hideMark/>
          </w:tcPr>
          <w:p w14:paraId="63BCF3AF"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5,3  </w:t>
            </w:r>
          </w:p>
        </w:tc>
        <w:tc>
          <w:tcPr>
            <w:tcW w:w="1204" w:type="dxa"/>
            <w:tcBorders>
              <w:top w:val="nil"/>
              <w:left w:val="nil"/>
              <w:bottom w:val="nil"/>
              <w:right w:val="single" w:sz="4" w:space="0" w:color="auto"/>
            </w:tcBorders>
            <w:shd w:val="clear" w:color="auto" w:fill="auto"/>
            <w:hideMark/>
          </w:tcPr>
          <w:p w14:paraId="62DD6739"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10 358,3  </w:t>
            </w:r>
          </w:p>
        </w:tc>
        <w:tc>
          <w:tcPr>
            <w:tcW w:w="992" w:type="dxa"/>
            <w:tcBorders>
              <w:top w:val="nil"/>
              <w:left w:val="nil"/>
              <w:bottom w:val="nil"/>
              <w:right w:val="single" w:sz="4" w:space="0" w:color="auto"/>
            </w:tcBorders>
            <w:shd w:val="clear" w:color="auto" w:fill="auto"/>
            <w:hideMark/>
          </w:tcPr>
          <w:p w14:paraId="62CDF010"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10,0  </w:t>
            </w:r>
          </w:p>
        </w:tc>
      </w:tr>
      <w:tr w:rsidR="00E1515B" w:rsidRPr="00E1515B" w14:paraId="2A7C725D" w14:textId="77777777" w:rsidTr="00E1515B">
        <w:trPr>
          <w:trHeight w:val="312"/>
        </w:trPr>
        <w:tc>
          <w:tcPr>
            <w:tcW w:w="3022" w:type="dxa"/>
            <w:tcBorders>
              <w:top w:val="nil"/>
              <w:left w:val="single" w:sz="4" w:space="0" w:color="auto"/>
              <w:bottom w:val="nil"/>
              <w:right w:val="nil"/>
            </w:tcBorders>
            <w:shd w:val="clear" w:color="auto" w:fill="auto"/>
            <w:hideMark/>
          </w:tcPr>
          <w:p w14:paraId="647A6257" w14:textId="77777777" w:rsidR="00E1515B" w:rsidRPr="00D95D1D" w:rsidRDefault="00E1515B" w:rsidP="00D95D1D">
            <w:pPr>
              <w:jc w:val="right"/>
              <w:rPr>
                <w:rFonts w:ascii="Times New Roman" w:hAnsi="Times New Roman" w:cs="Times New Roman"/>
              </w:rPr>
            </w:pPr>
            <w:r w:rsidRPr="00D95D1D">
              <w:rPr>
                <w:rFonts w:ascii="Times New Roman" w:hAnsi="Times New Roman" w:cs="Times New Roman"/>
              </w:rPr>
              <w:t>экспорт</w:t>
            </w:r>
          </w:p>
        </w:tc>
        <w:tc>
          <w:tcPr>
            <w:tcW w:w="1226" w:type="dxa"/>
            <w:tcBorders>
              <w:top w:val="nil"/>
              <w:left w:val="single" w:sz="4" w:space="0" w:color="auto"/>
              <w:bottom w:val="nil"/>
              <w:right w:val="single" w:sz="4" w:space="0" w:color="auto"/>
            </w:tcBorders>
            <w:shd w:val="clear" w:color="auto" w:fill="auto"/>
            <w:hideMark/>
          </w:tcPr>
          <w:p w14:paraId="461BA156"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22 137,6  </w:t>
            </w:r>
          </w:p>
        </w:tc>
        <w:tc>
          <w:tcPr>
            <w:tcW w:w="924" w:type="dxa"/>
            <w:tcBorders>
              <w:top w:val="nil"/>
              <w:left w:val="nil"/>
              <w:bottom w:val="nil"/>
              <w:right w:val="single" w:sz="4" w:space="0" w:color="auto"/>
            </w:tcBorders>
            <w:shd w:val="clear" w:color="auto" w:fill="auto"/>
            <w:hideMark/>
          </w:tcPr>
          <w:p w14:paraId="2D093224"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25,7  </w:t>
            </w:r>
          </w:p>
        </w:tc>
        <w:tc>
          <w:tcPr>
            <w:tcW w:w="1064" w:type="dxa"/>
            <w:tcBorders>
              <w:top w:val="nil"/>
              <w:left w:val="nil"/>
              <w:bottom w:val="nil"/>
              <w:right w:val="single" w:sz="4" w:space="0" w:color="auto"/>
            </w:tcBorders>
            <w:shd w:val="clear" w:color="auto" w:fill="auto"/>
            <w:hideMark/>
          </w:tcPr>
          <w:p w14:paraId="54D55702"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23 994,3  </w:t>
            </w:r>
          </w:p>
        </w:tc>
        <w:tc>
          <w:tcPr>
            <w:tcW w:w="924" w:type="dxa"/>
            <w:tcBorders>
              <w:top w:val="nil"/>
              <w:left w:val="nil"/>
              <w:bottom w:val="nil"/>
              <w:right w:val="single" w:sz="4" w:space="0" w:color="auto"/>
            </w:tcBorders>
            <w:shd w:val="clear" w:color="auto" w:fill="auto"/>
            <w:hideMark/>
          </w:tcPr>
          <w:p w14:paraId="1777CFF4"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26,1  </w:t>
            </w:r>
          </w:p>
        </w:tc>
        <w:tc>
          <w:tcPr>
            <w:tcW w:w="1204" w:type="dxa"/>
            <w:tcBorders>
              <w:top w:val="nil"/>
              <w:left w:val="nil"/>
              <w:bottom w:val="nil"/>
              <w:right w:val="single" w:sz="4" w:space="0" w:color="auto"/>
            </w:tcBorders>
            <w:shd w:val="clear" w:color="auto" w:fill="auto"/>
            <w:hideMark/>
          </w:tcPr>
          <w:p w14:paraId="6A719084"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31 932,6  </w:t>
            </w:r>
          </w:p>
        </w:tc>
        <w:tc>
          <w:tcPr>
            <w:tcW w:w="992" w:type="dxa"/>
            <w:tcBorders>
              <w:top w:val="nil"/>
              <w:left w:val="nil"/>
              <w:bottom w:val="nil"/>
              <w:right w:val="single" w:sz="4" w:space="0" w:color="auto"/>
            </w:tcBorders>
            <w:shd w:val="clear" w:color="auto" w:fill="auto"/>
            <w:hideMark/>
          </w:tcPr>
          <w:p w14:paraId="21C1FFBB"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30,7  </w:t>
            </w:r>
          </w:p>
        </w:tc>
      </w:tr>
      <w:tr w:rsidR="00E1515B" w:rsidRPr="00E1515B" w14:paraId="40EFC381" w14:textId="77777777" w:rsidTr="00E1515B">
        <w:trPr>
          <w:trHeight w:val="312"/>
        </w:trPr>
        <w:tc>
          <w:tcPr>
            <w:tcW w:w="3022" w:type="dxa"/>
            <w:tcBorders>
              <w:top w:val="nil"/>
              <w:left w:val="single" w:sz="4" w:space="0" w:color="auto"/>
              <w:bottom w:val="nil"/>
              <w:right w:val="nil"/>
            </w:tcBorders>
            <w:shd w:val="clear" w:color="auto" w:fill="auto"/>
            <w:hideMark/>
          </w:tcPr>
          <w:p w14:paraId="033C33EE" w14:textId="77777777" w:rsidR="00E1515B" w:rsidRPr="00D95D1D" w:rsidRDefault="00E1515B" w:rsidP="00D95D1D">
            <w:pPr>
              <w:jc w:val="right"/>
              <w:rPr>
                <w:rFonts w:ascii="Times New Roman" w:hAnsi="Times New Roman" w:cs="Times New Roman"/>
              </w:rPr>
            </w:pPr>
            <w:r w:rsidRPr="00D95D1D">
              <w:rPr>
                <w:rFonts w:ascii="Times New Roman" w:hAnsi="Times New Roman" w:cs="Times New Roman"/>
              </w:rPr>
              <w:t>импорт</w:t>
            </w:r>
          </w:p>
        </w:tc>
        <w:tc>
          <w:tcPr>
            <w:tcW w:w="1226" w:type="dxa"/>
            <w:tcBorders>
              <w:top w:val="nil"/>
              <w:left w:val="single" w:sz="4" w:space="0" w:color="auto"/>
              <w:bottom w:val="nil"/>
              <w:right w:val="single" w:sz="4" w:space="0" w:color="auto"/>
            </w:tcBorders>
            <w:shd w:val="clear" w:color="auto" w:fill="auto"/>
            <w:hideMark/>
          </w:tcPr>
          <w:p w14:paraId="37A0D248"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17 689,0  </w:t>
            </w:r>
          </w:p>
        </w:tc>
        <w:tc>
          <w:tcPr>
            <w:tcW w:w="924" w:type="dxa"/>
            <w:tcBorders>
              <w:top w:val="nil"/>
              <w:left w:val="nil"/>
              <w:bottom w:val="nil"/>
              <w:right w:val="single" w:sz="4" w:space="0" w:color="auto"/>
            </w:tcBorders>
            <w:shd w:val="clear" w:color="auto" w:fill="auto"/>
            <w:hideMark/>
          </w:tcPr>
          <w:p w14:paraId="2FAFDD11"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20,6  </w:t>
            </w:r>
          </w:p>
        </w:tc>
        <w:tc>
          <w:tcPr>
            <w:tcW w:w="1064" w:type="dxa"/>
            <w:tcBorders>
              <w:top w:val="nil"/>
              <w:left w:val="nil"/>
              <w:bottom w:val="nil"/>
              <w:right w:val="single" w:sz="4" w:space="0" w:color="auto"/>
            </w:tcBorders>
            <w:shd w:val="clear" w:color="auto" w:fill="auto"/>
            <w:hideMark/>
          </w:tcPr>
          <w:p w14:paraId="08C0958B"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19 073,0  </w:t>
            </w:r>
          </w:p>
        </w:tc>
        <w:tc>
          <w:tcPr>
            <w:tcW w:w="924" w:type="dxa"/>
            <w:tcBorders>
              <w:top w:val="nil"/>
              <w:left w:val="nil"/>
              <w:bottom w:val="nil"/>
              <w:right w:val="single" w:sz="4" w:space="0" w:color="auto"/>
            </w:tcBorders>
            <w:shd w:val="clear" w:color="auto" w:fill="auto"/>
            <w:hideMark/>
          </w:tcPr>
          <w:p w14:paraId="5F35AA18"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20,7  </w:t>
            </w:r>
          </w:p>
        </w:tc>
        <w:tc>
          <w:tcPr>
            <w:tcW w:w="1204" w:type="dxa"/>
            <w:tcBorders>
              <w:top w:val="nil"/>
              <w:left w:val="nil"/>
              <w:bottom w:val="nil"/>
              <w:right w:val="single" w:sz="4" w:space="0" w:color="auto"/>
            </w:tcBorders>
            <w:shd w:val="clear" w:color="auto" w:fill="auto"/>
            <w:hideMark/>
          </w:tcPr>
          <w:p w14:paraId="28CB4831"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21 574,3  </w:t>
            </w:r>
          </w:p>
        </w:tc>
        <w:tc>
          <w:tcPr>
            <w:tcW w:w="992" w:type="dxa"/>
            <w:tcBorders>
              <w:top w:val="nil"/>
              <w:left w:val="nil"/>
              <w:bottom w:val="single" w:sz="4" w:space="0" w:color="auto"/>
              <w:right w:val="single" w:sz="4" w:space="0" w:color="auto"/>
            </w:tcBorders>
            <w:shd w:val="clear" w:color="auto" w:fill="auto"/>
            <w:hideMark/>
          </w:tcPr>
          <w:p w14:paraId="199D41BE"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20,8  </w:t>
            </w:r>
          </w:p>
        </w:tc>
      </w:tr>
      <w:tr w:rsidR="00E1515B" w:rsidRPr="00E1515B" w14:paraId="78E76830" w14:textId="77777777" w:rsidTr="00E1515B">
        <w:trPr>
          <w:trHeight w:val="312"/>
        </w:trPr>
        <w:tc>
          <w:tcPr>
            <w:tcW w:w="3022" w:type="dxa"/>
            <w:tcBorders>
              <w:top w:val="single" w:sz="4" w:space="0" w:color="auto"/>
              <w:left w:val="single" w:sz="4" w:space="0" w:color="auto"/>
              <w:bottom w:val="single" w:sz="4" w:space="0" w:color="auto"/>
              <w:right w:val="nil"/>
            </w:tcBorders>
            <w:shd w:val="clear" w:color="auto" w:fill="auto"/>
            <w:hideMark/>
          </w:tcPr>
          <w:p w14:paraId="492C0F85"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Статистическое расхождение</w:t>
            </w:r>
          </w:p>
        </w:tc>
        <w:tc>
          <w:tcPr>
            <w:tcW w:w="1226" w:type="dxa"/>
            <w:tcBorders>
              <w:top w:val="single" w:sz="4" w:space="0" w:color="auto"/>
              <w:left w:val="single" w:sz="4" w:space="0" w:color="auto"/>
              <w:bottom w:val="single" w:sz="4" w:space="0" w:color="auto"/>
              <w:right w:val="single" w:sz="4" w:space="0" w:color="auto"/>
            </w:tcBorders>
            <w:shd w:val="clear" w:color="auto" w:fill="auto"/>
            <w:hideMark/>
          </w:tcPr>
          <w:p w14:paraId="3A5C2B1F"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-67,0  </w:t>
            </w:r>
          </w:p>
        </w:tc>
        <w:tc>
          <w:tcPr>
            <w:tcW w:w="924" w:type="dxa"/>
            <w:tcBorders>
              <w:top w:val="single" w:sz="4" w:space="0" w:color="auto"/>
              <w:left w:val="nil"/>
              <w:bottom w:val="single" w:sz="4" w:space="0" w:color="auto"/>
              <w:right w:val="single" w:sz="4" w:space="0" w:color="auto"/>
            </w:tcBorders>
            <w:shd w:val="clear" w:color="auto" w:fill="auto"/>
            <w:hideMark/>
          </w:tcPr>
          <w:p w14:paraId="7CEF1AE0"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w:t>
            </w:r>
          </w:p>
        </w:tc>
        <w:tc>
          <w:tcPr>
            <w:tcW w:w="1064" w:type="dxa"/>
            <w:tcBorders>
              <w:top w:val="single" w:sz="4" w:space="0" w:color="auto"/>
              <w:left w:val="nil"/>
              <w:bottom w:val="single" w:sz="4" w:space="0" w:color="auto"/>
              <w:right w:val="single" w:sz="4" w:space="0" w:color="auto"/>
            </w:tcBorders>
            <w:shd w:val="clear" w:color="auto" w:fill="auto"/>
            <w:hideMark/>
          </w:tcPr>
          <w:p w14:paraId="7BE702AD"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-174,7  </w:t>
            </w:r>
          </w:p>
        </w:tc>
        <w:tc>
          <w:tcPr>
            <w:tcW w:w="924" w:type="dxa"/>
            <w:tcBorders>
              <w:top w:val="single" w:sz="4" w:space="0" w:color="auto"/>
              <w:left w:val="nil"/>
              <w:bottom w:val="single" w:sz="4" w:space="0" w:color="auto"/>
              <w:right w:val="single" w:sz="4" w:space="0" w:color="auto"/>
            </w:tcBorders>
            <w:shd w:val="clear" w:color="auto" w:fill="auto"/>
            <w:hideMark/>
          </w:tcPr>
          <w:p w14:paraId="685E9810"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w:t>
            </w:r>
          </w:p>
        </w:tc>
        <w:tc>
          <w:tcPr>
            <w:tcW w:w="1204" w:type="dxa"/>
            <w:tcBorders>
              <w:top w:val="single" w:sz="4" w:space="0" w:color="auto"/>
              <w:left w:val="nil"/>
              <w:bottom w:val="single" w:sz="4" w:space="0" w:color="auto"/>
              <w:right w:val="single" w:sz="4" w:space="0" w:color="auto"/>
            </w:tcBorders>
            <w:shd w:val="clear" w:color="auto" w:fill="auto"/>
            <w:hideMark/>
          </w:tcPr>
          <w:p w14:paraId="0FFC8956"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xml:space="preserve">573,3  </w:t>
            </w:r>
          </w:p>
        </w:tc>
        <w:tc>
          <w:tcPr>
            <w:tcW w:w="992" w:type="dxa"/>
            <w:tcBorders>
              <w:top w:val="nil"/>
              <w:left w:val="nil"/>
              <w:bottom w:val="single" w:sz="4" w:space="0" w:color="auto"/>
              <w:right w:val="single" w:sz="4" w:space="0" w:color="auto"/>
            </w:tcBorders>
            <w:shd w:val="clear" w:color="auto" w:fill="auto"/>
            <w:hideMark/>
          </w:tcPr>
          <w:p w14:paraId="662D74D1" w14:textId="77777777" w:rsidR="00E1515B" w:rsidRPr="00D95D1D" w:rsidRDefault="00E1515B" w:rsidP="00D95D1D">
            <w:pPr>
              <w:jc w:val="center"/>
              <w:rPr>
                <w:rFonts w:ascii="Times New Roman" w:hAnsi="Times New Roman" w:cs="Times New Roman"/>
              </w:rPr>
            </w:pPr>
            <w:r w:rsidRPr="00D95D1D">
              <w:rPr>
                <w:rFonts w:ascii="Times New Roman" w:hAnsi="Times New Roman" w:cs="Times New Roman"/>
              </w:rPr>
              <w:t> </w:t>
            </w:r>
          </w:p>
        </w:tc>
      </w:tr>
    </w:tbl>
    <w:p w14:paraId="6094F9B7" w14:textId="77777777" w:rsidR="00E1515B" w:rsidRPr="00E1515B" w:rsidRDefault="00E1515B" w:rsidP="00E1515B">
      <w:pPr>
        <w:spacing w:line="360" w:lineRule="auto"/>
        <w:contextualSpacing/>
        <w:jc w:val="both"/>
        <w:rPr>
          <w:rFonts w:ascii="Times New Roman" w:eastAsia="Calibri" w:hAnsi="Times New Roman" w:cs="Times New Roman"/>
          <w:sz w:val="28"/>
          <w:szCs w:val="28"/>
          <w:lang w:eastAsia="en-US"/>
        </w:rPr>
      </w:pPr>
    </w:p>
    <w:p w14:paraId="4E3CBA1F" w14:textId="713FA3B8" w:rsidR="00E1515B" w:rsidRPr="00E1515B" w:rsidRDefault="00E1515B" w:rsidP="00E1515B">
      <w:pPr>
        <w:spacing w:line="360" w:lineRule="auto"/>
        <w:ind w:firstLine="709"/>
        <w:contextualSpacing/>
        <w:jc w:val="both"/>
        <w:rPr>
          <w:rFonts w:ascii="Times New Roman" w:eastAsia="Calibri" w:hAnsi="Times New Roman" w:cs="Times New Roman"/>
          <w:sz w:val="28"/>
          <w:szCs w:val="28"/>
          <w:lang w:eastAsia="en-US"/>
        </w:rPr>
      </w:pPr>
      <w:r w:rsidRPr="00E1515B">
        <w:rPr>
          <w:rFonts w:ascii="Times New Roman" w:eastAsia="Calibri" w:hAnsi="Times New Roman" w:cs="Times New Roman"/>
          <w:sz w:val="28"/>
          <w:szCs w:val="28"/>
          <w:lang w:eastAsia="en-US"/>
        </w:rPr>
        <w:t>Как видно из табл</w:t>
      </w:r>
      <w:r w:rsidR="00D95D1D">
        <w:rPr>
          <w:rFonts w:ascii="Times New Roman" w:eastAsia="Calibri" w:hAnsi="Times New Roman" w:cs="Times New Roman"/>
          <w:sz w:val="28"/>
          <w:szCs w:val="28"/>
          <w:lang w:eastAsia="en-US"/>
        </w:rPr>
        <w:t>ицы</w:t>
      </w:r>
      <w:r w:rsidR="00A437A7">
        <w:rPr>
          <w:rFonts w:ascii="Times New Roman" w:eastAsia="Calibri" w:hAnsi="Times New Roman" w:cs="Times New Roman"/>
          <w:sz w:val="28"/>
          <w:szCs w:val="28"/>
          <w:lang w:eastAsia="en-US"/>
        </w:rPr>
        <w:t xml:space="preserve"> 3</w:t>
      </w:r>
      <w:r w:rsidR="00D95D1D">
        <w:rPr>
          <w:rFonts w:ascii="Times New Roman" w:eastAsia="Calibri" w:hAnsi="Times New Roman" w:cs="Times New Roman"/>
          <w:sz w:val="28"/>
          <w:szCs w:val="28"/>
          <w:lang w:eastAsia="en-US"/>
        </w:rPr>
        <w:t>,</w:t>
      </w:r>
      <w:r w:rsidRPr="00E1515B">
        <w:rPr>
          <w:rFonts w:ascii="Times New Roman" w:eastAsia="Calibri" w:hAnsi="Times New Roman" w:cs="Times New Roman"/>
          <w:sz w:val="28"/>
          <w:szCs w:val="28"/>
          <w:lang w:eastAsia="en-US"/>
        </w:rPr>
        <w:t xml:space="preserve"> расходы на конечное потребление домашних хозяйств занимают наибольший удельный вес в ВВП по элементам  использования, составляя приблизительно половину общей суммы ВВП, поэтому от состояния и поведения сектора домашних хозяйств во многом зависит и поведение ВВП в целом. Именно домохозяйства являются основным драйвером внутреннего спроса – резкое сокращение доходов населения в конечном итоге спровоцирует и резкое сокращение внутреннего </w:t>
      </w:r>
      <w:r w:rsidRPr="00E1515B">
        <w:rPr>
          <w:rFonts w:ascii="Times New Roman" w:eastAsia="Calibri" w:hAnsi="Times New Roman" w:cs="Times New Roman"/>
          <w:sz w:val="28"/>
          <w:szCs w:val="28"/>
          <w:lang w:eastAsia="en-US"/>
        </w:rPr>
        <w:lastRenderedPageBreak/>
        <w:t>спроса на товары и услуги, что, в свою очередь, негативным образом повлияет на отрасли и сектора национальной экономики и в конечном итоге отрицательным образом скажется на экономическом росте и динамике ВВП.</w:t>
      </w:r>
    </w:p>
    <w:p w14:paraId="0ABD0C89" w14:textId="7FC6F8BB" w:rsidR="00E1515B" w:rsidRPr="00E1515B" w:rsidRDefault="00E1515B" w:rsidP="00E1515B">
      <w:pPr>
        <w:spacing w:line="360" w:lineRule="auto"/>
        <w:ind w:firstLine="709"/>
        <w:contextualSpacing/>
        <w:jc w:val="both"/>
        <w:rPr>
          <w:rFonts w:ascii="Times New Roman" w:eastAsia="Calibri" w:hAnsi="Times New Roman" w:cs="Times New Roman"/>
          <w:sz w:val="28"/>
          <w:szCs w:val="28"/>
          <w:lang w:eastAsia="en-US"/>
        </w:rPr>
      </w:pPr>
      <w:r w:rsidRPr="00E1515B">
        <w:rPr>
          <w:rFonts w:ascii="Times New Roman" w:eastAsia="Calibri" w:hAnsi="Times New Roman" w:cs="Times New Roman"/>
          <w:sz w:val="28"/>
          <w:szCs w:val="28"/>
          <w:lang w:eastAsia="en-US"/>
        </w:rPr>
        <w:t>Вместе с тем, по данным Банка России в секторе домохозяйств в последние годы наблюдаются крайне тревожные тенденции, связанные с резким увеличением долга домашних хозяйств и некоммерческих организаций, обслужи</w:t>
      </w:r>
      <w:r w:rsidR="00D95D1D">
        <w:rPr>
          <w:rFonts w:ascii="Times New Roman" w:eastAsia="Calibri" w:hAnsi="Times New Roman" w:cs="Times New Roman"/>
          <w:sz w:val="28"/>
          <w:szCs w:val="28"/>
          <w:lang w:eastAsia="en-US"/>
        </w:rPr>
        <w:t>вающ</w:t>
      </w:r>
      <w:r w:rsidR="00A437A7">
        <w:rPr>
          <w:rFonts w:ascii="Times New Roman" w:eastAsia="Calibri" w:hAnsi="Times New Roman" w:cs="Times New Roman"/>
          <w:sz w:val="28"/>
          <w:szCs w:val="28"/>
          <w:lang w:eastAsia="en-US"/>
        </w:rPr>
        <w:t>их домашние хозяйства (таблица 4</w:t>
      </w:r>
      <w:r w:rsidR="00D95D1D">
        <w:rPr>
          <w:rFonts w:ascii="Times New Roman" w:eastAsia="Calibri" w:hAnsi="Times New Roman" w:cs="Times New Roman"/>
          <w:sz w:val="28"/>
          <w:szCs w:val="28"/>
          <w:lang w:eastAsia="en-US"/>
        </w:rPr>
        <w:t xml:space="preserve">): </w:t>
      </w:r>
      <w:r w:rsidRPr="00E1515B">
        <w:rPr>
          <w:rFonts w:ascii="Times New Roman" w:eastAsia="Calibri" w:hAnsi="Times New Roman" w:cs="Times New Roman"/>
          <w:sz w:val="28"/>
          <w:szCs w:val="28"/>
          <w:lang w:eastAsia="en-US"/>
        </w:rPr>
        <w:t>за последние 2,5 года произошло увеличение данного показателя в абсолютном выражении более, чем в 1,5 раза, при этом если в 2016 г. общая сумма долга домашних хозяйств и некоммерческих организаций, обслуживающих домашние хозяйства составила 13,7% ВВП, то по итогам 2018 г. она увеличилась до 15,5% ВВП.</w:t>
      </w:r>
    </w:p>
    <w:tbl>
      <w:tblPr>
        <w:tblW w:w="9356" w:type="dxa"/>
        <w:tblLook w:val="04A0" w:firstRow="1" w:lastRow="0" w:firstColumn="1" w:lastColumn="0" w:noHBand="0" w:noVBand="1"/>
      </w:tblPr>
      <w:tblGrid>
        <w:gridCol w:w="2653"/>
        <w:gridCol w:w="1342"/>
        <w:gridCol w:w="1380"/>
        <w:gridCol w:w="1286"/>
        <w:gridCol w:w="1399"/>
        <w:gridCol w:w="1296"/>
      </w:tblGrid>
      <w:tr w:rsidR="00E1515B" w:rsidRPr="00E1515B" w14:paraId="5785F0F5" w14:textId="77777777" w:rsidTr="00E1515B">
        <w:trPr>
          <w:trHeight w:val="312"/>
        </w:trPr>
        <w:tc>
          <w:tcPr>
            <w:tcW w:w="9356" w:type="dxa"/>
            <w:gridSpan w:val="6"/>
            <w:tcBorders>
              <w:top w:val="nil"/>
              <w:left w:val="nil"/>
              <w:bottom w:val="nil"/>
              <w:right w:val="nil"/>
            </w:tcBorders>
            <w:shd w:val="clear" w:color="auto" w:fill="auto"/>
            <w:hideMark/>
          </w:tcPr>
          <w:p w14:paraId="11968C02" w14:textId="4D56B741" w:rsidR="00E1515B" w:rsidRPr="00E1515B" w:rsidRDefault="00A437A7" w:rsidP="00D95D1D">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4</w:t>
            </w:r>
            <w:r w:rsidR="00E1515B" w:rsidRPr="00E1515B">
              <w:rPr>
                <w:rFonts w:ascii="Times New Roman" w:hAnsi="Times New Roman" w:cs="Times New Roman"/>
                <w:color w:val="000000"/>
                <w:sz w:val="28"/>
                <w:szCs w:val="28"/>
              </w:rPr>
              <w:t xml:space="preserve"> – Динамика долга домашних хозяйств в 2016 - 2019 гг., млрд руб.</w:t>
            </w:r>
            <w:r w:rsidR="00D95D1D">
              <w:rPr>
                <w:rStyle w:val="a5"/>
                <w:rFonts w:ascii="Times New Roman" w:hAnsi="Times New Roman" w:cs="Times New Roman"/>
                <w:color w:val="000000"/>
                <w:sz w:val="28"/>
                <w:szCs w:val="28"/>
              </w:rPr>
              <w:footnoteReference w:id="3"/>
            </w:r>
          </w:p>
        </w:tc>
      </w:tr>
      <w:tr w:rsidR="00E1515B" w:rsidRPr="00E1515B" w14:paraId="3B4661CE" w14:textId="77777777" w:rsidTr="00E1515B">
        <w:trPr>
          <w:trHeight w:val="336"/>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4879C4BD"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Показатель</w:t>
            </w:r>
          </w:p>
        </w:tc>
        <w:tc>
          <w:tcPr>
            <w:tcW w:w="1380" w:type="dxa"/>
            <w:tcBorders>
              <w:top w:val="single" w:sz="4" w:space="0" w:color="auto"/>
              <w:left w:val="nil"/>
              <w:bottom w:val="single" w:sz="4" w:space="0" w:color="auto"/>
              <w:right w:val="single" w:sz="4" w:space="0" w:color="auto"/>
            </w:tcBorders>
            <w:shd w:val="clear" w:color="auto" w:fill="auto"/>
            <w:hideMark/>
          </w:tcPr>
          <w:p w14:paraId="027D696B"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2015</w:t>
            </w:r>
          </w:p>
        </w:tc>
        <w:tc>
          <w:tcPr>
            <w:tcW w:w="1420" w:type="dxa"/>
            <w:tcBorders>
              <w:top w:val="single" w:sz="4" w:space="0" w:color="auto"/>
              <w:left w:val="nil"/>
              <w:bottom w:val="single" w:sz="4" w:space="0" w:color="auto"/>
              <w:right w:val="single" w:sz="4" w:space="0" w:color="auto"/>
            </w:tcBorders>
            <w:shd w:val="clear" w:color="auto" w:fill="auto"/>
            <w:hideMark/>
          </w:tcPr>
          <w:p w14:paraId="2041F0C9"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2016</w:t>
            </w:r>
          </w:p>
        </w:tc>
        <w:tc>
          <w:tcPr>
            <w:tcW w:w="1320" w:type="dxa"/>
            <w:tcBorders>
              <w:top w:val="single" w:sz="4" w:space="0" w:color="auto"/>
              <w:left w:val="nil"/>
              <w:bottom w:val="single" w:sz="4" w:space="0" w:color="auto"/>
              <w:right w:val="single" w:sz="4" w:space="0" w:color="auto"/>
            </w:tcBorders>
            <w:shd w:val="clear" w:color="auto" w:fill="auto"/>
            <w:hideMark/>
          </w:tcPr>
          <w:p w14:paraId="1CBF0A5E"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2017</w:t>
            </w:r>
          </w:p>
        </w:tc>
        <w:tc>
          <w:tcPr>
            <w:tcW w:w="1440" w:type="dxa"/>
            <w:tcBorders>
              <w:top w:val="single" w:sz="4" w:space="0" w:color="auto"/>
              <w:left w:val="nil"/>
              <w:bottom w:val="single" w:sz="4" w:space="0" w:color="auto"/>
              <w:right w:val="single" w:sz="4" w:space="0" w:color="auto"/>
            </w:tcBorders>
            <w:shd w:val="clear" w:color="auto" w:fill="auto"/>
            <w:hideMark/>
          </w:tcPr>
          <w:p w14:paraId="67FD7D3B"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2018</w:t>
            </w:r>
          </w:p>
        </w:tc>
        <w:tc>
          <w:tcPr>
            <w:tcW w:w="1096" w:type="dxa"/>
            <w:tcBorders>
              <w:top w:val="single" w:sz="4" w:space="0" w:color="auto"/>
              <w:left w:val="nil"/>
              <w:bottom w:val="single" w:sz="4" w:space="0" w:color="auto"/>
              <w:right w:val="single" w:sz="4" w:space="0" w:color="auto"/>
            </w:tcBorders>
            <w:shd w:val="clear" w:color="auto" w:fill="auto"/>
            <w:hideMark/>
          </w:tcPr>
          <w:p w14:paraId="02BA2C69"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01.08.2019</w:t>
            </w:r>
          </w:p>
        </w:tc>
      </w:tr>
      <w:tr w:rsidR="00E1515B" w:rsidRPr="00E1515B" w14:paraId="10503BB2" w14:textId="77777777" w:rsidTr="00E1515B">
        <w:trPr>
          <w:trHeight w:val="1056"/>
        </w:trPr>
        <w:tc>
          <w:tcPr>
            <w:tcW w:w="2700" w:type="dxa"/>
            <w:tcBorders>
              <w:top w:val="nil"/>
              <w:left w:val="single" w:sz="4" w:space="0" w:color="auto"/>
              <w:bottom w:val="nil"/>
              <w:right w:val="single" w:sz="4" w:space="0" w:color="auto"/>
            </w:tcBorders>
            <w:shd w:val="clear" w:color="auto" w:fill="auto"/>
            <w:hideMark/>
          </w:tcPr>
          <w:p w14:paraId="1622F561"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Валовый внутренний продукт, в текущих ценах, млрд руб.</w:t>
            </w:r>
          </w:p>
        </w:tc>
        <w:tc>
          <w:tcPr>
            <w:tcW w:w="1380" w:type="dxa"/>
            <w:tcBorders>
              <w:top w:val="nil"/>
              <w:left w:val="nil"/>
              <w:bottom w:val="nil"/>
              <w:right w:val="single" w:sz="4" w:space="0" w:color="auto"/>
            </w:tcBorders>
            <w:shd w:val="clear" w:color="auto" w:fill="auto"/>
            <w:hideMark/>
          </w:tcPr>
          <w:p w14:paraId="562C570A"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83 094,3  </w:t>
            </w:r>
          </w:p>
        </w:tc>
        <w:tc>
          <w:tcPr>
            <w:tcW w:w="1420" w:type="dxa"/>
            <w:tcBorders>
              <w:top w:val="nil"/>
              <w:left w:val="nil"/>
              <w:bottom w:val="nil"/>
              <w:right w:val="single" w:sz="4" w:space="0" w:color="auto"/>
            </w:tcBorders>
            <w:shd w:val="clear" w:color="auto" w:fill="auto"/>
            <w:hideMark/>
          </w:tcPr>
          <w:p w14:paraId="7E13FB70"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86 014,2  </w:t>
            </w:r>
          </w:p>
        </w:tc>
        <w:tc>
          <w:tcPr>
            <w:tcW w:w="1320" w:type="dxa"/>
            <w:tcBorders>
              <w:top w:val="nil"/>
              <w:left w:val="nil"/>
              <w:bottom w:val="nil"/>
              <w:right w:val="single" w:sz="4" w:space="0" w:color="auto"/>
            </w:tcBorders>
            <w:shd w:val="clear" w:color="auto" w:fill="auto"/>
            <w:hideMark/>
          </w:tcPr>
          <w:p w14:paraId="5FA1EB9A"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92 101,3  </w:t>
            </w:r>
          </w:p>
        </w:tc>
        <w:tc>
          <w:tcPr>
            <w:tcW w:w="1440" w:type="dxa"/>
            <w:tcBorders>
              <w:top w:val="nil"/>
              <w:left w:val="nil"/>
              <w:bottom w:val="nil"/>
              <w:right w:val="single" w:sz="4" w:space="0" w:color="auto"/>
            </w:tcBorders>
            <w:shd w:val="clear" w:color="auto" w:fill="auto"/>
            <w:hideMark/>
          </w:tcPr>
          <w:p w14:paraId="61D84CC8"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103 875,8  </w:t>
            </w:r>
          </w:p>
        </w:tc>
        <w:tc>
          <w:tcPr>
            <w:tcW w:w="1096" w:type="dxa"/>
            <w:tcBorders>
              <w:top w:val="nil"/>
              <w:left w:val="nil"/>
              <w:bottom w:val="nil"/>
              <w:right w:val="single" w:sz="4" w:space="0" w:color="auto"/>
            </w:tcBorders>
            <w:shd w:val="clear" w:color="auto" w:fill="auto"/>
            <w:hideMark/>
          </w:tcPr>
          <w:p w14:paraId="42068CB1" w14:textId="5CF7AC2E"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w:t>
            </w:r>
            <w:r w:rsidR="00D95D1D">
              <w:rPr>
                <w:rFonts w:ascii="Times New Roman" w:hAnsi="Times New Roman" w:cs="Times New Roman"/>
                <w:color w:val="000000"/>
              </w:rPr>
              <w:t>н/д</w:t>
            </w:r>
          </w:p>
        </w:tc>
      </w:tr>
      <w:tr w:rsidR="00E1515B" w:rsidRPr="00E1515B" w14:paraId="0D570231" w14:textId="77777777" w:rsidTr="00E1515B">
        <w:trPr>
          <w:trHeight w:val="1968"/>
        </w:trPr>
        <w:tc>
          <w:tcPr>
            <w:tcW w:w="2700" w:type="dxa"/>
            <w:tcBorders>
              <w:top w:val="single" w:sz="4" w:space="0" w:color="auto"/>
              <w:left w:val="single" w:sz="4" w:space="0" w:color="auto"/>
              <w:bottom w:val="nil"/>
              <w:right w:val="single" w:sz="4" w:space="0" w:color="auto"/>
            </w:tcBorders>
            <w:shd w:val="clear" w:color="auto" w:fill="auto"/>
            <w:hideMark/>
          </w:tcPr>
          <w:p w14:paraId="710EC386" w14:textId="0D85B183" w:rsidR="00E1515B" w:rsidRPr="00D95D1D" w:rsidRDefault="00E1515B" w:rsidP="00E1515B">
            <w:pPr>
              <w:rPr>
                <w:rFonts w:ascii="Times New Roman" w:hAnsi="Times New Roman" w:cs="Times New Roman"/>
                <w:color w:val="000000"/>
              </w:rPr>
            </w:pPr>
            <w:r w:rsidRPr="00D95D1D">
              <w:rPr>
                <w:rFonts w:ascii="Times New Roman" w:hAnsi="Times New Roman" w:cs="Times New Roman"/>
                <w:color w:val="000000"/>
              </w:rPr>
              <w:t>Долг домашних хозяйств и некоммерческих организаций, обслужива</w:t>
            </w:r>
            <w:r w:rsidR="00D95D1D">
              <w:rPr>
                <w:rFonts w:ascii="Times New Roman" w:hAnsi="Times New Roman" w:cs="Times New Roman"/>
                <w:color w:val="000000"/>
              </w:rPr>
              <w:t>ющих домашние хозяйства</w:t>
            </w:r>
            <w:r w:rsidRPr="00D95D1D">
              <w:rPr>
                <w:rFonts w:ascii="Times New Roman" w:hAnsi="Times New Roman" w:cs="Times New Roman"/>
                <w:color w:val="000000"/>
              </w:rPr>
              <w:t>, итого</w:t>
            </w:r>
          </w:p>
        </w:tc>
        <w:tc>
          <w:tcPr>
            <w:tcW w:w="1380" w:type="dxa"/>
            <w:tcBorders>
              <w:top w:val="single" w:sz="4" w:space="0" w:color="auto"/>
              <w:left w:val="nil"/>
              <w:bottom w:val="nil"/>
              <w:right w:val="single" w:sz="4" w:space="0" w:color="auto"/>
            </w:tcBorders>
            <w:shd w:val="clear" w:color="auto" w:fill="auto"/>
            <w:hideMark/>
          </w:tcPr>
          <w:p w14:paraId="5E6FDDCB"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w:t>
            </w:r>
          </w:p>
        </w:tc>
        <w:tc>
          <w:tcPr>
            <w:tcW w:w="1420" w:type="dxa"/>
            <w:tcBorders>
              <w:top w:val="single" w:sz="4" w:space="0" w:color="auto"/>
              <w:left w:val="nil"/>
              <w:bottom w:val="nil"/>
              <w:right w:val="single" w:sz="4" w:space="0" w:color="auto"/>
            </w:tcBorders>
            <w:shd w:val="clear" w:color="auto" w:fill="auto"/>
            <w:hideMark/>
          </w:tcPr>
          <w:p w14:paraId="049CA72A"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w:t>
            </w:r>
          </w:p>
        </w:tc>
        <w:tc>
          <w:tcPr>
            <w:tcW w:w="1320" w:type="dxa"/>
            <w:tcBorders>
              <w:top w:val="single" w:sz="4" w:space="0" w:color="auto"/>
              <w:left w:val="nil"/>
              <w:bottom w:val="nil"/>
              <w:right w:val="single" w:sz="4" w:space="0" w:color="auto"/>
            </w:tcBorders>
            <w:shd w:val="clear" w:color="auto" w:fill="auto"/>
            <w:hideMark/>
          </w:tcPr>
          <w:p w14:paraId="08C5B7C0"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w:t>
            </w:r>
          </w:p>
        </w:tc>
        <w:tc>
          <w:tcPr>
            <w:tcW w:w="1440" w:type="dxa"/>
            <w:tcBorders>
              <w:top w:val="single" w:sz="4" w:space="0" w:color="auto"/>
              <w:left w:val="nil"/>
              <w:bottom w:val="nil"/>
              <w:right w:val="single" w:sz="4" w:space="0" w:color="auto"/>
            </w:tcBorders>
            <w:shd w:val="clear" w:color="auto" w:fill="auto"/>
            <w:hideMark/>
          </w:tcPr>
          <w:p w14:paraId="2426EAC9"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w:t>
            </w:r>
          </w:p>
        </w:tc>
        <w:tc>
          <w:tcPr>
            <w:tcW w:w="1096" w:type="dxa"/>
            <w:tcBorders>
              <w:top w:val="single" w:sz="4" w:space="0" w:color="auto"/>
              <w:left w:val="nil"/>
              <w:bottom w:val="nil"/>
              <w:right w:val="single" w:sz="4" w:space="0" w:color="auto"/>
            </w:tcBorders>
            <w:shd w:val="clear" w:color="auto" w:fill="auto"/>
            <w:hideMark/>
          </w:tcPr>
          <w:p w14:paraId="0409F70B"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w:t>
            </w:r>
          </w:p>
        </w:tc>
      </w:tr>
      <w:tr w:rsidR="00E1515B" w:rsidRPr="00E1515B" w14:paraId="63F56118" w14:textId="77777777" w:rsidTr="00E1515B">
        <w:trPr>
          <w:trHeight w:val="312"/>
        </w:trPr>
        <w:tc>
          <w:tcPr>
            <w:tcW w:w="2700" w:type="dxa"/>
            <w:tcBorders>
              <w:top w:val="nil"/>
              <w:left w:val="single" w:sz="4" w:space="0" w:color="auto"/>
              <w:bottom w:val="single" w:sz="4" w:space="0" w:color="auto"/>
              <w:right w:val="single" w:sz="4" w:space="0" w:color="auto"/>
            </w:tcBorders>
            <w:shd w:val="clear" w:color="auto" w:fill="auto"/>
            <w:hideMark/>
          </w:tcPr>
          <w:p w14:paraId="5DFBD72F"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сумма, млрд руб.</w:t>
            </w:r>
          </w:p>
        </w:tc>
        <w:tc>
          <w:tcPr>
            <w:tcW w:w="1380" w:type="dxa"/>
            <w:tcBorders>
              <w:top w:val="nil"/>
              <w:left w:val="nil"/>
              <w:bottom w:val="single" w:sz="4" w:space="0" w:color="auto"/>
              <w:right w:val="single" w:sz="4" w:space="0" w:color="auto"/>
            </w:tcBorders>
            <w:shd w:val="clear" w:color="auto" w:fill="auto"/>
            <w:hideMark/>
          </w:tcPr>
          <w:p w14:paraId="217B078F"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11 647,1  </w:t>
            </w:r>
          </w:p>
        </w:tc>
        <w:tc>
          <w:tcPr>
            <w:tcW w:w="1420" w:type="dxa"/>
            <w:tcBorders>
              <w:top w:val="nil"/>
              <w:left w:val="nil"/>
              <w:bottom w:val="single" w:sz="4" w:space="0" w:color="auto"/>
              <w:right w:val="single" w:sz="4" w:space="0" w:color="auto"/>
            </w:tcBorders>
            <w:shd w:val="clear" w:color="auto" w:fill="auto"/>
            <w:hideMark/>
          </w:tcPr>
          <w:p w14:paraId="07DDB87E"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11 755,7  </w:t>
            </w:r>
          </w:p>
        </w:tc>
        <w:tc>
          <w:tcPr>
            <w:tcW w:w="1320" w:type="dxa"/>
            <w:tcBorders>
              <w:top w:val="nil"/>
              <w:left w:val="nil"/>
              <w:bottom w:val="single" w:sz="4" w:space="0" w:color="auto"/>
              <w:right w:val="single" w:sz="4" w:space="0" w:color="auto"/>
            </w:tcBorders>
            <w:shd w:val="clear" w:color="auto" w:fill="auto"/>
            <w:hideMark/>
          </w:tcPr>
          <w:p w14:paraId="5FFB6E72"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13 168,7  </w:t>
            </w:r>
          </w:p>
        </w:tc>
        <w:tc>
          <w:tcPr>
            <w:tcW w:w="1440" w:type="dxa"/>
            <w:tcBorders>
              <w:top w:val="nil"/>
              <w:left w:val="nil"/>
              <w:bottom w:val="single" w:sz="4" w:space="0" w:color="auto"/>
              <w:right w:val="single" w:sz="4" w:space="0" w:color="auto"/>
            </w:tcBorders>
            <w:shd w:val="clear" w:color="auto" w:fill="auto"/>
            <w:hideMark/>
          </w:tcPr>
          <w:p w14:paraId="4BC8FFDA"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16 065,2  </w:t>
            </w:r>
          </w:p>
        </w:tc>
        <w:tc>
          <w:tcPr>
            <w:tcW w:w="1096" w:type="dxa"/>
            <w:tcBorders>
              <w:top w:val="nil"/>
              <w:left w:val="nil"/>
              <w:bottom w:val="single" w:sz="4" w:space="0" w:color="auto"/>
              <w:right w:val="single" w:sz="4" w:space="0" w:color="auto"/>
            </w:tcBorders>
            <w:shd w:val="clear" w:color="auto" w:fill="auto"/>
            <w:hideMark/>
          </w:tcPr>
          <w:p w14:paraId="790C325F"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17 961,7  </w:t>
            </w:r>
          </w:p>
        </w:tc>
      </w:tr>
      <w:tr w:rsidR="00E1515B" w:rsidRPr="00E1515B" w14:paraId="74AC6A2F" w14:textId="77777777" w:rsidTr="00E1515B">
        <w:trPr>
          <w:trHeight w:val="312"/>
        </w:trPr>
        <w:tc>
          <w:tcPr>
            <w:tcW w:w="2700" w:type="dxa"/>
            <w:tcBorders>
              <w:top w:val="nil"/>
              <w:left w:val="single" w:sz="4" w:space="0" w:color="auto"/>
              <w:bottom w:val="single" w:sz="4" w:space="0" w:color="auto"/>
              <w:right w:val="single" w:sz="4" w:space="0" w:color="auto"/>
            </w:tcBorders>
            <w:shd w:val="clear" w:color="auto" w:fill="auto"/>
            <w:hideMark/>
          </w:tcPr>
          <w:p w14:paraId="579AB5DA"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в процентах ВВП, %</w:t>
            </w:r>
          </w:p>
        </w:tc>
        <w:tc>
          <w:tcPr>
            <w:tcW w:w="1380" w:type="dxa"/>
            <w:tcBorders>
              <w:top w:val="nil"/>
              <w:left w:val="nil"/>
              <w:bottom w:val="single" w:sz="4" w:space="0" w:color="auto"/>
              <w:right w:val="single" w:sz="4" w:space="0" w:color="auto"/>
            </w:tcBorders>
            <w:shd w:val="clear" w:color="auto" w:fill="auto"/>
            <w:hideMark/>
          </w:tcPr>
          <w:p w14:paraId="653F47C1"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14,0  </w:t>
            </w:r>
          </w:p>
        </w:tc>
        <w:tc>
          <w:tcPr>
            <w:tcW w:w="1420" w:type="dxa"/>
            <w:tcBorders>
              <w:top w:val="nil"/>
              <w:left w:val="nil"/>
              <w:bottom w:val="single" w:sz="4" w:space="0" w:color="auto"/>
              <w:right w:val="single" w:sz="4" w:space="0" w:color="auto"/>
            </w:tcBorders>
            <w:shd w:val="clear" w:color="auto" w:fill="auto"/>
            <w:hideMark/>
          </w:tcPr>
          <w:p w14:paraId="47B0B5F7"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13,7  </w:t>
            </w:r>
          </w:p>
        </w:tc>
        <w:tc>
          <w:tcPr>
            <w:tcW w:w="1320" w:type="dxa"/>
            <w:tcBorders>
              <w:top w:val="nil"/>
              <w:left w:val="nil"/>
              <w:bottom w:val="single" w:sz="4" w:space="0" w:color="auto"/>
              <w:right w:val="single" w:sz="4" w:space="0" w:color="auto"/>
            </w:tcBorders>
            <w:shd w:val="clear" w:color="auto" w:fill="auto"/>
            <w:hideMark/>
          </w:tcPr>
          <w:p w14:paraId="6141B26C"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14,3  </w:t>
            </w:r>
          </w:p>
        </w:tc>
        <w:tc>
          <w:tcPr>
            <w:tcW w:w="1440" w:type="dxa"/>
            <w:tcBorders>
              <w:top w:val="nil"/>
              <w:left w:val="nil"/>
              <w:bottom w:val="single" w:sz="4" w:space="0" w:color="auto"/>
              <w:right w:val="single" w:sz="4" w:space="0" w:color="auto"/>
            </w:tcBorders>
            <w:shd w:val="clear" w:color="auto" w:fill="auto"/>
            <w:hideMark/>
          </w:tcPr>
          <w:p w14:paraId="3066D671"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15,5  </w:t>
            </w:r>
          </w:p>
        </w:tc>
        <w:tc>
          <w:tcPr>
            <w:tcW w:w="1096" w:type="dxa"/>
            <w:tcBorders>
              <w:top w:val="nil"/>
              <w:left w:val="nil"/>
              <w:bottom w:val="single" w:sz="4" w:space="0" w:color="auto"/>
              <w:right w:val="single" w:sz="4" w:space="0" w:color="auto"/>
            </w:tcBorders>
            <w:shd w:val="clear" w:color="auto" w:fill="auto"/>
            <w:hideMark/>
          </w:tcPr>
          <w:p w14:paraId="743D7488"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w:t>
            </w:r>
          </w:p>
        </w:tc>
      </w:tr>
      <w:tr w:rsidR="00E1515B" w:rsidRPr="00E1515B" w14:paraId="66641068" w14:textId="77777777" w:rsidTr="00E1515B">
        <w:trPr>
          <w:trHeight w:val="624"/>
        </w:trPr>
        <w:tc>
          <w:tcPr>
            <w:tcW w:w="2700" w:type="dxa"/>
            <w:tcBorders>
              <w:top w:val="nil"/>
              <w:left w:val="single" w:sz="4" w:space="0" w:color="auto"/>
              <w:bottom w:val="single" w:sz="4" w:space="0" w:color="auto"/>
              <w:right w:val="single" w:sz="4" w:space="0" w:color="auto"/>
            </w:tcBorders>
            <w:shd w:val="clear" w:color="auto" w:fill="auto"/>
            <w:hideMark/>
          </w:tcPr>
          <w:p w14:paraId="157272C1"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изменение к предыдущему году, %</w:t>
            </w:r>
          </w:p>
        </w:tc>
        <w:tc>
          <w:tcPr>
            <w:tcW w:w="1380" w:type="dxa"/>
            <w:tcBorders>
              <w:top w:val="nil"/>
              <w:left w:val="nil"/>
              <w:bottom w:val="single" w:sz="4" w:space="0" w:color="auto"/>
              <w:right w:val="single" w:sz="4" w:space="0" w:color="auto"/>
            </w:tcBorders>
            <w:shd w:val="clear" w:color="auto" w:fill="auto"/>
            <w:hideMark/>
          </w:tcPr>
          <w:p w14:paraId="62A91C52"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hideMark/>
          </w:tcPr>
          <w:p w14:paraId="0CB05733"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0,93  </w:t>
            </w:r>
          </w:p>
        </w:tc>
        <w:tc>
          <w:tcPr>
            <w:tcW w:w="1320" w:type="dxa"/>
            <w:tcBorders>
              <w:top w:val="nil"/>
              <w:left w:val="nil"/>
              <w:bottom w:val="single" w:sz="4" w:space="0" w:color="auto"/>
              <w:right w:val="single" w:sz="4" w:space="0" w:color="auto"/>
            </w:tcBorders>
            <w:shd w:val="clear" w:color="auto" w:fill="auto"/>
            <w:hideMark/>
          </w:tcPr>
          <w:p w14:paraId="640DF819"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12,02  </w:t>
            </w:r>
          </w:p>
        </w:tc>
        <w:tc>
          <w:tcPr>
            <w:tcW w:w="1440" w:type="dxa"/>
            <w:tcBorders>
              <w:top w:val="nil"/>
              <w:left w:val="nil"/>
              <w:bottom w:val="single" w:sz="4" w:space="0" w:color="auto"/>
              <w:right w:val="single" w:sz="4" w:space="0" w:color="auto"/>
            </w:tcBorders>
            <w:shd w:val="clear" w:color="auto" w:fill="auto"/>
            <w:hideMark/>
          </w:tcPr>
          <w:p w14:paraId="06F3B63F"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22,00  </w:t>
            </w:r>
          </w:p>
        </w:tc>
        <w:tc>
          <w:tcPr>
            <w:tcW w:w="1096" w:type="dxa"/>
            <w:tcBorders>
              <w:top w:val="nil"/>
              <w:left w:val="nil"/>
              <w:bottom w:val="single" w:sz="4" w:space="0" w:color="auto"/>
              <w:right w:val="single" w:sz="4" w:space="0" w:color="auto"/>
            </w:tcBorders>
            <w:shd w:val="clear" w:color="auto" w:fill="auto"/>
            <w:hideMark/>
          </w:tcPr>
          <w:p w14:paraId="4EA33639"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11,80  </w:t>
            </w:r>
          </w:p>
        </w:tc>
      </w:tr>
    </w:tbl>
    <w:p w14:paraId="27D64E9C" w14:textId="77777777" w:rsidR="00E1515B" w:rsidRPr="00E1515B" w:rsidRDefault="00E1515B" w:rsidP="00E1515B">
      <w:pPr>
        <w:spacing w:line="360" w:lineRule="auto"/>
        <w:contextualSpacing/>
        <w:jc w:val="both"/>
        <w:rPr>
          <w:rFonts w:ascii="Times New Roman" w:eastAsia="Calibri" w:hAnsi="Times New Roman" w:cs="Times New Roman"/>
          <w:sz w:val="28"/>
          <w:szCs w:val="28"/>
          <w:lang w:eastAsia="en-US"/>
        </w:rPr>
      </w:pPr>
    </w:p>
    <w:p w14:paraId="4263E491" w14:textId="3C108B15" w:rsidR="00E1515B" w:rsidRPr="00E1515B" w:rsidRDefault="00E1515B" w:rsidP="00A437A7">
      <w:pPr>
        <w:spacing w:line="360" w:lineRule="auto"/>
        <w:ind w:firstLine="709"/>
        <w:contextualSpacing/>
        <w:jc w:val="both"/>
        <w:rPr>
          <w:rFonts w:ascii="Times New Roman" w:eastAsia="Calibri" w:hAnsi="Times New Roman" w:cs="Times New Roman"/>
          <w:sz w:val="28"/>
          <w:szCs w:val="28"/>
          <w:lang w:eastAsia="en-US"/>
        </w:rPr>
      </w:pPr>
      <w:r w:rsidRPr="00E1515B">
        <w:rPr>
          <w:rFonts w:ascii="Times New Roman" w:eastAsia="Calibri" w:hAnsi="Times New Roman" w:cs="Times New Roman"/>
          <w:sz w:val="28"/>
          <w:szCs w:val="28"/>
          <w:lang w:eastAsia="en-US"/>
        </w:rPr>
        <w:t>В табл</w:t>
      </w:r>
      <w:r w:rsidR="00B51BA4">
        <w:rPr>
          <w:rFonts w:ascii="Times New Roman" w:eastAsia="Calibri" w:hAnsi="Times New Roman" w:cs="Times New Roman"/>
          <w:sz w:val="28"/>
          <w:szCs w:val="28"/>
          <w:lang w:eastAsia="en-US"/>
        </w:rPr>
        <w:t xml:space="preserve">ице </w:t>
      </w:r>
      <w:r w:rsidR="00A437A7">
        <w:rPr>
          <w:rFonts w:ascii="Times New Roman" w:eastAsia="Calibri" w:hAnsi="Times New Roman" w:cs="Times New Roman"/>
          <w:sz w:val="28"/>
          <w:szCs w:val="28"/>
          <w:lang w:eastAsia="en-US"/>
        </w:rPr>
        <w:t>5</w:t>
      </w:r>
      <w:r w:rsidRPr="00E1515B">
        <w:rPr>
          <w:rFonts w:ascii="Times New Roman" w:eastAsia="Calibri" w:hAnsi="Times New Roman" w:cs="Times New Roman"/>
          <w:sz w:val="28"/>
          <w:szCs w:val="28"/>
          <w:lang w:eastAsia="en-US"/>
        </w:rPr>
        <w:t xml:space="preserve"> представлена информация о динамике показателей баланса домашних хозяйств в последние 3 года по данным Банка России</w:t>
      </w:r>
      <w:r w:rsidRPr="00E1515B">
        <w:rPr>
          <w:rFonts w:ascii="Times New Roman" w:eastAsia="Calibri" w:hAnsi="Times New Roman" w:cs="Times New Roman"/>
          <w:sz w:val="28"/>
          <w:szCs w:val="28"/>
          <w:vertAlign w:val="superscript"/>
          <w:lang w:eastAsia="en-US"/>
        </w:rPr>
        <w:footnoteReference w:id="4"/>
      </w:r>
      <w:r w:rsidRPr="00E1515B">
        <w:rPr>
          <w:rFonts w:ascii="Times New Roman" w:eastAsia="Calibri" w:hAnsi="Times New Roman" w:cs="Times New Roman"/>
          <w:sz w:val="28"/>
          <w:szCs w:val="28"/>
          <w:lang w:eastAsia="en-US"/>
        </w:rPr>
        <w:t xml:space="preserve">. </w:t>
      </w:r>
      <w:r w:rsidRPr="00E1515B">
        <w:rPr>
          <w:rFonts w:ascii="Times New Roman" w:eastAsia="Calibri" w:hAnsi="Times New Roman" w:cs="Times New Roman"/>
          <w:sz w:val="28"/>
          <w:szCs w:val="28"/>
          <w:lang w:eastAsia="en-US"/>
        </w:rPr>
        <w:lastRenderedPageBreak/>
        <w:t xml:space="preserve">Анализируя динамику показателей баланса домашних хозяйств, необходимо обратить внимание на резкий рост обязательств домашних хозяйств, который происходил вследствие резкого роста кредитов и займов, сумма которых за 2017 – 2018 гг. выросла в 6 раз по сравнению с 2016 г. при том, что уровень финансовых активов в целом и наиболее ликвидной их составляющей – наличной валюты и депозитов не претерпел существенного увеличения и, более того, после некоторого роста в 2017 г., в 2018 г. снизился по сравнению с предыдущим годом. </w:t>
      </w:r>
    </w:p>
    <w:tbl>
      <w:tblPr>
        <w:tblW w:w="9356" w:type="dxa"/>
        <w:tblLook w:val="04A0" w:firstRow="1" w:lastRow="0" w:firstColumn="1" w:lastColumn="0" w:noHBand="0" w:noVBand="1"/>
      </w:tblPr>
      <w:tblGrid>
        <w:gridCol w:w="720"/>
        <w:gridCol w:w="4667"/>
        <w:gridCol w:w="1276"/>
        <w:gridCol w:w="1275"/>
        <w:gridCol w:w="1418"/>
      </w:tblGrid>
      <w:tr w:rsidR="00E1515B" w:rsidRPr="00E1515B" w14:paraId="152AF8F7" w14:textId="77777777" w:rsidTr="00E1515B">
        <w:trPr>
          <w:trHeight w:val="768"/>
        </w:trPr>
        <w:tc>
          <w:tcPr>
            <w:tcW w:w="9356" w:type="dxa"/>
            <w:gridSpan w:val="5"/>
            <w:tcBorders>
              <w:top w:val="nil"/>
              <w:left w:val="nil"/>
              <w:bottom w:val="single" w:sz="4" w:space="0" w:color="auto"/>
              <w:right w:val="nil"/>
            </w:tcBorders>
            <w:shd w:val="clear" w:color="auto" w:fill="auto"/>
            <w:hideMark/>
          </w:tcPr>
          <w:p w14:paraId="0D446D8A" w14:textId="2DC21ED1" w:rsidR="00E1515B" w:rsidRPr="00E1515B" w:rsidRDefault="00A437A7" w:rsidP="00D95D1D">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5</w:t>
            </w:r>
            <w:r w:rsidR="00E1515B" w:rsidRPr="00E1515B">
              <w:rPr>
                <w:rFonts w:ascii="Times New Roman" w:hAnsi="Times New Roman" w:cs="Times New Roman"/>
                <w:color w:val="000000"/>
                <w:sz w:val="28"/>
                <w:szCs w:val="28"/>
              </w:rPr>
              <w:t xml:space="preserve"> – Динамика показателей баланса домашних хозяйств в 2016 - 2019 гг., млн</w:t>
            </w:r>
            <w:r w:rsidR="00D95D1D">
              <w:rPr>
                <w:rFonts w:ascii="Times New Roman" w:hAnsi="Times New Roman" w:cs="Times New Roman"/>
                <w:color w:val="000000"/>
                <w:sz w:val="28"/>
                <w:szCs w:val="28"/>
              </w:rPr>
              <w:t>.</w:t>
            </w:r>
            <w:r w:rsidR="00E1515B" w:rsidRPr="00E1515B">
              <w:rPr>
                <w:rFonts w:ascii="Times New Roman" w:hAnsi="Times New Roman" w:cs="Times New Roman"/>
                <w:color w:val="000000"/>
                <w:sz w:val="28"/>
                <w:szCs w:val="28"/>
              </w:rPr>
              <w:t xml:space="preserve"> руб.</w:t>
            </w:r>
          </w:p>
        </w:tc>
      </w:tr>
      <w:tr w:rsidR="00E1515B" w:rsidRPr="00D95D1D" w14:paraId="3F6EC77C" w14:textId="77777777" w:rsidTr="00E1515B">
        <w:trPr>
          <w:trHeight w:val="336"/>
        </w:trPr>
        <w:tc>
          <w:tcPr>
            <w:tcW w:w="53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9DC731"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Показатель</w:t>
            </w:r>
          </w:p>
        </w:tc>
        <w:tc>
          <w:tcPr>
            <w:tcW w:w="1276" w:type="dxa"/>
            <w:tcBorders>
              <w:top w:val="nil"/>
              <w:left w:val="nil"/>
              <w:bottom w:val="single" w:sz="4" w:space="0" w:color="auto"/>
              <w:right w:val="single" w:sz="4" w:space="0" w:color="auto"/>
            </w:tcBorders>
            <w:shd w:val="clear" w:color="auto" w:fill="auto"/>
            <w:hideMark/>
          </w:tcPr>
          <w:p w14:paraId="3BEF63C4"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2016</w:t>
            </w:r>
          </w:p>
        </w:tc>
        <w:tc>
          <w:tcPr>
            <w:tcW w:w="1275" w:type="dxa"/>
            <w:tcBorders>
              <w:top w:val="nil"/>
              <w:left w:val="nil"/>
              <w:bottom w:val="single" w:sz="4" w:space="0" w:color="auto"/>
              <w:right w:val="single" w:sz="4" w:space="0" w:color="auto"/>
            </w:tcBorders>
            <w:shd w:val="clear" w:color="auto" w:fill="auto"/>
            <w:hideMark/>
          </w:tcPr>
          <w:p w14:paraId="69D31C2F"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2017</w:t>
            </w:r>
          </w:p>
        </w:tc>
        <w:tc>
          <w:tcPr>
            <w:tcW w:w="1418" w:type="dxa"/>
            <w:tcBorders>
              <w:top w:val="nil"/>
              <w:left w:val="nil"/>
              <w:bottom w:val="single" w:sz="4" w:space="0" w:color="auto"/>
              <w:right w:val="single" w:sz="4" w:space="0" w:color="auto"/>
            </w:tcBorders>
            <w:shd w:val="clear" w:color="auto" w:fill="auto"/>
            <w:hideMark/>
          </w:tcPr>
          <w:p w14:paraId="62ED29F0"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2018</w:t>
            </w:r>
          </w:p>
        </w:tc>
      </w:tr>
      <w:tr w:rsidR="00E1515B" w:rsidRPr="00D95D1D" w14:paraId="495C82B0" w14:textId="77777777" w:rsidTr="00E1515B">
        <w:trPr>
          <w:trHeight w:val="312"/>
        </w:trPr>
        <w:tc>
          <w:tcPr>
            <w:tcW w:w="53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E7BE16" w14:textId="77777777" w:rsidR="00E1515B" w:rsidRPr="00D95D1D" w:rsidRDefault="00E1515B" w:rsidP="00E1515B">
            <w:pPr>
              <w:jc w:val="center"/>
              <w:rPr>
                <w:rFonts w:ascii="Times New Roman" w:hAnsi="Times New Roman" w:cs="Times New Roman"/>
                <w:b/>
                <w:bCs/>
                <w:color w:val="000000"/>
              </w:rPr>
            </w:pPr>
            <w:r w:rsidRPr="00D95D1D">
              <w:rPr>
                <w:rFonts w:ascii="Times New Roman" w:hAnsi="Times New Roman" w:cs="Times New Roman"/>
                <w:b/>
                <w:bCs/>
                <w:color w:val="000000"/>
              </w:rPr>
              <w:t>Финансовые активы</w:t>
            </w:r>
          </w:p>
        </w:tc>
        <w:tc>
          <w:tcPr>
            <w:tcW w:w="1276" w:type="dxa"/>
            <w:tcBorders>
              <w:top w:val="nil"/>
              <w:left w:val="nil"/>
              <w:bottom w:val="single" w:sz="4" w:space="0" w:color="auto"/>
              <w:right w:val="single" w:sz="4" w:space="0" w:color="auto"/>
            </w:tcBorders>
            <w:shd w:val="clear" w:color="auto" w:fill="auto"/>
            <w:hideMark/>
          </w:tcPr>
          <w:p w14:paraId="307403E5" w14:textId="77777777" w:rsidR="00E1515B" w:rsidRPr="00D95D1D" w:rsidRDefault="00E1515B" w:rsidP="00E1515B">
            <w:pPr>
              <w:jc w:val="center"/>
              <w:rPr>
                <w:rFonts w:ascii="Times New Roman" w:hAnsi="Times New Roman" w:cs="Times New Roman"/>
                <w:b/>
                <w:bCs/>
                <w:color w:val="000000"/>
              </w:rPr>
            </w:pPr>
            <w:r w:rsidRPr="00D95D1D">
              <w:rPr>
                <w:rFonts w:ascii="Times New Roman" w:hAnsi="Times New Roman" w:cs="Times New Roman"/>
                <w:b/>
                <w:bCs/>
                <w:color w:val="000000"/>
              </w:rPr>
              <w:t xml:space="preserve">5 000 236  </w:t>
            </w:r>
          </w:p>
        </w:tc>
        <w:tc>
          <w:tcPr>
            <w:tcW w:w="1275" w:type="dxa"/>
            <w:tcBorders>
              <w:top w:val="nil"/>
              <w:left w:val="nil"/>
              <w:bottom w:val="single" w:sz="4" w:space="0" w:color="auto"/>
              <w:right w:val="single" w:sz="4" w:space="0" w:color="auto"/>
            </w:tcBorders>
            <w:shd w:val="clear" w:color="auto" w:fill="auto"/>
            <w:hideMark/>
          </w:tcPr>
          <w:p w14:paraId="6DC640FB" w14:textId="77777777" w:rsidR="00E1515B" w:rsidRPr="00D95D1D" w:rsidRDefault="00E1515B" w:rsidP="00E1515B">
            <w:pPr>
              <w:jc w:val="center"/>
              <w:rPr>
                <w:rFonts w:ascii="Times New Roman" w:hAnsi="Times New Roman" w:cs="Times New Roman"/>
                <w:b/>
                <w:bCs/>
                <w:color w:val="000000"/>
              </w:rPr>
            </w:pPr>
            <w:r w:rsidRPr="00D95D1D">
              <w:rPr>
                <w:rFonts w:ascii="Times New Roman" w:hAnsi="Times New Roman" w:cs="Times New Roman"/>
                <w:b/>
                <w:bCs/>
                <w:color w:val="000000"/>
              </w:rPr>
              <w:t xml:space="preserve">5 868 296  </w:t>
            </w:r>
          </w:p>
        </w:tc>
        <w:tc>
          <w:tcPr>
            <w:tcW w:w="1418" w:type="dxa"/>
            <w:tcBorders>
              <w:top w:val="nil"/>
              <w:left w:val="nil"/>
              <w:bottom w:val="single" w:sz="4" w:space="0" w:color="auto"/>
              <w:right w:val="single" w:sz="4" w:space="0" w:color="auto"/>
            </w:tcBorders>
            <w:shd w:val="clear" w:color="auto" w:fill="auto"/>
            <w:hideMark/>
          </w:tcPr>
          <w:p w14:paraId="69B7C063" w14:textId="77777777" w:rsidR="00E1515B" w:rsidRPr="00D95D1D" w:rsidRDefault="00E1515B" w:rsidP="00E1515B">
            <w:pPr>
              <w:jc w:val="center"/>
              <w:rPr>
                <w:rFonts w:ascii="Times New Roman" w:hAnsi="Times New Roman" w:cs="Times New Roman"/>
                <w:b/>
                <w:bCs/>
                <w:color w:val="000000"/>
              </w:rPr>
            </w:pPr>
            <w:r w:rsidRPr="00D95D1D">
              <w:rPr>
                <w:rFonts w:ascii="Times New Roman" w:hAnsi="Times New Roman" w:cs="Times New Roman"/>
                <w:b/>
                <w:bCs/>
                <w:color w:val="000000"/>
              </w:rPr>
              <w:t xml:space="preserve">5 429 444  </w:t>
            </w:r>
          </w:p>
        </w:tc>
      </w:tr>
      <w:tr w:rsidR="00E1515B" w:rsidRPr="00D95D1D" w14:paraId="5A70CA90" w14:textId="77777777" w:rsidTr="00E1515B">
        <w:trPr>
          <w:trHeight w:val="525"/>
        </w:trPr>
        <w:tc>
          <w:tcPr>
            <w:tcW w:w="720" w:type="dxa"/>
            <w:tcBorders>
              <w:top w:val="nil"/>
              <w:left w:val="single" w:sz="4" w:space="0" w:color="auto"/>
              <w:bottom w:val="single" w:sz="4" w:space="0" w:color="auto"/>
              <w:right w:val="single" w:sz="4" w:space="0" w:color="auto"/>
            </w:tcBorders>
            <w:shd w:val="clear" w:color="auto" w:fill="auto"/>
            <w:hideMark/>
          </w:tcPr>
          <w:p w14:paraId="7D0E62EA"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F.1</w:t>
            </w:r>
          </w:p>
        </w:tc>
        <w:tc>
          <w:tcPr>
            <w:tcW w:w="4667" w:type="dxa"/>
            <w:tcBorders>
              <w:top w:val="nil"/>
              <w:left w:val="nil"/>
              <w:bottom w:val="single" w:sz="4" w:space="0" w:color="auto"/>
              <w:right w:val="single" w:sz="4" w:space="0" w:color="auto"/>
            </w:tcBorders>
            <w:shd w:val="clear" w:color="auto" w:fill="auto"/>
            <w:hideMark/>
          </w:tcPr>
          <w:p w14:paraId="2BF5A811"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Монетарное золото и специальные права заимствования</w:t>
            </w:r>
          </w:p>
        </w:tc>
        <w:tc>
          <w:tcPr>
            <w:tcW w:w="1276" w:type="dxa"/>
            <w:tcBorders>
              <w:top w:val="nil"/>
              <w:left w:val="nil"/>
              <w:bottom w:val="single" w:sz="4" w:space="0" w:color="auto"/>
              <w:right w:val="single" w:sz="4" w:space="0" w:color="auto"/>
            </w:tcBorders>
            <w:shd w:val="clear" w:color="auto" w:fill="auto"/>
            <w:hideMark/>
          </w:tcPr>
          <w:p w14:paraId="0A3D4DCD"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0  </w:t>
            </w:r>
          </w:p>
        </w:tc>
        <w:tc>
          <w:tcPr>
            <w:tcW w:w="1275" w:type="dxa"/>
            <w:tcBorders>
              <w:top w:val="nil"/>
              <w:left w:val="nil"/>
              <w:bottom w:val="single" w:sz="4" w:space="0" w:color="auto"/>
              <w:right w:val="single" w:sz="4" w:space="0" w:color="auto"/>
            </w:tcBorders>
            <w:shd w:val="clear" w:color="auto" w:fill="auto"/>
            <w:hideMark/>
          </w:tcPr>
          <w:p w14:paraId="6CDE58BC"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0  </w:t>
            </w:r>
          </w:p>
        </w:tc>
        <w:tc>
          <w:tcPr>
            <w:tcW w:w="1418" w:type="dxa"/>
            <w:tcBorders>
              <w:top w:val="nil"/>
              <w:left w:val="nil"/>
              <w:bottom w:val="single" w:sz="4" w:space="0" w:color="auto"/>
              <w:right w:val="single" w:sz="4" w:space="0" w:color="auto"/>
            </w:tcBorders>
            <w:shd w:val="clear" w:color="auto" w:fill="auto"/>
            <w:hideMark/>
          </w:tcPr>
          <w:p w14:paraId="28FF0508"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0  </w:t>
            </w:r>
          </w:p>
        </w:tc>
      </w:tr>
      <w:tr w:rsidR="00E1515B" w:rsidRPr="00D95D1D" w14:paraId="087EB85C" w14:textId="77777777" w:rsidTr="00E1515B">
        <w:trPr>
          <w:trHeight w:val="312"/>
        </w:trPr>
        <w:tc>
          <w:tcPr>
            <w:tcW w:w="720" w:type="dxa"/>
            <w:tcBorders>
              <w:top w:val="nil"/>
              <w:left w:val="single" w:sz="4" w:space="0" w:color="auto"/>
              <w:bottom w:val="single" w:sz="4" w:space="0" w:color="auto"/>
              <w:right w:val="single" w:sz="4" w:space="0" w:color="auto"/>
            </w:tcBorders>
            <w:shd w:val="clear" w:color="auto" w:fill="auto"/>
            <w:hideMark/>
          </w:tcPr>
          <w:p w14:paraId="3417DB2B"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F.2</w:t>
            </w:r>
          </w:p>
        </w:tc>
        <w:tc>
          <w:tcPr>
            <w:tcW w:w="4667" w:type="dxa"/>
            <w:tcBorders>
              <w:top w:val="nil"/>
              <w:left w:val="nil"/>
              <w:bottom w:val="single" w:sz="4" w:space="0" w:color="auto"/>
              <w:right w:val="single" w:sz="4" w:space="0" w:color="auto"/>
            </w:tcBorders>
            <w:shd w:val="clear" w:color="auto" w:fill="auto"/>
            <w:hideMark/>
          </w:tcPr>
          <w:p w14:paraId="123FC6D5"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Наличная  валюта и депозиты</w:t>
            </w:r>
          </w:p>
        </w:tc>
        <w:tc>
          <w:tcPr>
            <w:tcW w:w="1276" w:type="dxa"/>
            <w:tcBorders>
              <w:top w:val="nil"/>
              <w:left w:val="nil"/>
              <w:bottom w:val="single" w:sz="4" w:space="0" w:color="auto"/>
              <w:right w:val="single" w:sz="4" w:space="0" w:color="auto"/>
            </w:tcBorders>
            <w:shd w:val="clear" w:color="auto" w:fill="auto"/>
            <w:hideMark/>
          </w:tcPr>
          <w:p w14:paraId="33BB946C"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3 501 054  </w:t>
            </w:r>
          </w:p>
        </w:tc>
        <w:tc>
          <w:tcPr>
            <w:tcW w:w="1275" w:type="dxa"/>
            <w:tcBorders>
              <w:top w:val="nil"/>
              <w:left w:val="nil"/>
              <w:bottom w:val="single" w:sz="4" w:space="0" w:color="auto"/>
              <w:right w:val="single" w:sz="4" w:space="0" w:color="auto"/>
            </w:tcBorders>
            <w:shd w:val="clear" w:color="auto" w:fill="auto"/>
            <w:hideMark/>
          </w:tcPr>
          <w:p w14:paraId="3E39D22B"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3 918 046  </w:t>
            </w:r>
          </w:p>
        </w:tc>
        <w:tc>
          <w:tcPr>
            <w:tcW w:w="1418" w:type="dxa"/>
            <w:tcBorders>
              <w:top w:val="nil"/>
              <w:left w:val="nil"/>
              <w:bottom w:val="single" w:sz="4" w:space="0" w:color="auto"/>
              <w:right w:val="single" w:sz="4" w:space="0" w:color="auto"/>
            </w:tcBorders>
            <w:shd w:val="clear" w:color="auto" w:fill="auto"/>
            <w:hideMark/>
          </w:tcPr>
          <w:p w14:paraId="4B409AC8"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3 623 202  </w:t>
            </w:r>
          </w:p>
        </w:tc>
      </w:tr>
      <w:tr w:rsidR="00E1515B" w:rsidRPr="00D95D1D" w14:paraId="4ECA18E6" w14:textId="77777777" w:rsidTr="00E1515B">
        <w:trPr>
          <w:trHeight w:val="324"/>
        </w:trPr>
        <w:tc>
          <w:tcPr>
            <w:tcW w:w="720" w:type="dxa"/>
            <w:tcBorders>
              <w:top w:val="nil"/>
              <w:left w:val="single" w:sz="4" w:space="0" w:color="auto"/>
              <w:bottom w:val="single" w:sz="4" w:space="0" w:color="auto"/>
              <w:right w:val="single" w:sz="4" w:space="0" w:color="auto"/>
            </w:tcBorders>
            <w:shd w:val="clear" w:color="auto" w:fill="auto"/>
            <w:hideMark/>
          </w:tcPr>
          <w:p w14:paraId="007362C3"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F.3</w:t>
            </w:r>
          </w:p>
        </w:tc>
        <w:tc>
          <w:tcPr>
            <w:tcW w:w="4667" w:type="dxa"/>
            <w:tcBorders>
              <w:top w:val="nil"/>
              <w:left w:val="nil"/>
              <w:bottom w:val="single" w:sz="4" w:space="0" w:color="auto"/>
              <w:right w:val="single" w:sz="4" w:space="0" w:color="auto"/>
            </w:tcBorders>
            <w:shd w:val="clear" w:color="auto" w:fill="auto"/>
            <w:hideMark/>
          </w:tcPr>
          <w:p w14:paraId="65A0954D"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Долговые ценные бумаги</w:t>
            </w:r>
          </w:p>
        </w:tc>
        <w:tc>
          <w:tcPr>
            <w:tcW w:w="1276" w:type="dxa"/>
            <w:tcBorders>
              <w:top w:val="nil"/>
              <w:left w:val="nil"/>
              <w:bottom w:val="single" w:sz="4" w:space="0" w:color="auto"/>
              <w:right w:val="single" w:sz="4" w:space="0" w:color="auto"/>
            </w:tcBorders>
            <w:shd w:val="clear" w:color="auto" w:fill="auto"/>
            <w:hideMark/>
          </w:tcPr>
          <w:p w14:paraId="5C8C893B"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10 630  </w:t>
            </w:r>
          </w:p>
        </w:tc>
        <w:tc>
          <w:tcPr>
            <w:tcW w:w="1275" w:type="dxa"/>
            <w:tcBorders>
              <w:top w:val="nil"/>
              <w:left w:val="nil"/>
              <w:bottom w:val="single" w:sz="4" w:space="0" w:color="auto"/>
              <w:right w:val="single" w:sz="4" w:space="0" w:color="auto"/>
            </w:tcBorders>
            <w:shd w:val="clear" w:color="auto" w:fill="auto"/>
            <w:hideMark/>
          </w:tcPr>
          <w:p w14:paraId="16799512"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279 476  </w:t>
            </w:r>
          </w:p>
        </w:tc>
        <w:tc>
          <w:tcPr>
            <w:tcW w:w="1418" w:type="dxa"/>
            <w:tcBorders>
              <w:top w:val="nil"/>
              <w:left w:val="nil"/>
              <w:bottom w:val="single" w:sz="4" w:space="0" w:color="auto"/>
              <w:right w:val="single" w:sz="4" w:space="0" w:color="auto"/>
            </w:tcBorders>
            <w:shd w:val="clear" w:color="auto" w:fill="auto"/>
            <w:hideMark/>
          </w:tcPr>
          <w:p w14:paraId="515897F3"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193 403  </w:t>
            </w:r>
          </w:p>
        </w:tc>
      </w:tr>
      <w:tr w:rsidR="00E1515B" w:rsidRPr="00D95D1D" w14:paraId="2FFA8F3F" w14:textId="77777777" w:rsidTr="00E1515B">
        <w:trPr>
          <w:trHeight w:val="312"/>
        </w:trPr>
        <w:tc>
          <w:tcPr>
            <w:tcW w:w="720" w:type="dxa"/>
            <w:tcBorders>
              <w:top w:val="nil"/>
              <w:left w:val="single" w:sz="4" w:space="0" w:color="auto"/>
              <w:bottom w:val="single" w:sz="4" w:space="0" w:color="auto"/>
              <w:right w:val="single" w:sz="4" w:space="0" w:color="auto"/>
            </w:tcBorders>
            <w:shd w:val="clear" w:color="auto" w:fill="auto"/>
            <w:hideMark/>
          </w:tcPr>
          <w:p w14:paraId="3A29FE4E"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F.4</w:t>
            </w:r>
          </w:p>
        </w:tc>
        <w:tc>
          <w:tcPr>
            <w:tcW w:w="4667" w:type="dxa"/>
            <w:tcBorders>
              <w:top w:val="nil"/>
              <w:left w:val="nil"/>
              <w:bottom w:val="single" w:sz="4" w:space="0" w:color="auto"/>
              <w:right w:val="single" w:sz="4" w:space="0" w:color="auto"/>
            </w:tcBorders>
            <w:shd w:val="clear" w:color="auto" w:fill="auto"/>
            <w:hideMark/>
          </w:tcPr>
          <w:p w14:paraId="780DCC80"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Кредиты и займы</w:t>
            </w:r>
          </w:p>
        </w:tc>
        <w:tc>
          <w:tcPr>
            <w:tcW w:w="1276" w:type="dxa"/>
            <w:tcBorders>
              <w:top w:val="nil"/>
              <w:left w:val="nil"/>
              <w:bottom w:val="single" w:sz="4" w:space="0" w:color="auto"/>
              <w:right w:val="single" w:sz="4" w:space="0" w:color="auto"/>
            </w:tcBorders>
            <w:shd w:val="clear" w:color="auto" w:fill="auto"/>
            <w:hideMark/>
          </w:tcPr>
          <w:p w14:paraId="446B465B"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28 575  </w:t>
            </w:r>
          </w:p>
        </w:tc>
        <w:tc>
          <w:tcPr>
            <w:tcW w:w="1275" w:type="dxa"/>
            <w:tcBorders>
              <w:top w:val="nil"/>
              <w:left w:val="nil"/>
              <w:bottom w:val="single" w:sz="4" w:space="0" w:color="auto"/>
              <w:right w:val="single" w:sz="4" w:space="0" w:color="auto"/>
            </w:tcBorders>
            <w:shd w:val="clear" w:color="auto" w:fill="auto"/>
            <w:hideMark/>
          </w:tcPr>
          <w:p w14:paraId="6276F4A3"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59 961  </w:t>
            </w:r>
          </w:p>
        </w:tc>
        <w:tc>
          <w:tcPr>
            <w:tcW w:w="1418" w:type="dxa"/>
            <w:tcBorders>
              <w:top w:val="nil"/>
              <w:left w:val="nil"/>
              <w:bottom w:val="single" w:sz="4" w:space="0" w:color="auto"/>
              <w:right w:val="single" w:sz="4" w:space="0" w:color="auto"/>
            </w:tcBorders>
            <w:shd w:val="clear" w:color="auto" w:fill="auto"/>
            <w:hideMark/>
          </w:tcPr>
          <w:p w14:paraId="0893FA6B"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154 526  </w:t>
            </w:r>
          </w:p>
        </w:tc>
      </w:tr>
      <w:tr w:rsidR="00E1515B" w:rsidRPr="00D95D1D" w14:paraId="142940CB" w14:textId="77777777" w:rsidTr="00E1515B">
        <w:trPr>
          <w:trHeight w:val="294"/>
        </w:trPr>
        <w:tc>
          <w:tcPr>
            <w:tcW w:w="720" w:type="dxa"/>
            <w:tcBorders>
              <w:top w:val="nil"/>
              <w:left w:val="single" w:sz="4" w:space="0" w:color="auto"/>
              <w:bottom w:val="single" w:sz="4" w:space="0" w:color="auto"/>
              <w:right w:val="single" w:sz="4" w:space="0" w:color="auto"/>
            </w:tcBorders>
            <w:shd w:val="clear" w:color="auto" w:fill="auto"/>
            <w:hideMark/>
          </w:tcPr>
          <w:p w14:paraId="3A563C74"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F.5</w:t>
            </w:r>
          </w:p>
        </w:tc>
        <w:tc>
          <w:tcPr>
            <w:tcW w:w="4667" w:type="dxa"/>
            <w:tcBorders>
              <w:top w:val="nil"/>
              <w:left w:val="nil"/>
              <w:bottom w:val="single" w:sz="4" w:space="0" w:color="auto"/>
              <w:right w:val="single" w:sz="4" w:space="0" w:color="auto"/>
            </w:tcBorders>
            <w:shd w:val="clear" w:color="auto" w:fill="auto"/>
            <w:hideMark/>
          </w:tcPr>
          <w:p w14:paraId="1959FC72"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Акции и прочие формы участия в капитале</w:t>
            </w:r>
          </w:p>
        </w:tc>
        <w:tc>
          <w:tcPr>
            <w:tcW w:w="1276" w:type="dxa"/>
            <w:tcBorders>
              <w:top w:val="nil"/>
              <w:left w:val="nil"/>
              <w:bottom w:val="single" w:sz="4" w:space="0" w:color="auto"/>
              <w:right w:val="single" w:sz="4" w:space="0" w:color="auto"/>
            </w:tcBorders>
            <w:shd w:val="clear" w:color="auto" w:fill="auto"/>
            <w:hideMark/>
          </w:tcPr>
          <w:p w14:paraId="2C364DC6"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685 934  </w:t>
            </w:r>
          </w:p>
        </w:tc>
        <w:tc>
          <w:tcPr>
            <w:tcW w:w="1275" w:type="dxa"/>
            <w:tcBorders>
              <w:top w:val="nil"/>
              <w:left w:val="nil"/>
              <w:bottom w:val="single" w:sz="4" w:space="0" w:color="auto"/>
              <w:right w:val="single" w:sz="4" w:space="0" w:color="auto"/>
            </w:tcBorders>
            <w:shd w:val="clear" w:color="auto" w:fill="auto"/>
            <w:hideMark/>
          </w:tcPr>
          <w:p w14:paraId="3A526CC9"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840 833  </w:t>
            </w:r>
          </w:p>
        </w:tc>
        <w:tc>
          <w:tcPr>
            <w:tcW w:w="1418" w:type="dxa"/>
            <w:tcBorders>
              <w:top w:val="nil"/>
              <w:left w:val="nil"/>
              <w:bottom w:val="single" w:sz="4" w:space="0" w:color="auto"/>
              <w:right w:val="single" w:sz="4" w:space="0" w:color="auto"/>
            </w:tcBorders>
            <w:shd w:val="clear" w:color="auto" w:fill="auto"/>
            <w:hideMark/>
          </w:tcPr>
          <w:p w14:paraId="07243C48"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720 515  </w:t>
            </w:r>
          </w:p>
        </w:tc>
      </w:tr>
      <w:tr w:rsidR="00E1515B" w:rsidRPr="00D95D1D" w14:paraId="29D51A9F" w14:textId="77777777" w:rsidTr="00E1515B">
        <w:trPr>
          <w:trHeight w:val="312"/>
        </w:trPr>
        <w:tc>
          <w:tcPr>
            <w:tcW w:w="720" w:type="dxa"/>
            <w:tcBorders>
              <w:top w:val="nil"/>
              <w:left w:val="single" w:sz="4" w:space="0" w:color="auto"/>
              <w:bottom w:val="single" w:sz="4" w:space="0" w:color="auto"/>
              <w:right w:val="single" w:sz="4" w:space="0" w:color="auto"/>
            </w:tcBorders>
            <w:shd w:val="clear" w:color="auto" w:fill="auto"/>
            <w:hideMark/>
          </w:tcPr>
          <w:p w14:paraId="0DA76CCA"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F.6</w:t>
            </w:r>
          </w:p>
        </w:tc>
        <w:tc>
          <w:tcPr>
            <w:tcW w:w="4667" w:type="dxa"/>
            <w:tcBorders>
              <w:top w:val="nil"/>
              <w:left w:val="nil"/>
              <w:bottom w:val="single" w:sz="4" w:space="0" w:color="auto"/>
              <w:right w:val="single" w:sz="4" w:space="0" w:color="auto"/>
            </w:tcBorders>
            <w:shd w:val="clear" w:color="auto" w:fill="auto"/>
            <w:hideMark/>
          </w:tcPr>
          <w:p w14:paraId="6B0527F8"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Страховые и пенсионные резервы</w:t>
            </w:r>
          </w:p>
        </w:tc>
        <w:tc>
          <w:tcPr>
            <w:tcW w:w="1276" w:type="dxa"/>
            <w:tcBorders>
              <w:top w:val="nil"/>
              <w:left w:val="nil"/>
              <w:bottom w:val="single" w:sz="4" w:space="0" w:color="auto"/>
              <w:right w:val="single" w:sz="4" w:space="0" w:color="auto"/>
            </w:tcBorders>
            <w:shd w:val="clear" w:color="auto" w:fill="auto"/>
            <w:hideMark/>
          </w:tcPr>
          <w:p w14:paraId="3FDB43D7"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659 025  </w:t>
            </w:r>
          </w:p>
        </w:tc>
        <w:tc>
          <w:tcPr>
            <w:tcW w:w="1275" w:type="dxa"/>
            <w:tcBorders>
              <w:top w:val="nil"/>
              <w:left w:val="nil"/>
              <w:bottom w:val="single" w:sz="4" w:space="0" w:color="auto"/>
              <w:right w:val="single" w:sz="4" w:space="0" w:color="auto"/>
            </w:tcBorders>
            <w:shd w:val="clear" w:color="auto" w:fill="auto"/>
            <w:hideMark/>
          </w:tcPr>
          <w:p w14:paraId="59C65490"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700 571  </w:t>
            </w:r>
          </w:p>
        </w:tc>
        <w:tc>
          <w:tcPr>
            <w:tcW w:w="1418" w:type="dxa"/>
            <w:tcBorders>
              <w:top w:val="nil"/>
              <w:left w:val="nil"/>
              <w:bottom w:val="single" w:sz="4" w:space="0" w:color="auto"/>
              <w:right w:val="single" w:sz="4" w:space="0" w:color="auto"/>
            </w:tcBorders>
            <w:shd w:val="clear" w:color="auto" w:fill="auto"/>
            <w:hideMark/>
          </w:tcPr>
          <w:p w14:paraId="28A700C4"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602 971  </w:t>
            </w:r>
          </w:p>
        </w:tc>
      </w:tr>
      <w:tr w:rsidR="00E1515B" w:rsidRPr="00D95D1D" w14:paraId="255F85B5" w14:textId="77777777" w:rsidTr="00E1515B">
        <w:trPr>
          <w:trHeight w:val="312"/>
        </w:trPr>
        <w:tc>
          <w:tcPr>
            <w:tcW w:w="720" w:type="dxa"/>
            <w:tcBorders>
              <w:top w:val="nil"/>
              <w:left w:val="single" w:sz="4" w:space="0" w:color="auto"/>
              <w:bottom w:val="single" w:sz="4" w:space="0" w:color="auto"/>
              <w:right w:val="single" w:sz="4" w:space="0" w:color="auto"/>
            </w:tcBorders>
            <w:shd w:val="clear" w:color="auto" w:fill="auto"/>
            <w:hideMark/>
          </w:tcPr>
          <w:p w14:paraId="6F6B212C"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F.8</w:t>
            </w:r>
          </w:p>
        </w:tc>
        <w:tc>
          <w:tcPr>
            <w:tcW w:w="4667" w:type="dxa"/>
            <w:tcBorders>
              <w:top w:val="nil"/>
              <w:left w:val="nil"/>
              <w:bottom w:val="single" w:sz="4" w:space="0" w:color="auto"/>
              <w:right w:val="single" w:sz="4" w:space="0" w:color="auto"/>
            </w:tcBorders>
            <w:shd w:val="clear" w:color="auto" w:fill="auto"/>
            <w:hideMark/>
          </w:tcPr>
          <w:p w14:paraId="7BE485E6"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Дебиторская задолженность</w:t>
            </w:r>
          </w:p>
        </w:tc>
        <w:tc>
          <w:tcPr>
            <w:tcW w:w="1276" w:type="dxa"/>
            <w:tcBorders>
              <w:top w:val="nil"/>
              <w:left w:val="nil"/>
              <w:bottom w:val="single" w:sz="4" w:space="0" w:color="auto"/>
              <w:right w:val="single" w:sz="4" w:space="0" w:color="auto"/>
            </w:tcBorders>
            <w:shd w:val="clear" w:color="auto" w:fill="auto"/>
            <w:hideMark/>
          </w:tcPr>
          <w:p w14:paraId="08F1BE92"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115 018  </w:t>
            </w:r>
          </w:p>
        </w:tc>
        <w:tc>
          <w:tcPr>
            <w:tcW w:w="1275" w:type="dxa"/>
            <w:tcBorders>
              <w:top w:val="nil"/>
              <w:left w:val="nil"/>
              <w:bottom w:val="single" w:sz="4" w:space="0" w:color="auto"/>
              <w:right w:val="single" w:sz="4" w:space="0" w:color="auto"/>
            </w:tcBorders>
            <w:shd w:val="clear" w:color="auto" w:fill="auto"/>
            <w:hideMark/>
          </w:tcPr>
          <w:p w14:paraId="3D289DD0"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69 409  </w:t>
            </w:r>
          </w:p>
        </w:tc>
        <w:tc>
          <w:tcPr>
            <w:tcW w:w="1418" w:type="dxa"/>
            <w:tcBorders>
              <w:top w:val="nil"/>
              <w:left w:val="nil"/>
              <w:bottom w:val="single" w:sz="4" w:space="0" w:color="auto"/>
              <w:right w:val="single" w:sz="4" w:space="0" w:color="auto"/>
            </w:tcBorders>
            <w:shd w:val="clear" w:color="auto" w:fill="auto"/>
            <w:hideMark/>
          </w:tcPr>
          <w:p w14:paraId="5A3B05EF"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134 827  </w:t>
            </w:r>
          </w:p>
        </w:tc>
      </w:tr>
      <w:tr w:rsidR="00E1515B" w:rsidRPr="00D95D1D" w14:paraId="32AB0E98" w14:textId="77777777" w:rsidTr="00E1515B">
        <w:trPr>
          <w:trHeight w:val="312"/>
        </w:trPr>
        <w:tc>
          <w:tcPr>
            <w:tcW w:w="53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992919" w14:textId="77777777" w:rsidR="00E1515B" w:rsidRPr="00D95D1D" w:rsidRDefault="00E1515B" w:rsidP="00E1515B">
            <w:pPr>
              <w:jc w:val="center"/>
              <w:rPr>
                <w:rFonts w:ascii="Times New Roman" w:hAnsi="Times New Roman" w:cs="Times New Roman"/>
                <w:b/>
                <w:bCs/>
                <w:color w:val="000000"/>
              </w:rPr>
            </w:pPr>
            <w:r w:rsidRPr="00D95D1D">
              <w:rPr>
                <w:rFonts w:ascii="Times New Roman" w:hAnsi="Times New Roman" w:cs="Times New Roman"/>
                <w:b/>
                <w:bCs/>
                <w:color w:val="000000"/>
              </w:rPr>
              <w:t>Обязательства</w:t>
            </w:r>
          </w:p>
        </w:tc>
        <w:tc>
          <w:tcPr>
            <w:tcW w:w="1276" w:type="dxa"/>
            <w:tcBorders>
              <w:top w:val="nil"/>
              <w:left w:val="nil"/>
              <w:bottom w:val="single" w:sz="4" w:space="0" w:color="auto"/>
              <w:right w:val="single" w:sz="4" w:space="0" w:color="auto"/>
            </w:tcBorders>
            <w:shd w:val="clear" w:color="auto" w:fill="auto"/>
            <w:hideMark/>
          </w:tcPr>
          <w:p w14:paraId="7ACA94B2" w14:textId="77777777" w:rsidR="00E1515B" w:rsidRPr="00D95D1D" w:rsidRDefault="00E1515B" w:rsidP="00E1515B">
            <w:pPr>
              <w:jc w:val="center"/>
              <w:rPr>
                <w:rFonts w:ascii="Times New Roman" w:hAnsi="Times New Roman" w:cs="Times New Roman"/>
                <w:b/>
                <w:bCs/>
                <w:color w:val="000000"/>
              </w:rPr>
            </w:pPr>
            <w:r w:rsidRPr="00D95D1D">
              <w:rPr>
                <w:rFonts w:ascii="Times New Roman" w:hAnsi="Times New Roman" w:cs="Times New Roman"/>
                <w:b/>
                <w:bCs/>
                <w:color w:val="000000"/>
              </w:rPr>
              <w:t xml:space="preserve">665 205  </w:t>
            </w:r>
          </w:p>
        </w:tc>
        <w:tc>
          <w:tcPr>
            <w:tcW w:w="1275" w:type="dxa"/>
            <w:tcBorders>
              <w:top w:val="nil"/>
              <w:left w:val="nil"/>
              <w:bottom w:val="single" w:sz="4" w:space="0" w:color="auto"/>
              <w:right w:val="single" w:sz="4" w:space="0" w:color="auto"/>
            </w:tcBorders>
            <w:shd w:val="clear" w:color="auto" w:fill="auto"/>
            <w:hideMark/>
          </w:tcPr>
          <w:p w14:paraId="48B77117" w14:textId="77777777" w:rsidR="00E1515B" w:rsidRPr="00D95D1D" w:rsidRDefault="00E1515B" w:rsidP="00E1515B">
            <w:pPr>
              <w:jc w:val="center"/>
              <w:rPr>
                <w:rFonts w:ascii="Times New Roman" w:hAnsi="Times New Roman" w:cs="Times New Roman"/>
                <w:b/>
                <w:bCs/>
                <w:color w:val="000000"/>
              </w:rPr>
            </w:pPr>
            <w:r w:rsidRPr="00D95D1D">
              <w:rPr>
                <w:rFonts w:ascii="Times New Roman" w:hAnsi="Times New Roman" w:cs="Times New Roman"/>
                <w:b/>
                <w:bCs/>
                <w:color w:val="000000"/>
              </w:rPr>
              <w:t xml:space="preserve">1 956 707  </w:t>
            </w:r>
          </w:p>
        </w:tc>
        <w:tc>
          <w:tcPr>
            <w:tcW w:w="1418" w:type="dxa"/>
            <w:tcBorders>
              <w:top w:val="nil"/>
              <w:left w:val="nil"/>
              <w:bottom w:val="single" w:sz="4" w:space="0" w:color="auto"/>
              <w:right w:val="single" w:sz="4" w:space="0" w:color="auto"/>
            </w:tcBorders>
            <w:shd w:val="clear" w:color="auto" w:fill="auto"/>
            <w:hideMark/>
          </w:tcPr>
          <w:p w14:paraId="407A6615" w14:textId="77777777" w:rsidR="00E1515B" w:rsidRPr="00D95D1D" w:rsidRDefault="00E1515B" w:rsidP="00E1515B">
            <w:pPr>
              <w:jc w:val="center"/>
              <w:rPr>
                <w:rFonts w:ascii="Times New Roman" w:hAnsi="Times New Roman" w:cs="Times New Roman"/>
                <w:b/>
                <w:bCs/>
                <w:color w:val="000000"/>
              </w:rPr>
            </w:pPr>
            <w:r w:rsidRPr="00D95D1D">
              <w:rPr>
                <w:rFonts w:ascii="Times New Roman" w:hAnsi="Times New Roman" w:cs="Times New Roman"/>
                <w:b/>
                <w:bCs/>
                <w:color w:val="000000"/>
              </w:rPr>
              <w:t xml:space="preserve">2 885 722  </w:t>
            </w:r>
          </w:p>
        </w:tc>
      </w:tr>
      <w:tr w:rsidR="00E1515B" w:rsidRPr="00D95D1D" w14:paraId="6F081B47" w14:textId="77777777" w:rsidTr="00E1515B">
        <w:trPr>
          <w:trHeight w:val="660"/>
        </w:trPr>
        <w:tc>
          <w:tcPr>
            <w:tcW w:w="720" w:type="dxa"/>
            <w:tcBorders>
              <w:top w:val="nil"/>
              <w:left w:val="single" w:sz="4" w:space="0" w:color="auto"/>
              <w:bottom w:val="single" w:sz="4" w:space="0" w:color="auto"/>
              <w:right w:val="single" w:sz="4" w:space="0" w:color="auto"/>
            </w:tcBorders>
            <w:shd w:val="clear" w:color="auto" w:fill="auto"/>
            <w:hideMark/>
          </w:tcPr>
          <w:p w14:paraId="675BA453"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F.1</w:t>
            </w:r>
          </w:p>
        </w:tc>
        <w:tc>
          <w:tcPr>
            <w:tcW w:w="4667" w:type="dxa"/>
            <w:tcBorders>
              <w:top w:val="nil"/>
              <w:left w:val="nil"/>
              <w:bottom w:val="single" w:sz="4" w:space="0" w:color="auto"/>
              <w:right w:val="single" w:sz="4" w:space="0" w:color="auto"/>
            </w:tcBorders>
            <w:shd w:val="clear" w:color="auto" w:fill="auto"/>
            <w:hideMark/>
          </w:tcPr>
          <w:p w14:paraId="41BBEC74"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Монетарное золото и специальные права заимствования</w:t>
            </w:r>
          </w:p>
        </w:tc>
        <w:tc>
          <w:tcPr>
            <w:tcW w:w="1276" w:type="dxa"/>
            <w:tcBorders>
              <w:top w:val="nil"/>
              <w:left w:val="nil"/>
              <w:bottom w:val="single" w:sz="4" w:space="0" w:color="auto"/>
              <w:right w:val="single" w:sz="4" w:space="0" w:color="auto"/>
            </w:tcBorders>
            <w:shd w:val="clear" w:color="auto" w:fill="auto"/>
            <w:hideMark/>
          </w:tcPr>
          <w:p w14:paraId="616AF1FC"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0  </w:t>
            </w:r>
          </w:p>
        </w:tc>
        <w:tc>
          <w:tcPr>
            <w:tcW w:w="1275" w:type="dxa"/>
            <w:tcBorders>
              <w:top w:val="nil"/>
              <w:left w:val="nil"/>
              <w:bottom w:val="single" w:sz="4" w:space="0" w:color="auto"/>
              <w:right w:val="single" w:sz="4" w:space="0" w:color="auto"/>
            </w:tcBorders>
            <w:shd w:val="clear" w:color="auto" w:fill="auto"/>
            <w:hideMark/>
          </w:tcPr>
          <w:p w14:paraId="5ED23433"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0  </w:t>
            </w:r>
          </w:p>
        </w:tc>
        <w:tc>
          <w:tcPr>
            <w:tcW w:w="1418" w:type="dxa"/>
            <w:tcBorders>
              <w:top w:val="nil"/>
              <w:left w:val="nil"/>
              <w:bottom w:val="single" w:sz="4" w:space="0" w:color="auto"/>
              <w:right w:val="single" w:sz="4" w:space="0" w:color="auto"/>
            </w:tcBorders>
            <w:shd w:val="clear" w:color="auto" w:fill="auto"/>
            <w:hideMark/>
          </w:tcPr>
          <w:p w14:paraId="412978B2"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0  </w:t>
            </w:r>
          </w:p>
        </w:tc>
      </w:tr>
      <w:tr w:rsidR="00E1515B" w:rsidRPr="00D95D1D" w14:paraId="1B934372" w14:textId="77777777" w:rsidTr="00E1515B">
        <w:trPr>
          <w:trHeight w:val="312"/>
        </w:trPr>
        <w:tc>
          <w:tcPr>
            <w:tcW w:w="720" w:type="dxa"/>
            <w:tcBorders>
              <w:top w:val="nil"/>
              <w:left w:val="single" w:sz="4" w:space="0" w:color="auto"/>
              <w:bottom w:val="single" w:sz="4" w:space="0" w:color="auto"/>
              <w:right w:val="single" w:sz="4" w:space="0" w:color="auto"/>
            </w:tcBorders>
            <w:shd w:val="clear" w:color="auto" w:fill="auto"/>
            <w:hideMark/>
          </w:tcPr>
          <w:p w14:paraId="250B7219"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F.2</w:t>
            </w:r>
          </w:p>
        </w:tc>
        <w:tc>
          <w:tcPr>
            <w:tcW w:w="4667" w:type="dxa"/>
            <w:tcBorders>
              <w:top w:val="nil"/>
              <w:left w:val="nil"/>
              <w:bottom w:val="single" w:sz="4" w:space="0" w:color="auto"/>
              <w:right w:val="single" w:sz="4" w:space="0" w:color="auto"/>
            </w:tcBorders>
            <w:shd w:val="clear" w:color="auto" w:fill="auto"/>
            <w:hideMark/>
          </w:tcPr>
          <w:p w14:paraId="4324F3EF"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Наличная валюта и депозиты</w:t>
            </w:r>
          </w:p>
        </w:tc>
        <w:tc>
          <w:tcPr>
            <w:tcW w:w="1276" w:type="dxa"/>
            <w:tcBorders>
              <w:top w:val="nil"/>
              <w:left w:val="nil"/>
              <w:bottom w:val="single" w:sz="4" w:space="0" w:color="auto"/>
              <w:right w:val="single" w:sz="4" w:space="0" w:color="auto"/>
            </w:tcBorders>
            <w:shd w:val="clear" w:color="auto" w:fill="auto"/>
            <w:hideMark/>
          </w:tcPr>
          <w:p w14:paraId="7BAF0345"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0  </w:t>
            </w:r>
          </w:p>
        </w:tc>
        <w:tc>
          <w:tcPr>
            <w:tcW w:w="1275" w:type="dxa"/>
            <w:tcBorders>
              <w:top w:val="nil"/>
              <w:left w:val="nil"/>
              <w:bottom w:val="single" w:sz="4" w:space="0" w:color="auto"/>
              <w:right w:val="single" w:sz="4" w:space="0" w:color="auto"/>
            </w:tcBorders>
            <w:shd w:val="clear" w:color="auto" w:fill="auto"/>
            <w:hideMark/>
          </w:tcPr>
          <w:p w14:paraId="041D5A0B"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0  </w:t>
            </w:r>
          </w:p>
        </w:tc>
        <w:tc>
          <w:tcPr>
            <w:tcW w:w="1418" w:type="dxa"/>
            <w:tcBorders>
              <w:top w:val="nil"/>
              <w:left w:val="nil"/>
              <w:bottom w:val="single" w:sz="4" w:space="0" w:color="auto"/>
              <w:right w:val="single" w:sz="4" w:space="0" w:color="auto"/>
            </w:tcBorders>
            <w:shd w:val="clear" w:color="auto" w:fill="auto"/>
            <w:hideMark/>
          </w:tcPr>
          <w:p w14:paraId="751401BA"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0  </w:t>
            </w:r>
          </w:p>
        </w:tc>
      </w:tr>
      <w:tr w:rsidR="00E1515B" w:rsidRPr="00D95D1D" w14:paraId="2A48057A" w14:textId="77777777" w:rsidTr="00E1515B">
        <w:trPr>
          <w:trHeight w:val="312"/>
        </w:trPr>
        <w:tc>
          <w:tcPr>
            <w:tcW w:w="720" w:type="dxa"/>
            <w:tcBorders>
              <w:top w:val="nil"/>
              <w:left w:val="single" w:sz="4" w:space="0" w:color="auto"/>
              <w:bottom w:val="single" w:sz="4" w:space="0" w:color="auto"/>
              <w:right w:val="single" w:sz="4" w:space="0" w:color="auto"/>
            </w:tcBorders>
            <w:shd w:val="clear" w:color="auto" w:fill="auto"/>
            <w:hideMark/>
          </w:tcPr>
          <w:p w14:paraId="7B8F1E17"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F.3</w:t>
            </w:r>
          </w:p>
        </w:tc>
        <w:tc>
          <w:tcPr>
            <w:tcW w:w="4667" w:type="dxa"/>
            <w:tcBorders>
              <w:top w:val="nil"/>
              <w:left w:val="nil"/>
              <w:bottom w:val="single" w:sz="4" w:space="0" w:color="auto"/>
              <w:right w:val="single" w:sz="4" w:space="0" w:color="auto"/>
            </w:tcBorders>
            <w:shd w:val="clear" w:color="auto" w:fill="auto"/>
            <w:hideMark/>
          </w:tcPr>
          <w:p w14:paraId="3C82429B"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Долговые ценные бумаги</w:t>
            </w:r>
          </w:p>
        </w:tc>
        <w:tc>
          <w:tcPr>
            <w:tcW w:w="1276" w:type="dxa"/>
            <w:tcBorders>
              <w:top w:val="nil"/>
              <w:left w:val="nil"/>
              <w:bottom w:val="single" w:sz="4" w:space="0" w:color="auto"/>
              <w:right w:val="single" w:sz="4" w:space="0" w:color="auto"/>
            </w:tcBorders>
            <w:shd w:val="clear" w:color="auto" w:fill="auto"/>
            <w:hideMark/>
          </w:tcPr>
          <w:p w14:paraId="6C41FDA9"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-418  </w:t>
            </w:r>
          </w:p>
        </w:tc>
        <w:tc>
          <w:tcPr>
            <w:tcW w:w="1275" w:type="dxa"/>
            <w:tcBorders>
              <w:top w:val="nil"/>
              <w:left w:val="nil"/>
              <w:bottom w:val="single" w:sz="4" w:space="0" w:color="auto"/>
              <w:right w:val="single" w:sz="4" w:space="0" w:color="auto"/>
            </w:tcBorders>
            <w:shd w:val="clear" w:color="auto" w:fill="auto"/>
            <w:hideMark/>
          </w:tcPr>
          <w:p w14:paraId="3AAD35EE"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-4  </w:t>
            </w:r>
          </w:p>
        </w:tc>
        <w:tc>
          <w:tcPr>
            <w:tcW w:w="1418" w:type="dxa"/>
            <w:tcBorders>
              <w:top w:val="nil"/>
              <w:left w:val="nil"/>
              <w:bottom w:val="single" w:sz="4" w:space="0" w:color="auto"/>
              <w:right w:val="single" w:sz="4" w:space="0" w:color="auto"/>
            </w:tcBorders>
            <w:shd w:val="clear" w:color="auto" w:fill="auto"/>
            <w:hideMark/>
          </w:tcPr>
          <w:p w14:paraId="21FAB6EA"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-550  </w:t>
            </w:r>
          </w:p>
        </w:tc>
      </w:tr>
      <w:tr w:rsidR="00E1515B" w:rsidRPr="00D95D1D" w14:paraId="36236E7D" w14:textId="77777777" w:rsidTr="00E1515B">
        <w:trPr>
          <w:trHeight w:val="312"/>
        </w:trPr>
        <w:tc>
          <w:tcPr>
            <w:tcW w:w="720" w:type="dxa"/>
            <w:tcBorders>
              <w:top w:val="nil"/>
              <w:left w:val="single" w:sz="4" w:space="0" w:color="auto"/>
              <w:bottom w:val="single" w:sz="4" w:space="0" w:color="auto"/>
              <w:right w:val="single" w:sz="4" w:space="0" w:color="auto"/>
            </w:tcBorders>
            <w:shd w:val="clear" w:color="auto" w:fill="auto"/>
            <w:hideMark/>
          </w:tcPr>
          <w:p w14:paraId="2806E453" w14:textId="77777777" w:rsidR="00E1515B" w:rsidRPr="00D95D1D" w:rsidRDefault="00E1515B" w:rsidP="00E1515B">
            <w:pPr>
              <w:jc w:val="center"/>
              <w:rPr>
                <w:rFonts w:ascii="Times New Roman" w:hAnsi="Times New Roman" w:cs="Times New Roman"/>
                <w:color w:val="FF0000"/>
              </w:rPr>
            </w:pPr>
            <w:r w:rsidRPr="00D95D1D">
              <w:rPr>
                <w:rFonts w:ascii="Times New Roman" w:hAnsi="Times New Roman" w:cs="Times New Roman"/>
                <w:color w:val="FF0000"/>
              </w:rPr>
              <w:t>F.4</w:t>
            </w:r>
          </w:p>
        </w:tc>
        <w:tc>
          <w:tcPr>
            <w:tcW w:w="4667" w:type="dxa"/>
            <w:tcBorders>
              <w:top w:val="nil"/>
              <w:left w:val="nil"/>
              <w:bottom w:val="single" w:sz="4" w:space="0" w:color="auto"/>
              <w:right w:val="single" w:sz="4" w:space="0" w:color="auto"/>
            </w:tcBorders>
            <w:shd w:val="clear" w:color="auto" w:fill="auto"/>
            <w:hideMark/>
          </w:tcPr>
          <w:p w14:paraId="2B72172D" w14:textId="77777777" w:rsidR="00E1515B" w:rsidRPr="00D95D1D" w:rsidRDefault="00E1515B" w:rsidP="00E1515B">
            <w:pPr>
              <w:jc w:val="center"/>
              <w:rPr>
                <w:rFonts w:ascii="Times New Roman" w:hAnsi="Times New Roman" w:cs="Times New Roman"/>
                <w:color w:val="FF0000"/>
              </w:rPr>
            </w:pPr>
            <w:r w:rsidRPr="00D95D1D">
              <w:rPr>
                <w:rFonts w:ascii="Times New Roman" w:hAnsi="Times New Roman" w:cs="Times New Roman"/>
                <w:color w:val="FF0000"/>
              </w:rPr>
              <w:t>Кредиты и займы</w:t>
            </w:r>
          </w:p>
        </w:tc>
        <w:tc>
          <w:tcPr>
            <w:tcW w:w="1276" w:type="dxa"/>
            <w:tcBorders>
              <w:top w:val="nil"/>
              <w:left w:val="nil"/>
              <w:bottom w:val="single" w:sz="4" w:space="0" w:color="auto"/>
              <w:right w:val="single" w:sz="4" w:space="0" w:color="auto"/>
            </w:tcBorders>
            <w:shd w:val="clear" w:color="auto" w:fill="auto"/>
            <w:hideMark/>
          </w:tcPr>
          <w:p w14:paraId="52EFD6B7" w14:textId="77777777" w:rsidR="00E1515B" w:rsidRPr="00D95D1D" w:rsidRDefault="00E1515B" w:rsidP="00E1515B">
            <w:pPr>
              <w:jc w:val="center"/>
              <w:rPr>
                <w:rFonts w:ascii="Times New Roman" w:hAnsi="Times New Roman" w:cs="Times New Roman"/>
                <w:color w:val="FF0000"/>
              </w:rPr>
            </w:pPr>
            <w:r w:rsidRPr="00D95D1D">
              <w:rPr>
                <w:rFonts w:ascii="Times New Roman" w:hAnsi="Times New Roman" w:cs="Times New Roman"/>
                <w:color w:val="FF0000"/>
              </w:rPr>
              <w:t xml:space="preserve">507 653  </w:t>
            </w:r>
          </w:p>
        </w:tc>
        <w:tc>
          <w:tcPr>
            <w:tcW w:w="1275" w:type="dxa"/>
            <w:tcBorders>
              <w:top w:val="nil"/>
              <w:left w:val="nil"/>
              <w:bottom w:val="single" w:sz="4" w:space="0" w:color="auto"/>
              <w:right w:val="single" w:sz="4" w:space="0" w:color="auto"/>
            </w:tcBorders>
            <w:shd w:val="clear" w:color="auto" w:fill="auto"/>
            <w:hideMark/>
          </w:tcPr>
          <w:p w14:paraId="560CFB41" w14:textId="77777777" w:rsidR="00E1515B" w:rsidRPr="00D95D1D" w:rsidRDefault="00E1515B" w:rsidP="00E1515B">
            <w:pPr>
              <w:jc w:val="center"/>
              <w:rPr>
                <w:rFonts w:ascii="Times New Roman" w:hAnsi="Times New Roman" w:cs="Times New Roman"/>
                <w:color w:val="FF0000"/>
              </w:rPr>
            </w:pPr>
            <w:r w:rsidRPr="00D95D1D">
              <w:rPr>
                <w:rFonts w:ascii="Times New Roman" w:hAnsi="Times New Roman" w:cs="Times New Roman"/>
                <w:color w:val="FF0000"/>
              </w:rPr>
              <w:t xml:space="preserve">1 865 823  </w:t>
            </w:r>
          </w:p>
        </w:tc>
        <w:tc>
          <w:tcPr>
            <w:tcW w:w="1418" w:type="dxa"/>
            <w:tcBorders>
              <w:top w:val="nil"/>
              <w:left w:val="nil"/>
              <w:bottom w:val="single" w:sz="4" w:space="0" w:color="auto"/>
              <w:right w:val="single" w:sz="4" w:space="0" w:color="auto"/>
            </w:tcBorders>
            <w:shd w:val="clear" w:color="auto" w:fill="auto"/>
            <w:hideMark/>
          </w:tcPr>
          <w:p w14:paraId="4B0FBF1C" w14:textId="77777777" w:rsidR="00E1515B" w:rsidRPr="00D95D1D" w:rsidRDefault="00E1515B" w:rsidP="00E1515B">
            <w:pPr>
              <w:jc w:val="center"/>
              <w:rPr>
                <w:rFonts w:ascii="Times New Roman" w:hAnsi="Times New Roman" w:cs="Times New Roman"/>
                <w:color w:val="FF0000"/>
              </w:rPr>
            </w:pPr>
            <w:r w:rsidRPr="00D95D1D">
              <w:rPr>
                <w:rFonts w:ascii="Times New Roman" w:hAnsi="Times New Roman" w:cs="Times New Roman"/>
                <w:color w:val="FF0000"/>
              </w:rPr>
              <w:t xml:space="preserve">2 909 347  </w:t>
            </w:r>
          </w:p>
        </w:tc>
      </w:tr>
      <w:tr w:rsidR="00E1515B" w:rsidRPr="00D95D1D" w14:paraId="72790E74" w14:textId="77777777" w:rsidTr="00E1515B">
        <w:trPr>
          <w:trHeight w:val="132"/>
        </w:trPr>
        <w:tc>
          <w:tcPr>
            <w:tcW w:w="720" w:type="dxa"/>
            <w:tcBorders>
              <w:top w:val="nil"/>
              <w:left w:val="single" w:sz="4" w:space="0" w:color="auto"/>
              <w:bottom w:val="single" w:sz="4" w:space="0" w:color="auto"/>
              <w:right w:val="single" w:sz="4" w:space="0" w:color="auto"/>
            </w:tcBorders>
            <w:shd w:val="clear" w:color="auto" w:fill="auto"/>
            <w:hideMark/>
          </w:tcPr>
          <w:p w14:paraId="085278AC"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F.5</w:t>
            </w:r>
          </w:p>
        </w:tc>
        <w:tc>
          <w:tcPr>
            <w:tcW w:w="4667" w:type="dxa"/>
            <w:tcBorders>
              <w:top w:val="nil"/>
              <w:left w:val="nil"/>
              <w:bottom w:val="single" w:sz="4" w:space="0" w:color="auto"/>
              <w:right w:val="single" w:sz="4" w:space="0" w:color="auto"/>
            </w:tcBorders>
            <w:shd w:val="clear" w:color="auto" w:fill="auto"/>
            <w:hideMark/>
          </w:tcPr>
          <w:p w14:paraId="5EEC07FE"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Акции и прочие формы участия в капитале</w:t>
            </w:r>
          </w:p>
        </w:tc>
        <w:tc>
          <w:tcPr>
            <w:tcW w:w="1276" w:type="dxa"/>
            <w:tcBorders>
              <w:top w:val="nil"/>
              <w:left w:val="nil"/>
              <w:bottom w:val="single" w:sz="4" w:space="0" w:color="auto"/>
              <w:right w:val="single" w:sz="4" w:space="0" w:color="auto"/>
            </w:tcBorders>
            <w:shd w:val="clear" w:color="auto" w:fill="auto"/>
            <w:hideMark/>
          </w:tcPr>
          <w:p w14:paraId="1FFB8D3E"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0  </w:t>
            </w:r>
          </w:p>
        </w:tc>
        <w:tc>
          <w:tcPr>
            <w:tcW w:w="1275" w:type="dxa"/>
            <w:tcBorders>
              <w:top w:val="nil"/>
              <w:left w:val="nil"/>
              <w:bottom w:val="single" w:sz="4" w:space="0" w:color="auto"/>
              <w:right w:val="single" w:sz="4" w:space="0" w:color="auto"/>
            </w:tcBorders>
            <w:shd w:val="clear" w:color="auto" w:fill="auto"/>
            <w:hideMark/>
          </w:tcPr>
          <w:p w14:paraId="10664191"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0  </w:t>
            </w:r>
          </w:p>
        </w:tc>
        <w:tc>
          <w:tcPr>
            <w:tcW w:w="1418" w:type="dxa"/>
            <w:tcBorders>
              <w:top w:val="nil"/>
              <w:left w:val="nil"/>
              <w:bottom w:val="single" w:sz="4" w:space="0" w:color="auto"/>
              <w:right w:val="single" w:sz="4" w:space="0" w:color="auto"/>
            </w:tcBorders>
            <w:shd w:val="clear" w:color="auto" w:fill="auto"/>
            <w:hideMark/>
          </w:tcPr>
          <w:p w14:paraId="3DEE1A70"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0  </w:t>
            </w:r>
          </w:p>
        </w:tc>
      </w:tr>
      <w:tr w:rsidR="00E1515B" w:rsidRPr="00D95D1D" w14:paraId="0D86C44A" w14:textId="77777777" w:rsidTr="00E1515B">
        <w:trPr>
          <w:trHeight w:val="312"/>
        </w:trPr>
        <w:tc>
          <w:tcPr>
            <w:tcW w:w="720" w:type="dxa"/>
            <w:tcBorders>
              <w:top w:val="nil"/>
              <w:left w:val="single" w:sz="4" w:space="0" w:color="auto"/>
              <w:bottom w:val="single" w:sz="4" w:space="0" w:color="auto"/>
              <w:right w:val="single" w:sz="4" w:space="0" w:color="auto"/>
            </w:tcBorders>
            <w:shd w:val="clear" w:color="auto" w:fill="auto"/>
            <w:hideMark/>
          </w:tcPr>
          <w:p w14:paraId="292C7B31"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F.6</w:t>
            </w:r>
          </w:p>
        </w:tc>
        <w:tc>
          <w:tcPr>
            <w:tcW w:w="4667" w:type="dxa"/>
            <w:tcBorders>
              <w:top w:val="nil"/>
              <w:left w:val="nil"/>
              <w:bottom w:val="single" w:sz="4" w:space="0" w:color="auto"/>
              <w:right w:val="single" w:sz="4" w:space="0" w:color="auto"/>
            </w:tcBorders>
            <w:shd w:val="clear" w:color="auto" w:fill="auto"/>
            <w:hideMark/>
          </w:tcPr>
          <w:p w14:paraId="2A7ED4CE"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Страховые и пенсионные резервы</w:t>
            </w:r>
          </w:p>
        </w:tc>
        <w:tc>
          <w:tcPr>
            <w:tcW w:w="1276" w:type="dxa"/>
            <w:tcBorders>
              <w:top w:val="nil"/>
              <w:left w:val="nil"/>
              <w:bottom w:val="single" w:sz="4" w:space="0" w:color="auto"/>
              <w:right w:val="single" w:sz="4" w:space="0" w:color="auto"/>
            </w:tcBorders>
            <w:shd w:val="clear" w:color="auto" w:fill="auto"/>
            <w:hideMark/>
          </w:tcPr>
          <w:p w14:paraId="5EB699AF"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0  </w:t>
            </w:r>
          </w:p>
        </w:tc>
        <w:tc>
          <w:tcPr>
            <w:tcW w:w="1275" w:type="dxa"/>
            <w:tcBorders>
              <w:top w:val="nil"/>
              <w:left w:val="nil"/>
              <w:bottom w:val="single" w:sz="4" w:space="0" w:color="auto"/>
              <w:right w:val="single" w:sz="4" w:space="0" w:color="auto"/>
            </w:tcBorders>
            <w:shd w:val="clear" w:color="auto" w:fill="auto"/>
            <w:hideMark/>
          </w:tcPr>
          <w:p w14:paraId="1E32A6EB"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0  </w:t>
            </w:r>
          </w:p>
        </w:tc>
        <w:tc>
          <w:tcPr>
            <w:tcW w:w="1418" w:type="dxa"/>
            <w:tcBorders>
              <w:top w:val="nil"/>
              <w:left w:val="nil"/>
              <w:bottom w:val="single" w:sz="4" w:space="0" w:color="auto"/>
              <w:right w:val="single" w:sz="4" w:space="0" w:color="auto"/>
            </w:tcBorders>
            <w:shd w:val="clear" w:color="auto" w:fill="auto"/>
            <w:hideMark/>
          </w:tcPr>
          <w:p w14:paraId="183A3EC5"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0  </w:t>
            </w:r>
          </w:p>
        </w:tc>
      </w:tr>
      <w:tr w:rsidR="00E1515B" w:rsidRPr="00D95D1D" w14:paraId="25982B22" w14:textId="77777777" w:rsidTr="00E1515B">
        <w:trPr>
          <w:trHeight w:val="312"/>
        </w:trPr>
        <w:tc>
          <w:tcPr>
            <w:tcW w:w="720" w:type="dxa"/>
            <w:tcBorders>
              <w:top w:val="nil"/>
              <w:left w:val="single" w:sz="4" w:space="0" w:color="auto"/>
              <w:bottom w:val="single" w:sz="4" w:space="0" w:color="auto"/>
              <w:right w:val="single" w:sz="4" w:space="0" w:color="auto"/>
            </w:tcBorders>
            <w:shd w:val="clear" w:color="auto" w:fill="auto"/>
            <w:hideMark/>
          </w:tcPr>
          <w:p w14:paraId="0625119E"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F.8</w:t>
            </w:r>
          </w:p>
        </w:tc>
        <w:tc>
          <w:tcPr>
            <w:tcW w:w="4667" w:type="dxa"/>
            <w:tcBorders>
              <w:top w:val="nil"/>
              <w:left w:val="nil"/>
              <w:bottom w:val="single" w:sz="4" w:space="0" w:color="auto"/>
              <w:right w:val="single" w:sz="4" w:space="0" w:color="auto"/>
            </w:tcBorders>
            <w:shd w:val="clear" w:color="auto" w:fill="auto"/>
            <w:hideMark/>
          </w:tcPr>
          <w:p w14:paraId="57219FDB"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Дебиторская задолженность</w:t>
            </w:r>
          </w:p>
        </w:tc>
        <w:tc>
          <w:tcPr>
            <w:tcW w:w="1276" w:type="dxa"/>
            <w:tcBorders>
              <w:top w:val="nil"/>
              <w:left w:val="nil"/>
              <w:bottom w:val="single" w:sz="4" w:space="0" w:color="auto"/>
              <w:right w:val="single" w:sz="4" w:space="0" w:color="auto"/>
            </w:tcBorders>
            <w:shd w:val="clear" w:color="auto" w:fill="auto"/>
            <w:hideMark/>
          </w:tcPr>
          <w:p w14:paraId="3FFE7D02"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157 970  </w:t>
            </w:r>
          </w:p>
        </w:tc>
        <w:tc>
          <w:tcPr>
            <w:tcW w:w="1275" w:type="dxa"/>
            <w:tcBorders>
              <w:top w:val="nil"/>
              <w:left w:val="nil"/>
              <w:bottom w:val="single" w:sz="4" w:space="0" w:color="auto"/>
              <w:right w:val="single" w:sz="4" w:space="0" w:color="auto"/>
            </w:tcBorders>
            <w:shd w:val="clear" w:color="auto" w:fill="auto"/>
            <w:hideMark/>
          </w:tcPr>
          <w:p w14:paraId="210E9783"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90 888  </w:t>
            </w:r>
          </w:p>
        </w:tc>
        <w:tc>
          <w:tcPr>
            <w:tcW w:w="1418" w:type="dxa"/>
            <w:tcBorders>
              <w:top w:val="nil"/>
              <w:left w:val="nil"/>
              <w:bottom w:val="single" w:sz="4" w:space="0" w:color="auto"/>
              <w:right w:val="single" w:sz="4" w:space="0" w:color="auto"/>
            </w:tcBorders>
            <w:shd w:val="clear" w:color="auto" w:fill="auto"/>
            <w:hideMark/>
          </w:tcPr>
          <w:p w14:paraId="47D731A4" w14:textId="77777777" w:rsidR="00E1515B" w:rsidRPr="00D95D1D" w:rsidRDefault="00E1515B" w:rsidP="00E1515B">
            <w:pPr>
              <w:jc w:val="center"/>
              <w:rPr>
                <w:rFonts w:ascii="Times New Roman" w:hAnsi="Times New Roman" w:cs="Times New Roman"/>
                <w:color w:val="000000"/>
              </w:rPr>
            </w:pPr>
            <w:r w:rsidRPr="00D95D1D">
              <w:rPr>
                <w:rFonts w:ascii="Times New Roman" w:hAnsi="Times New Roman" w:cs="Times New Roman"/>
                <w:color w:val="000000"/>
              </w:rPr>
              <w:t xml:space="preserve">-23 075  </w:t>
            </w:r>
          </w:p>
        </w:tc>
      </w:tr>
      <w:tr w:rsidR="00E1515B" w:rsidRPr="00D95D1D" w14:paraId="246D4D27" w14:textId="77777777" w:rsidTr="00E1515B">
        <w:trPr>
          <w:trHeight w:val="648"/>
        </w:trPr>
        <w:tc>
          <w:tcPr>
            <w:tcW w:w="53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BB86ED" w14:textId="77777777" w:rsidR="00E1515B" w:rsidRPr="00D95D1D" w:rsidRDefault="00E1515B" w:rsidP="00E1515B">
            <w:pPr>
              <w:jc w:val="center"/>
              <w:rPr>
                <w:rFonts w:ascii="Times New Roman" w:hAnsi="Times New Roman" w:cs="Times New Roman"/>
                <w:b/>
                <w:bCs/>
                <w:color w:val="000000"/>
              </w:rPr>
            </w:pPr>
            <w:r w:rsidRPr="00D95D1D">
              <w:rPr>
                <w:rFonts w:ascii="Times New Roman" w:hAnsi="Times New Roman" w:cs="Times New Roman"/>
                <w:b/>
                <w:bCs/>
                <w:color w:val="000000"/>
              </w:rPr>
              <w:t>Чистое кредитование (+), чистое заимствование (-)</w:t>
            </w:r>
          </w:p>
        </w:tc>
        <w:tc>
          <w:tcPr>
            <w:tcW w:w="1276" w:type="dxa"/>
            <w:tcBorders>
              <w:top w:val="nil"/>
              <w:left w:val="nil"/>
              <w:bottom w:val="single" w:sz="4" w:space="0" w:color="auto"/>
              <w:right w:val="single" w:sz="4" w:space="0" w:color="auto"/>
            </w:tcBorders>
            <w:shd w:val="clear" w:color="auto" w:fill="auto"/>
            <w:hideMark/>
          </w:tcPr>
          <w:p w14:paraId="0A340832" w14:textId="77777777" w:rsidR="00E1515B" w:rsidRPr="00D95D1D" w:rsidRDefault="00E1515B" w:rsidP="00E1515B">
            <w:pPr>
              <w:jc w:val="center"/>
              <w:rPr>
                <w:rFonts w:ascii="Times New Roman" w:hAnsi="Times New Roman" w:cs="Times New Roman"/>
                <w:b/>
                <w:bCs/>
                <w:color w:val="000000"/>
              </w:rPr>
            </w:pPr>
            <w:r w:rsidRPr="00D95D1D">
              <w:rPr>
                <w:rFonts w:ascii="Times New Roman" w:hAnsi="Times New Roman" w:cs="Times New Roman"/>
                <w:b/>
                <w:bCs/>
                <w:color w:val="000000"/>
              </w:rPr>
              <w:t xml:space="preserve">4 335 031  </w:t>
            </w:r>
          </w:p>
        </w:tc>
        <w:tc>
          <w:tcPr>
            <w:tcW w:w="1275" w:type="dxa"/>
            <w:tcBorders>
              <w:top w:val="nil"/>
              <w:left w:val="nil"/>
              <w:bottom w:val="single" w:sz="4" w:space="0" w:color="auto"/>
              <w:right w:val="single" w:sz="4" w:space="0" w:color="auto"/>
            </w:tcBorders>
            <w:shd w:val="clear" w:color="auto" w:fill="auto"/>
            <w:hideMark/>
          </w:tcPr>
          <w:p w14:paraId="092B0E54" w14:textId="77777777" w:rsidR="00E1515B" w:rsidRPr="00D95D1D" w:rsidRDefault="00E1515B" w:rsidP="00E1515B">
            <w:pPr>
              <w:jc w:val="center"/>
              <w:rPr>
                <w:rFonts w:ascii="Times New Roman" w:hAnsi="Times New Roman" w:cs="Times New Roman"/>
                <w:b/>
                <w:bCs/>
                <w:color w:val="000000"/>
              </w:rPr>
            </w:pPr>
            <w:r w:rsidRPr="00D95D1D">
              <w:rPr>
                <w:rFonts w:ascii="Times New Roman" w:hAnsi="Times New Roman" w:cs="Times New Roman"/>
                <w:b/>
                <w:bCs/>
                <w:color w:val="000000"/>
              </w:rPr>
              <w:t xml:space="preserve">3 911 583  </w:t>
            </w:r>
          </w:p>
        </w:tc>
        <w:tc>
          <w:tcPr>
            <w:tcW w:w="1418" w:type="dxa"/>
            <w:tcBorders>
              <w:top w:val="nil"/>
              <w:left w:val="nil"/>
              <w:bottom w:val="single" w:sz="4" w:space="0" w:color="auto"/>
              <w:right w:val="single" w:sz="4" w:space="0" w:color="auto"/>
            </w:tcBorders>
            <w:shd w:val="clear" w:color="auto" w:fill="auto"/>
            <w:hideMark/>
          </w:tcPr>
          <w:p w14:paraId="53D16DC7" w14:textId="77777777" w:rsidR="00E1515B" w:rsidRPr="00D95D1D" w:rsidRDefault="00E1515B" w:rsidP="00E1515B">
            <w:pPr>
              <w:jc w:val="center"/>
              <w:rPr>
                <w:rFonts w:ascii="Times New Roman" w:hAnsi="Times New Roman" w:cs="Times New Roman"/>
                <w:b/>
                <w:bCs/>
                <w:color w:val="000000"/>
              </w:rPr>
            </w:pPr>
            <w:r w:rsidRPr="00D95D1D">
              <w:rPr>
                <w:rFonts w:ascii="Times New Roman" w:hAnsi="Times New Roman" w:cs="Times New Roman"/>
                <w:b/>
                <w:bCs/>
                <w:color w:val="000000"/>
              </w:rPr>
              <w:t xml:space="preserve">2 543 722  </w:t>
            </w:r>
          </w:p>
        </w:tc>
      </w:tr>
    </w:tbl>
    <w:p w14:paraId="10358D30" w14:textId="77777777" w:rsidR="00E1515B" w:rsidRPr="00E1515B" w:rsidRDefault="00E1515B" w:rsidP="00E1515B">
      <w:pPr>
        <w:spacing w:line="360" w:lineRule="auto"/>
        <w:contextualSpacing/>
        <w:jc w:val="both"/>
        <w:rPr>
          <w:rFonts w:ascii="Times New Roman" w:eastAsia="Calibri" w:hAnsi="Times New Roman" w:cs="Times New Roman"/>
          <w:sz w:val="28"/>
          <w:szCs w:val="28"/>
          <w:lang w:eastAsia="en-US"/>
        </w:rPr>
      </w:pPr>
    </w:p>
    <w:p w14:paraId="6502AC27" w14:textId="3B201BF6" w:rsidR="00A437A7" w:rsidRDefault="00A437A7" w:rsidP="00B51BA4">
      <w:pPr>
        <w:spacing w:line="360" w:lineRule="auto"/>
        <w:ind w:firstLine="709"/>
        <w:contextualSpacing/>
        <w:jc w:val="both"/>
        <w:rPr>
          <w:rFonts w:ascii="Times New Roman" w:eastAsia="Calibri" w:hAnsi="Times New Roman" w:cs="Times New Roman"/>
          <w:sz w:val="28"/>
          <w:szCs w:val="28"/>
          <w:lang w:eastAsia="en-US"/>
        </w:rPr>
      </w:pPr>
      <w:r w:rsidRPr="00E1515B">
        <w:rPr>
          <w:rFonts w:ascii="Times New Roman" w:eastAsia="Calibri" w:hAnsi="Times New Roman" w:cs="Times New Roman"/>
          <w:sz w:val="28"/>
          <w:szCs w:val="28"/>
          <w:lang w:eastAsia="en-US"/>
        </w:rPr>
        <w:t xml:space="preserve">Необходимо также обратить внимание на устойчивую негативную динамику показателя чистого кредитования, что характеризует большие </w:t>
      </w:r>
      <w:r w:rsidRPr="00E1515B">
        <w:rPr>
          <w:rFonts w:ascii="Times New Roman" w:eastAsia="Calibri" w:hAnsi="Times New Roman" w:cs="Times New Roman"/>
          <w:sz w:val="28"/>
          <w:szCs w:val="28"/>
          <w:lang w:eastAsia="en-US"/>
        </w:rPr>
        <w:lastRenderedPageBreak/>
        <w:t>темпы сокращения собственных активов у населения, размещаемых в форме различных видов обязательств в виде денежных сбережений, инвестиций, имущественных и других видов вложений и создает угрозу стремительного ухудшения финансового и материального благополучия населения. В то же время, сфо</w:t>
      </w:r>
      <w:r>
        <w:rPr>
          <w:rFonts w:ascii="Times New Roman" w:eastAsia="Calibri" w:hAnsi="Times New Roman" w:cs="Times New Roman"/>
          <w:sz w:val="28"/>
          <w:szCs w:val="28"/>
          <w:lang w:eastAsia="en-US"/>
        </w:rPr>
        <w:t>рмировавшиеся за последние 10-</w:t>
      </w:r>
      <w:r w:rsidRPr="00E1515B">
        <w:rPr>
          <w:rFonts w:ascii="Times New Roman" w:eastAsia="Calibri" w:hAnsi="Times New Roman" w:cs="Times New Roman"/>
          <w:sz w:val="28"/>
          <w:szCs w:val="28"/>
          <w:lang w:eastAsia="en-US"/>
        </w:rPr>
        <w:t>15 лет потребительские предпочтения и типы поведения населения становится все труднее удовлетворять сложившимся в последние годы уровнем зарплат, что также является фактором, побуждающим значительную часть домохозяйств прибегать к различным типам кредитов и займов.</w:t>
      </w:r>
      <w:r>
        <w:rPr>
          <w:rFonts w:ascii="Times New Roman" w:eastAsia="Calibri" w:hAnsi="Times New Roman" w:cs="Times New Roman"/>
          <w:sz w:val="28"/>
          <w:szCs w:val="28"/>
          <w:lang w:eastAsia="en-US"/>
        </w:rPr>
        <w:t xml:space="preserve"> </w:t>
      </w:r>
    </w:p>
    <w:p w14:paraId="41EBA653" w14:textId="32933115" w:rsidR="00E1515B" w:rsidRPr="00DC4243" w:rsidRDefault="00E1515B" w:rsidP="00B51BA4">
      <w:pPr>
        <w:spacing w:line="360" w:lineRule="auto"/>
        <w:ind w:firstLine="709"/>
        <w:contextualSpacing/>
        <w:jc w:val="both"/>
        <w:rPr>
          <w:rFonts w:ascii="Times New Roman" w:eastAsia="Calibri" w:hAnsi="Times New Roman" w:cs="Times New Roman"/>
          <w:sz w:val="28"/>
          <w:szCs w:val="28"/>
          <w:lang w:eastAsia="en-US"/>
        </w:rPr>
      </w:pPr>
      <w:proofErr w:type="gramStart"/>
      <w:r w:rsidRPr="00DC4243">
        <w:rPr>
          <w:rFonts w:ascii="Times New Roman" w:eastAsia="Calibri" w:hAnsi="Times New Roman" w:cs="Times New Roman"/>
          <w:sz w:val="28"/>
          <w:szCs w:val="28"/>
          <w:lang w:eastAsia="en-US"/>
        </w:rPr>
        <w:t xml:space="preserve">В </w:t>
      </w:r>
      <w:r w:rsidR="00B51BA4" w:rsidRPr="00DC4243">
        <w:rPr>
          <w:rFonts w:ascii="Times New Roman" w:eastAsia="Calibri" w:hAnsi="Times New Roman" w:cs="Times New Roman"/>
          <w:sz w:val="28"/>
          <w:szCs w:val="28"/>
          <w:lang w:eastAsia="en-US"/>
        </w:rPr>
        <w:t xml:space="preserve">этих </w:t>
      </w:r>
      <w:r w:rsidRPr="00DC4243">
        <w:rPr>
          <w:rFonts w:ascii="Times New Roman" w:eastAsia="Calibri" w:hAnsi="Times New Roman" w:cs="Times New Roman"/>
          <w:sz w:val="28"/>
          <w:szCs w:val="28"/>
          <w:lang w:eastAsia="en-US"/>
        </w:rPr>
        <w:t xml:space="preserve">условиях </w:t>
      </w:r>
      <w:r w:rsidR="000A3CCE" w:rsidRPr="00DC4243">
        <w:rPr>
          <w:rFonts w:ascii="Times New Roman" w:eastAsia="Calibri" w:hAnsi="Times New Roman" w:cs="Times New Roman"/>
          <w:sz w:val="28"/>
          <w:szCs w:val="28"/>
          <w:lang w:eastAsia="en-US"/>
        </w:rPr>
        <w:t xml:space="preserve">сокращаются возможности увеличения инвестиций  как основы устойчивого экономического роста, что ставит под сомнение </w:t>
      </w:r>
      <w:r w:rsidR="00DC4243" w:rsidRPr="00DC4243">
        <w:rPr>
          <w:rFonts w:ascii="Times New Roman" w:eastAsia="Calibri" w:hAnsi="Times New Roman" w:cs="Times New Roman"/>
          <w:sz w:val="28"/>
          <w:szCs w:val="28"/>
          <w:lang w:eastAsia="en-US"/>
        </w:rPr>
        <w:t xml:space="preserve">обоснованность </w:t>
      </w:r>
      <w:r w:rsidR="000A3CCE" w:rsidRPr="00DC4243">
        <w:rPr>
          <w:rFonts w:ascii="Times New Roman" w:eastAsia="Calibri" w:hAnsi="Times New Roman" w:cs="Times New Roman"/>
          <w:sz w:val="28"/>
          <w:szCs w:val="28"/>
          <w:lang w:eastAsia="en-US"/>
        </w:rPr>
        <w:t>заложенн</w:t>
      </w:r>
      <w:r w:rsidR="00DC4243" w:rsidRPr="00DC4243">
        <w:rPr>
          <w:rFonts w:ascii="Times New Roman" w:eastAsia="Calibri" w:hAnsi="Times New Roman" w:cs="Times New Roman"/>
          <w:sz w:val="28"/>
          <w:szCs w:val="28"/>
          <w:lang w:eastAsia="en-US"/>
        </w:rPr>
        <w:t>ого</w:t>
      </w:r>
      <w:r w:rsidR="000A3CCE" w:rsidRPr="00DC4243">
        <w:rPr>
          <w:rFonts w:ascii="Times New Roman" w:eastAsia="Calibri" w:hAnsi="Times New Roman" w:cs="Times New Roman"/>
          <w:sz w:val="28"/>
          <w:szCs w:val="28"/>
          <w:lang w:eastAsia="en-US"/>
        </w:rPr>
        <w:t xml:space="preserve"> в </w:t>
      </w:r>
      <w:r w:rsidR="00DC4243" w:rsidRPr="00DC4243">
        <w:rPr>
          <w:rFonts w:ascii="Times New Roman" w:eastAsia="Calibri" w:hAnsi="Times New Roman" w:cs="Times New Roman"/>
          <w:sz w:val="28"/>
          <w:szCs w:val="28"/>
          <w:lang w:eastAsia="en-US"/>
        </w:rPr>
        <w:t xml:space="preserve">базовом сценарии </w:t>
      </w:r>
      <w:r w:rsidR="000A3CCE" w:rsidRPr="00DC4243">
        <w:rPr>
          <w:rFonts w:ascii="Times New Roman" w:eastAsia="Calibri" w:hAnsi="Times New Roman" w:cs="Times New Roman"/>
          <w:sz w:val="28"/>
          <w:szCs w:val="28"/>
          <w:lang w:eastAsia="en-US"/>
        </w:rPr>
        <w:t>прогноз</w:t>
      </w:r>
      <w:r w:rsidR="00DC4243" w:rsidRPr="00DC4243">
        <w:rPr>
          <w:rFonts w:ascii="Times New Roman" w:eastAsia="Calibri" w:hAnsi="Times New Roman" w:cs="Times New Roman"/>
          <w:sz w:val="28"/>
          <w:szCs w:val="28"/>
          <w:lang w:eastAsia="en-US"/>
        </w:rPr>
        <w:t>а</w:t>
      </w:r>
      <w:r w:rsidR="000A3CCE" w:rsidRPr="00DC4243">
        <w:rPr>
          <w:rFonts w:ascii="Times New Roman" w:eastAsia="Calibri" w:hAnsi="Times New Roman" w:cs="Times New Roman"/>
          <w:sz w:val="28"/>
          <w:szCs w:val="28"/>
          <w:lang w:eastAsia="en-US"/>
        </w:rPr>
        <w:t xml:space="preserve"> социально-экономического развития Российской Федерации </w:t>
      </w:r>
      <w:r w:rsidR="00DC4243" w:rsidRPr="00DC4243">
        <w:rPr>
          <w:rFonts w:ascii="Times New Roman" w:hAnsi="Times New Roman" w:cs="Times New Roman"/>
          <w:sz w:val="28"/>
          <w:szCs w:val="28"/>
        </w:rPr>
        <w:t>ускорения темпов роста ВВП с 1,3% в текущем году до 1,7% в 2020 году в связи с предполагаемым расширении инвестиционного спроса до 5,8%</w:t>
      </w:r>
      <w:r w:rsidR="000A3CCE" w:rsidRPr="00DC4243">
        <w:rPr>
          <w:rFonts w:ascii="Times New Roman" w:eastAsia="Calibri" w:hAnsi="Times New Roman" w:cs="Times New Roman"/>
          <w:sz w:val="28"/>
          <w:szCs w:val="28"/>
          <w:lang w:eastAsia="en-US"/>
        </w:rPr>
        <w:t xml:space="preserve"> </w:t>
      </w:r>
      <w:r w:rsidRPr="00DC4243">
        <w:rPr>
          <w:rFonts w:ascii="Times New Roman" w:eastAsia="Calibri" w:hAnsi="Times New Roman" w:cs="Times New Roman"/>
          <w:sz w:val="28"/>
          <w:szCs w:val="28"/>
          <w:lang w:eastAsia="en-US"/>
        </w:rPr>
        <w:t>.</w:t>
      </w:r>
      <w:proofErr w:type="gramEnd"/>
    </w:p>
    <w:p w14:paraId="0858A089" w14:textId="77777777" w:rsidR="00E1515B" w:rsidRPr="00E1515B" w:rsidRDefault="00E1515B" w:rsidP="00E1515B">
      <w:pPr>
        <w:autoSpaceDE w:val="0"/>
        <w:autoSpaceDN w:val="0"/>
        <w:adjustRightInd w:val="0"/>
        <w:spacing w:line="336" w:lineRule="auto"/>
        <w:ind w:firstLine="709"/>
        <w:jc w:val="both"/>
        <w:rPr>
          <w:rFonts w:ascii="Times New Roman" w:hAnsi="Times New Roman" w:cs="Times New Roman"/>
          <w:color w:val="000000"/>
          <w:sz w:val="28"/>
          <w:szCs w:val="28"/>
        </w:rPr>
      </w:pPr>
    </w:p>
    <w:p w14:paraId="437790D7" w14:textId="7DD07CFD" w:rsidR="00E1515B" w:rsidRDefault="0045386E" w:rsidP="0045386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Оценка параметров федерального бюджета по </w:t>
      </w:r>
      <w:r w:rsidR="00E1515B" w:rsidRPr="00E1515B">
        <w:rPr>
          <w:rFonts w:ascii="Times New Roman" w:hAnsi="Times New Roman" w:cs="Times New Roman"/>
          <w:b/>
          <w:sz w:val="28"/>
          <w:szCs w:val="28"/>
        </w:rPr>
        <w:t xml:space="preserve"> доход</w:t>
      </w:r>
      <w:r>
        <w:rPr>
          <w:rFonts w:ascii="Times New Roman" w:hAnsi="Times New Roman" w:cs="Times New Roman"/>
          <w:b/>
          <w:sz w:val="28"/>
          <w:szCs w:val="28"/>
        </w:rPr>
        <w:t>ам</w:t>
      </w:r>
    </w:p>
    <w:p w14:paraId="425801F4" w14:textId="77777777" w:rsidR="0045386E" w:rsidRPr="0045386E" w:rsidRDefault="0045386E" w:rsidP="0045386E">
      <w:pPr>
        <w:spacing w:line="360" w:lineRule="auto"/>
        <w:jc w:val="center"/>
        <w:rPr>
          <w:rFonts w:ascii="Times New Roman" w:hAnsi="Times New Roman" w:cs="Times New Roman"/>
          <w:b/>
          <w:sz w:val="28"/>
          <w:szCs w:val="28"/>
        </w:rPr>
      </w:pPr>
    </w:p>
    <w:p w14:paraId="7A170879" w14:textId="6EB8E994" w:rsidR="00E1515B" w:rsidRPr="00E1515B" w:rsidRDefault="00E1515B" w:rsidP="0045386E">
      <w:pPr>
        <w:pStyle w:val="Body1"/>
        <w:spacing w:line="360" w:lineRule="auto"/>
        <w:ind w:firstLine="709"/>
        <w:jc w:val="both"/>
        <w:outlineLvl w:val="9"/>
        <w:rPr>
          <w:sz w:val="28"/>
          <w:szCs w:val="28"/>
        </w:rPr>
      </w:pPr>
      <w:r w:rsidRPr="00E1515B">
        <w:rPr>
          <w:sz w:val="28"/>
          <w:szCs w:val="28"/>
        </w:rPr>
        <w:t xml:space="preserve">Анализ </w:t>
      </w:r>
      <w:r w:rsidR="0045386E" w:rsidRPr="00E1515B">
        <w:rPr>
          <w:sz w:val="28"/>
          <w:szCs w:val="28"/>
        </w:rPr>
        <w:t>проект</w:t>
      </w:r>
      <w:r w:rsidR="0045386E">
        <w:rPr>
          <w:sz w:val="28"/>
          <w:szCs w:val="28"/>
        </w:rPr>
        <w:t>а</w:t>
      </w:r>
      <w:r w:rsidR="0045386E" w:rsidRPr="00E1515B">
        <w:rPr>
          <w:sz w:val="28"/>
          <w:szCs w:val="28"/>
        </w:rPr>
        <w:t xml:space="preserve"> федерального закона № 802503-7</w:t>
      </w:r>
      <w:r w:rsidR="0045386E">
        <w:rPr>
          <w:sz w:val="28"/>
          <w:szCs w:val="28"/>
        </w:rPr>
        <w:t xml:space="preserve"> </w:t>
      </w:r>
      <w:r w:rsidR="0045386E" w:rsidRPr="00E1515B">
        <w:rPr>
          <w:sz w:val="28"/>
          <w:szCs w:val="28"/>
        </w:rPr>
        <w:t>«О федеральном бюджете на 2020 год и плановый период 2021 и 2022 годов»</w:t>
      </w:r>
      <w:r w:rsidRPr="00E1515B">
        <w:rPr>
          <w:bCs/>
          <w:spacing w:val="2"/>
          <w:sz w:val="28"/>
          <w:szCs w:val="28"/>
        </w:rPr>
        <w:t xml:space="preserve"> </w:t>
      </w:r>
      <w:r w:rsidRPr="00E1515B">
        <w:rPr>
          <w:sz w:val="28"/>
          <w:szCs w:val="28"/>
        </w:rPr>
        <w:t xml:space="preserve">и материалов, внесенных </w:t>
      </w:r>
      <w:r w:rsidR="0045386E">
        <w:rPr>
          <w:sz w:val="28"/>
          <w:szCs w:val="28"/>
        </w:rPr>
        <w:t xml:space="preserve">с законопроектом </w:t>
      </w:r>
      <w:r w:rsidRPr="00E1515B">
        <w:rPr>
          <w:sz w:val="28"/>
          <w:szCs w:val="28"/>
        </w:rPr>
        <w:t>в Государственную Думу</w:t>
      </w:r>
      <w:r w:rsidR="0045386E">
        <w:rPr>
          <w:sz w:val="28"/>
          <w:szCs w:val="28"/>
        </w:rPr>
        <w:t xml:space="preserve"> Федерального Собрания Российской Федерации</w:t>
      </w:r>
      <w:r w:rsidRPr="00E1515B">
        <w:rPr>
          <w:sz w:val="28"/>
          <w:szCs w:val="28"/>
        </w:rPr>
        <w:t xml:space="preserve">, позволяет сделать следующие выводы: </w:t>
      </w:r>
    </w:p>
    <w:p w14:paraId="67EA69F8" w14:textId="0E8554CE" w:rsidR="00E1515B" w:rsidRPr="00E1515B" w:rsidRDefault="00E1515B" w:rsidP="0045386E">
      <w:pPr>
        <w:spacing w:line="360" w:lineRule="auto"/>
        <w:ind w:firstLine="709"/>
        <w:jc w:val="both"/>
        <w:rPr>
          <w:rFonts w:ascii="Times New Roman" w:hAnsi="Times New Roman" w:cs="Times New Roman"/>
          <w:sz w:val="28"/>
          <w:szCs w:val="28"/>
        </w:rPr>
      </w:pPr>
      <w:r w:rsidRPr="00E1515B">
        <w:rPr>
          <w:rFonts w:ascii="Times New Roman" w:hAnsi="Times New Roman" w:cs="Times New Roman"/>
          <w:sz w:val="28"/>
          <w:szCs w:val="28"/>
        </w:rPr>
        <w:t xml:space="preserve">1. Бюджетная политика, основанная  на принципах, заложенных в «бюджетных правилах»,  гарантия стабильности и предсказуемости налоговых условий в средне- и долгосрочной перспективе свидетельствуют о </w:t>
      </w:r>
      <w:r w:rsidR="0045386E">
        <w:rPr>
          <w:rFonts w:ascii="Times New Roman" w:hAnsi="Times New Roman" w:cs="Times New Roman"/>
          <w:sz w:val="28"/>
          <w:szCs w:val="28"/>
        </w:rPr>
        <w:t>стабильн</w:t>
      </w:r>
      <w:r w:rsidRPr="00E1515B">
        <w:rPr>
          <w:rFonts w:ascii="Times New Roman" w:hAnsi="Times New Roman" w:cs="Times New Roman"/>
          <w:sz w:val="28"/>
          <w:szCs w:val="28"/>
        </w:rPr>
        <w:t xml:space="preserve">ости </w:t>
      </w:r>
      <w:r w:rsidR="0045386E">
        <w:rPr>
          <w:rFonts w:ascii="Times New Roman" w:hAnsi="Times New Roman" w:cs="Times New Roman"/>
          <w:sz w:val="28"/>
          <w:szCs w:val="28"/>
        </w:rPr>
        <w:t>бюджетно</w:t>
      </w:r>
      <w:r w:rsidRPr="00E1515B">
        <w:rPr>
          <w:rFonts w:ascii="Times New Roman" w:hAnsi="Times New Roman" w:cs="Times New Roman"/>
          <w:sz w:val="28"/>
          <w:szCs w:val="28"/>
        </w:rPr>
        <w:t>й</w:t>
      </w:r>
      <w:r w:rsidR="0045386E">
        <w:rPr>
          <w:rFonts w:ascii="Times New Roman" w:hAnsi="Times New Roman" w:cs="Times New Roman"/>
          <w:sz w:val="28"/>
          <w:szCs w:val="28"/>
        </w:rPr>
        <w:t xml:space="preserve"> политики</w:t>
      </w:r>
      <w:r w:rsidRPr="00E1515B">
        <w:rPr>
          <w:rFonts w:ascii="Times New Roman" w:hAnsi="Times New Roman" w:cs="Times New Roman"/>
          <w:sz w:val="28"/>
          <w:szCs w:val="28"/>
        </w:rPr>
        <w:t>, создании прозрачной системы неналоговых платежей, изменении налогового законодательства с целью обеспечения безусловного исполнения социальных обязательств</w:t>
      </w:r>
      <w:r w:rsidR="0045386E">
        <w:rPr>
          <w:rFonts w:ascii="Times New Roman" w:hAnsi="Times New Roman" w:cs="Times New Roman"/>
          <w:sz w:val="28"/>
          <w:szCs w:val="28"/>
        </w:rPr>
        <w:t xml:space="preserve"> государства </w:t>
      </w:r>
      <w:r w:rsidRPr="00E1515B">
        <w:rPr>
          <w:rFonts w:ascii="Times New Roman" w:hAnsi="Times New Roman" w:cs="Times New Roman"/>
          <w:sz w:val="28"/>
          <w:szCs w:val="28"/>
        </w:rPr>
        <w:t xml:space="preserve"> и формирования ресурсов для достижения </w:t>
      </w:r>
      <w:r w:rsidR="0045386E">
        <w:rPr>
          <w:rFonts w:ascii="Times New Roman" w:hAnsi="Times New Roman" w:cs="Times New Roman"/>
          <w:sz w:val="28"/>
          <w:szCs w:val="28"/>
        </w:rPr>
        <w:t>стратегически</w:t>
      </w:r>
      <w:r w:rsidRPr="00E1515B">
        <w:rPr>
          <w:rFonts w:ascii="Times New Roman" w:hAnsi="Times New Roman" w:cs="Times New Roman"/>
          <w:sz w:val="28"/>
          <w:szCs w:val="28"/>
        </w:rPr>
        <w:t>х целей развития</w:t>
      </w:r>
      <w:r w:rsidR="0045386E">
        <w:rPr>
          <w:rFonts w:ascii="Times New Roman" w:hAnsi="Times New Roman" w:cs="Times New Roman"/>
          <w:sz w:val="28"/>
          <w:szCs w:val="28"/>
        </w:rPr>
        <w:t xml:space="preserve"> страны</w:t>
      </w:r>
      <w:r w:rsidRPr="00E1515B">
        <w:rPr>
          <w:rFonts w:ascii="Times New Roman" w:hAnsi="Times New Roman" w:cs="Times New Roman"/>
          <w:sz w:val="28"/>
          <w:szCs w:val="28"/>
        </w:rPr>
        <w:t>.</w:t>
      </w:r>
    </w:p>
    <w:p w14:paraId="26F03E97" w14:textId="729F547E" w:rsidR="00E1515B" w:rsidRPr="00E1515B" w:rsidRDefault="0045386E" w:rsidP="00E151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E1515B" w:rsidRPr="00E1515B">
        <w:rPr>
          <w:rFonts w:ascii="Times New Roman" w:hAnsi="Times New Roman" w:cs="Times New Roman"/>
          <w:sz w:val="28"/>
          <w:szCs w:val="28"/>
        </w:rPr>
        <w:t>. Изменения в налоговом законодательстве (отмена налога на движимое имущество, завершение нефтегазового налогового маневра, введение налога на дополнительный доход в нефтяной отрасли, ускорение возмещения НДС экспортерам за счет снижения пороговых значений, унификация ставок акцизов и другие меры) направлены на стимулирование инвестиционной активности.</w:t>
      </w:r>
    </w:p>
    <w:p w14:paraId="699DE51E" w14:textId="03C8B7D3" w:rsidR="00E1515B" w:rsidRPr="00E1515B" w:rsidRDefault="0045386E" w:rsidP="00E151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1515B" w:rsidRPr="00E1515B">
        <w:rPr>
          <w:rFonts w:ascii="Times New Roman" w:hAnsi="Times New Roman" w:cs="Times New Roman"/>
          <w:sz w:val="28"/>
          <w:szCs w:val="28"/>
        </w:rPr>
        <w:t xml:space="preserve">. Введение налогового режима для </w:t>
      </w:r>
      <w:proofErr w:type="spellStart"/>
      <w:r w:rsidR="00E1515B" w:rsidRPr="00E1515B">
        <w:rPr>
          <w:rFonts w:ascii="Times New Roman" w:hAnsi="Times New Roman" w:cs="Times New Roman"/>
          <w:sz w:val="28"/>
          <w:szCs w:val="28"/>
        </w:rPr>
        <w:t>самозанятых</w:t>
      </w:r>
      <w:proofErr w:type="spellEnd"/>
      <w:r w:rsidR="00E1515B" w:rsidRPr="00E1515B">
        <w:rPr>
          <w:rFonts w:ascii="Times New Roman" w:hAnsi="Times New Roman" w:cs="Times New Roman"/>
          <w:sz w:val="28"/>
          <w:szCs w:val="28"/>
        </w:rPr>
        <w:t xml:space="preserve"> – налога на профессиональный доход, формирование единого информационного пространства администрирования доходов, создание комфортных условий для добровольной и своевременной уплаты налогов и других платежей характеризуют формирование справедливой конкурентной среды и направлены на сокращение теневого сектора и дополнительные поступления в бюджетную систему РФ.</w:t>
      </w:r>
    </w:p>
    <w:p w14:paraId="62FC4ADE" w14:textId="074EF306" w:rsidR="00E1515B" w:rsidRPr="00D022D8" w:rsidRDefault="0045386E" w:rsidP="00D022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1515B" w:rsidRPr="00E1515B">
        <w:rPr>
          <w:rFonts w:ascii="Times New Roman" w:hAnsi="Times New Roman" w:cs="Times New Roman"/>
          <w:sz w:val="28"/>
          <w:szCs w:val="28"/>
        </w:rPr>
        <w:t xml:space="preserve">. Мероприятия государственных программ и их вклад в достижение национальных целей развития в соответствии с Единым планом по достижению национальных целей развития на период до 2024 года в части налоговых мер связаны с дополнительными мерами поддержки налогоплательщиков по применению специальных налоговых режимов, </w:t>
      </w:r>
      <w:r w:rsidR="00386D4C">
        <w:rPr>
          <w:rFonts w:ascii="Times New Roman" w:hAnsi="Times New Roman" w:cs="Times New Roman"/>
          <w:sz w:val="28"/>
          <w:szCs w:val="28"/>
        </w:rPr>
        <w:t xml:space="preserve">обеспечения </w:t>
      </w:r>
      <w:r w:rsidR="00E1515B" w:rsidRPr="00E1515B">
        <w:rPr>
          <w:rFonts w:ascii="Times New Roman" w:hAnsi="Times New Roman" w:cs="Times New Roman"/>
          <w:sz w:val="28"/>
          <w:szCs w:val="28"/>
        </w:rPr>
        <w:t>устойчив</w:t>
      </w:r>
      <w:r w:rsidR="00386D4C">
        <w:rPr>
          <w:rFonts w:ascii="Times New Roman" w:hAnsi="Times New Roman" w:cs="Times New Roman"/>
          <w:sz w:val="28"/>
          <w:szCs w:val="28"/>
        </w:rPr>
        <w:t>ого</w:t>
      </w:r>
      <w:r w:rsidR="00E1515B" w:rsidRPr="00E1515B">
        <w:rPr>
          <w:rFonts w:ascii="Times New Roman" w:hAnsi="Times New Roman" w:cs="Times New Roman"/>
          <w:sz w:val="28"/>
          <w:szCs w:val="28"/>
        </w:rPr>
        <w:t xml:space="preserve"> рост</w:t>
      </w:r>
      <w:r w:rsidR="00386D4C">
        <w:rPr>
          <w:rFonts w:ascii="Times New Roman" w:hAnsi="Times New Roman" w:cs="Times New Roman"/>
          <w:sz w:val="28"/>
          <w:szCs w:val="28"/>
        </w:rPr>
        <w:t>а</w:t>
      </w:r>
      <w:r w:rsidR="00E1515B" w:rsidRPr="00E1515B">
        <w:rPr>
          <w:rFonts w:ascii="Times New Roman" w:hAnsi="Times New Roman" w:cs="Times New Roman"/>
          <w:sz w:val="28"/>
          <w:szCs w:val="28"/>
        </w:rPr>
        <w:t xml:space="preserve"> реальных доходов граждан и снижени</w:t>
      </w:r>
      <w:r w:rsidR="00386D4C">
        <w:rPr>
          <w:rFonts w:ascii="Times New Roman" w:hAnsi="Times New Roman" w:cs="Times New Roman"/>
          <w:sz w:val="28"/>
          <w:szCs w:val="28"/>
        </w:rPr>
        <w:t>я</w:t>
      </w:r>
      <w:r w:rsidR="00E1515B" w:rsidRPr="00E1515B">
        <w:rPr>
          <w:rFonts w:ascii="Times New Roman" w:hAnsi="Times New Roman" w:cs="Times New Roman"/>
          <w:sz w:val="28"/>
          <w:szCs w:val="28"/>
        </w:rPr>
        <w:t xml:space="preserve"> бедности в условиях сохранении инфляции на низком уровне. </w:t>
      </w:r>
    </w:p>
    <w:p w14:paraId="03D10476" w14:textId="00F8BF55" w:rsidR="00E1515B" w:rsidRPr="00E1515B" w:rsidRDefault="00E1515B" w:rsidP="00E1515B">
      <w:pPr>
        <w:spacing w:line="360" w:lineRule="auto"/>
        <w:ind w:firstLine="709"/>
        <w:jc w:val="both"/>
        <w:rPr>
          <w:rFonts w:ascii="Times New Roman" w:hAnsi="Times New Roman" w:cs="Times New Roman"/>
          <w:sz w:val="28"/>
          <w:szCs w:val="28"/>
        </w:rPr>
      </w:pPr>
      <w:r w:rsidRPr="00E1515B">
        <w:rPr>
          <w:rFonts w:ascii="Times New Roman" w:hAnsi="Times New Roman" w:cs="Times New Roman"/>
          <w:sz w:val="28"/>
          <w:szCs w:val="28"/>
        </w:rPr>
        <w:t xml:space="preserve">Прогноз доходов по основным налоговым доходам бюджетов бюджетной системы Российской Федерации построен исходя из динамики экономических показателей, заложенных в прогнозе социально-экономического развития Российской Федерации до 2036 года, а также с учетом сложившейся структуры налоговых баз и среднесрочной динамики ряда объемных показателей (в том числе в части объема и структуры импорта), заложенных в прогнозе социально-экономического развития </w:t>
      </w:r>
      <w:r w:rsidR="00386D4C">
        <w:rPr>
          <w:rFonts w:ascii="Times New Roman" w:hAnsi="Times New Roman" w:cs="Times New Roman"/>
          <w:sz w:val="28"/>
          <w:szCs w:val="28"/>
        </w:rPr>
        <w:t xml:space="preserve">Российской Федерации </w:t>
      </w:r>
      <w:r w:rsidRPr="00E1515B">
        <w:rPr>
          <w:rFonts w:ascii="Times New Roman" w:hAnsi="Times New Roman" w:cs="Times New Roman"/>
          <w:sz w:val="28"/>
          <w:szCs w:val="28"/>
        </w:rPr>
        <w:t>на период до 202</w:t>
      </w:r>
      <w:r w:rsidR="00386D4C">
        <w:rPr>
          <w:rFonts w:ascii="Times New Roman" w:hAnsi="Times New Roman" w:cs="Times New Roman"/>
          <w:sz w:val="28"/>
          <w:szCs w:val="28"/>
        </w:rPr>
        <w:t>2 года</w:t>
      </w:r>
      <w:r w:rsidRPr="00E1515B">
        <w:rPr>
          <w:rFonts w:ascii="Times New Roman" w:hAnsi="Times New Roman" w:cs="Times New Roman"/>
          <w:sz w:val="28"/>
          <w:szCs w:val="28"/>
        </w:rPr>
        <w:t>.</w:t>
      </w:r>
    </w:p>
    <w:p w14:paraId="6EC7A5C9" w14:textId="77777777" w:rsidR="00D022D8" w:rsidRDefault="00D022D8" w:rsidP="00E1515B">
      <w:pPr>
        <w:autoSpaceDE w:val="0"/>
        <w:autoSpaceDN w:val="0"/>
        <w:adjustRightInd w:val="0"/>
        <w:spacing w:line="360" w:lineRule="auto"/>
        <w:ind w:firstLine="709"/>
        <w:jc w:val="both"/>
        <w:rPr>
          <w:rFonts w:ascii="Times New Roman" w:hAnsi="Times New Roman" w:cs="Times New Roman"/>
          <w:snapToGrid w:val="0"/>
          <w:sz w:val="28"/>
          <w:szCs w:val="28"/>
        </w:rPr>
      </w:pPr>
      <w:r w:rsidRPr="00E1515B">
        <w:rPr>
          <w:rFonts w:ascii="Times New Roman" w:hAnsi="Times New Roman" w:cs="Times New Roman"/>
          <w:sz w:val="28"/>
          <w:szCs w:val="28"/>
        </w:rPr>
        <w:t>При прогнозировании доходов бюджетов бюджетной системы Российской Федерации</w:t>
      </w:r>
      <w:r w:rsidRPr="00E1515B">
        <w:rPr>
          <w:rFonts w:ascii="Times New Roman" w:hAnsi="Times New Roman" w:cs="Times New Roman"/>
          <w:bCs/>
          <w:sz w:val="28"/>
          <w:szCs w:val="28"/>
        </w:rPr>
        <w:t xml:space="preserve"> </w:t>
      </w:r>
      <w:r w:rsidRPr="00E1515B">
        <w:rPr>
          <w:rFonts w:ascii="Times New Roman" w:hAnsi="Times New Roman" w:cs="Times New Roman"/>
          <w:sz w:val="28"/>
          <w:szCs w:val="28"/>
        </w:rPr>
        <w:t xml:space="preserve">учитывались изменения законодательства </w:t>
      </w:r>
      <w:r w:rsidRPr="00E1515B">
        <w:rPr>
          <w:rFonts w:ascii="Times New Roman" w:hAnsi="Times New Roman" w:cs="Times New Roman"/>
          <w:sz w:val="28"/>
          <w:szCs w:val="28"/>
        </w:rPr>
        <w:lastRenderedPageBreak/>
        <w:t>Российской Федерации и нормативных правовых актов Правительства Российской Федерации, введенные в действие с 1 января 2019 г.</w:t>
      </w:r>
      <w:r>
        <w:rPr>
          <w:rStyle w:val="a5"/>
          <w:rFonts w:ascii="Times New Roman" w:hAnsi="Times New Roman" w:cs="Times New Roman"/>
          <w:sz w:val="28"/>
          <w:szCs w:val="28"/>
        </w:rPr>
        <w:footnoteReference w:id="5"/>
      </w:r>
      <w:r w:rsidRPr="00E1515B">
        <w:rPr>
          <w:rFonts w:ascii="Times New Roman" w:hAnsi="Times New Roman" w:cs="Times New Roman"/>
          <w:sz w:val="28"/>
          <w:szCs w:val="28"/>
        </w:rPr>
        <w:t xml:space="preserve">, </w:t>
      </w:r>
      <w:r>
        <w:rPr>
          <w:rFonts w:ascii="Times New Roman" w:hAnsi="Times New Roman" w:cs="Times New Roman"/>
          <w:sz w:val="28"/>
          <w:szCs w:val="28"/>
        </w:rPr>
        <w:t>а также</w:t>
      </w:r>
      <w:r w:rsidRPr="00E1515B">
        <w:rPr>
          <w:rFonts w:ascii="Times New Roman" w:hAnsi="Times New Roman" w:cs="Times New Roman"/>
          <w:sz w:val="28"/>
          <w:szCs w:val="28"/>
        </w:rPr>
        <w:t xml:space="preserve"> </w:t>
      </w:r>
      <w:r w:rsidRPr="00E1515B">
        <w:rPr>
          <w:rFonts w:ascii="Times New Roman" w:hAnsi="Times New Roman" w:cs="Times New Roman"/>
          <w:snapToGrid w:val="0"/>
          <w:sz w:val="28"/>
          <w:szCs w:val="28"/>
        </w:rPr>
        <w:t>вступающие в силу с 1 января 2020 года и предусматривающие</w:t>
      </w:r>
      <w:r>
        <w:rPr>
          <w:rFonts w:ascii="Times New Roman" w:hAnsi="Times New Roman" w:cs="Times New Roman"/>
          <w:snapToGrid w:val="0"/>
          <w:sz w:val="28"/>
          <w:szCs w:val="28"/>
        </w:rPr>
        <w:t xml:space="preserve">: </w:t>
      </w:r>
    </w:p>
    <w:p w14:paraId="3A6E379A" w14:textId="1664835B" w:rsidR="00D022D8" w:rsidRPr="00D022D8" w:rsidRDefault="00D022D8" w:rsidP="00302A6A">
      <w:pPr>
        <w:pStyle w:val="ac"/>
        <w:numPr>
          <w:ilvl w:val="0"/>
          <w:numId w:val="2"/>
        </w:numPr>
        <w:autoSpaceDE w:val="0"/>
        <w:autoSpaceDN w:val="0"/>
        <w:adjustRightInd w:val="0"/>
        <w:spacing w:line="360" w:lineRule="auto"/>
        <w:ind w:left="0" w:firstLine="709"/>
        <w:jc w:val="both"/>
        <w:rPr>
          <w:snapToGrid w:val="0"/>
          <w:szCs w:val="28"/>
        </w:rPr>
      </w:pPr>
      <w:r w:rsidRPr="00D022D8">
        <w:rPr>
          <w:snapToGrid w:val="0"/>
          <w:szCs w:val="28"/>
        </w:rPr>
        <w:t xml:space="preserve">установление нормативов зачисления в бюджеты бюджетной системы Российской Федерации доходов от уплаты исполнительского сбора; </w:t>
      </w:r>
    </w:p>
    <w:p w14:paraId="78CFDF83" w14:textId="77777777" w:rsidR="00D022D8" w:rsidRDefault="00D022D8" w:rsidP="00302A6A">
      <w:pPr>
        <w:pStyle w:val="ac"/>
        <w:numPr>
          <w:ilvl w:val="0"/>
          <w:numId w:val="2"/>
        </w:numPr>
        <w:autoSpaceDE w:val="0"/>
        <w:autoSpaceDN w:val="0"/>
        <w:adjustRightInd w:val="0"/>
        <w:spacing w:line="360" w:lineRule="auto"/>
        <w:ind w:left="0" w:firstLine="709"/>
        <w:jc w:val="both"/>
        <w:rPr>
          <w:snapToGrid w:val="0"/>
          <w:szCs w:val="28"/>
        </w:rPr>
      </w:pPr>
      <w:r w:rsidRPr="00D022D8">
        <w:rPr>
          <w:snapToGrid w:val="0"/>
          <w:szCs w:val="28"/>
        </w:rPr>
        <w:t>изменение нормативов зачисления в бюджеты бюджетной системы Российской Федерации доходов от уплаты отдельных платежей (акцизов на спирт этиловый из пищевого или непищевого сырья; акцизов на спиртосодержащую продукцию; платы за негативное воздействие на окружающую среду; денежных взысканий (штрафов) и сумм по искам о возмещении вреда, причиненно</w:t>
      </w:r>
      <w:r>
        <w:rPr>
          <w:snapToGrid w:val="0"/>
          <w:szCs w:val="28"/>
        </w:rPr>
        <w:t>го окружающей среде);</w:t>
      </w:r>
    </w:p>
    <w:p w14:paraId="624F5BF5" w14:textId="77777777" w:rsidR="00D022D8" w:rsidRPr="00D022D8" w:rsidRDefault="00D022D8" w:rsidP="00302A6A">
      <w:pPr>
        <w:pStyle w:val="ac"/>
        <w:numPr>
          <w:ilvl w:val="0"/>
          <w:numId w:val="2"/>
        </w:numPr>
        <w:autoSpaceDE w:val="0"/>
        <w:autoSpaceDN w:val="0"/>
        <w:adjustRightInd w:val="0"/>
        <w:spacing w:line="360" w:lineRule="auto"/>
        <w:ind w:left="0" w:firstLine="709"/>
        <w:jc w:val="both"/>
        <w:rPr>
          <w:snapToGrid w:val="0"/>
          <w:szCs w:val="28"/>
        </w:rPr>
      </w:pPr>
      <w:r>
        <w:rPr>
          <w:szCs w:val="28"/>
          <w:lang w:eastAsia="en-US"/>
        </w:rPr>
        <w:t xml:space="preserve">изменения в части НДС: </w:t>
      </w:r>
      <w:r w:rsidR="00E1515B" w:rsidRPr="00D022D8">
        <w:rPr>
          <w:szCs w:val="28"/>
        </w:rPr>
        <w:t>установление ставки НДС 0% по внутренним воздушным перевозкам пассажиров и багажа при условии, что пункт отправления, пункт назначения пассажиров и багажа, а также все промежуточные пункты маршрута перевозки в случае их наличия расположены вне территории Московской области и территории города федерального значения Москвы</w:t>
      </w:r>
      <w:r>
        <w:rPr>
          <w:szCs w:val="28"/>
        </w:rPr>
        <w:t xml:space="preserve">; </w:t>
      </w:r>
      <w:r w:rsidR="00E1515B" w:rsidRPr="00D022D8">
        <w:rPr>
          <w:szCs w:val="28"/>
        </w:rPr>
        <w:t xml:space="preserve"> снижение ставки НДС с 20% до 10% на фрукт</w:t>
      </w:r>
      <w:r>
        <w:rPr>
          <w:szCs w:val="28"/>
        </w:rPr>
        <w:t>ы и ягоды (включая виноград);</w:t>
      </w:r>
      <w:r w:rsidR="00E1515B" w:rsidRPr="00D022D8">
        <w:rPr>
          <w:szCs w:val="28"/>
        </w:rPr>
        <w:t xml:space="preserve"> повышение ставки НДС с 10% до 20% на пальмовое масло</w:t>
      </w:r>
      <w:r>
        <w:rPr>
          <w:szCs w:val="28"/>
        </w:rPr>
        <w:t>;</w:t>
      </w:r>
      <w:r w:rsidR="00E1515B" w:rsidRPr="00D022D8">
        <w:rPr>
          <w:szCs w:val="28"/>
        </w:rPr>
        <w:t xml:space="preserve"> </w:t>
      </w:r>
    </w:p>
    <w:p w14:paraId="7CCBA8A6" w14:textId="77777777" w:rsidR="00D022D8" w:rsidRPr="00D022D8" w:rsidRDefault="00E1515B" w:rsidP="00302A6A">
      <w:pPr>
        <w:pStyle w:val="ac"/>
        <w:numPr>
          <w:ilvl w:val="0"/>
          <w:numId w:val="2"/>
        </w:numPr>
        <w:autoSpaceDE w:val="0"/>
        <w:autoSpaceDN w:val="0"/>
        <w:adjustRightInd w:val="0"/>
        <w:spacing w:line="360" w:lineRule="auto"/>
        <w:ind w:left="0" w:firstLine="709"/>
        <w:jc w:val="both"/>
        <w:rPr>
          <w:snapToGrid w:val="0"/>
          <w:szCs w:val="28"/>
        </w:rPr>
      </w:pPr>
      <w:r w:rsidRPr="00D022D8">
        <w:rPr>
          <w:szCs w:val="28"/>
        </w:rPr>
        <w:t>изменения по акцизам (</w:t>
      </w:r>
      <w:r w:rsidRPr="00D022D8">
        <w:rPr>
          <w:szCs w:val="28"/>
          <w:lang w:eastAsia="en-US"/>
        </w:rPr>
        <w:t>индексация специфических ставок акцизов на отдельные под</w:t>
      </w:r>
      <w:r w:rsidR="00D022D8">
        <w:rPr>
          <w:szCs w:val="28"/>
          <w:lang w:eastAsia="en-US"/>
        </w:rPr>
        <w:t xml:space="preserve">акцизные товары в 2022 году; </w:t>
      </w:r>
      <w:r w:rsidRPr="00D022D8">
        <w:rPr>
          <w:szCs w:val="28"/>
        </w:rPr>
        <w:t xml:space="preserve">установление </w:t>
      </w:r>
      <w:r w:rsidR="00D022D8">
        <w:rPr>
          <w:szCs w:val="28"/>
        </w:rPr>
        <w:t>с 1 января 2020 г.</w:t>
      </w:r>
      <w:r w:rsidR="00D022D8" w:rsidRPr="00D022D8">
        <w:rPr>
          <w:szCs w:val="28"/>
        </w:rPr>
        <w:t xml:space="preserve"> </w:t>
      </w:r>
      <w:r w:rsidRPr="00D022D8">
        <w:rPr>
          <w:szCs w:val="28"/>
        </w:rPr>
        <w:t>новых ставок акцизов на отдельные виды алкогольной и спиртосодержащей продукции, а также на виноматериалы и виноград, используемый для производства вина, игристого вина (ш</w:t>
      </w:r>
      <w:r w:rsidR="00D022D8">
        <w:rPr>
          <w:szCs w:val="28"/>
        </w:rPr>
        <w:t>ампанского), спиртных напитков);</w:t>
      </w:r>
    </w:p>
    <w:p w14:paraId="6D99C080" w14:textId="77777777" w:rsidR="00302A6A" w:rsidRPr="00302A6A" w:rsidRDefault="00E1515B" w:rsidP="00302A6A">
      <w:pPr>
        <w:pStyle w:val="ac"/>
        <w:numPr>
          <w:ilvl w:val="0"/>
          <w:numId w:val="2"/>
        </w:numPr>
        <w:autoSpaceDE w:val="0"/>
        <w:autoSpaceDN w:val="0"/>
        <w:adjustRightInd w:val="0"/>
        <w:spacing w:line="360" w:lineRule="auto"/>
        <w:ind w:left="0" w:firstLine="709"/>
        <w:jc w:val="both"/>
        <w:rPr>
          <w:snapToGrid w:val="0"/>
          <w:szCs w:val="28"/>
        </w:rPr>
      </w:pPr>
      <w:r w:rsidRPr="00D022D8">
        <w:rPr>
          <w:szCs w:val="28"/>
        </w:rPr>
        <w:lastRenderedPageBreak/>
        <w:t>изменение системы распределения штрафов и иных взысканий между бюджетами бюджетной системы (переход к единому принципу зачисления штрафов – доходы будут поступать в тот бюджет, за счет которого обеспечивается функционирование органа, выявившего нарушение, что позволит создать необходимые стимулы для качественной работы надзорных органов на всех уровнях бюджетной системы);</w:t>
      </w:r>
    </w:p>
    <w:p w14:paraId="6BB318B4" w14:textId="77777777" w:rsidR="00302A6A" w:rsidRPr="00302A6A" w:rsidRDefault="00E1515B" w:rsidP="00302A6A">
      <w:pPr>
        <w:pStyle w:val="ac"/>
        <w:numPr>
          <w:ilvl w:val="0"/>
          <w:numId w:val="2"/>
        </w:numPr>
        <w:autoSpaceDE w:val="0"/>
        <w:autoSpaceDN w:val="0"/>
        <w:adjustRightInd w:val="0"/>
        <w:spacing w:line="360" w:lineRule="auto"/>
        <w:ind w:left="0" w:firstLine="709"/>
        <w:jc w:val="both"/>
        <w:rPr>
          <w:snapToGrid w:val="0"/>
          <w:szCs w:val="28"/>
        </w:rPr>
      </w:pPr>
      <w:r w:rsidRPr="00302A6A">
        <w:rPr>
          <w:szCs w:val="28"/>
        </w:rPr>
        <w:t>исключение с 1 января 2020 года коэффициента к ставкам платы</w:t>
      </w:r>
      <w:r w:rsidR="00302A6A">
        <w:rPr>
          <w:szCs w:val="28"/>
        </w:rPr>
        <w:t xml:space="preserve"> </w:t>
      </w:r>
      <w:r w:rsidR="00302A6A" w:rsidRPr="00302A6A">
        <w:rPr>
          <w:szCs w:val="28"/>
        </w:rPr>
        <w:t>за использование лесов</w:t>
      </w:r>
      <w:r w:rsidRPr="00302A6A">
        <w:rPr>
          <w:szCs w:val="28"/>
        </w:rPr>
        <w:t>, учитывающего степень повреждения древесины, а также введение ставок платы за единицу площади лесного участка, находящегося в федеральной собственности, используемого для пантового оленеводства;</w:t>
      </w:r>
    </w:p>
    <w:p w14:paraId="36B4B916" w14:textId="77777777" w:rsidR="00302A6A" w:rsidRPr="00302A6A" w:rsidRDefault="00E1515B" w:rsidP="00302A6A">
      <w:pPr>
        <w:pStyle w:val="ac"/>
        <w:numPr>
          <w:ilvl w:val="0"/>
          <w:numId w:val="2"/>
        </w:numPr>
        <w:autoSpaceDE w:val="0"/>
        <w:autoSpaceDN w:val="0"/>
        <w:adjustRightInd w:val="0"/>
        <w:spacing w:line="360" w:lineRule="auto"/>
        <w:ind w:left="0" w:firstLine="709"/>
        <w:jc w:val="both"/>
        <w:rPr>
          <w:snapToGrid w:val="0"/>
          <w:szCs w:val="28"/>
        </w:rPr>
      </w:pPr>
      <w:r w:rsidRPr="00302A6A">
        <w:rPr>
          <w:szCs w:val="28"/>
        </w:rPr>
        <w:t>индексацию ставок утилизационного сбора на колесные транспортные средства с 1 января 2020 года;</w:t>
      </w:r>
    </w:p>
    <w:p w14:paraId="6A17CB1E" w14:textId="77777777" w:rsidR="00302A6A" w:rsidRPr="00302A6A" w:rsidRDefault="00E1515B" w:rsidP="00302A6A">
      <w:pPr>
        <w:pStyle w:val="ac"/>
        <w:numPr>
          <w:ilvl w:val="0"/>
          <w:numId w:val="2"/>
        </w:numPr>
        <w:autoSpaceDE w:val="0"/>
        <w:autoSpaceDN w:val="0"/>
        <w:adjustRightInd w:val="0"/>
        <w:spacing w:line="360" w:lineRule="auto"/>
        <w:ind w:left="0" w:firstLine="709"/>
        <w:jc w:val="both"/>
        <w:rPr>
          <w:snapToGrid w:val="0"/>
          <w:szCs w:val="28"/>
        </w:rPr>
      </w:pPr>
      <w:r w:rsidRPr="00302A6A">
        <w:rPr>
          <w:szCs w:val="28"/>
        </w:rPr>
        <w:t>снижение с 1 сентября 2019 года ставок ввозных таможенных пошлин на отдельные виды товаров</w:t>
      </w:r>
      <w:r w:rsidR="00302A6A">
        <w:rPr>
          <w:szCs w:val="28"/>
        </w:rPr>
        <w:t xml:space="preserve">, ввозимых на территорию </w:t>
      </w:r>
      <w:r w:rsidR="00302A6A" w:rsidRPr="00302A6A">
        <w:rPr>
          <w:szCs w:val="28"/>
        </w:rPr>
        <w:t>Евразийского экономического союза</w:t>
      </w:r>
      <w:r w:rsidRPr="00302A6A">
        <w:rPr>
          <w:szCs w:val="28"/>
        </w:rPr>
        <w:t>;</w:t>
      </w:r>
    </w:p>
    <w:p w14:paraId="37D24585" w14:textId="77777777" w:rsidR="00302A6A" w:rsidRPr="00302A6A" w:rsidRDefault="00E1515B" w:rsidP="00302A6A">
      <w:pPr>
        <w:pStyle w:val="ac"/>
        <w:numPr>
          <w:ilvl w:val="0"/>
          <w:numId w:val="2"/>
        </w:numPr>
        <w:autoSpaceDE w:val="0"/>
        <w:autoSpaceDN w:val="0"/>
        <w:adjustRightInd w:val="0"/>
        <w:spacing w:line="360" w:lineRule="auto"/>
        <w:ind w:left="0" w:firstLine="709"/>
        <w:jc w:val="both"/>
        <w:rPr>
          <w:snapToGrid w:val="0"/>
          <w:szCs w:val="28"/>
        </w:rPr>
      </w:pPr>
      <w:r w:rsidRPr="00302A6A">
        <w:rPr>
          <w:color w:val="000000"/>
          <w:szCs w:val="28"/>
        </w:rPr>
        <w:t>изменение поступления доходов от управления средствами ФНБ;</w:t>
      </w:r>
    </w:p>
    <w:p w14:paraId="13BC9E8F" w14:textId="6732FF87" w:rsidR="00E1515B" w:rsidRPr="00E1515B" w:rsidRDefault="00E1515B" w:rsidP="00302A6A">
      <w:pPr>
        <w:pStyle w:val="ac"/>
        <w:numPr>
          <w:ilvl w:val="0"/>
          <w:numId w:val="2"/>
        </w:numPr>
        <w:autoSpaceDE w:val="0"/>
        <w:autoSpaceDN w:val="0"/>
        <w:adjustRightInd w:val="0"/>
        <w:spacing w:line="360" w:lineRule="auto"/>
        <w:ind w:left="0" w:firstLine="709"/>
        <w:jc w:val="both"/>
        <w:rPr>
          <w:bCs/>
          <w:szCs w:val="28"/>
        </w:rPr>
      </w:pPr>
      <w:r w:rsidRPr="00302A6A">
        <w:rPr>
          <w:color w:val="000000"/>
          <w:szCs w:val="28"/>
        </w:rPr>
        <w:t>изменение поступлений доходов в виде доли прибыльной продукции государства при выполнении СРП (изменение цен на углеводородное сырье, курса доллара США по отношению к рублю, объемов добычи и реализации углеводородов)</w:t>
      </w:r>
      <w:r w:rsidR="00302A6A">
        <w:rPr>
          <w:color w:val="000000"/>
          <w:szCs w:val="28"/>
        </w:rPr>
        <w:t xml:space="preserve"> и ряд других мер. </w:t>
      </w:r>
    </w:p>
    <w:p w14:paraId="13B18926" w14:textId="2A81DDF2" w:rsidR="00D022D8" w:rsidRPr="00E1515B" w:rsidRDefault="00E1515B" w:rsidP="00302A6A">
      <w:pPr>
        <w:autoSpaceDE w:val="0"/>
        <w:autoSpaceDN w:val="0"/>
        <w:adjustRightInd w:val="0"/>
        <w:spacing w:line="360" w:lineRule="auto"/>
        <w:ind w:firstLine="709"/>
        <w:jc w:val="both"/>
        <w:rPr>
          <w:rFonts w:ascii="Times New Roman" w:hAnsi="Times New Roman" w:cs="Times New Roman"/>
          <w:sz w:val="28"/>
          <w:szCs w:val="28"/>
          <w:lang w:eastAsia="en-US"/>
        </w:rPr>
      </w:pPr>
      <w:r w:rsidRPr="00E1515B">
        <w:rPr>
          <w:rFonts w:ascii="Times New Roman" w:hAnsi="Times New Roman" w:cs="Times New Roman"/>
          <w:sz w:val="28"/>
          <w:szCs w:val="28"/>
          <w:lang w:eastAsia="en-US"/>
        </w:rPr>
        <w:t xml:space="preserve">Совокупный эффект вышеуказанных изменений в законодательство Российской Федерации и нормативные правовые акты Правительства Российской Федерации для доходов федерального бюджета в 2020 г. составит 144 450,0 млн. рублей, в 2021 г. – 135 518,6 млн. рублей, в 2022 г. – 513 979,7 млн. рублей. </w:t>
      </w:r>
      <w:r w:rsidR="00D022D8">
        <w:rPr>
          <w:rFonts w:ascii="Times New Roman" w:hAnsi="Times New Roman" w:cs="Times New Roman"/>
          <w:sz w:val="28"/>
          <w:szCs w:val="28"/>
          <w:lang w:eastAsia="en-US"/>
        </w:rPr>
        <w:t>В</w:t>
      </w:r>
      <w:r w:rsidR="00D022D8" w:rsidRPr="00E1515B">
        <w:rPr>
          <w:rFonts w:ascii="Times New Roman" w:hAnsi="Times New Roman" w:cs="Times New Roman"/>
          <w:sz w:val="28"/>
          <w:szCs w:val="28"/>
        </w:rPr>
        <w:t xml:space="preserve">озможные выпадающие доходы бюджетов субъектов Российской Федерации и местных бюджетов компенсируются перераспределением стабильных источников доходов - платы за негативное воздействие на окружающую среду и акцизов на спирт из всех видов сырья и </w:t>
      </w:r>
      <w:r w:rsidR="00D022D8" w:rsidRPr="00E1515B">
        <w:rPr>
          <w:rFonts w:ascii="Times New Roman" w:hAnsi="Times New Roman" w:cs="Times New Roman"/>
          <w:sz w:val="28"/>
          <w:szCs w:val="28"/>
        </w:rPr>
        <w:lastRenderedPageBreak/>
        <w:t>спиртосодержащую продукцию, произведенных на территории Российской Федерации;</w:t>
      </w:r>
    </w:p>
    <w:p w14:paraId="295DCFD0" w14:textId="0305EDB5" w:rsidR="00E1515B" w:rsidRPr="00E1515B" w:rsidRDefault="00E1515B" w:rsidP="00E1515B">
      <w:pPr>
        <w:spacing w:line="360" w:lineRule="auto"/>
        <w:ind w:firstLine="567"/>
        <w:jc w:val="both"/>
        <w:rPr>
          <w:rFonts w:ascii="Times New Roman" w:hAnsi="Times New Roman" w:cs="Times New Roman"/>
          <w:sz w:val="28"/>
          <w:szCs w:val="28"/>
        </w:rPr>
      </w:pPr>
      <w:r w:rsidRPr="00E1515B">
        <w:rPr>
          <w:rFonts w:ascii="Times New Roman" w:hAnsi="Times New Roman" w:cs="Times New Roman"/>
          <w:sz w:val="28"/>
          <w:szCs w:val="28"/>
        </w:rPr>
        <w:t>Следует согласиться с осторожной оценкой налоговых расходов по методу упущенных доходов, произведенной преимущественно на основе данных, содержащихся в формах статистической налоговой отчетности о налоговой базе и структуре начислений по отдельным налогам. Однако в силу того, что данные формы статистической налоговой отчетности не содержат исчерпывающего перечня данных для анализа и прогноза, представляется целесообразным проводить работу для актуализации и полного отражения данных по всем видам налогов для оценки сумм выпадающих доходов бюджета.</w:t>
      </w:r>
    </w:p>
    <w:p w14:paraId="5668F622" w14:textId="3769B143" w:rsidR="00E1515B" w:rsidRPr="00E1515B" w:rsidRDefault="00E1515B" w:rsidP="00E1515B">
      <w:pPr>
        <w:autoSpaceDE w:val="0"/>
        <w:autoSpaceDN w:val="0"/>
        <w:adjustRightInd w:val="0"/>
        <w:spacing w:line="336" w:lineRule="auto"/>
        <w:ind w:firstLine="709"/>
        <w:jc w:val="both"/>
        <w:rPr>
          <w:rFonts w:ascii="Times New Roman" w:hAnsi="Times New Roman" w:cs="Times New Roman"/>
          <w:color w:val="000000"/>
          <w:sz w:val="28"/>
          <w:szCs w:val="28"/>
        </w:rPr>
      </w:pPr>
      <w:r w:rsidRPr="00E1515B">
        <w:rPr>
          <w:rFonts w:ascii="Times New Roman" w:hAnsi="Times New Roman" w:cs="Times New Roman"/>
          <w:color w:val="000000"/>
          <w:sz w:val="28"/>
          <w:szCs w:val="28"/>
        </w:rPr>
        <w:t>Проект федерального бюджета на 2020 г. сформирован исходя из цены на нефть 57 долл. США/баррель и курса 65,7 руб./долл. США</w:t>
      </w:r>
      <w:r w:rsidR="002B69C7">
        <w:rPr>
          <w:rFonts w:ascii="Times New Roman" w:hAnsi="Times New Roman" w:cs="Times New Roman"/>
          <w:color w:val="000000"/>
          <w:sz w:val="28"/>
          <w:szCs w:val="28"/>
        </w:rPr>
        <w:t>, т</w:t>
      </w:r>
      <w:r w:rsidRPr="00E1515B">
        <w:rPr>
          <w:rFonts w:ascii="Times New Roman" w:hAnsi="Times New Roman" w:cs="Times New Roman"/>
          <w:color w:val="000000"/>
          <w:sz w:val="28"/>
          <w:szCs w:val="28"/>
        </w:rPr>
        <w:t>.</w:t>
      </w:r>
      <w:r w:rsidR="002B69C7">
        <w:rPr>
          <w:rFonts w:ascii="Times New Roman" w:hAnsi="Times New Roman" w:cs="Times New Roman"/>
          <w:color w:val="000000"/>
          <w:sz w:val="28"/>
          <w:szCs w:val="28"/>
        </w:rPr>
        <w:t>е</w:t>
      </w:r>
      <w:r w:rsidRPr="00E1515B">
        <w:rPr>
          <w:rFonts w:ascii="Times New Roman" w:hAnsi="Times New Roman" w:cs="Times New Roman"/>
          <w:color w:val="000000"/>
          <w:sz w:val="28"/>
          <w:szCs w:val="28"/>
        </w:rPr>
        <w:t xml:space="preserve">. среднегодовая экспортная цена за тонну российской нефти прогнозируется на уровне 27,335 тыс. </w:t>
      </w:r>
      <w:r w:rsidR="002B69C7">
        <w:rPr>
          <w:rFonts w:ascii="Times New Roman" w:hAnsi="Times New Roman" w:cs="Times New Roman"/>
          <w:color w:val="000000"/>
          <w:sz w:val="28"/>
          <w:szCs w:val="28"/>
        </w:rPr>
        <w:t>руб.</w:t>
      </w:r>
      <w:r w:rsidRPr="00E1515B">
        <w:rPr>
          <w:rFonts w:ascii="Times New Roman" w:hAnsi="Times New Roman" w:cs="Times New Roman"/>
          <w:color w:val="000000"/>
          <w:sz w:val="28"/>
          <w:szCs w:val="28"/>
        </w:rPr>
        <w:t>/тонна.</w:t>
      </w:r>
    </w:p>
    <w:p w14:paraId="5E80E696" w14:textId="2523BC06" w:rsidR="002B69C7" w:rsidRDefault="00E1515B" w:rsidP="00E1515B">
      <w:pPr>
        <w:autoSpaceDE w:val="0"/>
        <w:autoSpaceDN w:val="0"/>
        <w:adjustRightInd w:val="0"/>
        <w:spacing w:line="336" w:lineRule="auto"/>
        <w:ind w:firstLine="709"/>
        <w:jc w:val="both"/>
        <w:rPr>
          <w:rFonts w:ascii="Times New Roman" w:hAnsi="Times New Roman" w:cs="Times New Roman"/>
          <w:color w:val="000000"/>
          <w:sz w:val="28"/>
          <w:szCs w:val="28"/>
        </w:rPr>
      </w:pPr>
      <w:r w:rsidRPr="00E1515B">
        <w:rPr>
          <w:rFonts w:ascii="Times New Roman" w:hAnsi="Times New Roman" w:cs="Times New Roman"/>
          <w:color w:val="000000"/>
          <w:sz w:val="28"/>
          <w:szCs w:val="28"/>
        </w:rPr>
        <w:t xml:space="preserve">Согласно законопроекту, поступление нефтегазовых доходов в федеральный бюджет </w:t>
      </w:r>
      <w:r w:rsidR="002B69C7">
        <w:rPr>
          <w:rFonts w:ascii="Times New Roman" w:hAnsi="Times New Roman" w:cs="Times New Roman"/>
          <w:color w:val="000000"/>
          <w:sz w:val="28"/>
          <w:szCs w:val="28"/>
        </w:rPr>
        <w:t>(т</w:t>
      </w:r>
      <w:r w:rsidR="002B69C7" w:rsidRPr="00E1515B">
        <w:rPr>
          <w:rFonts w:ascii="Times New Roman" w:hAnsi="Times New Roman" w:cs="Times New Roman"/>
          <w:color w:val="000000"/>
          <w:sz w:val="28"/>
          <w:szCs w:val="28"/>
        </w:rPr>
        <w:t xml:space="preserve">аблица </w:t>
      </w:r>
      <w:r w:rsidR="00A437A7">
        <w:rPr>
          <w:rFonts w:ascii="Times New Roman" w:hAnsi="Times New Roman" w:cs="Times New Roman"/>
          <w:color w:val="000000"/>
          <w:sz w:val="28"/>
          <w:szCs w:val="28"/>
        </w:rPr>
        <w:t>6</w:t>
      </w:r>
      <w:r w:rsidR="002B69C7" w:rsidRPr="00E1515B">
        <w:rPr>
          <w:rFonts w:ascii="Times New Roman" w:hAnsi="Times New Roman" w:cs="Times New Roman"/>
          <w:color w:val="000000"/>
          <w:sz w:val="28"/>
          <w:szCs w:val="28"/>
        </w:rPr>
        <w:t>)</w:t>
      </w:r>
      <w:r w:rsidR="002B69C7">
        <w:rPr>
          <w:rFonts w:ascii="Times New Roman" w:hAnsi="Times New Roman" w:cs="Times New Roman"/>
          <w:color w:val="000000"/>
          <w:sz w:val="28"/>
          <w:szCs w:val="28"/>
        </w:rPr>
        <w:t xml:space="preserve"> </w:t>
      </w:r>
      <w:r w:rsidRPr="00E1515B">
        <w:rPr>
          <w:rFonts w:ascii="Times New Roman" w:hAnsi="Times New Roman" w:cs="Times New Roman"/>
          <w:color w:val="000000"/>
          <w:sz w:val="28"/>
          <w:szCs w:val="28"/>
        </w:rPr>
        <w:t>прогнозируется в размере</w:t>
      </w:r>
      <w:proofErr w:type="gramStart"/>
      <w:r w:rsidR="002B69C7">
        <w:rPr>
          <w:rFonts w:ascii="Times New Roman" w:hAnsi="Times New Roman" w:cs="Times New Roman"/>
          <w:color w:val="000000"/>
          <w:sz w:val="28"/>
          <w:szCs w:val="28"/>
        </w:rPr>
        <w:t xml:space="preserve"> </w:t>
      </w:r>
      <w:r w:rsidRPr="00E1515B">
        <w:rPr>
          <w:rFonts w:ascii="Times New Roman" w:hAnsi="Times New Roman" w:cs="Times New Roman"/>
          <w:color w:val="000000"/>
          <w:sz w:val="28"/>
          <w:szCs w:val="28"/>
        </w:rPr>
        <w:t>:</w:t>
      </w:r>
      <w:proofErr w:type="gramEnd"/>
      <w:r w:rsidRPr="00E1515B">
        <w:rPr>
          <w:rFonts w:ascii="Times New Roman" w:hAnsi="Times New Roman" w:cs="Times New Roman"/>
          <w:color w:val="000000"/>
          <w:sz w:val="28"/>
          <w:szCs w:val="28"/>
        </w:rPr>
        <w:t xml:space="preserve"> </w:t>
      </w:r>
    </w:p>
    <w:p w14:paraId="744DCD14" w14:textId="77777777" w:rsidR="002B69C7" w:rsidRDefault="00E1515B" w:rsidP="00E1515B">
      <w:pPr>
        <w:autoSpaceDE w:val="0"/>
        <w:autoSpaceDN w:val="0"/>
        <w:adjustRightInd w:val="0"/>
        <w:spacing w:line="336" w:lineRule="auto"/>
        <w:ind w:firstLine="709"/>
        <w:jc w:val="both"/>
        <w:rPr>
          <w:rFonts w:ascii="Times New Roman" w:hAnsi="Times New Roman" w:cs="Times New Roman"/>
          <w:color w:val="000000"/>
          <w:sz w:val="28"/>
          <w:szCs w:val="28"/>
        </w:rPr>
      </w:pPr>
      <w:r w:rsidRPr="00E1515B">
        <w:rPr>
          <w:rFonts w:ascii="Times New Roman" w:hAnsi="Times New Roman" w:cs="Times New Roman"/>
          <w:color w:val="000000"/>
          <w:sz w:val="28"/>
          <w:szCs w:val="28"/>
        </w:rPr>
        <w:t xml:space="preserve">в 2020 г. – 7 472,2 млрд. руб. (36,7% доходов федерального бюджета или 6,6% ВВП, в т.ч. базовые доходы составят  5 139,3 млрд. руб., дополнительные нефтегазовые доходы – 2 332,9 млрд. руб.); </w:t>
      </w:r>
    </w:p>
    <w:p w14:paraId="0343106A" w14:textId="03755B59" w:rsidR="002B69C7" w:rsidRDefault="00E1515B" w:rsidP="00E1515B">
      <w:pPr>
        <w:autoSpaceDE w:val="0"/>
        <w:autoSpaceDN w:val="0"/>
        <w:adjustRightInd w:val="0"/>
        <w:spacing w:line="336" w:lineRule="auto"/>
        <w:ind w:firstLine="709"/>
        <w:jc w:val="both"/>
        <w:rPr>
          <w:rFonts w:ascii="Times New Roman" w:hAnsi="Times New Roman" w:cs="Times New Roman"/>
          <w:color w:val="000000"/>
          <w:sz w:val="28"/>
          <w:szCs w:val="28"/>
        </w:rPr>
      </w:pPr>
      <w:r w:rsidRPr="00E1515B">
        <w:rPr>
          <w:rFonts w:ascii="Times New Roman" w:hAnsi="Times New Roman" w:cs="Times New Roman"/>
          <w:color w:val="000000"/>
          <w:sz w:val="28"/>
          <w:szCs w:val="28"/>
        </w:rPr>
        <w:t>в 2021 г. – 7 679,4 млрд. руб. (36,1% доходов федерального бюджета или 6,4% ВВП, в т.ч. базовые доходы составят</w:t>
      </w:r>
      <w:r w:rsidR="002B69C7">
        <w:rPr>
          <w:rFonts w:ascii="Times New Roman" w:hAnsi="Times New Roman" w:cs="Times New Roman"/>
          <w:color w:val="000000"/>
          <w:sz w:val="28"/>
          <w:szCs w:val="28"/>
        </w:rPr>
        <w:t xml:space="preserve"> </w:t>
      </w:r>
      <w:r w:rsidRPr="00E1515B">
        <w:rPr>
          <w:rFonts w:ascii="Times New Roman" w:hAnsi="Times New Roman" w:cs="Times New Roman"/>
          <w:color w:val="000000"/>
          <w:sz w:val="28"/>
          <w:szCs w:val="28"/>
        </w:rPr>
        <w:t xml:space="preserve">5 444,9 млрд. руб., дополнительные нефтегазовые доходы – 2 234,5 млрд. руб.); </w:t>
      </w:r>
    </w:p>
    <w:p w14:paraId="4B82B21A" w14:textId="77777777" w:rsidR="002B69C7" w:rsidRDefault="00E1515B" w:rsidP="002B69C7">
      <w:pPr>
        <w:autoSpaceDE w:val="0"/>
        <w:autoSpaceDN w:val="0"/>
        <w:adjustRightInd w:val="0"/>
        <w:spacing w:line="336" w:lineRule="auto"/>
        <w:ind w:firstLine="709"/>
        <w:jc w:val="both"/>
        <w:rPr>
          <w:rFonts w:ascii="Times New Roman" w:hAnsi="Times New Roman" w:cs="Times New Roman"/>
          <w:color w:val="000000"/>
          <w:sz w:val="28"/>
          <w:szCs w:val="28"/>
        </w:rPr>
      </w:pPr>
      <w:r w:rsidRPr="00E1515B">
        <w:rPr>
          <w:rFonts w:ascii="Times New Roman" w:hAnsi="Times New Roman" w:cs="Times New Roman"/>
          <w:color w:val="000000"/>
          <w:sz w:val="28"/>
          <w:szCs w:val="28"/>
        </w:rPr>
        <w:t>в 2022 г. – 7 730,6 млрд. руб. (35,0% доходов федерального бюджета или 6,0% ВВП, в т.ч. базовые до</w:t>
      </w:r>
      <w:r w:rsidR="002B69C7">
        <w:rPr>
          <w:rFonts w:ascii="Times New Roman" w:hAnsi="Times New Roman" w:cs="Times New Roman"/>
          <w:color w:val="000000"/>
          <w:sz w:val="28"/>
          <w:szCs w:val="28"/>
        </w:rPr>
        <w:t>ходы составят</w:t>
      </w:r>
      <w:r w:rsidRPr="00E1515B">
        <w:rPr>
          <w:rFonts w:ascii="Times New Roman" w:hAnsi="Times New Roman" w:cs="Times New Roman"/>
          <w:color w:val="000000"/>
          <w:sz w:val="28"/>
          <w:szCs w:val="28"/>
        </w:rPr>
        <w:t xml:space="preserve"> 5 695,0 млрд. руб., дополнительные нефтегазовые доходы – 2 035,6 млрд. руб.).</w:t>
      </w:r>
    </w:p>
    <w:p w14:paraId="70477621" w14:textId="43B8436B" w:rsidR="00E1515B" w:rsidRPr="002B69C7" w:rsidRDefault="00A437A7" w:rsidP="002B69C7">
      <w:pPr>
        <w:autoSpaceDE w:val="0"/>
        <w:autoSpaceDN w:val="0"/>
        <w:adjustRightInd w:val="0"/>
        <w:spacing w:line="336"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rPr>
        <w:t>Таблица 6</w:t>
      </w:r>
      <w:r w:rsidR="00E1515B" w:rsidRPr="00E1515B">
        <w:rPr>
          <w:rFonts w:ascii="Times New Roman" w:hAnsi="Times New Roman" w:cs="Times New Roman"/>
          <w:bCs/>
          <w:sz w:val="28"/>
          <w:szCs w:val="28"/>
        </w:rPr>
        <w:t xml:space="preserve"> – </w:t>
      </w:r>
      <w:r w:rsidR="00E1515B" w:rsidRPr="00E1515B">
        <w:rPr>
          <w:rFonts w:ascii="Times New Roman" w:hAnsi="Times New Roman" w:cs="Times New Roman"/>
          <w:sz w:val="28"/>
          <w:szCs w:val="28"/>
        </w:rPr>
        <w:t>Прогноз поступления нефтегазовых доходов в федеральный бюджет в 2019 – 2022 гг., млн. рублей</w:t>
      </w:r>
    </w:p>
    <w:tbl>
      <w:tblPr>
        <w:tblW w:w="5000" w:type="pct"/>
        <w:tblLook w:val="04A0" w:firstRow="1" w:lastRow="0" w:firstColumn="1" w:lastColumn="0" w:noHBand="0" w:noVBand="1"/>
      </w:tblPr>
      <w:tblGrid>
        <w:gridCol w:w="3900"/>
        <w:gridCol w:w="1546"/>
        <w:gridCol w:w="1385"/>
        <w:gridCol w:w="1385"/>
        <w:gridCol w:w="1349"/>
      </w:tblGrid>
      <w:tr w:rsidR="00E1515B" w:rsidRPr="002B69C7" w14:paraId="1D744563" w14:textId="77777777" w:rsidTr="002B69C7">
        <w:trPr>
          <w:trHeight w:val="284"/>
          <w:tblHeader/>
        </w:trPr>
        <w:tc>
          <w:tcPr>
            <w:tcW w:w="203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08BCEFF" w14:textId="77777777" w:rsidR="00E1515B" w:rsidRPr="002B69C7" w:rsidRDefault="00E1515B" w:rsidP="00E1515B">
            <w:pPr>
              <w:jc w:val="center"/>
              <w:rPr>
                <w:rFonts w:ascii="Times New Roman" w:hAnsi="Times New Roman" w:cs="Times New Roman"/>
                <w:b/>
                <w:bCs/>
                <w:color w:val="000000"/>
              </w:rPr>
            </w:pPr>
            <w:r w:rsidRPr="002B69C7">
              <w:rPr>
                <w:rFonts w:ascii="Times New Roman" w:hAnsi="Times New Roman" w:cs="Times New Roman"/>
                <w:b/>
                <w:bCs/>
                <w:color w:val="000000"/>
              </w:rPr>
              <w:t>Показатель</w:t>
            </w:r>
          </w:p>
        </w:tc>
        <w:tc>
          <w:tcPr>
            <w:tcW w:w="808" w:type="pct"/>
            <w:tcBorders>
              <w:top w:val="single" w:sz="8" w:space="0" w:color="auto"/>
              <w:left w:val="nil"/>
              <w:bottom w:val="single" w:sz="8" w:space="0" w:color="auto"/>
              <w:right w:val="single" w:sz="8" w:space="0" w:color="auto"/>
            </w:tcBorders>
            <w:vAlign w:val="center"/>
          </w:tcPr>
          <w:p w14:paraId="0E90BB9F" w14:textId="77777777" w:rsidR="00E1515B" w:rsidRPr="002B69C7" w:rsidRDefault="00E1515B" w:rsidP="00E1515B">
            <w:pPr>
              <w:jc w:val="center"/>
              <w:rPr>
                <w:rFonts w:ascii="Times New Roman" w:hAnsi="Times New Roman" w:cs="Times New Roman"/>
                <w:b/>
                <w:bCs/>
                <w:color w:val="000000"/>
              </w:rPr>
            </w:pPr>
            <w:r w:rsidRPr="002B69C7">
              <w:rPr>
                <w:rFonts w:ascii="Times New Roman" w:hAnsi="Times New Roman" w:cs="Times New Roman"/>
                <w:b/>
                <w:bCs/>
                <w:color w:val="000000"/>
              </w:rPr>
              <w:t>2019 год</w:t>
            </w:r>
          </w:p>
        </w:tc>
        <w:tc>
          <w:tcPr>
            <w:tcW w:w="72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17A71F7" w14:textId="77777777" w:rsidR="00E1515B" w:rsidRPr="002B69C7" w:rsidRDefault="00E1515B" w:rsidP="00E1515B">
            <w:pPr>
              <w:jc w:val="center"/>
              <w:rPr>
                <w:rFonts w:ascii="Times New Roman" w:hAnsi="Times New Roman" w:cs="Times New Roman"/>
                <w:b/>
                <w:bCs/>
                <w:color w:val="000000"/>
              </w:rPr>
            </w:pPr>
            <w:r w:rsidRPr="002B69C7">
              <w:rPr>
                <w:rFonts w:ascii="Times New Roman" w:hAnsi="Times New Roman" w:cs="Times New Roman"/>
                <w:b/>
                <w:bCs/>
                <w:color w:val="000000"/>
              </w:rPr>
              <w:t>2020 год</w:t>
            </w:r>
          </w:p>
        </w:tc>
        <w:tc>
          <w:tcPr>
            <w:tcW w:w="724" w:type="pct"/>
            <w:tcBorders>
              <w:top w:val="single" w:sz="8" w:space="0" w:color="auto"/>
              <w:left w:val="nil"/>
              <w:bottom w:val="single" w:sz="8" w:space="0" w:color="auto"/>
              <w:right w:val="single" w:sz="8" w:space="0" w:color="auto"/>
            </w:tcBorders>
            <w:shd w:val="clear" w:color="auto" w:fill="auto"/>
            <w:vAlign w:val="center"/>
            <w:hideMark/>
          </w:tcPr>
          <w:p w14:paraId="317306B5" w14:textId="77777777" w:rsidR="00E1515B" w:rsidRPr="002B69C7" w:rsidRDefault="00E1515B" w:rsidP="00E1515B">
            <w:pPr>
              <w:jc w:val="center"/>
              <w:rPr>
                <w:rFonts w:ascii="Times New Roman" w:hAnsi="Times New Roman" w:cs="Times New Roman"/>
                <w:b/>
                <w:bCs/>
                <w:color w:val="000000"/>
              </w:rPr>
            </w:pPr>
            <w:r w:rsidRPr="002B69C7">
              <w:rPr>
                <w:rFonts w:ascii="Times New Roman" w:hAnsi="Times New Roman" w:cs="Times New Roman"/>
                <w:b/>
                <w:bCs/>
                <w:color w:val="000000"/>
              </w:rPr>
              <w:t>2021 год</w:t>
            </w:r>
          </w:p>
        </w:tc>
        <w:tc>
          <w:tcPr>
            <w:tcW w:w="705" w:type="pct"/>
            <w:tcBorders>
              <w:top w:val="single" w:sz="8" w:space="0" w:color="auto"/>
              <w:left w:val="nil"/>
              <w:bottom w:val="single" w:sz="8" w:space="0" w:color="auto"/>
              <w:right w:val="single" w:sz="8" w:space="0" w:color="auto"/>
            </w:tcBorders>
            <w:shd w:val="clear" w:color="auto" w:fill="auto"/>
            <w:vAlign w:val="center"/>
            <w:hideMark/>
          </w:tcPr>
          <w:p w14:paraId="24D51430" w14:textId="77777777" w:rsidR="00E1515B" w:rsidRPr="002B69C7" w:rsidRDefault="00E1515B" w:rsidP="00E1515B">
            <w:pPr>
              <w:jc w:val="center"/>
              <w:rPr>
                <w:rFonts w:ascii="Times New Roman" w:hAnsi="Times New Roman" w:cs="Times New Roman"/>
                <w:b/>
                <w:bCs/>
                <w:color w:val="000000"/>
              </w:rPr>
            </w:pPr>
            <w:r w:rsidRPr="002B69C7">
              <w:rPr>
                <w:rFonts w:ascii="Times New Roman" w:hAnsi="Times New Roman" w:cs="Times New Roman"/>
                <w:b/>
                <w:bCs/>
                <w:color w:val="000000"/>
              </w:rPr>
              <w:t>2022 год</w:t>
            </w:r>
          </w:p>
        </w:tc>
      </w:tr>
      <w:tr w:rsidR="00E1515B" w:rsidRPr="002B69C7" w14:paraId="792D6495" w14:textId="77777777" w:rsidTr="002B69C7">
        <w:trPr>
          <w:trHeight w:val="284"/>
        </w:trPr>
        <w:tc>
          <w:tcPr>
            <w:tcW w:w="2039" w:type="pct"/>
            <w:tcBorders>
              <w:top w:val="nil"/>
              <w:left w:val="single" w:sz="8" w:space="0" w:color="auto"/>
              <w:bottom w:val="single" w:sz="8" w:space="0" w:color="auto"/>
              <w:right w:val="single" w:sz="8" w:space="0" w:color="auto"/>
            </w:tcBorders>
            <w:shd w:val="clear" w:color="auto" w:fill="auto"/>
            <w:vAlign w:val="center"/>
            <w:hideMark/>
          </w:tcPr>
          <w:p w14:paraId="5F71B6A6" w14:textId="77777777" w:rsidR="00E1515B" w:rsidRPr="002B69C7" w:rsidRDefault="00E1515B" w:rsidP="00E1515B">
            <w:pPr>
              <w:jc w:val="both"/>
              <w:rPr>
                <w:rFonts w:ascii="Times New Roman" w:hAnsi="Times New Roman" w:cs="Times New Roman"/>
                <w:b/>
                <w:bCs/>
                <w:color w:val="000000"/>
              </w:rPr>
            </w:pPr>
            <w:r w:rsidRPr="002B69C7">
              <w:rPr>
                <w:rFonts w:ascii="Times New Roman" w:hAnsi="Times New Roman" w:cs="Times New Roman"/>
                <w:b/>
                <w:bCs/>
                <w:color w:val="000000"/>
              </w:rPr>
              <w:t>Нефтегазовые доходы, всего</w:t>
            </w:r>
          </w:p>
        </w:tc>
        <w:tc>
          <w:tcPr>
            <w:tcW w:w="808" w:type="pct"/>
            <w:tcBorders>
              <w:top w:val="nil"/>
              <w:left w:val="nil"/>
              <w:bottom w:val="single" w:sz="8" w:space="0" w:color="auto"/>
              <w:right w:val="single" w:sz="8" w:space="0" w:color="auto"/>
            </w:tcBorders>
            <w:vAlign w:val="center"/>
          </w:tcPr>
          <w:p w14:paraId="2878F9CA" w14:textId="77777777" w:rsidR="00E1515B" w:rsidRPr="002B69C7" w:rsidRDefault="00E1515B" w:rsidP="00E1515B">
            <w:pPr>
              <w:jc w:val="center"/>
              <w:rPr>
                <w:rFonts w:ascii="Times New Roman" w:hAnsi="Times New Roman" w:cs="Times New Roman"/>
                <w:b/>
                <w:bCs/>
                <w:color w:val="000000"/>
              </w:rPr>
            </w:pPr>
            <w:r w:rsidRPr="002B69C7">
              <w:rPr>
                <w:rFonts w:ascii="Times New Roman" w:hAnsi="Times New Roman" w:cs="Times New Roman"/>
                <w:b/>
                <w:bCs/>
                <w:color w:val="000000"/>
              </w:rPr>
              <w:t>7 845 474,7</w:t>
            </w:r>
          </w:p>
        </w:tc>
        <w:tc>
          <w:tcPr>
            <w:tcW w:w="724" w:type="pct"/>
            <w:tcBorders>
              <w:top w:val="nil"/>
              <w:left w:val="single" w:sz="8" w:space="0" w:color="auto"/>
              <w:bottom w:val="single" w:sz="8" w:space="0" w:color="auto"/>
              <w:right w:val="single" w:sz="8" w:space="0" w:color="auto"/>
            </w:tcBorders>
            <w:shd w:val="clear" w:color="auto" w:fill="auto"/>
            <w:vAlign w:val="center"/>
            <w:hideMark/>
          </w:tcPr>
          <w:p w14:paraId="44137B0C" w14:textId="77777777" w:rsidR="00E1515B" w:rsidRPr="002B69C7" w:rsidRDefault="00E1515B" w:rsidP="00E1515B">
            <w:pPr>
              <w:jc w:val="center"/>
              <w:rPr>
                <w:rFonts w:ascii="Times New Roman" w:hAnsi="Times New Roman" w:cs="Times New Roman"/>
                <w:b/>
                <w:bCs/>
                <w:color w:val="000000"/>
              </w:rPr>
            </w:pPr>
            <w:r w:rsidRPr="002B69C7">
              <w:rPr>
                <w:rFonts w:ascii="Times New Roman" w:hAnsi="Times New Roman" w:cs="Times New Roman"/>
                <w:b/>
                <w:bCs/>
                <w:color w:val="000000"/>
              </w:rPr>
              <w:t>7 472 247,4</w:t>
            </w:r>
          </w:p>
        </w:tc>
        <w:tc>
          <w:tcPr>
            <w:tcW w:w="724" w:type="pct"/>
            <w:tcBorders>
              <w:top w:val="nil"/>
              <w:left w:val="nil"/>
              <w:bottom w:val="single" w:sz="8" w:space="0" w:color="auto"/>
              <w:right w:val="single" w:sz="8" w:space="0" w:color="auto"/>
            </w:tcBorders>
            <w:shd w:val="clear" w:color="auto" w:fill="auto"/>
            <w:vAlign w:val="center"/>
            <w:hideMark/>
          </w:tcPr>
          <w:p w14:paraId="3A644BD5" w14:textId="77777777" w:rsidR="00E1515B" w:rsidRPr="002B69C7" w:rsidRDefault="00E1515B" w:rsidP="00E1515B">
            <w:pPr>
              <w:jc w:val="center"/>
              <w:rPr>
                <w:rFonts w:ascii="Times New Roman" w:hAnsi="Times New Roman" w:cs="Times New Roman"/>
                <w:b/>
                <w:bCs/>
                <w:color w:val="000000"/>
              </w:rPr>
            </w:pPr>
            <w:r w:rsidRPr="002B69C7">
              <w:rPr>
                <w:rFonts w:ascii="Times New Roman" w:hAnsi="Times New Roman" w:cs="Times New Roman"/>
                <w:b/>
                <w:bCs/>
                <w:color w:val="000000"/>
              </w:rPr>
              <w:t>7 679 413,4</w:t>
            </w:r>
          </w:p>
        </w:tc>
        <w:tc>
          <w:tcPr>
            <w:tcW w:w="705" w:type="pct"/>
            <w:tcBorders>
              <w:top w:val="nil"/>
              <w:left w:val="nil"/>
              <w:bottom w:val="single" w:sz="8" w:space="0" w:color="auto"/>
              <w:right w:val="single" w:sz="8" w:space="0" w:color="auto"/>
            </w:tcBorders>
            <w:shd w:val="clear" w:color="auto" w:fill="auto"/>
            <w:vAlign w:val="center"/>
            <w:hideMark/>
          </w:tcPr>
          <w:p w14:paraId="34BE075E" w14:textId="77777777" w:rsidR="00E1515B" w:rsidRPr="002B69C7" w:rsidRDefault="00E1515B" w:rsidP="00E1515B">
            <w:pPr>
              <w:jc w:val="center"/>
              <w:rPr>
                <w:rFonts w:ascii="Times New Roman" w:hAnsi="Times New Roman" w:cs="Times New Roman"/>
                <w:b/>
                <w:bCs/>
                <w:color w:val="000000"/>
              </w:rPr>
            </w:pPr>
            <w:r w:rsidRPr="002B69C7">
              <w:rPr>
                <w:rFonts w:ascii="Times New Roman" w:hAnsi="Times New Roman" w:cs="Times New Roman"/>
                <w:b/>
                <w:bCs/>
                <w:color w:val="000000"/>
              </w:rPr>
              <w:t>7 730 626,3</w:t>
            </w:r>
          </w:p>
        </w:tc>
      </w:tr>
      <w:tr w:rsidR="00E1515B" w:rsidRPr="002B69C7" w14:paraId="1893D7EC" w14:textId="77777777" w:rsidTr="002B69C7">
        <w:trPr>
          <w:trHeight w:val="284"/>
        </w:trPr>
        <w:tc>
          <w:tcPr>
            <w:tcW w:w="2039" w:type="pct"/>
            <w:tcBorders>
              <w:top w:val="nil"/>
              <w:left w:val="single" w:sz="8" w:space="0" w:color="auto"/>
              <w:bottom w:val="single" w:sz="8" w:space="0" w:color="auto"/>
              <w:right w:val="single" w:sz="8" w:space="0" w:color="auto"/>
            </w:tcBorders>
            <w:shd w:val="clear" w:color="auto" w:fill="auto"/>
            <w:vAlign w:val="center"/>
            <w:hideMark/>
          </w:tcPr>
          <w:p w14:paraId="5D789440" w14:textId="77777777" w:rsidR="00E1515B" w:rsidRPr="002B69C7" w:rsidRDefault="00E1515B" w:rsidP="00E1515B">
            <w:pPr>
              <w:jc w:val="both"/>
              <w:rPr>
                <w:rFonts w:ascii="Times New Roman" w:hAnsi="Times New Roman" w:cs="Times New Roman"/>
                <w:i/>
                <w:iCs/>
                <w:color w:val="000000"/>
              </w:rPr>
            </w:pPr>
            <w:r w:rsidRPr="002B69C7">
              <w:rPr>
                <w:rFonts w:ascii="Times New Roman" w:hAnsi="Times New Roman" w:cs="Times New Roman"/>
                <w:i/>
                <w:iCs/>
                <w:color w:val="000000"/>
              </w:rPr>
              <w:t>в %% к ВВП</w:t>
            </w:r>
          </w:p>
        </w:tc>
        <w:tc>
          <w:tcPr>
            <w:tcW w:w="808" w:type="pct"/>
            <w:tcBorders>
              <w:top w:val="nil"/>
              <w:left w:val="nil"/>
              <w:bottom w:val="single" w:sz="8" w:space="0" w:color="auto"/>
              <w:right w:val="single" w:sz="8" w:space="0" w:color="auto"/>
            </w:tcBorders>
            <w:vAlign w:val="center"/>
          </w:tcPr>
          <w:p w14:paraId="75DC3948" w14:textId="77777777" w:rsidR="00E1515B" w:rsidRPr="002B69C7" w:rsidRDefault="00E1515B" w:rsidP="00E1515B">
            <w:pPr>
              <w:jc w:val="center"/>
              <w:rPr>
                <w:rFonts w:ascii="Times New Roman" w:hAnsi="Times New Roman" w:cs="Times New Roman"/>
                <w:color w:val="000000"/>
              </w:rPr>
            </w:pPr>
            <w:r w:rsidRPr="002B69C7">
              <w:rPr>
                <w:rFonts w:ascii="Times New Roman" w:hAnsi="Times New Roman" w:cs="Times New Roman"/>
                <w:color w:val="000000"/>
              </w:rPr>
              <w:t>7,2</w:t>
            </w:r>
          </w:p>
        </w:tc>
        <w:tc>
          <w:tcPr>
            <w:tcW w:w="724" w:type="pct"/>
            <w:tcBorders>
              <w:top w:val="nil"/>
              <w:left w:val="single" w:sz="8" w:space="0" w:color="auto"/>
              <w:bottom w:val="single" w:sz="8" w:space="0" w:color="auto"/>
              <w:right w:val="single" w:sz="8" w:space="0" w:color="auto"/>
            </w:tcBorders>
            <w:shd w:val="clear" w:color="auto" w:fill="auto"/>
            <w:vAlign w:val="center"/>
            <w:hideMark/>
          </w:tcPr>
          <w:p w14:paraId="1C8E7DCA" w14:textId="77777777" w:rsidR="00E1515B" w:rsidRPr="002B69C7" w:rsidRDefault="00E1515B" w:rsidP="00E1515B">
            <w:pPr>
              <w:jc w:val="center"/>
              <w:rPr>
                <w:rFonts w:ascii="Times New Roman" w:hAnsi="Times New Roman" w:cs="Times New Roman"/>
                <w:color w:val="000000"/>
              </w:rPr>
            </w:pPr>
            <w:r w:rsidRPr="002B69C7">
              <w:rPr>
                <w:rFonts w:ascii="Times New Roman" w:hAnsi="Times New Roman" w:cs="Times New Roman"/>
                <w:color w:val="000000"/>
              </w:rPr>
              <w:t>6,6</w:t>
            </w:r>
          </w:p>
        </w:tc>
        <w:tc>
          <w:tcPr>
            <w:tcW w:w="724" w:type="pct"/>
            <w:tcBorders>
              <w:top w:val="nil"/>
              <w:left w:val="nil"/>
              <w:bottom w:val="single" w:sz="8" w:space="0" w:color="auto"/>
              <w:right w:val="single" w:sz="8" w:space="0" w:color="auto"/>
            </w:tcBorders>
            <w:shd w:val="clear" w:color="auto" w:fill="auto"/>
            <w:vAlign w:val="center"/>
            <w:hideMark/>
          </w:tcPr>
          <w:p w14:paraId="217C60F6" w14:textId="77777777" w:rsidR="00E1515B" w:rsidRPr="002B69C7" w:rsidRDefault="00E1515B" w:rsidP="00E1515B">
            <w:pPr>
              <w:jc w:val="center"/>
              <w:rPr>
                <w:rFonts w:ascii="Times New Roman" w:hAnsi="Times New Roman" w:cs="Times New Roman"/>
                <w:color w:val="000000"/>
              </w:rPr>
            </w:pPr>
            <w:r w:rsidRPr="002B69C7">
              <w:rPr>
                <w:rFonts w:ascii="Times New Roman" w:hAnsi="Times New Roman" w:cs="Times New Roman"/>
                <w:color w:val="000000"/>
              </w:rPr>
              <w:t>6,4</w:t>
            </w:r>
          </w:p>
        </w:tc>
        <w:tc>
          <w:tcPr>
            <w:tcW w:w="705" w:type="pct"/>
            <w:tcBorders>
              <w:top w:val="nil"/>
              <w:left w:val="nil"/>
              <w:bottom w:val="single" w:sz="8" w:space="0" w:color="auto"/>
              <w:right w:val="single" w:sz="8" w:space="0" w:color="auto"/>
            </w:tcBorders>
            <w:shd w:val="clear" w:color="auto" w:fill="auto"/>
            <w:vAlign w:val="center"/>
            <w:hideMark/>
          </w:tcPr>
          <w:p w14:paraId="3BA08825" w14:textId="77777777" w:rsidR="00E1515B" w:rsidRPr="002B69C7" w:rsidRDefault="00E1515B" w:rsidP="00E1515B">
            <w:pPr>
              <w:jc w:val="center"/>
              <w:rPr>
                <w:rFonts w:ascii="Times New Roman" w:hAnsi="Times New Roman" w:cs="Times New Roman"/>
                <w:color w:val="000000"/>
              </w:rPr>
            </w:pPr>
            <w:r w:rsidRPr="002B69C7">
              <w:rPr>
                <w:rFonts w:ascii="Times New Roman" w:hAnsi="Times New Roman" w:cs="Times New Roman"/>
                <w:color w:val="000000"/>
              </w:rPr>
              <w:t>6,0</w:t>
            </w:r>
          </w:p>
        </w:tc>
      </w:tr>
      <w:tr w:rsidR="00E1515B" w:rsidRPr="002B69C7" w14:paraId="6689E44D" w14:textId="77777777" w:rsidTr="002B69C7">
        <w:trPr>
          <w:trHeight w:val="284"/>
        </w:trPr>
        <w:tc>
          <w:tcPr>
            <w:tcW w:w="2039" w:type="pct"/>
            <w:tcBorders>
              <w:top w:val="nil"/>
              <w:left w:val="single" w:sz="8" w:space="0" w:color="auto"/>
              <w:bottom w:val="single" w:sz="8" w:space="0" w:color="auto"/>
              <w:right w:val="single" w:sz="8" w:space="0" w:color="auto"/>
            </w:tcBorders>
            <w:shd w:val="clear" w:color="auto" w:fill="auto"/>
            <w:vAlign w:val="center"/>
            <w:hideMark/>
          </w:tcPr>
          <w:p w14:paraId="7ACF4276" w14:textId="77777777" w:rsidR="00E1515B" w:rsidRPr="002B69C7" w:rsidRDefault="00E1515B" w:rsidP="00E1515B">
            <w:pPr>
              <w:jc w:val="both"/>
              <w:rPr>
                <w:rFonts w:ascii="Times New Roman" w:hAnsi="Times New Roman" w:cs="Times New Roman"/>
                <w:color w:val="000000"/>
              </w:rPr>
            </w:pPr>
            <w:r w:rsidRPr="002B69C7">
              <w:rPr>
                <w:rFonts w:ascii="Times New Roman" w:hAnsi="Times New Roman" w:cs="Times New Roman"/>
                <w:color w:val="000000"/>
              </w:rPr>
              <w:lastRenderedPageBreak/>
              <w:t>в том числе:</w:t>
            </w:r>
          </w:p>
        </w:tc>
        <w:tc>
          <w:tcPr>
            <w:tcW w:w="808" w:type="pct"/>
            <w:tcBorders>
              <w:top w:val="nil"/>
              <w:left w:val="nil"/>
              <w:bottom w:val="single" w:sz="8" w:space="0" w:color="auto"/>
              <w:right w:val="single" w:sz="8" w:space="0" w:color="auto"/>
            </w:tcBorders>
            <w:vAlign w:val="center"/>
          </w:tcPr>
          <w:p w14:paraId="7C359EE0" w14:textId="77777777" w:rsidR="00E1515B" w:rsidRPr="002B69C7" w:rsidRDefault="00E1515B" w:rsidP="00E1515B">
            <w:pPr>
              <w:jc w:val="center"/>
              <w:rPr>
                <w:rFonts w:ascii="Times New Roman" w:hAnsi="Times New Roman" w:cs="Times New Roman"/>
                <w:color w:val="000000"/>
              </w:rPr>
            </w:pPr>
          </w:p>
        </w:tc>
        <w:tc>
          <w:tcPr>
            <w:tcW w:w="724" w:type="pct"/>
            <w:tcBorders>
              <w:top w:val="nil"/>
              <w:left w:val="single" w:sz="8" w:space="0" w:color="auto"/>
              <w:bottom w:val="single" w:sz="8" w:space="0" w:color="auto"/>
              <w:right w:val="single" w:sz="8" w:space="0" w:color="auto"/>
            </w:tcBorders>
            <w:shd w:val="clear" w:color="auto" w:fill="auto"/>
            <w:vAlign w:val="center"/>
            <w:hideMark/>
          </w:tcPr>
          <w:p w14:paraId="301CFAE0" w14:textId="77777777" w:rsidR="00E1515B" w:rsidRPr="002B69C7" w:rsidRDefault="00E1515B" w:rsidP="00E1515B">
            <w:pPr>
              <w:jc w:val="center"/>
              <w:rPr>
                <w:rFonts w:ascii="Times New Roman" w:hAnsi="Times New Roman" w:cs="Times New Roman"/>
                <w:color w:val="000000"/>
              </w:rPr>
            </w:pPr>
          </w:p>
        </w:tc>
        <w:tc>
          <w:tcPr>
            <w:tcW w:w="724" w:type="pct"/>
            <w:tcBorders>
              <w:top w:val="nil"/>
              <w:left w:val="nil"/>
              <w:bottom w:val="single" w:sz="8" w:space="0" w:color="auto"/>
              <w:right w:val="single" w:sz="8" w:space="0" w:color="auto"/>
            </w:tcBorders>
            <w:shd w:val="clear" w:color="auto" w:fill="auto"/>
            <w:vAlign w:val="center"/>
            <w:hideMark/>
          </w:tcPr>
          <w:p w14:paraId="62D134D2" w14:textId="77777777" w:rsidR="00E1515B" w:rsidRPr="002B69C7" w:rsidRDefault="00E1515B" w:rsidP="00E1515B">
            <w:pPr>
              <w:jc w:val="center"/>
              <w:rPr>
                <w:rFonts w:ascii="Times New Roman" w:hAnsi="Times New Roman" w:cs="Times New Roman"/>
                <w:color w:val="000000"/>
              </w:rPr>
            </w:pPr>
          </w:p>
        </w:tc>
        <w:tc>
          <w:tcPr>
            <w:tcW w:w="705" w:type="pct"/>
            <w:tcBorders>
              <w:top w:val="nil"/>
              <w:left w:val="nil"/>
              <w:bottom w:val="single" w:sz="8" w:space="0" w:color="auto"/>
              <w:right w:val="single" w:sz="8" w:space="0" w:color="auto"/>
            </w:tcBorders>
            <w:shd w:val="clear" w:color="auto" w:fill="auto"/>
            <w:vAlign w:val="center"/>
            <w:hideMark/>
          </w:tcPr>
          <w:p w14:paraId="0EE44724" w14:textId="77777777" w:rsidR="00E1515B" w:rsidRPr="002B69C7" w:rsidRDefault="00E1515B" w:rsidP="00E1515B">
            <w:pPr>
              <w:jc w:val="center"/>
              <w:rPr>
                <w:rFonts w:ascii="Times New Roman" w:hAnsi="Times New Roman" w:cs="Times New Roman"/>
                <w:color w:val="000000"/>
              </w:rPr>
            </w:pPr>
          </w:p>
        </w:tc>
      </w:tr>
      <w:tr w:rsidR="00E1515B" w:rsidRPr="002B69C7" w14:paraId="697AEEDE" w14:textId="77777777" w:rsidTr="002B69C7">
        <w:trPr>
          <w:trHeight w:val="284"/>
        </w:trPr>
        <w:tc>
          <w:tcPr>
            <w:tcW w:w="2039" w:type="pct"/>
            <w:tcBorders>
              <w:top w:val="nil"/>
              <w:left w:val="single" w:sz="8" w:space="0" w:color="auto"/>
              <w:bottom w:val="single" w:sz="8" w:space="0" w:color="auto"/>
              <w:right w:val="single" w:sz="8" w:space="0" w:color="auto"/>
            </w:tcBorders>
            <w:shd w:val="clear" w:color="auto" w:fill="auto"/>
            <w:vAlign w:val="center"/>
            <w:hideMark/>
          </w:tcPr>
          <w:p w14:paraId="53084EF7" w14:textId="77777777" w:rsidR="00E1515B" w:rsidRPr="002B69C7" w:rsidRDefault="00E1515B" w:rsidP="00E1515B">
            <w:pPr>
              <w:jc w:val="both"/>
              <w:rPr>
                <w:rFonts w:ascii="Times New Roman" w:hAnsi="Times New Roman" w:cs="Times New Roman"/>
                <w:b/>
                <w:color w:val="000000"/>
              </w:rPr>
            </w:pPr>
            <w:r w:rsidRPr="002B69C7">
              <w:rPr>
                <w:rFonts w:ascii="Times New Roman" w:hAnsi="Times New Roman" w:cs="Times New Roman"/>
                <w:b/>
                <w:color w:val="000000"/>
              </w:rPr>
              <w:t xml:space="preserve">НДПИ </w:t>
            </w:r>
          </w:p>
        </w:tc>
        <w:tc>
          <w:tcPr>
            <w:tcW w:w="808" w:type="pct"/>
            <w:tcBorders>
              <w:top w:val="nil"/>
              <w:left w:val="nil"/>
              <w:bottom w:val="single" w:sz="8" w:space="0" w:color="auto"/>
              <w:right w:val="single" w:sz="8" w:space="0" w:color="auto"/>
            </w:tcBorders>
            <w:vAlign w:val="center"/>
          </w:tcPr>
          <w:p w14:paraId="00CA3047" w14:textId="77777777" w:rsidR="00E1515B" w:rsidRPr="002B69C7" w:rsidRDefault="00E1515B" w:rsidP="00E1515B">
            <w:pPr>
              <w:jc w:val="center"/>
              <w:rPr>
                <w:rFonts w:ascii="Times New Roman" w:hAnsi="Times New Roman" w:cs="Times New Roman"/>
                <w:b/>
                <w:color w:val="000000"/>
              </w:rPr>
            </w:pPr>
            <w:r w:rsidRPr="002B69C7">
              <w:rPr>
                <w:rFonts w:ascii="Times New Roman" w:hAnsi="Times New Roman" w:cs="Times New Roman"/>
                <w:b/>
                <w:color w:val="000000"/>
              </w:rPr>
              <w:t>5 953 577,0</w:t>
            </w:r>
          </w:p>
        </w:tc>
        <w:tc>
          <w:tcPr>
            <w:tcW w:w="724" w:type="pct"/>
            <w:tcBorders>
              <w:top w:val="nil"/>
              <w:left w:val="single" w:sz="8" w:space="0" w:color="auto"/>
              <w:bottom w:val="single" w:sz="8" w:space="0" w:color="auto"/>
              <w:right w:val="single" w:sz="8" w:space="0" w:color="auto"/>
            </w:tcBorders>
            <w:shd w:val="clear" w:color="auto" w:fill="auto"/>
            <w:vAlign w:val="center"/>
            <w:hideMark/>
          </w:tcPr>
          <w:p w14:paraId="67AABF66" w14:textId="77777777" w:rsidR="00E1515B" w:rsidRPr="002B69C7" w:rsidRDefault="00E1515B" w:rsidP="00E1515B">
            <w:pPr>
              <w:jc w:val="center"/>
              <w:rPr>
                <w:rFonts w:ascii="Times New Roman" w:hAnsi="Times New Roman" w:cs="Times New Roman"/>
                <w:b/>
                <w:color w:val="000000"/>
              </w:rPr>
            </w:pPr>
            <w:r w:rsidRPr="002B69C7">
              <w:rPr>
                <w:rFonts w:ascii="Times New Roman" w:hAnsi="Times New Roman" w:cs="Times New Roman"/>
                <w:b/>
                <w:color w:val="000000"/>
              </w:rPr>
              <w:t>5 979 321,5</w:t>
            </w:r>
          </w:p>
        </w:tc>
        <w:tc>
          <w:tcPr>
            <w:tcW w:w="724" w:type="pct"/>
            <w:tcBorders>
              <w:top w:val="nil"/>
              <w:left w:val="nil"/>
              <w:bottom w:val="single" w:sz="8" w:space="0" w:color="auto"/>
              <w:right w:val="single" w:sz="8" w:space="0" w:color="auto"/>
            </w:tcBorders>
            <w:shd w:val="clear" w:color="auto" w:fill="auto"/>
            <w:vAlign w:val="center"/>
            <w:hideMark/>
          </w:tcPr>
          <w:p w14:paraId="1C7DA152" w14:textId="77777777" w:rsidR="00E1515B" w:rsidRPr="002B69C7" w:rsidRDefault="00E1515B" w:rsidP="00E1515B">
            <w:pPr>
              <w:jc w:val="center"/>
              <w:rPr>
                <w:rFonts w:ascii="Times New Roman" w:hAnsi="Times New Roman" w:cs="Times New Roman"/>
                <w:b/>
                <w:color w:val="000000"/>
              </w:rPr>
            </w:pPr>
            <w:r w:rsidRPr="002B69C7">
              <w:rPr>
                <w:rFonts w:ascii="Times New Roman" w:hAnsi="Times New Roman" w:cs="Times New Roman"/>
                <w:b/>
                <w:color w:val="000000"/>
              </w:rPr>
              <w:t>6 444 251,5</w:t>
            </w:r>
          </w:p>
        </w:tc>
        <w:tc>
          <w:tcPr>
            <w:tcW w:w="705" w:type="pct"/>
            <w:tcBorders>
              <w:top w:val="nil"/>
              <w:left w:val="nil"/>
              <w:bottom w:val="single" w:sz="8" w:space="0" w:color="auto"/>
              <w:right w:val="single" w:sz="8" w:space="0" w:color="auto"/>
            </w:tcBorders>
            <w:shd w:val="clear" w:color="auto" w:fill="auto"/>
            <w:vAlign w:val="center"/>
            <w:hideMark/>
          </w:tcPr>
          <w:p w14:paraId="1AA28FFF" w14:textId="77777777" w:rsidR="00E1515B" w:rsidRPr="002B69C7" w:rsidRDefault="00E1515B" w:rsidP="00E1515B">
            <w:pPr>
              <w:jc w:val="center"/>
              <w:rPr>
                <w:rFonts w:ascii="Times New Roman" w:hAnsi="Times New Roman" w:cs="Times New Roman"/>
                <w:b/>
                <w:color w:val="000000"/>
              </w:rPr>
            </w:pPr>
            <w:r w:rsidRPr="002B69C7">
              <w:rPr>
                <w:rFonts w:ascii="Times New Roman" w:hAnsi="Times New Roman" w:cs="Times New Roman"/>
                <w:b/>
                <w:color w:val="000000"/>
              </w:rPr>
              <w:t>6 804 035,9</w:t>
            </w:r>
          </w:p>
        </w:tc>
      </w:tr>
      <w:tr w:rsidR="00E1515B" w:rsidRPr="002B69C7" w14:paraId="29077E94" w14:textId="77777777" w:rsidTr="002B69C7">
        <w:trPr>
          <w:trHeight w:val="284"/>
        </w:trPr>
        <w:tc>
          <w:tcPr>
            <w:tcW w:w="2039" w:type="pct"/>
            <w:tcBorders>
              <w:top w:val="nil"/>
              <w:left w:val="single" w:sz="8" w:space="0" w:color="auto"/>
              <w:bottom w:val="single" w:sz="8" w:space="0" w:color="auto"/>
              <w:right w:val="single" w:sz="8" w:space="0" w:color="auto"/>
            </w:tcBorders>
            <w:shd w:val="clear" w:color="auto" w:fill="auto"/>
            <w:vAlign w:val="center"/>
          </w:tcPr>
          <w:p w14:paraId="2C2AB48F" w14:textId="77777777" w:rsidR="00E1515B" w:rsidRPr="002B69C7" w:rsidRDefault="00E1515B" w:rsidP="00E1515B">
            <w:pPr>
              <w:rPr>
                <w:rFonts w:ascii="Times New Roman" w:hAnsi="Times New Roman" w:cs="Times New Roman"/>
                <w:color w:val="000000"/>
              </w:rPr>
            </w:pPr>
            <w:r w:rsidRPr="002B69C7">
              <w:rPr>
                <w:rFonts w:ascii="Times New Roman" w:hAnsi="Times New Roman" w:cs="Times New Roman"/>
                <w:color w:val="000000"/>
              </w:rPr>
              <w:t>в том числе:</w:t>
            </w:r>
          </w:p>
        </w:tc>
        <w:tc>
          <w:tcPr>
            <w:tcW w:w="808" w:type="pct"/>
            <w:tcBorders>
              <w:top w:val="nil"/>
              <w:left w:val="nil"/>
              <w:bottom w:val="single" w:sz="8" w:space="0" w:color="auto"/>
              <w:right w:val="single" w:sz="8" w:space="0" w:color="auto"/>
            </w:tcBorders>
            <w:vAlign w:val="center"/>
          </w:tcPr>
          <w:p w14:paraId="7D5D99BA" w14:textId="77777777" w:rsidR="00E1515B" w:rsidRPr="002B69C7" w:rsidRDefault="00E1515B" w:rsidP="00E1515B">
            <w:pPr>
              <w:jc w:val="center"/>
              <w:rPr>
                <w:rFonts w:ascii="Times New Roman" w:hAnsi="Times New Roman" w:cs="Times New Roman"/>
                <w:color w:val="000000"/>
              </w:rPr>
            </w:pPr>
          </w:p>
        </w:tc>
        <w:tc>
          <w:tcPr>
            <w:tcW w:w="724" w:type="pct"/>
            <w:tcBorders>
              <w:top w:val="nil"/>
              <w:left w:val="single" w:sz="8" w:space="0" w:color="auto"/>
              <w:bottom w:val="single" w:sz="8" w:space="0" w:color="auto"/>
              <w:right w:val="single" w:sz="8" w:space="0" w:color="auto"/>
            </w:tcBorders>
            <w:shd w:val="clear" w:color="auto" w:fill="auto"/>
            <w:vAlign w:val="center"/>
          </w:tcPr>
          <w:p w14:paraId="0ADF753A" w14:textId="77777777" w:rsidR="00E1515B" w:rsidRPr="002B69C7" w:rsidRDefault="00E1515B" w:rsidP="00E1515B">
            <w:pPr>
              <w:jc w:val="center"/>
              <w:rPr>
                <w:rFonts w:ascii="Times New Roman" w:hAnsi="Times New Roman" w:cs="Times New Roman"/>
                <w:color w:val="000000"/>
              </w:rPr>
            </w:pPr>
          </w:p>
        </w:tc>
        <w:tc>
          <w:tcPr>
            <w:tcW w:w="724" w:type="pct"/>
            <w:tcBorders>
              <w:top w:val="nil"/>
              <w:left w:val="nil"/>
              <w:bottom w:val="single" w:sz="8" w:space="0" w:color="auto"/>
              <w:right w:val="single" w:sz="8" w:space="0" w:color="auto"/>
            </w:tcBorders>
            <w:shd w:val="clear" w:color="auto" w:fill="auto"/>
            <w:vAlign w:val="center"/>
          </w:tcPr>
          <w:p w14:paraId="39A0E0E7" w14:textId="77777777" w:rsidR="00E1515B" w:rsidRPr="002B69C7" w:rsidRDefault="00E1515B" w:rsidP="00E1515B">
            <w:pPr>
              <w:jc w:val="center"/>
              <w:rPr>
                <w:rFonts w:ascii="Times New Roman" w:hAnsi="Times New Roman" w:cs="Times New Roman"/>
                <w:color w:val="000000"/>
              </w:rPr>
            </w:pPr>
          </w:p>
        </w:tc>
        <w:tc>
          <w:tcPr>
            <w:tcW w:w="705" w:type="pct"/>
            <w:tcBorders>
              <w:top w:val="nil"/>
              <w:left w:val="nil"/>
              <w:bottom w:val="single" w:sz="8" w:space="0" w:color="auto"/>
              <w:right w:val="single" w:sz="8" w:space="0" w:color="auto"/>
            </w:tcBorders>
            <w:shd w:val="clear" w:color="auto" w:fill="auto"/>
            <w:vAlign w:val="center"/>
          </w:tcPr>
          <w:p w14:paraId="6BE0C58C" w14:textId="77777777" w:rsidR="00E1515B" w:rsidRPr="002B69C7" w:rsidRDefault="00E1515B" w:rsidP="00E1515B">
            <w:pPr>
              <w:jc w:val="center"/>
              <w:rPr>
                <w:rFonts w:ascii="Times New Roman" w:hAnsi="Times New Roman" w:cs="Times New Roman"/>
                <w:color w:val="000000"/>
              </w:rPr>
            </w:pPr>
          </w:p>
        </w:tc>
      </w:tr>
      <w:tr w:rsidR="00E1515B" w:rsidRPr="002B69C7" w14:paraId="117BDCEA" w14:textId="77777777" w:rsidTr="002B69C7">
        <w:trPr>
          <w:trHeight w:val="284"/>
        </w:trPr>
        <w:tc>
          <w:tcPr>
            <w:tcW w:w="2039" w:type="pct"/>
            <w:tcBorders>
              <w:top w:val="nil"/>
              <w:left w:val="single" w:sz="8" w:space="0" w:color="auto"/>
              <w:bottom w:val="single" w:sz="8" w:space="0" w:color="auto"/>
              <w:right w:val="single" w:sz="8" w:space="0" w:color="auto"/>
            </w:tcBorders>
            <w:shd w:val="clear" w:color="auto" w:fill="auto"/>
            <w:vAlign w:val="center"/>
          </w:tcPr>
          <w:p w14:paraId="1F8FAAD7" w14:textId="77777777" w:rsidR="00E1515B" w:rsidRPr="002B69C7" w:rsidRDefault="00E1515B" w:rsidP="00E1515B">
            <w:pPr>
              <w:rPr>
                <w:rFonts w:ascii="Times New Roman" w:hAnsi="Times New Roman" w:cs="Times New Roman"/>
                <w:color w:val="000000"/>
              </w:rPr>
            </w:pPr>
            <w:r w:rsidRPr="002B69C7">
              <w:rPr>
                <w:rFonts w:ascii="Times New Roman" w:hAnsi="Times New Roman" w:cs="Times New Roman"/>
                <w:color w:val="000000"/>
              </w:rPr>
              <w:t>Нефть</w:t>
            </w:r>
          </w:p>
        </w:tc>
        <w:tc>
          <w:tcPr>
            <w:tcW w:w="808" w:type="pct"/>
            <w:tcBorders>
              <w:top w:val="nil"/>
              <w:left w:val="nil"/>
              <w:bottom w:val="single" w:sz="8" w:space="0" w:color="auto"/>
              <w:right w:val="single" w:sz="8" w:space="0" w:color="auto"/>
            </w:tcBorders>
            <w:vAlign w:val="center"/>
          </w:tcPr>
          <w:p w14:paraId="6599C0FC" w14:textId="77777777" w:rsidR="00E1515B" w:rsidRPr="002B69C7" w:rsidRDefault="00E1515B" w:rsidP="00E1515B">
            <w:pPr>
              <w:jc w:val="center"/>
              <w:rPr>
                <w:rFonts w:ascii="Times New Roman" w:hAnsi="Times New Roman" w:cs="Times New Roman"/>
                <w:color w:val="000000"/>
              </w:rPr>
            </w:pPr>
            <w:r w:rsidRPr="002B69C7">
              <w:rPr>
                <w:rFonts w:ascii="Times New Roman" w:hAnsi="Times New Roman" w:cs="Times New Roman"/>
                <w:color w:val="000000"/>
              </w:rPr>
              <w:t>5 148 442,1</w:t>
            </w:r>
          </w:p>
        </w:tc>
        <w:tc>
          <w:tcPr>
            <w:tcW w:w="724" w:type="pct"/>
            <w:tcBorders>
              <w:top w:val="nil"/>
              <w:left w:val="single" w:sz="8" w:space="0" w:color="auto"/>
              <w:bottom w:val="single" w:sz="8" w:space="0" w:color="auto"/>
              <w:right w:val="single" w:sz="8" w:space="0" w:color="auto"/>
            </w:tcBorders>
            <w:shd w:val="clear" w:color="auto" w:fill="auto"/>
            <w:vAlign w:val="center"/>
          </w:tcPr>
          <w:p w14:paraId="568D7D4E" w14:textId="77777777" w:rsidR="00E1515B" w:rsidRPr="002B69C7" w:rsidRDefault="00E1515B" w:rsidP="00E1515B">
            <w:pPr>
              <w:jc w:val="center"/>
              <w:rPr>
                <w:rFonts w:ascii="Times New Roman" w:hAnsi="Times New Roman" w:cs="Times New Roman"/>
                <w:color w:val="000000"/>
              </w:rPr>
            </w:pPr>
            <w:r w:rsidRPr="002B69C7">
              <w:rPr>
                <w:rFonts w:ascii="Times New Roman" w:hAnsi="Times New Roman" w:cs="Times New Roman"/>
                <w:color w:val="000000"/>
              </w:rPr>
              <w:t>5 187 919,3</w:t>
            </w:r>
          </w:p>
        </w:tc>
        <w:tc>
          <w:tcPr>
            <w:tcW w:w="724" w:type="pct"/>
            <w:tcBorders>
              <w:top w:val="nil"/>
              <w:left w:val="nil"/>
              <w:bottom w:val="single" w:sz="8" w:space="0" w:color="auto"/>
              <w:right w:val="single" w:sz="8" w:space="0" w:color="auto"/>
            </w:tcBorders>
            <w:shd w:val="clear" w:color="auto" w:fill="auto"/>
            <w:vAlign w:val="center"/>
          </w:tcPr>
          <w:p w14:paraId="0D0CF98C" w14:textId="77777777" w:rsidR="00E1515B" w:rsidRPr="002B69C7" w:rsidRDefault="00E1515B" w:rsidP="00E1515B">
            <w:pPr>
              <w:jc w:val="center"/>
              <w:rPr>
                <w:rFonts w:ascii="Times New Roman" w:hAnsi="Times New Roman" w:cs="Times New Roman"/>
                <w:color w:val="000000"/>
              </w:rPr>
            </w:pPr>
            <w:r w:rsidRPr="002B69C7">
              <w:rPr>
                <w:rFonts w:ascii="Times New Roman" w:hAnsi="Times New Roman" w:cs="Times New Roman"/>
                <w:color w:val="000000"/>
              </w:rPr>
              <w:t>5 553 820,0</w:t>
            </w:r>
          </w:p>
        </w:tc>
        <w:tc>
          <w:tcPr>
            <w:tcW w:w="705" w:type="pct"/>
            <w:tcBorders>
              <w:top w:val="nil"/>
              <w:left w:val="nil"/>
              <w:bottom w:val="single" w:sz="8" w:space="0" w:color="auto"/>
              <w:right w:val="single" w:sz="8" w:space="0" w:color="auto"/>
            </w:tcBorders>
            <w:shd w:val="clear" w:color="auto" w:fill="auto"/>
            <w:vAlign w:val="center"/>
          </w:tcPr>
          <w:p w14:paraId="45CE2C07" w14:textId="77777777" w:rsidR="00E1515B" w:rsidRPr="002B69C7" w:rsidRDefault="00E1515B" w:rsidP="00E1515B">
            <w:pPr>
              <w:jc w:val="center"/>
              <w:rPr>
                <w:rFonts w:ascii="Times New Roman" w:hAnsi="Times New Roman" w:cs="Times New Roman"/>
                <w:color w:val="000000"/>
              </w:rPr>
            </w:pPr>
            <w:r w:rsidRPr="002B69C7">
              <w:rPr>
                <w:rFonts w:ascii="Times New Roman" w:hAnsi="Times New Roman" w:cs="Times New Roman"/>
                <w:color w:val="000000"/>
              </w:rPr>
              <w:t>5 830 683,9</w:t>
            </w:r>
          </w:p>
        </w:tc>
      </w:tr>
      <w:tr w:rsidR="00E1515B" w:rsidRPr="002B69C7" w14:paraId="24DAF88B" w14:textId="77777777" w:rsidTr="002B69C7">
        <w:trPr>
          <w:trHeight w:val="284"/>
        </w:trPr>
        <w:tc>
          <w:tcPr>
            <w:tcW w:w="2039" w:type="pct"/>
            <w:tcBorders>
              <w:top w:val="nil"/>
              <w:left w:val="single" w:sz="8" w:space="0" w:color="auto"/>
              <w:bottom w:val="single" w:sz="8" w:space="0" w:color="auto"/>
              <w:right w:val="single" w:sz="8" w:space="0" w:color="auto"/>
            </w:tcBorders>
            <w:shd w:val="clear" w:color="auto" w:fill="auto"/>
            <w:vAlign w:val="center"/>
          </w:tcPr>
          <w:p w14:paraId="57D6C4B7" w14:textId="77777777" w:rsidR="00E1515B" w:rsidRPr="002B69C7" w:rsidRDefault="00E1515B" w:rsidP="00E1515B">
            <w:pPr>
              <w:rPr>
                <w:rFonts w:ascii="Times New Roman" w:hAnsi="Times New Roman" w:cs="Times New Roman"/>
                <w:color w:val="000000"/>
              </w:rPr>
            </w:pPr>
            <w:r w:rsidRPr="002B69C7">
              <w:rPr>
                <w:rFonts w:ascii="Times New Roman" w:hAnsi="Times New Roman" w:cs="Times New Roman"/>
                <w:color w:val="000000"/>
              </w:rPr>
              <w:t>Газ горючий природный</w:t>
            </w:r>
          </w:p>
        </w:tc>
        <w:tc>
          <w:tcPr>
            <w:tcW w:w="808" w:type="pct"/>
            <w:tcBorders>
              <w:top w:val="nil"/>
              <w:left w:val="nil"/>
              <w:bottom w:val="single" w:sz="8" w:space="0" w:color="auto"/>
              <w:right w:val="single" w:sz="8" w:space="0" w:color="auto"/>
            </w:tcBorders>
            <w:vAlign w:val="center"/>
          </w:tcPr>
          <w:p w14:paraId="654573CC" w14:textId="77777777" w:rsidR="00E1515B" w:rsidRPr="002B69C7" w:rsidRDefault="00E1515B" w:rsidP="00E1515B">
            <w:pPr>
              <w:jc w:val="center"/>
              <w:rPr>
                <w:rFonts w:ascii="Times New Roman" w:hAnsi="Times New Roman" w:cs="Times New Roman"/>
                <w:color w:val="000000"/>
              </w:rPr>
            </w:pPr>
            <w:r w:rsidRPr="002B69C7">
              <w:rPr>
                <w:rFonts w:ascii="Times New Roman" w:hAnsi="Times New Roman" w:cs="Times New Roman"/>
                <w:color w:val="000000"/>
              </w:rPr>
              <w:t>635 019,2</w:t>
            </w:r>
          </w:p>
        </w:tc>
        <w:tc>
          <w:tcPr>
            <w:tcW w:w="724" w:type="pct"/>
            <w:tcBorders>
              <w:top w:val="nil"/>
              <w:left w:val="single" w:sz="8" w:space="0" w:color="auto"/>
              <w:bottom w:val="single" w:sz="8" w:space="0" w:color="auto"/>
              <w:right w:val="single" w:sz="8" w:space="0" w:color="auto"/>
            </w:tcBorders>
            <w:shd w:val="clear" w:color="auto" w:fill="auto"/>
            <w:vAlign w:val="center"/>
          </w:tcPr>
          <w:p w14:paraId="347858B7" w14:textId="77777777" w:rsidR="00E1515B" w:rsidRPr="002B69C7" w:rsidRDefault="00E1515B" w:rsidP="00E1515B">
            <w:pPr>
              <w:jc w:val="center"/>
              <w:rPr>
                <w:rFonts w:ascii="Times New Roman" w:hAnsi="Times New Roman" w:cs="Times New Roman"/>
                <w:color w:val="000000"/>
              </w:rPr>
            </w:pPr>
            <w:r w:rsidRPr="002B69C7">
              <w:rPr>
                <w:rFonts w:ascii="Times New Roman" w:hAnsi="Times New Roman" w:cs="Times New Roman"/>
                <w:color w:val="000000"/>
              </w:rPr>
              <w:t>580 435,8</w:t>
            </w:r>
          </w:p>
        </w:tc>
        <w:tc>
          <w:tcPr>
            <w:tcW w:w="724" w:type="pct"/>
            <w:tcBorders>
              <w:top w:val="nil"/>
              <w:left w:val="nil"/>
              <w:bottom w:val="single" w:sz="8" w:space="0" w:color="auto"/>
              <w:right w:val="single" w:sz="8" w:space="0" w:color="auto"/>
            </w:tcBorders>
            <w:shd w:val="clear" w:color="auto" w:fill="auto"/>
            <w:vAlign w:val="center"/>
          </w:tcPr>
          <w:p w14:paraId="07F024C6" w14:textId="77777777" w:rsidR="00E1515B" w:rsidRPr="002B69C7" w:rsidRDefault="00E1515B" w:rsidP="00E1515B">
            <w:pPr>
              <w:jc w:val="center"/>
              <w:rPr>
                <w:rFonts w:ascii="Times New Roman" w:hAnsi="Times New Roman" w:cs="Times New Roman"/>
                <w:color w:val="000000"/>
              </w:rPr>
            </w:pPr>
            <w:r w:rsidRPr="002B69C7">
              <w:rPr>
                <w:rFonts w:ascii="Times New Roman" w:hAnsi="Times New Roman" w:cs="Times New Roman"/>
                <w:color w:val="000000"/>
              </w:rPr>
              <w:t>635 646,9</w:t>
            </w:r>
          </w:p>
        </w:tc>
        <w:tc>
          <w:tcPr>
            <w:tcW w:w="705" w:type="pct"/>
            <w:tcBorders>
              <w:top w:val="nil"/>
              <w:left w:val="nil"/>
              <w:bottom w:val="single" w:sz="8" w:space="0" w:color="auto"/>
              <w:right w:val="single" w:sz="8" w:space="0" w:color="auto"/>
            </w:tcBorders>
            <w:shd w:val="clear" w:color="auto" w:fill="auto"/>
            <w:vAlign w:val="center"/>
          </w:tcPr>
          <w:p w14:paraId="22BF6D90" w14:textId="77777777" w:rsidR="00E1515B" w:rsidRPr="002B69C7" w:rsidRDefault="00E1515B" w:rsidP="00E1515B">
            <w:pPr>
              <w:jc w:val="center"/>
              <w:rPr>
                <w:rFonts w:ascii="Times New Roman" w:hAnsi="Times New Roman" w:cs="Times New Roman"/>
                <w:color w:val="000000"/>
              </w:rPr>
            </w:pPr>
            <w:r w:rsidRPr="002B69C7">
              <w:rPr>
                <w:rFonts w:ascii="Times New Roman" w:hAnsi="Times New Roman" w:cs="Times New Roman"/>
                <w:color w:val="000000"/>
              </w:rPr>
              <w:t>654 029,9</w:t>
            </w:r>
          </w:p>
        </w:tc>
      </w:tr>
      <w:tr w:rsidR="00E1515B" w:rsidRPr="002B69C7" w14:paraId="4C13AD6A" w14:textId="77777777" w:rsidTr="002B69C7">
        <w:trPr>
          <w:trHeight w:val="284"/>
        </w:trPr>
        <w:tc>
          <w:tcPr>
            <w:tcW w:w="2039" w:type="pct"/>
            <w:tcBorders>
              <w:top w:val="nil"/>
              <w:left w:val="single" w:sz="8" w:space="0" w:color="auto"/>
              <w:bottom w:val="single" w:sz="8" w:space="0" w:color="auto"/>
              <w:right w:val="single" w:sz="8" w:space="0" w:color="auto"/>
            </w:tcBorders>
            <w:shd w:val="clear" w:color="auto" w:fill="auto"/>
            <w:vAlign w:val="center"/>
          </w:tcPr>
          <w:p w14:paraId="7F7DAE0E" w14:textId="77777777" w:rsidR="00E1515B" w:rsidRPr="002B69C7" w:rsidRDefault="00E1515B" w:rsidP="00E1515B">
            <w:pPr>
              <w:rPr>
                <w:rFonts w:ascii="Times New Roman" w:hAnsi="Times New Roman" w:cs="Times New Roman"/>
                <w:color w:val="000000"/>
              </w:rPr>
            </w:pPr>
            <w:r w:rsidRPr="002B69C7">
              <w:rPr>
                <w:rFonts w:ascii="Times New Roman" w:hAnsi="Times New Roman" w:cs="Times New Roman"/>
                <w:color w:val="000000"/>
              </w:rPr>
              <w:t>Газовый конденсат</w:t>
            </w:r>
          </w:p>
        </w:tc>
        <w:tc>
          <w:tcPr>
            <w:tcW w:w="808" w:type="pct"/>
            <w:tcBorders>
              <w:top w:val="nil"/>
              <w:left w:val="nil"/>
              <w:bottom w:val="single" w:sz="8" w:space="0" w:color="auto"/>
              <w:right w:val="single" w:sz="8" w:space="0" w:color="auto"/>
            </w:tcBorders>
            <w:vAlign w:val="center"/>
          </w:tcPr>
          <w:p w14:paraId="138B4CD2" w14:textId="77777777" w:rsidR="00E1515B" w:rsidRPr="002B69C7" w:rsidRDefault="00E1515B" w:rsidP="00E1515B">
            <w:pPr>
              <w:jc w:val="center"/>
              <w:rPr>
                <w:rFonts w:ascii="Times New Roman" w:hAnsi="Times New Roman" w:cs="Times New Roman"/>
                <w:color w:val="000000"/>
              </w:rPr>
            </w:pPr>
            <w:r w:rsidRPr="002B69C7">
              <w:rPr>
                <w:rFonts w:ascii="Times New Roman" w:hAnsi="Times New Roman" w:cs="Times New Roman"/>
                <w:color w:val="000000"/>
              </w:rPr>
              <w:t>170 115,6</w:t>
            </w:r>
          </w:p>
        </w:tc>
        <w:tc>
          <w:tcPr>
            <w:tcW w:w="724" w:type="pct"/>
            <w:tcBorders>
              <w:top w:val="nil"/>
              <w:left w:val="single" w:sz="8" w:space="0" w:color="auto"/>
              <w:bottom w:val="single" w:sz="8" w:space="0" w:color="auto"/>
              <w:right w:val="single" w:sz="8" w:space="0" w:color="auto"/>
            </w:tcBorders>
            <w:shd w:val="clear" w:color="auto" w:fill="auto"/>
            <w:vAlign w:val="center"/>
          </w:tcPr>
          <w:p w14:paraId="620EBFF8" w14:textId="77777777" w:rsidR="00E1515B" w:rsidRPr="002B69C7" w:rsidRDefault="00E1515B" w:rsidP="00E1515B">
            <w:pPr>
              <w:jc w:val="center"/>
              <w:rPr>
                <w:rFonts w:ascii="Times New Roman" w:hAnsi="Times New Roman" w:cs="Times New Roman"/>
                <w:color w:val="000000"/>
              </w:rPr>
            </w:pPr>
            <w:r w:rsidRPr="002B69C7">
              <w:rPr>
                <w:rFonts w:ascii="Times New Roman" w:hAnsi="Times New Roman" w:cs="Times New Roman"/>
                <w:color w:val="000000"/>
              </w:rPr>
              <w:t>210 966,3</w:t>
            </w:r>
          </w:p>
        </w:tc>
        <w:tc>
          <w:tcPr>
            <w:tcW w:w="724" w:type="pct"/>
            <w:tcBorders>
              <w:top w:val="nil"/>
              <w:left w:val="nil"/>
              <w:bottom w:val="single" w:sz="8" w:space="0" w:color="auto"/>
              <w:right w:val="single" w:sz="8" w:space="0" w:color="auto"/>
            </w:tcBorders>
            <w:shd w:val="clear" w:color="auto" w:fill="auto"/>
            <w:vAlign w:val="center"/>
          </w:tcPr>
          <w:p w14:paraId="6AE78953" w14:textId="77777777" w:rsidR="00E1515B" w:rsidRPr="002B69C7" w:rsidRDefault="00E1515B" w:rsidP="00E1515B">
            <w:pPr>
              <w:jc w:val="center"/>
              <w:rPr>
                <w:rFonts w:ascii="Times New Roman" w:hAnsi="Times New Roman" w:cs="Times New Roman"/>
                <w:color w:val="000000"/>
              </w:rPr>
            </w:pPr>
            <w:r w:rsidRPr="002B69C7">
              <w:rPr>
                <w:rFonts w:ascii="Times New Roman" w:hAnsi="Times New Roman" w:cs="Times New Roman"/>
                <w:color w:val="000000"/>
              </w:rPr>
              <w:t>254 784,6</w:t>
            </w:r>
          </w:p>
        </w:tc>
        <w:tc>
          <w:tcPr>
            <w:tcW w:w="705" w:type="pct"/>
            <w:tcBorders>
              <w:top w:val="nil"/>
              <w:left w:val="nil"/>
              <w:bottom w:val="single" w:sz="8" w:space="0" w:color="auto"/>
              <w:right w:val="single" w:sz="8" w:space="0" w:color="auto"/>
            </w:tcBorders>
            <w:shd w:val="clear" w:color="auto" w:fill="auto"/>
            <w:vAlign w:val="center"/>
          </w:tcPr>
          <w:p w14:paraId="4F8C1523" w14:textId="77777777" w:rsidR="00E1515B" w:rsidRPr="002B69C7" w:rsidRDefault="00E1515B" w:rsidP="00E1515B">
            <w:pPr>
              <w:jc w:val="center"/>
              <w:rPr>
                <w:rFonts w:ascii="Times New Roman" w:hAnsi="Times New Roman" w:cs="Times New Roman"/>
                <w:color w:val="000000"/>
              </w:rPr>
            </w:pPr>
            <w:r w:rsidRPr="002B69C7">
              <w:rPr>
                <w:rFonts w:ascii="Times New Roman" w:hAnsi="Times New Roman" w:cs="Times New Roman"/>
                <w:color w:val="000000"/>
              </w:rPr>
              <w:t>319 322,1</w:t>
            </w:r>
          </w:p>
        </w:tc>
      </w:tr>
      <w:tr w:rsidR="00E1515B" w:rsidRPr="002B69C7" w14:paraId="4C27EE17" w14:textId="77777777" w:rsidTr="002B69C7">
        <w:trPr>
          <w:trHeight w:val="284"/>
        </w:trPr>
        <w:tc>
          <w:tcPr>
            <w:tcW w:w="2039" w:type="pct"/>
            <w:tcBorders>
              <w:top w:val="nil"/>
              <w:left w:val="single" w:sz="8" w:space="0" w:color="auto"/>
              <w:bottom w:val="single" w:sz="8" w:space="0" w:color="auto"/>
              <w:right w:val="single" w:sz="8" w:space="0" w:color="auto"/>
            </w:tcBorders>
            <w:shd w:val="clear" w:color="auto" w:fill="auto"/>
            <w:vAlign w:val="center"/>
            <w:hideMark/>
          </w:tcPr>
          <w:p w14:paraId="29F0A336" w14:textId="77777777" w:rsidR="00E1515B" w:rsidRPr="002B69C7" w:rsidRDefault="00E1515B" w:rsidP="00E1515B">
            <w:pPr>
              <w:jc w:val="both"/>
              <w:rPr>
                <w:rFonts w:ascii="Times New Roman" w:hAnsi="Times New Roman" w:cs="Times New Roman"/>
                <w:b/>
                <w:color w:val="000000"/>
              </w:rPr>
            </w:pPr>
            <w:r w:rsidRPr="002B69C7">
              <w:rPr>
                <w:rFonts w:ascii="Times New Roman" w:hAnsi="Times New Roman" w:cs="Times New Roman"/>
                <w:b/>
                <w:color w:val="000000"/>
              </w:rPr>
              <w:t>Вывозные таможенные пошлины</w:t>
            </w:r>
          </w:p>
        </w:tc>
        <w:tc>
          <w:tcPr>
            <w:tcW w:w="808" w:type="pct"/>
            <w:tcBorders>
              <w:top w:val="nil"/>
              <w:left w:val="nil"/>
              <w:bottom w:val="single" w:sz="8" w:space="0" w:color="auto"/>
              <w:right w:val="single" w:sz="8" w:space="0" w:color="auto"/>
            </w:tcBorders>
            <w:vAlign w:val="center"/>
          </w:tcPr>
          <w:p w14:paraId="0FB21115" w14:textId="77777777" w:rsidR="00E1515B" w:rsidRPr="002B69C7" w:rsidRDefault="00E1515B" w:rsidP="00E1515B">
            <w:pPr>
              <w:jc w:val="center"/>
              <w:rPr>
                <w:rFonts w:ascii="Times New Roman" w:hAnsi="Times New Roman" w:cs="Times New Roman"/>
                <w:b/>
                <w:color w:val="000000"/>
              </w:rPr>
            </w:pPr>
            <w:r w:rsidRPr="002B69C7">
              <w:rPr>
                <w:rFonts w:ascii="Times New Roman" w:hAnsi="Times New Roman" w:cs="Times New Roman"/>
                <w:b/>
                <w:color w:val="000000"/>
              </w:rPr>
              <w:t>2 195 607,3</w:t>
            </w:r>
          </w:p>
        </w:tc>
        <w:tc>
          <w:tcPr>
            <w:tcW w:w="724" w:type="pct"/>
            <w:tcBorders>
              <w:top w:val="nil"/>
              <w:left w:val="single" w:sz="8" w:space="0" w:color="auto"/>
              <w:bottom w:val="single" w:sz="8" w:space="0" w:color="auto"/>
              <w:right w:val="single" w:sz="8" w:space="0" w:color="auto"/>
            </w:tcBorders>
            <w:shd w:val="clear" w:color="auto" w:fill="auto"/>
            <w:vAlign w:val="center"/>
            <w:hideMark/>
          </w:tcPr>
          <w:p w14:paraId="3D460A87" w14:textId="77777777" w:rsidR="00E1515B" w:rsidRPr="002B69C7" w:rsidRDefault="00E1515B" w:rsidP="00E1515B">
            <w:pPr>
              <w:jc w:val="center"/>
              <w:rPr>
                <w:rFonts w:ascii="Times New Roman" w:hAnsi="Times New Roman" w:cs="Times New Roman"/>
                <w:b/>
                <w:color w:val="000000"/>
              </w:rPr>
            </w:pPr>
            <w:r w:rsidRPr="002B69C7">
              <w:rPr>
                <w:rFonts w:ascii="Times New Roman" w:hAnsi="Times New Roman" w:cs="Times New Roman"/>
                <w:b/>
                <w:color w:val="000000"/>
              </w:rPr>
              <w:t>1 726 083,9</w:t>
            </w:r>
          </w:p>
        </w:tc>
        <w:tc>
          <w:tcPr>
            <w:tcW w:w="724" w:type="pct"/>
            <w:tcBorders>
              <w:top w:val="nil"/>
              <w:left w:val="nil"/>
              <w:bottom w:val="single" w:sz="8" w:space="0" w:color="auto"/>
              <w:right w:val="single" w:sz="8" w:space="0" w:color="auto"/>
            </w:tcBorders>
            <w:shd w:val="clear" w:color="auto" w:fill="auto"/>
            <w:vAlign w:val="center"/>
            <w:hideMark/>
          </w:tcPr>
          <w:p w14:paraId="430EA3DA" w14:textId="77777777" w:rsidR="00E1515B" w:rsidRPr="002B69C7" w:rsidRDefault="00E1515B" w:rsidP="00E1515B">
            <w:pPr>
              <w:jc w:val="center"/>
              <w:rPr>
                <w:rFonts w:ascii="Times New Roman" w:hAnsi="Times New Roman" w:cs="Times New Roman"/>
                <w:b/>
                <w:color w:val="000000"/>
              </w:rPr>
            </w:pPr>
            <w:r w:rsidRPr="002B69C7">
              <w:rPr>
                <w:rFonts w:ascii="Times New Roman" w:hAnsi="Times New Roman" w:cs="Times New Roman"/>
                <w:b/>
                <w:color w:val="000000"/>
              </w:rPr>
              <w:t>1 497 689,7</w:t>
            </w:r>
          </w:p>
        </w:tc>
        <w:tc>
          <w:tcPr>
            <w:tcW w:w="705" w:type="pct"/>
            <w:tcBorders>
              <w:top w:val="nil"/>
              <w:left w:val="nil"/>
              <w:bottom w:val="single" w:sz="8" w:space="0" w:color="auto"/>
              <w:right w:val="single" w:sz="8" w:space="0" w:color="auto"/>
            </w:tcBorders>
            <w:shd w:val="clear" w:color="auto" w:fill="auto"/>
            <w:vAlign w:val="center"/>
            <w:hideMark/>
          </w:tcPr>
          <w:p w14:paraId="23B0AEA0" w14:textId="77777777" w:rsidR="00E1515B" w:rsidRPr="002B69C7" w:rsidRDefault="00E1515B" w:rsidP="00E1515B">
            <w:pPr>
              <w:jc w:val="center"/>
              <w:rPr>
                <w:rFonts w:ascii="Times New Roman" w:hAnsi="Times New Roman" w:cs="Times New Roman"/>
                <w:b/>
                <w:color w:val="000000"/>
              </w:rPr>
            </w:pPr>
            <w:r w:rsidRPr="002B69C7">
              <w:rPr>
                <w:rFonts w:ascii="Times New Roman" w:hAnsi="Times New Roman" w:cs="Times New Roman"/>
                <w:b/>
                <w:color w:val="000000"/>
              </w:rPr>
              <w:t>1 209 264,9</w:t>
            </w:r>
          </w:p>
        </w:tc>
      </w:tr>
      <w:tr w:rsidR="00E1515B" w:rsidRPr="002B69C7" w14:paraId="4B0077E9" w14:textId="77777777" w:rsidTr="002B69C7">
        <w:trPr>
          <w:trHeight w:val="284"/>
        </w:trPr>
        <w:tc>
          <w:tcPr>
            <w:tcW w:w="2039" w:type="pct"/>
            <w:tcBorders>
              <w:top w:val="nil"/>
              <w:left w:val="single" w:sz="8" w:space="0" w:color="auto"/>
              <w:bottom w:val="single" w:sz="8" w:space="0" w:color="auto"/>
              <w:right w:val="single" w:sz="8" w:space="0" w:color="auto"/>
            </w:tcBorders>
            <w:shd w:val="clear" w:color="auto" w:fill="auto"/>
            <w:vAlign w:val="center"/>
          </w:tcPr>
          <w:p w14:paraId="32E5CA83" w14:textId="77777777" w:rsidR="00E1515B" w:rsidRPr="002B69C7" w:rsidRDefault="00E1515B" w:rsidP="00E1515B">
            <w:pPr>
              <w:rPr>
                <w:rFonts w:ascii="Times New Roman" w:hAnsi="Times New Roman" w:cs="Times New Roman"/>
                <w:color w:val="000000"/>
              </w:rPr>
            </w:pPr>
            <w:r w:rsidRPr="002B69C7">
              <w:rPr>
                <w:rFonts w:ascii="Times New Roman" w:hAnsi="Times New Roman" w:cs="Times New Roman"/>
                <w:color w:val="000000"/>
              </w:rPr>
              <w:t>в том числе:</w:t>
            </w:r>
          </w:p>
        </w:tc>
        <w:tc>
          <w:tcPr>
            <w:tcW w:w="808" w:type="pct"/>
            <w:tcBorders>
              <w:top w:val="nil"/>
              <w:left w:val="nil"/>
              <w:bottom w:val="single" w:sz="8" w:space="0" w:color="auto"/>
              <w:right w:val="single" w:sz="8" w:space="0" w:color="auto"/>
            </w:tcBorders>
            <w:vAlign w:val="center"/>
          </w:tcPr>
          <w:p w14:paraId="3496DB7B" w14:textId="77777777" w:rsidR="00E1515B" w:rsidRPr="002B69C7" w:rsidRDefault="00E1515B" w:rsidP="00E1515B">
            <w:pPr>
              <w:jc w:val="center"/>
              <w:rPr>
                <w:rFonts w:ascii="Times New Roman" w:hAnsi="Times New Roman" w:cs="Times New Roman"/>
                <w:color w:val="000000"/>
              </w:rPr>
            </w:pPr>
          </w:p>
        </w:tc>
        <w:tc>
          <w:tcPr>
            <w:tcW w:w="724" w:type="pct"/>
            <w:tcBorders>
              <w:top w:val="nil"/>
              <w:left w:val="single" w:sz="8" w:space="0" w:color="auto"/>
              <w:bottom w:val="single" w:sz="8" w:space="0" w:color="auto"/>
              <w:right w:val="single" w:sz="8" w:space="0" w:color="auto"/>
            </w:tcBorders>
            <w:shd w:val="clear" w:color="auto" w:fill="auto"/>
            <w:vAlign w:val="center"/>
          </w:tcPr>
          <w:p w14:paraId="1A6ED9FF" w14:textId="77777777" w:rsidR="00E1515B" w:rsidRPr="002B69C7" w:rsidRDefault="00E1515B" w:rsidP="00E1515B">
            <w:pPr>
              <w:jc w:val="center"/>
              <w:rPr>
                <w:rFonts w:ascii="Times New Roman" w:hAnsi="Times New Roman" w:cs="Times New Roman"/>
                <w:color w:val="000000"/>
              </w:rPr>
            </w:pPr>
          </w:p>
        </w:tc>
        <w:tc>
          <w:tcPr>
            <w:tcW w:w="724" w:type="pct"/>
            <w:tcBorders>
              <w:top w:val="nil"/>
              <w:left w:val="nil"/>
              <w:bottom w:val="single" w:sz="8" w:space="0" w:color="auto"/>
              <w:right w:val="single" w:sz="8" w:space="0" w:color="auto"/>
            </w:tcBorders>
            <w:shd w:val="clear" w:color="auto" w:fill="auto"/>
            <w:vAlign w:val="center"/>
          </w:tcPr>
          <w:p w14:paraId="29ADDD16" w14:textId="77777777" w:rsidR="00E1515B" w:rsidRPr="002B69C7" w:rsidRDefault="00E1515B" w:rsidP="00E1515B">
            <w:pPr>
              <w:jc w:val="center"/>
              <w:rPr>
                <w:rFonts w:ascii="Times New Roman" w:hAnsi="Times New Roman" w:cs="Times New Roman"/>
                <w:color w:val="000000"/>
              </w:rPr>
            </w:pPr>
          </w:p>
        </w:tc>
        <w:tc>
          <w:tcPr>
            <w:tcW w:w="705" w:type="pct"/>
            <w:tcBorders>
              <w:top w:val="nil"/>
              <w:left w:val="nil"/>
              <w:bottom w:val="single" w:sz="8" w:space="0" w:color="auto"/>
              <w:right w:val="single" w:sz="8" w:space="0" w:color="auto"/>
            </w:tcBorders>
            <w:shd w:val="clear" w:color="auto" w:fill="auto"/>
            <w:vAlign w:val="center"/>
          </w:tcPr>
          <w:p w14:paraId="0E07597B" w14:textId="77777777" w:rsidR="00E1515B" w:rsidRPr="002B69C7" w:rsidRDefault="00E1515B" w:rsidP="00E1515B">
            <w:pPr>
              <w:jc w:val="center"/>
              <w:rPr>
                <w:rFonts w:ascii="Times New Roman" w:hAnsi="Times New Roman" w:cs="Times New Roman"/>
                <w:color w:val="000000"/>
              </w:rPr>
            </w:pPr>
          </w:p>
        </w:tc>
      </w:tr>
      <w:tr w:rsidR="00E1515B" w:rsidRPr="002B69C7" w14:paraId="461E8CBD" w14:textId="77777777" w:rsidTr="002B69C7">
        <w:trPr>
          <w:trHeight w:val="284"/>
        </w:trPr>
        <w:tc>
          <w:tcPr>
            <w:tcW w:w="2039" w:type="pct"/>
            <w:tcBorders>
              <w:top w:val="nil"/>
              <w:left w:val="single" w:sz="8" w:space="0" w:color="auto"/>
              <w:bottom w:val="single" w:sz="8" w:space="0" w:color="auto"/>
              <w:right w:val="single" w:sz="8" w:space="0" w:color="auto"/>
            </w:tcBorders>
            <w:shd w:val="clear" w:color="auto" w:fill="auto"/>
            <w:vAlign w:val="bottom"/>
          </w:tcPr>
          <w:p w14:paraId="6C04F045" w14:textId="77777777" w:rsidR="00E1515B" w:rsidRPr="002B69C7" w:rsidRDefault="00E1515B" w:rsidP="00E1515B">
            <w:pPr>
              <w:autoSpaceDE w:val="0"/>
              <w:autoSpaceDN w:val="0"/>
              <w:adjustRightInd w:val="0"/>
              <w:rPr>
                <w:rFonts w:ascii="Times New Roman" w:hAnsi="Times New Roman" w:cs="Times New Roman"/>
                <w:color w:val="000000"/>
              </w:rPr>
            </w:pPr>
            <w:r w:rsidRPr="002B69C7">
              <w:rPr>
                <w:rFonts w:ascii="Times New Roman" w:hAnsi="Times New Roman" w:cs="Times New Roman"/>
                <w:color w:val="000000"/>
              </w:rPr>
              <w:t>Нефть сырая</w:t>
            </w:r>
          </w:p>
        </w:tc>
        <w:tc>
          <w:tcPr>
            <w:tcW w:w="808" w:type="pct"/>
            <w:tcBorders>
              <w:top w:val="nil"/>
              <w:left w:val="nil"/>
              <w:bottom w:val="single" w:sz="8" w:space="0" w:color="auto"/>
              <w:right w:val="single" w:sz="8" w:space="0" w:color="auto"/>
            </w:tcBorders>
            <w:vAlign w:val="center"/>
          </w:tcPr>
          <w:p w14:paraId="148283FA" w14:textId="77777777" w:rsidR="00E1515B" w:rsidRPr="002B69C7" w:rsidRDefault="00E1515B" w:rsidP="00E1515B">
            <w:pPr>
              <w:autoSpaceDE w:val="0"/>
              <w:autoSpaceDN w:val="0"/>
              <w:adjustRightInd w:val="0"/>
              <w:jc w:val="center"/>
              <w:rPr>
                <w:rFonts w:ascii="Times New Roman" w:hAnsi="Times New Roman" w:cs="Times New Roman"/>
                <w:color w:val="000000"/>
              </w:rPr>
            </w:pPr>
            <w:r w:rsidRPr="002B69C7">
              <w:rPr>
                <w:rFonts w:ascii="Times New Roman" w:hAnsi="Times New Roman" w:cs="Times New Roman"/>
                <w:color w:val="000000"/>
              </w:rPr>
              <w:t>1 067 207,7</w:t>
            </w:r>
          </w:p>
        </w:tc>
        <w:tc>
          <w:tcPr>
            <w:tcW w:w="724" w:type="pct"/>
            <w:tcBorders>
              <w:top w:val="nil"/>
              <w:left w:val="single" w:sz="8" w:space="0" w:color="auto"/>
              <w:bottom w:val="single" w:sz="8" w:space="0" w:color="auto"/>
              <w:right w:val="single" w:sz="8" w:space="0" w:color="auto"/>
            </w:tcBorders>
            <w:shd w:val="clear" w:color="auto" w:fill="auto"/>
            <w:vAlign w:val="center"/>
          </w:tcPr>
          <w:p w14:paraId="6E0DB980" w14:textId="77777777" w:rsidR="00E1515B" w:rsidRPr="002B69C7" w:rsidRDefault="00E1515B" w:rsidP="00E1515B">
            <w:pPr>
              <w:autoSpaceDE w:val="0"/>
              <w:autoSpaceDN w:val="0"/>
              <w:adjustRightInd w:val="0"/>
              <w:jc w:val="center"/>
              <w:rPr>
                <w:rFonts w:ascii="Times New Roman" w:hAnsi="Times New Roman" w:cs="Times New Roman"/>
                <w:color w:val="000000"/>
              </w:rPr>
            </w:pPr>
            <w:r w:rsidRPr="002B69C7">
              <w:rPr>
                <w:rFonts w:ascii="Times New Roman" w:hAnsi="Times New Roman" w:cs="Times New Roman"/>
                <w:color w:val="000000"/>
              </w:rPr>
              <w:t>741 102,8</w:t>
            </w:r>
          </w:p>
        </w:tc>
        <w:tc>
          <w:tcPr>
            <w:tcW w:w="724" w:type="pct"/>
            <w:tcBorders>
              <w:top w:val="nil"/>
              <w:left w:val="nil"/>
              <w:bottom w:val="single" w:sz="8" w:space="0" w:color="auto"/>
              <w:right w:val="single" w:sz="8" w:space="0" w:color="auto"/>
            </w:tcBorders>
            <w:shd w:val="clear" w:color="auto" w:fill="auto"/>
            <w:vAlign w:val="center"/>
          </w:tcPr>
          <w:p w14:paraId="1F925FBC" w14:textId="77777777" w:rsidR="00E1515B" w:rsidRPr="002B69C7" w:rsidRDefault="00E1515B" w:rsidP="00E1515B">
            <w:pPr>
              <w:autoSpaceDE w:val="0"/>
              <w:autoSpaceDN w:val="0"/>
              <w:adjustRightInd w:val="0"/>
              <w:jc w:val="center"/>
              <w:rPr>
                <w:rFonts w:ascii="Times New Roman" w:hAnsi="Times New Roman" w:cs="Times New Roman"/>
                <w:color w:val="000000"/>
              </w:rPr>
            </w:pPr>
            <w:r w:rsidRPr="002B69C7">
              <w:rPr>
                <w:rFonts w:ascii="Times New Roman" w:hAnsi="Times New Roman" w:cs="Times New Roman"/>
                <w:color w:val="000000"/>
              </w:rPr>
              <w:t>532 141,4</w:t>
            </w:r>
          </w:p>
        </w:tc>
        <w:tc>
          <w:tcPr>
            <w:tcW w:w="705" w:type="pct"/>
            <w:tcBorders>
              <w:top w:val="nil"/>
              <w:left w:val="nil"/>
              <w:bottom w:val="single" w:sz="8" w:space="0" w:color="auto"/>
              <w:right w:val="single" w:sz="8" w:space="0" w:color="auto"/>
            </w:tcBorders>
            <w:shd w:val="clear" w:color="auto" w:fill="auto"/>
            <w:vAlign w:val="center"/>
          </w:tcPr>
          <w:p w14:paraId="4D6F6911" w14:textId="77777777" w:rsidR="00E1515B" w:rsidRPr="002B69C7" w:rsidRDefault="00E1515B" w:rsidP="00E1515B">
            <w:pPr>
              <w:autoSpaceDE w:val="0"/>
              <w:autoSpaceDN w:val="0"/>
              <w:adjustRightInd w:val="0"/>
              <w:jc w:val="center"/>
              <w:rPr>
                <w:rFonts w:ascii="Times New Roman" w:hAnsi="Times New Roman" w:cs="Times New Roman"/>
                <w:color w:val="000000"/>
              </w:rPr>
            </w:pPr>
            <w:r w:rsidRPr="002B69C7">
              <w:rPr>
                <w:rFonts w:ascii="Times New Roman" w:hAnsi="Times New Roman" w:cs="Times New Roman"/>
                <w:color w:val="000000"/>
              </w:rPr>
              <w:t>336 467,7</w:t>
            </w:r>
          </w:p>
        </w:tc>
      </w:tr>
      <w:tr w:rsidR="00E1515B" w:rsidRPr="002B69C7" w14:paraId="4DB31F30" w14:textId="77777777" w:rsidTr="002B69C7">
        <w:trPr>
          <w:trHeight w:val="284"/>
        </w:trPr>
        <w:tc>
          <w:tcPr>
            <w:tcW w:w="2039" w:type="pct"/>
            <w:tcBorders>
              <w:top w:val="nil"/>
              <w:left w:val="single" w:sz="8" w:space="0" w:color="auto"/>
              <w:bottom w:val="single" w:sz="8" w:space="0" w:color="auto"/>
              <w:right w:val="single" w:sz="8" w:space="0" w:color="auto"/>
            </w:tcBorders>
            <w:shd w:val="clear" w:color="auto" w:fill="auto"/>
            <w:vAlign w:val="bottom"/>
          </w:tcPr>
          <w:p w14:paraId="1D0A0727" w14:textId="77777777" w:rsidR="00E1515B" w:rsidRPr="002B69C7" w:rsidRDefault="00E1515B" w:rsidP="00E1515B">
            <w:pPr>
              <w:autoSpaceDE w:val="0"/>
              <w:autoSpaceDN w:val="0"/>
              <w:adjustRightInd w:val="0"/>
              <w:rPr>
                <w:rFonts w:ascii="Times New Roman" w:hAnsi="Times New Roman" w:cs="Times New Roman"/>
                <w:color w:val="000000"/>
              </w:rPr>
            </w:pPr>
            <w:r w:rsidRPr="002B69C7">
              <w:rPr>
                <w:rFonts w:ascii="Times New Roman" w:hAnsi="Times New Roman" w:cs="Times New Roman"/>
                <w:color w:val="000000"/>
              </w:rPr>
              <w:t>Газ горючий природный</w:t>
            </w:r>
          </w:p>
        </w:tc>
        <w:tc>
          <w:tcPr>
            <w:tcW w:w="808" w:type="pct"/>
            <w:tcBorders>
              <w:top w:val="nil"/>
              <w:left w:val="nil"/>
              <w:bottom w:val="single" w:sz="8" w:space="0" w:color="auto"/>
              <w:right w:val="single" w:sz="8" w:space="0" w:color="auto"/>
            </w:tcBorders>
            <w:vAlign w:val="center"/>
          </w:tcPr>
          <w:p w14:paraId="24C12A80" w14:textId="77777777" w:rsidR="00E1515B" w:rsidRPr="002B69C7" w:rsidRDefault="00E1515B" w:rsidP="00E1515B">
            <w:pPr>
              <w:autoSpaceDE w:val="0"/>
              <w:autoSpaceDN w:val="0"/>
              <w:adjustRightInd w:val="0"/>
              <w:jc w:val="center"/>
              <w:rPr>
                <w:rFonts w:ascii="Times New Roman" w:hAnsi="Times New Roman" w:cs="Times New Roman"/>
                <w:color w:val="000000"/>
              </w:rPr>
            </w:pPr>
            <w:r w:rsidRPr="002B69C7">
              <w:rPr>
                <w:rFonts w:ascii="Times New Roman" w:hAnsi="Times New Roman" w:cs="Times New Roman"/>
                <w:color w:val="000000"/>
              </w:rPr>
              <w:t>698 345,3</w:t>
            </w:r>
          </w:p>
        </w:tc>
        <w:tc>
          <w:tcPr>
            <w:tcW w:w="724" w:type="pct"/>
            <w:tcBorders>
              <w:top w:val="nil"/>
              <w:left w:val="single" w:sz="8" w:space="0" w:color="auto"/>
              <w:bottom w:val="single" w:sz="8" w:space="0" w:color="auto"/>
              <w:right w:val="single" w:sz="8" w:space="0" w:color="auto"/>
            </w:tcBorders>
            <w:shd w:val="clear" w:color="auto" w:fill="auto"/>
            <w:vAlign w:val="center"/>
          </w:tcPr>
          <w:p w14:paraId="21884758" w14:textId="77777777" w:rsidR="00E1515B" w:rsidRPr="002B69C7" w:rsidRDefault="00E1515B" w:rsidP="00E1515B">
            <w:pPr>
              <w:autoSpaceDE w:val="0"/>
              <w:autoSpaceDN w:val="0"/>
              <w:adjustRightInd w:val="0"/>
              <w:jc w:val="center"/>
              <w:rPr>
                <w:rFonts w:ascii="Times New Roman" w:hAnsi="Times New Roman" w:cs="Times New Roman"/>
                <w:color w:val="000000"/>
              </w:rPr>
            </w:pPr>
            <w:r w:rsidRPr="002B69C7">
              <w:rPr>
                <w:rFonts w:ascii="Times New Roman" w:hAnsi="Times New Roman" w:cs="Times New Roman"/>
                <w:color w:val="000000"/>
              </w:rPr>
              <w:t>696 580,0</w:t>
            </w:r>
          </w:p>
        </w:tc>
        <w:tc>
          <w:tcPr>
            <w:tcW w:w="724" w:type="pct"/>
            <w:tcBorders>
              <w:top w:val="nil"/>
              <w:left w:val="nil"/>
              <w:bottom w:val="single" w:sz="8" w:space="0" w:color="auto"/>
              <w:right w:val="single" w:sz="8" w:space="0" w:color="auto"/>
            </w:tcBorders>
            <w:shd w:val="clear" w:color="auto" w:fill="auto"/>
            <w:vAlign w:val="center"/>
          </w:tcPr>
          <w:p w14:paraId="0425C274" w14:textId="77777777" w:rsidR="00E1515B" w:rsidRPr="002B69C7" w:rsidRDefault="00E1515B" w:rsidP="00E1515B">
            <w:pPr>
              <w:autoSpaceDE w:val="0"/>
              <w:autoSpaceDN w:val="0"/>
              <w:adjustRightInd w:val="0"/>
              <w:jc w:val="center"/>
              <w:rPr>
                <w:rFonts w:ascii="Times New Roman" w:hAnsi="Times New Roman" w:cs="Times New Roman"/>
                <w:color w:val="000000"/>
              </w:rPr>
            </w:pPr>
            <w:r w:rsidRPr="002B69C7">
              <w:rPr>
                <w:rFonts w:ascii="Times New Roman" w:hAnsi="Times New Roman" w:cs="Times New Roman"/>
                <w:color w:val="000000"/>
              </w:rPr>
              <w:t>757 512,8</w:t>
            </w:r>
          </w:p>
        </w:tc>
        <w:tc>
          <w:tcPr>
            <w:tcW w:w="705" w:type="pct"/>
            <w:tcBorders>
              <w:top w:val="nil"/>
              <w:left w:val="nil"/>
              <w:bottom w:val="single" w:sz="8" w:space="0" w:color="auto"/>
              <w:right w:val="single" w:sz="8" w:space="0" w:color="auto"/>
            </w:tcBorders>
            <w:shd w:val="clear" w:color="auto" w:fill="auto"/>
            <w:vAlign w:val="center"/>
          </w:tcPr>
          <w:p w14:paraId="37A19A8F" w14:textId="77777777" w:rsidR="00E1515B" w:rsidRPr="002B69C7" w:rsidRDefault="00E1515B" w:rsidP="00E1515B">
            <w:pPr>
              <w:autoSpaceDE w:val="0"/>
              <w:autoSpaceDN w:val="0"/>
              <w:adjustRightInd w:val="0"/>
              <w:jc w:val="center"/>
              <w:rPr>
                <w:rFonts w:ascii="Times New Roman" w:hAnsi="Times New Roman" w:cs="Times New Roman"/>
                <w:color w:val="000000"/>
              </w:rPr>
            </w:pPr>
            <w:r w:rsidRPr="002B69C7">
              <w:rPr>
                <w:rFonts w:ascii="Times New Roman" w:hAnsi="Times New Roman" w:cs="Times New Roman"/>
                <w:color w:val="000000"/>
              </w:rPr>
              <w:t>736 946,9</w:t>
            </w:r>
          </w:p>
        </w:tc>
      </w:tr>
      <w:tr w:rsidR="00E1515B" w:rsidRPr="002B69C7" w14:paraId="380BF68C" w14:textId="77777777" w:rsidTr="002B69C7">
        <w:trPr>
          <w:trHeight w:val="284"/>
        </w:trPr>
        <w:tc>
          <w:tcPr>
            <w:tcW w:w="2039" w:type="pct"/>
            <w:tcBorders>
              <w:top w:val="nil"/>
              <w:left w:val="single" w:sz="8" w:space="0" w:color="auto"/>
              <w:bottom w:val="single" w:sz="8" w:space="0" w:color="auto"/>
              <w:right w:val="single" w:sz="8" w:space="0" w:color="auto"/>
            </w:tcBorders>
            <w:shd w:val="clear" w:color="auto" w:fill="auto"/>
            <w:vAlign w:val="bottom"/>
          </w:tcPr>
          <w:p w14:paraId="6BC059F7" w14:textId="77777777" w:rsidR="00E1515B" w:rsidRPr="002B69C7" w:rsidRDefault="00E1515B" w:rsidP="00E1515B">
            <w:pPr>
              <w:autoSpaceDE w:val="0"/>
              <w:autoSpaceDN w:val="0"/>
              <w:adjustRightInd w:val="0"/>
              <w:rPr>
                <w:rFonts w:ascii="Times New Roman" w:hAnsi="Times New Roman" w:cs="Times New Roman"/>
                <w:color w:val="000000"/>
              </w:rPr>
            </w:pPr>
            <w:r w:rsidRPr="002B69C7">
              <w:rPr>
                <w:rFonts w:ascii="Times New Roman" w:hAnsi="Times New Roman" w:cs="Times New Roman"/>
                <w:color w:val="000000"/>
              </w:rPr>
              <w:t>Товары, выработанные из нефти</w:t>
            </w:r>
          </w:p>
        </w:tc>
        <w:tc>
          <w:tcPr>
            <w:tcW w:w="808" w:type="pct"/>
            <w:tcBorders>
              <w:top w:val="nil"/>
              <w:left w:val="nil"/>
              <w:bottom w:val="single" w:sz="8" w:space="0" w:color="auto"/>
              <w:right w:val="single" w:sz="8" w:space="0" w:color="auto"/>
            </w:tcBorders>
            <w:vAlign w:val="center"/>
          </w:tcPr>
          <w:p w14:paraId="4D48374A" w14:textId="77777777" w:rsidR="00E1515B" w:rsidRPr="002B69C7" w:rsidRDefault="00E1515B" w:rsidP="00E1515B">
            <w:pPr>
              <w:autoSpaceDE w:val="0"/>
              <w:autoSpaceDN w:val="0"/>
              <w:adjustRightInd w:val="0"/>
              <w:jc w:val="center"/>
              <w:rPr>
                <w:rFonts w:ascii="Times New Roman" w:hAnsi="Times New Roman" w:cs="Times New Roman"/>
                <w:color w:val="000000"/>
              </w:rPr>
            </w:pPr>
            <w:r w:rsidRPr="002B69C7">
              <w:rPr>
                <w:rFonts w:ascii="Times New Roman" w:hAnsi="Times New Roman" w:cs="Times New Roman"/>
                <w:color w:val="000000"/>
              </w:rPr>
              <w:t>430 054,4</w:t>
            </w:r>
          </w:p>
        </w:tc>
        <w:tc>
          <w:tcPr>
            <w:tcW w:w="724" w:type="pct"/>
            <w:tcBorders>
              <w:top w:val="nil"/>
              <w:left w:val="single" w:sz="8" w:space="0" w:color="auto"/>
              <w:bottom w:val="single" w:sz="8" w:space="0" w:color="auto"/>
              <w:right w:val="single" w:sz="8" w:space="0" w:color="auto"/>
            </w:tcBorders>
            <w:shd w:val="clear" w:color="auto" w:fill="auto"/>
            <w:vAlign w:val="center"/>
          </w:tcPr>
          <w:p w14:paraId="667DF4B6" w14:textId="77777777" w:rsidR="00E1515B" w:rsidRPr="002B69C7" w:rsidRDefault="00E1515B" w:rsidP="00E1515B">
            <w:pPr>
              <w:autoSpaceDE w:val="0"/>
              <w:autoSpaceDN w:val="0"/>
              <w:adjustRightInd w:val="0"/>
              <w:jc w:val="center"/>
              <w:rPr>
                <w:rFonts w:ascii="Times New Roman" w:hAnsi="Times New Roman" w:cs="Times New Roman"/>
                <w:color w:val="000000"/>
              </w:rPr>
            </w:pPr>
            <w:r w:rsidRPr="002B69C7">
              <w:rPr>
                <w:rFonts w:ascii="Times New Roman" w:hAnsi="Times New Roman" w:cs="Times New Roman"/>
                <w:color w:val="000000"/>
              </w:rPr>
              <w:t>288 401,2</w:t>
            </w:r>
          </w:p>
        </w:tc>
        <w:tc>
          <w:tcPr>
            <w:tcW w:w="724" w:type="pct"/>
            <w:tcBorders>
              <w:top w:val="nil"/>
              <w:left w:val="nil"/>
              <w:bottom w:val="single" w:sz="8" w:space="0" w:color="auto"/>
              <w:right w:val="single" w:sz="8" w:space="0" w:color="auto"/>
            </w:tcBorders>
            <w:shd w:val="clear" w:color="auto" w:fill="auto"/>
            <w:vAlign w:val="center"/>
          </w:tcPr>
          <w:p w14:paraId="0921DA5D" w14:textId="77777777" w:rsidR="00E1515B" w:rsidRPr="002B69C7" w:rsidRDefault="00E1515B" w:rsidP="00E1515B">
            <w:pPr>
              <w:autoSpaceDE w:val="0"/>
              <w:autoSpaceDN w:val="0"/>
              <w:adjustRightInd w:val="0"/>
              <w:jc w:val="center"/>
              <w:rPr>
                <w:rFonts w:ascii="Times New Roman" w:hAnsi="Times New Roman" w:cs="Times New Roman"/>
                <w:color w:val="000000"/>
              </w:rPr>
            </w:pPr>
            <w:r w:rsidRPr="002B69C7">
              <w:rPr>
                <w:rFonts w:ascii="Times New Roman" w:hAnsi="Times New Roman" w:cs="Times New Roman"/>
                <w:color w:val="000000"/>
              </w:rPr>
              <w:t>208 035,5</w:t>
            </w:r>
          </w:p>
        </w:tc>
        <w:tc>
          <w:tcPr>
            <w:tcW w:w="705" w:type="pct"/>
            <w:tcBorders>
              <w:top w:val="nil"/>
              <w:left w:val="nil"/>
              <w:bottom w:val="single" w:sz="8" w:space="0" w:color="auto"/>
              <w:right w:val="single" w:sz="8" w:space="0" w:color="auto"/>
            </w:tcBorders>
            <w:shd w:val="clear" w:color="auto" w:fill="auto"/>
            <w:vAlign w:val="center"/>
          </w:tcPr>
          <w:p w14:paraId="72C2D901" w14:textId="77777777" w:rsidR="00E1515B" w:rsidRPr="002B69C7" w:rsidRDefault="00E1515B" w:rsidP="00E1515B">
            <w:pPr>
              <w:autoSpaceDE w:val="0"/>
              <w:autoSpaceDN w:val="0"/>
              <w:adjustRightInd w:val="0"/>
              <w:jc w:val="center"/>
              <w:rPr>
                <w:rFonts w:ascii="Times New Roman" w:hAnsi="Times New Roman" w:cs="Times New Roman"/>
                <w:color w:val="000000"/>
              </w:rPr>
            </w:pPr>
            <w:r w:rsidRPr="002B69C7">
              <w:rPr>
                <w:rFonts w:ascii="Times New Roman" w:hAnsi="Times New Roman" w:cs="Times New Roman"/>
                <w:color w:val="000000"/>
              </w:rPr>
              <w:t>135 850,3</w:t>
            </w:r>
          </w:p>
        </w:tc>
      </w:tr>
      <w:tr w:rsidR="00E1515B" w:rsidRPr="002B69C7" w14:paraId="694B1F0E" w14:textId="77777777" w:rsidTr="002B69C7">
        <w:trPr>
          <w:trHeight w:val="284"/>
        </w:trPr>
        <w:tc>
          <w:tcPr>
            <w:tcW w:w="2039" w:type="pct"/>
            <w:tcBorders>
              <w:top w:val="nil"/>
              <w:left w:val="single" w:sz="8" w:space="0" w:color="auto"/>
              <w:bottom w:val="single" w:sz="8" w:space="0" w:color="auto"/>
              <w:right w:val="single" w:sz="8" w:space="0" w:color="auto"/>
            </w:tcBorders>
            <w:shd w:val="clear" w:color="auto" w:fill="auto"/>
            <w:vAlign w:val="center"/>
            <w:hideMark/>
          </w:tcPr>
          <w:p w14:paraId="3DFE2403" w14:textId="77777777" w:rsidR="00E1515B" w:rsidRPr="002B69C7" w:rsidRDefault="00E1515B" w:rsidP="00E1515B">
            <w:pPr>
              <w:jc w:val="both"/>
              <w:rPr>
                <w:rFonts w:ascii="Times New Roman" w:hAnsi="Times New Roman" w:cs="Times New Roman"/>
                <w:b/>
                <w:color w:val="000000"/>
              </w:rPr>
            </w:pPr>
            <w:r w:rsidRPr="002B69C7">
              <w:rPr>
                <w:rFonts w:ascii="Times New Roman" w:hAnsi="Times New Roman" w:cs="Times New Roman"/>
                <w:b/>
                <w:color w:val="000000"/>
              </w:rPr>
              <w:t xml:space="preserve">Акциз на нефтяное сырье, направленное на переработку (без </w:t>
            </w:r>
            <w:proofErr w:type="spellStart"/>
            <w:r w:rsidRPr="002B69C7">
              <w:rPr>
                <w:rFonts w:ascii="Times New Roman" w:hAnsi="Times New Roman" w:cs="Times New Roman"/>
                <w:b/>
                <w:color w:val="000000"/>
              </w:rPr>
              <w:t>Кдемп</w:t>
            </w:r>
            <w:proofErr w:type="spellEnd"/>
            <w:r w:rsidRPr="002B69C7">
              <w:rPr>
                <w:rFonts w:ascii="Times New Roman" w:hAnsi="Times New Roman" w:cs="Times New Roman"/>
                <w:b/>
                <w:color w:val="000000"/>
              </w:rPr>
              <w:t>)</w:t>
            </w:r>
          </w:p>
        </w:tc>
        <w:tc>
          <w:tcPr>
            <w:tcW w:w="808" w:type="pct"/>
            <w:tcBorders>
              <w:top w:val="nil"/>
              <w:left w:val="nil"/>
              <w:bottom w:val="single" w:sz="8" w:space="0" w:color="auto"/>
              <w:right w:val="single" w:sz="8" w:space="0" w:color="auto"/>
            </w:tcBorders>
            <w:vAlign w:val="center"/>
          </w:tcPr>
          <w:p w14:paraId="59B8680C" w14:textId="77777777" w:rsidR="00E1515B" w:rsidRPr="002B69C7" w:rsidRDefault="00E1515B" w:rsidP="00E1515B">
            <w:pPr>
              <w:jc w:val="center"/>
              <w:rPr>
                <w:rFonts w:ascii="Times New Roman" w:hAnsi="Times New Roman" w:cs="Times New Roman"/>
                <w:b/>
                <w:color w:val="000000"/>
              </w:rPr>
            </w:pPr>
            <w:r w:rsidRPr="002B69C7">
              <w:rPr>
                <w:rFonts w:ascii="Times New Roman" w:hAnsi="Times New Roman" w:cs="Times New Roman"/>
                <w:b/>
                <w:color w:val="000000"/>
              </w:rPr>
              <w:t>-130 282,3</w:t>
            </w:r>
          </w:p>
        </w:tc>
        <w:tc>
          <w:tcPr>
            <w:tcW w:w="724" w:type="pct"/>
            <w:tcBorders>
              <w:top w:val="nil"/>
              <w:left w:val="single" w:sz="8" w:space="0" w:color="auto"/>
              <w:bottom w:val="single" w:sz="8" w:space="0" w:color="auto"/>
              <w:right w:val="single" w:sz="8" w:space="0" w:color="auto"/>
            </w:tcBorders>
            <w:shd w:val="clear" w:color="auto" w:fill="auto"/>
            <w:vAlign w:val="center"/>
            <w:hideMark/>
          </w:tcPr>
          <w:p w14:paraId="127C6FDA" w14:textId="77777777" w:rsidR="00E1515B" w:rsidRPr="002B69C7" w:rsidRDefault="00E1515B" w:rsidP="00E1515B">
            <w:pPr>
              <w:jc w:val="center"/>
              <w:rPr>
                <w:rFonts w:ascii="Times New Roman" w:hAnsi="Times New Roman" w:cs="Times New Roman"/>
                <w:b/>
                <w:color w:val="000000"/>
              </w:rPr>
            </w:pPr>
            <w:r w:rsidRPr="002B69C7">
              <w:rPr>
                <w:rFonts w:ascii="Times New Roman" w:hAnsi="Times New Roman" w:cs="Times New Roman"/>
                <w:b/>
                <w:color w:val="000000"/>
              </w:rPr>
              <w:t>-251 453,9</w:t>
            </w:r>
          </w:p>
        </w:tc>
        <w:tc>
          <w:tcPr>
            <w:tcW w:w="724" w:type="pct"/>
            <w:tcBorders>
              <w:top w:val="nil"/>
              <w:left w:val="nil"/>
              <w:bottom w:val="single" w:sz="8" w:space="0" w:color="auto"/>
              <w:right w:val="single" w:sz="8" w:space="0" w:color="auto"/>
            </w:tcBorders>
            <w:shd w:val="clear" w:color="auto" w:fill="auto"/>
            <w:vAlign w:val="center"/>
            <w:hideMark/>
          </w:tcPr>
          <w:p w14:paraId="4ADBA95B" w14:textId="77777777" w:rsidR="00E1515B" w:rsidRPr="002B69C7" w:rsidRDefault="00E1515B" w:rsidP="00E1515B">
            <w:pPr>
              <w:jc w:val="center"/>
              <w:rPr>
                <w:rFonts w:ascii="Times New Roman" w:hAnsi="Times New Roman" w:cs="Times New Roman"/>
                <w:b/>
                <w:color w:val="000000"/>
              </w:rPr>
            </w:pPr>
            <w:r w:rsidRPr="002B69C7">
              <w:rPr>
                <w:rFonts w:ascii="Times New Roman" w:hAnsi="Times New Roman" w:cs="Times New Roman"/>
                <w:b/>
                <w:color w:val="000000"/>
              </w:rPr>
              <w:t>-387 367,8</w:t>
            </w:r>
          </w:p>
        </w:tc>
        <w:tc>
          <w:tcPr>
            <w:tcW w:w="705" w:type="pct"/>
            <w:tcBorders>
              <w:top w:val="nil"/>
              <w:left w:val="nil"/>
              <w:bottom w:val="single" w:sz="8" w:space="0" w:color="auto"/>
              <w:right w:val="single" w:sz="8" w:space="0" w:color="auto"/>
            </w:tcBorders>
            <w:shd w:val="clear" w:color="auto" w:fill="auto"/>
            <w:vAlign w:val="center"/>
            <w:hideMark/>
          </w:tcPr>
          <w:p w14:paraId="67FCD382" w14:textId="77777777" w:rsidR="00E1515B" w:rsidRPr="002B69C7" w:rsidRDefault="00E1515B" w:rsidP="00E1515B">
            <w:pPr>
              <w:jc w:val="center"/>
              <w:rPr>
                <w:rFonts w:ascii="Times New Roman" w:hAnsi="Times New Roman" w:cs="Times New Roman"/>
                <w:b/>
                <w:color w:val="000000"/>
              </w:rPr>
            </w:pPr>
            <w:r w:rsidRPr="002B69C7">
              <w:rPr>
                <w:rFonts w:ascii="Times New Roman" w:hAnsi="Times New Roman" w:cs="Times New Roman"/>
                <w:b/>
                <w:color w:val="000000"/>
              </w:rPr>
              <w:t>-522 610,2</w:t>
            </w:r>
          </w:p>
        </w:tc>
      </w:tr>
      <w:tr w:rsidR="00E1515B" w:rsidRPr="002B69C7" w14:paraId="2713FA79" w14:textId="77777777" w:rsidTr="002B69C7">
        <w:trPr>
          <w:trHeight w:val="284"/>
        </w:trPr>
        <w:tc>
          <w:tcPr>
            <w:tcW w:w="2039" w:type="pct"/>
            <w:tcBorders>
              <w:top w:val="nil"/>
              <w:left w:val="single" w:sz="8" w:space="0" w:color="auto"/>
              <w:bottom w:val="single" w:sz="8" w:space="0" w:color="auto"/>
              <w:right w:val="single" w:sz="8" w:space="0" w:color="auto"/>
            </w:tcBorders>
            <w:shd w:val="clear" w:color="auto" w:fill="auto"/>
            <w:vAlign w:val="center"/>
          </w:tcPr>
          <w:p w14:paraId="01F34D75" w14:textId="77777777" w:rsidR="00E1515B" w:rsidRPr="002B69C7" w:rsidRDefault="00E1515B" w:rsidP="00E1515B">
            <w:pPr>
              <w:jc w:val="both"/>
              <w:rPr>
                <w:rFonts w:ascii="Times New Roman" w:hAnsi="Times New Roman" w:cs="Times New Roman"/>
                <w:b/>
                <w:color w:val="000000"/>
              </w:rPr>
            </w:pPr>
            <w:r w:rsidRPr="002B69C7">
              <w:rPr>
                <w:rFonts w:ascii="Times New Roman" w:hAnsi="Times New Roman" w:cs="Times New Roman"/>
                <w:b/>
                <w:color w:val="000000"/>
              </w:rPr>
              <w:t>Демпфирующая компонента (</w:t>
            </w:r>
            <w:proofErr w:type="spellStart"/>
            <w:r w:rsidRPr="002B69C7">
              <w:rPr>
                <w:rFonts w:ascii="Times New Roman" w:hAnsi="Times New Roman" w:cs="Times New Roman"/>
                <w:b/>
                <w:color w:val="000000"/>
              </w:rPr>
              <w:t>Кдемп</w:t>
            </w:r>
            <w:proofErr w:type="spellEnd"/>
            <w:r w:rsidRPr="002B69C7">
              <w:rPr>
                <w:rFonts w:ascii="Times New Roman" w:hAnsi="Times New Roman" w:cs="Times New Roman"/>
                <w:b/>
                <w:color w:val="000000"/>
              </w:rPr>
              <w:t>)</w:t>
            </w:r>
          </w:p>
        </w:tc>
        <w:tc>
          <w:tcPr>
            <w:tcW w:w="808" w:type="pct"/>
            <w:tcBorders>
              <w:top w:val="nil"/>
              <w:left w:val="nil"/>
              <w:bottom w:val="single" w:sz="8" w:space="0" w:color="auto"/>
              <w:right w:val="single" w:sz="8" w:space="0" w:color="auto"/>
            </w:tcBorders>
            <w:vAlign w:val="center"/>
          </w:tcPr>
          <w:p w14:paraId="6DEF2E29" w14:textId="77777777" w:rsidR="00E1515B" w:rsidRPr="002B69C7" w:rsidRDefault="00E1515B" w:rsidP="00E1515B">
            <w:pPr>
              <w:jc w:val="center"/>
              <w:rPr>
                <w:rFonts w:ascii="Times New Roman" w:hAnsi="Times New Roman" w:cs="Times New Roman"/>
                <w:b/>
                <w:color w:val="000000"/>
              </w:rPr>
            </w:pPr>
            <w:r w:rsidRPr="002B69C7">
              <w:rPr>
                <w:rFonts w:ascii="Times New Roman" w:hAnsi="Times New Roman" w:cs="Times New Roman"/>
                <w:b/>
                <w:color w:val="000000"/>
              </w:rPr>
              <w:t>-257 864,5</w:t>
            </w:r>
          </w:p>
        </w:tc>
        <w:tc>
          <w:tcPr>
            <w:tcW w:w="724" w:type="pct"/>
            <w:tcBorders>
              <w:top w:val="nil"/>
              <w:left w:val="single" w:sz="8" w:space="0" w:color="auto"/>
              <w:bottom w:val="single" w:sz="8" w:space="0" w:color="auto"/>
              <w:right w:val="single" w:sz="8" w:space="0" w:color="auto"/>
            </w:tcBorders>
            <w:shd w:val="clear" w:color="auto" w:fill="auto"/>
            <w:vAlign w:val="center"/>
          </w:tcPr>
          <w:p w14:paraId="0BCABEA1" w14:textId="77777777" w:rsidR="00E1515B" w:rsidRPr="002B69C7" w:rsidRDefault="00E1515B" w:rsidP="00E1515B">
            <w:pPr>
              <w:jc w:val="center"/>
              <w:rPr>
                <w:rFonts w:ascii="Times New Roman" w:hAnsi="Times New Roman" w:cs="Times New Roman"/>
                <w:b/>
                <w:color w:val="000000"/>
              </w:rPr>
            </w:pPr>
            <w:r w:rsidRPr="002B69C7">
              <w:rPr>
                <w:rFonts w:ascii="Times New Roman" w:hAnsi="Times New Roman" w:cs="Times New Roman"/>
                <w:b/>
                <w:color w:val="000000"/>
              </w:rPr>
              <w:t>-77 606,0</w:t>
            </w:r>
          </w:p>
        </w:tc>
        <w:tc>
          <w:tcPr>
            <w:tcW w:w="724" w:type="pct"/>
            <w:tcBorders>
              <w:top w:val="nil"/>
              <w:left w:val="nil"/>
              <w:bottom w:val="single" w:sz="8" w:space="0" w:color="auto"/>
              <w:right w:val="single" w:sz="8" w:space="0" w:color="auto"/>
            </w:tcBorders>
            <w:shd w:val="clear" w:color="auto" w:fill="auto"/>
            <w:vAlign w:val="center"/>
          </w:tcPr>
          <w:p w14:paraId="7BFFE7E6" w14:textId="77777777" w:rsidR="00E1515B" w:rsidRPr="002B69C7" w:rsidRDefault="00E1515B" w:rsidP="00E1515B">
            <w:pPr>
              <w:jc w:val="center"/>
              <w:rPr>
                <w:rFonts w:ascii="Times New Roman" w:hAnsi="Times New Roman" w:cs="Times New Roman"/>
                <w:b/>
                <w:color w:val="000000"/>
              </w:rPr>
            </w:pPr>
            <w:r w:rsidRPr="002B69C7">
              <w:rPr>
                <w:rFonts w:ascii="Times New Roman" w:hAnsi="Times New Roman" w:cs="Times New Roman"/>
                <w:b/>
                <w:color w:val="000000"/>
              </w:rPr>
              <w:t>40 781,9</w:t>
            </w:r>
          </w:p>
        </w:tc>
        <w:tc>
          <w:tcPr>
            <w:tcW w:w="705" w:type="pct"/>
            <w:tcBorders>
              <w:top w:val="nil"/>
              <w:left w:val="nil"/>
              <w:bottom w:val="single" w:sz="8" w:space="0" w:color="auto"/>
              <w:right w:val="single" w:sz="8" w:space="0" w:color="auto"/>
            </w:tcBorders>
            <w:shd w:val="clear" w:color="auto" w:fill="auto"/>
            <w:vAlign w:val="center"/>
          </w:tcPr>
          <w:p w14:paraId="2370525A" w14:textId="77777777" w:rsidR="00E1515B" w:rsidRPr="002B69C7" w:rsidRDefault="00E1515B" w:rsidP="00E1515B">
            <w:pPr>
              <w:jc w:val="center"/>
              <w:rPr>
                <w:rFonts w:ascii="Times New Roman" w:hAnsi="Times New Roman" w:cs="Times New Roman"/>
                <w:b/>
                <w:color w:val="000000"/>
              </w:rPr>
            </w:pPr>
            <w:r w:rsidRPr="002B69C7">
              <w:rPr>
                <w:rFonts w:ascii="Times New Roman" w:hAnsi="Times New Roman" w:cs="Times New Roman"/>
                <w:b/>
                <w:color w:val="000000"/>
              </w:rPr>
              <w:t>159 093,2</w:t>
            </w:r>
          </w:p>
        </w:tc>
      </w:tr>
      <w:tr w:rsidR="00E1515B" w:rsidRPr="002B69C7" w14:paraId="2F60945A" w14:textId="77777777" w:rsidTr="002B69C7">
        <w:trPr>
          <w:trHeight w:val="284"/>
        </w:trPr>
        <w:tc>
          <w:tcPr>
            <w:tcW w:w="2039" w:type="pct"/>
            <w:tcBorders>
              <w:top w:val="nil"/>
              <w:left w:val="single" w:sz="8" w:space="0" w:color="auto"/>
              <w:bottom w:val="single" w:sz="8" w:space="0" w:color="auto"/>
              <w:right w:val="single" w:sz="8" w:space="0" w:color="auto"/>
            </w:tcBorders>
            <w:shd w:val="clear" w:color="auto" w:fill="auto"/>
            <w:vAlign w:val="center"/>
            <w:hideMark/>
          </w:tcPr>
          <w:p w14:paraId="447CBB24" w14:textId="77777777" w:rsidR="00E1515B" w:rsidRPr="002B69C7" w:rsidRDefault="00E1515B" w:rsidP="00E1515B">
            <w:pPr>
              <w:jc w:val="both"/>
              <w:rPr>
                <w:rFonts w:ascii="Times New Roman" w:hAnsi="Times New Roman" w:cs="Times New Roman"/>
                <w:b/>
                <w:color w:val="000000"/>
              </w:rPr>
            </w:pPr>
            <w:r w:rsidRPr="002B69C7">
              <w:rPr>
                <w:rFonts w:ascii="Times New Roman" w:hAnsi="Times New Roman" w:cs="Times New Roman"/>
                <w:b/>
                <w:color w:val="000000"/>
              </w:rPr>
              <w:t>НДД</w:t>
            </w:r>
          </w:p>
        </w:tc>
        <w:tc>
          <w:tcPr>
            <w:tcW w:w="808" w:type="pct"/>
            <w:tcBorders>
              <w:top w:val="nil"/>
              <w:left w:val="nil"/>
              <w:bottom w:val="single" w:sz="8" w:space="0" w:color="auto"/>
              <w:right w:val="single" w:sz="8" w:space="0" w:color="auto"/>
            </w:tcBorders>
            <w:vAlign w:val="center"/>
          </w:tcPr>
          <w:p w14:paraId="00241CFD" w14:textId="77777777" w:rsidR="00E1515B" w:rsidRPr="002B69C7" w:rsidRDefault="00E1515B" w:rsidP="00E1515B">
            <w:pPr>
              <w:jc w:val="center"/>
              <w:rPr>
                <w:rFonts w:ascii="Times New Roman" w:hAnsi="Times New Roman" w:cs="Times New Roman"/>
                <w:b/>
                <w:color w:val="000000"/>
              </w:rPr>
            </w:pPr>
            <w:r w:rsidRPr="002B69C7">
              <w:rPr>
                <w:rFonts w:ascii="Times New Roman" w:hAnsi="Times New Roman" w:cs="Times New Roman"/>
                <w:b/>
                <w:color w:val="000000"/>
              </w:rPr>
              <w:t>84 437,2</w:t>
            </w:r>
          </w:p>
        </w:tc>
        <w:tc>
          <w:tcPr>
            <w:tcW w:w="724" w:type="pct"/>
            <w:tcBorders>
              <w:top w:val="nil"/>
              <w:left w:val="single" w:sz="8" w:space="0" w:color="auto"/>
              <w:bottom w:val="single" w:sz="8" w:space="0" w:color="auto"/>
              <w:right w:val="single" w:sz="8" w:space="0" w:color="auto"/>
            </w:tcBorders>
            <w:shd w:val="clear" w:color="auto" w:fill="auto"/>
            <w:vAlign w:val="center"/>
            <w:hideMark/>
          </w:tcPr>
          <w:p w14:paraId="0478BF46" w14:textId="77777777" w:rsidR="00E1515B" w:rsidRPr="002B69C7" w:rsidRDefault="00E1515B" w:rsidP="00E1515B">
            <w:pPr>
              <w:jc w:val="center"/>
              <w:rPr>
                <w:rFonts w:ascii="Times New Roman" w:hAnsi="Times New Roman" w:cs="Times New Roman"/>
                <w:b/>
                <w:color w:val="000000"/>
              </w:rPr>
            </w:pPr>
            <w:r w:rsidRPr="002B69C7">
              <w:rPr>
                <w:rFonts w:ascii="Times New Roman" w:hAnsi="Times New Roman" w:cs="Times New Roman"/>
                <w:b/>
                <w:color w:val="000000"/>
              </w:rPr>
              <w:t>95 901,9</w:t>
            </w:r>
          </w:p>
        </w:tc>
        <w:tc>
          <w:tcPr>
            <w:tcW w:w="724" w:type="pct"/>
            <w:tcBorders>
              <w:top w:val="nil"/>
              <w:left w:val="nil"/>
              <w:bottom w:val="single" w:sz="8" w:space="0" w:color="auto"/>
              <w:right w:val="single" w:sz="8" w:space="0" w:color="auto"/>
            </w:tcBorders>
            <w:shd w:val="clear" w:color="auto" w:fill="auto"/>
            <w:vAlign w:val="center"/>
            <w:hideMark/>
          </w:tcPr>
          <w:p w14:paraId="274E9E19" w14:textId="77777777" w:rsidR="00E1515B" w:rsidRPr="002B69C7" w:rsidRDefault="00E1515B" w:rsidP="00E1515B">
            <w:pPr>
              <w:jc w:val="center"/>
              <w:rPr>
                <w:rFonts w:ascii="Times New Roman" w:hAnsi="Times New Roman" w:cs="Times New Roman"/>
                <w:b/>
                <w:color w:val="000000"/>
              </w:rPr>
            </w:pPr>
            <w:r w:rsidRPr="002B69C7">
              <w:rPr>
                <w:rFonts w:ascii="Times New Roman" w:hAnsi="Times New Roman" w:cs="Times New Roman"/>
                <w:b/>
                <w:color w:val="000000"/>
              </w:rPr>
              <w:t>84 058,2</w:t>
            </w:r>
          </w:p>
        </w:tc>
        <w:tc>
          <w:tcPr>
            <w:tcW w:w="705" w:type="pct"/>
            <w:tcBorders>
              <w:top w:val="nil"/>
              <w:left w:val="nil"/>
              <w:bottom w:val="single" w:sz="8" w:space="0" w:color="auto"/>
              <w:right w:val="single" w:sz="8" w:space="0" w:color="auto"/>
            </w:tcBorders>
            <w:shd w:val="clear" w:color="auto" w:fill="auto"/>
            <w:vAlign w:val="center"/>
            <w:hideMark/>
          </w:tcPr>
          <w:p w14:paraId="0E13F9BE" w14:textId="77777777" w:rsidR="00E1515B" w:rsidRPr="002B69C7" w:rsidRDefault="00E1515B" w:rsidP="00E1515B">
            <w:pPr>
              <w:jc w:val="center"/>
              <w:rPr>
                <w:rFonts w:ascii="Times New Roman" w:hAnsi="Times New Roman" w:cs="Times New Roman"/>
                <w:b/>
                <w:color w:val="000000"/>
              </w:rPr>
            </w:pPr>
            <w:r w:rsidRPr="002B69C7">
              <w:rPr>
                <w:rFonts w:ascii="Times New Roman" w:hAnsi="Times New Roman" w:cs="Times New Roman"/>
                <w:b/>
                <w:color w:val="000000"/>
              </w:rPr>
              <w:t>80 842,5</w:t>
            </w:r>
          </w:p>
        </w:tc>
      </w:tr>
    </w:tbl>
    <w:p w14:paraId="272803DF" w14:textId="77777777" w:rsidR="00E1515B" w:rsidRPr="00E1515B" w:rsidRDefault="00E1515B" w:rsidP="00E1515B">
      <w:pPr>
        <w:autoSpaceDE w:val="0"/>
        <w:autoSpaceDN w:val="0"/>
        <w:adjustRightInd w:val="0"/>
        <w:spacing w:line="336" w:lineRule="auto"/>
        <w:ind w:firstLine="709"/>
        <w:jc w:val="both"/>
        <w:rPr>
          <w:rFonts w:ascii="Times New Roman" w:hAnsi="Times New Roman" w:cs="Times New Roman"/>
          <w:color w:val="000000"/>
          <w:sz w:val="28"/>
          <w:szCs w:val="28"/>
        </w:rPr>
      </w:pPr>
    </w:p>
    <w:p w14:paraId="45294290" w14:textId="62EC1C2C" w:rsidR="00E1515B" w:rsidRPr="00E1515B" w:rsidRDefault="00E1515B" w:rsidP="00E1515B">
      <w:pPr>
        <w:spacing w:line="360" w:lineRule="auto"/>
        <w:ind w:firstLine="709"/>
        <w:jc w:val="both"/>
        <w:rPr>
          <w:rFonts w:ascii="Times New Roman" w:hAnsi="Times New Roman" w:cs="Times New Roman"/>
          <w:sz w:val="28"/>
          <w:szCs w:val="28"/>
          <w:lang w:eastAsia="en-US"/>
        </w:rPr>
      </w:pPr>
      <w:r w:rsidRPr="00E1515B">
        <w:rPr>
          <w:rFonts w:ascii="Times New Roman" w:hAnsi="Times New Roman" w:cs="Times New Roman"/>
          <w:sz w:val="28"/>
          <w:szCs w:val="28"/>
          <w:lang w:eastAsia="en-US"/>
        </w:rPr>
        <w:t>По сравнению с уточненной оценкой поступлений за 2019 г. в 2020 г. прогнозируется рост НДПИ по углеводородному сырью</w:t>
      </w:r>
      <w:r w:rsidRPr="00E1515B">
        <w:rPr>
          <w:rFonts w:ascii="Times New Roman" w:hAnsi="Times New Roman" w:cs="Times New Roman"/>
          <w:spacing w:val="-4"/>
          <w:sz w:val="28"/>
          <w:szCs w:val="28"/>
          <w:lang w:eastAsia="en-US"/>
        </w:rPr>
        <w:t xml:space="preserve"> на</w:t>
      </w:r>
      <w:r w:rsidRPr="00E1515B">
        <w:rPr>
          <w:rFonts w:ascii="Times New Roman" w:hAnsi="Times New Roman" w:cs="Times New Roman"/>
          <w:sz w:val="28"/>
          <w:szCs w:val="28"/>
          <w:lang w:eastAsia="en-US"/>
        </w:rPr>
        <w:t xml:space="preserve"> 25 744,6 млн. рублей</w:t>
      </w:r>
      <w:r w:rsidR="002B69C7">
        <w:rPr>
          <w:rFonts w:ascii="Times New Roman" w:hAnsi="Times New Roman" w:cs="Times New Roman"/>
          <w:sz w:val="28"/>
          <w:szCs w:val="28"/>
          <w:lang w:eastAsia="en-US"/>
        </w:rPr>
        <w:t xml:space="preserve"> (0,4%), в 2021 г.</w:t>
      </w:r>
      <w:r w:rsidRPr="00E1515B">
        <w:rPr>
          <w:rFonts w:ascii="Times New Roman" w:hAnsi="Times New Roman" w:cs="Times New Roman"/>
          <w:sz w:val="28"/>
          <w:szCs w:val="28"/>
          <w:lang w:eastAsia="en-US"/>
        </w:rPr>
        <w:t xml:space="preserve"> по сравнению с 2020 г. – на 464 930,0 млн. рублей (7,8%), в 2022 г. по сравнению с 2021 г. – на 359 784,3 млн. рублей</w:t>
      </w:r>
      <w:r w:rsidRPr="00E1515B">
        <w:rPr>
          <w:rFonts w:ascii="Times New Roman" w:hAnsi="Times New Roman" w:cs="Times New Roman"/>
          <w:sz w:val="28"/>
          <w:szCs w:val="28"/>
        </w:rPr>
        <w:t xml:space="preserve"> </w:t>
      </w:r>
      <w:r w:rsidRPr="00E1515B">
        <w:rPr>
          <w:rFonts w:ascii="Times New Roman" w:hAnsi="Times New Roman" w:cs="Times New Roman"/>
          <w:sz w:val="28"/>
          <w:szCs w:val="28"/>
          <w:lang w:eastAsia="en-US"/>
        </w:rPr>
        <w:t>(5,6%).</w:t>
      </w:r>
    </w:p>
    <w:p w14:paraId="5AEB6783" w14:textId="3501EE76" w:rsidR="00E1515B" w:rsidRPr="00E1515B" w:rsidRDefault="00E1515B" w:rsidP="00E1515B">
      <w:pPr>
        <w:spacing w:line="360" w:lineRule="auto"/>
        <w:ind w:firstLine="709"/>
        <w:jc w:val="both"/>
        <w:rPr>
          <w:rFonts w:ascii="Times New Roman" w:hAnsi="Times New Roman" w:cs="Times New Roman"/>
          <w:sz w:val="28"/>
          <w:szCs w:val="28"/>
        </w:rPr>
      </w:pPr>
      <w:r w:rsidRPr="00E1515B">
        <w:rPr>
          <w:rFonts w:ascii="Times New Roman" w:hAnsi="Times New Roman" w:cs="Times New Roman"/>
          <w:sz w:val="28"/>
          <w:szCs w:val="28"/>
        </w:rPr>
        <w:t xml:space="preserve">Доходы от взимания </w:t>
      </w:r>
      <w:r w:rsidRPr="00E1515B">
        <w:rPr>
          <w:rFonts w:ascii="Times New Roman" w:hAnsi="Times New Roman" w:cs="Times New Roman"/>
          <w:snapToGrid w:val="0"/>
          <w:sz w:val="28"/>
          <w:szCs w:val="28"/>
        </w:rPr>
        <w:t>вывозных таможенных пошлин</w:t>
      </w:r>
      <w:r w:rsidRPr="00E1515B">
        <w:rPr>
          <w:rFonts w:ascii="Times New Roman" w:hAnsi="Times New Roman" w:cs="Times New Roman"/>
          <w:sz w:val="28"/>
          <w:szCs w:val="28"/>
        </w:rPr>
        <w:t xml:space="preserve"> на углеводороды сократятся: в 2020 г. по сравнению </w:t>
      </w:r>
      <w:r w:rsidRPr="00E1515B">
        <w:rPr>
          <w:rFonts w:ascii="Times New Roman" w:hAnsi="Times New Roman" w:cs="Times New Roman"/>
          <w:sz w:val="28"/>
          <w:szCs w:val="28"/>
          <w:lang w:eastAsia="en-US"/>
        </w:rPr>
        <w:t xml:space="preserve">с уточненной оценкой поступлений за 2019 г. </w:t>
      </w:r>
      <w:r w:rsidRPr="00E1515B">
        <w:rPr>
          <w:rFonts w:ascii="Times New Roman" w:hAnsi="Times New Roman" w:cs="Times New Roman"/>
          <w:sz w:val="28"/>
          <w:szCs w:val="28"/>
        </w:rPr>
        <w:t xml:space="preserve">на 469 523,4 млн. рублей (- 21,4%), </w:t>
      </w:r>
      <w:r w:rsidR="002B69C7">
        <w:rPr>
          <w:rFonts w:ascii="Times New Roman" w:hAnsi="Times New Roman" w:cs="Times New Roman"/>
          <w:sz w:val="28"/>
          <w:szCs w:val="28"/>
          <w:lang w:eastAsia="en-US"/>
        </w:rPr>
        <w:t xml:space="preserve">в 2021 г. </w:t>
      </w:r>
      <w:r w:rsidRPr="00E1515B">
        <w:rPr>
          <w:rFonts w:ascii="Times New Roman" w:hAnsi="Times New Roman" w:cs="Times New Roman"/>
          <w:sz w:val="28"/>
          <w:szCs w:val="28"/>
          <w:lang w:eastAsia="en-US"/>
        </w:rPr>
        <w:t xml:space="preserve">по сравнению с 2020 г. – на </w:t>
      </w:r>
      <w:r w:rsidRPr="00E1515B">
        <w:rPr>
          <w:rFonts w:ascii="Times New Roman" w:hAnsi="Times New Roman" w:cs="Times New Roman"/>
          <w:sz w:val="28"/>
          <w:szCs w:val="28"/>
        </w:rPr>
        <w:t xml:space="preserve">228 394,2 млн. рублей (- 13,2%), </w:t>
      </w:r>
      <w:r w:rsidRPr="00E1515B">
        <w:rPr>
          <w:rFonts w:ascii="Times New Roman" w:hAnsi="Times New Roman" w:cs="Times New Roman"/>
          <w:sz w:val="28"/>
          <w:szCs w:val="28"/>
          <w:lang w:eastAsia="en-US"/>
        </w:rPr>
        <w:t xml:space="preserve">в 2022 г. по сравнению с 2021 г. – на </w:t>
      </w:r>
      <w:r w:rsidRPr="00E1515B">
        <w:rPr>
          <w:rFonts w:ascii="Times New Roman" w:hAnsi="Times New Roman" w:cs="Times New Roman"/>
          <w:sz w:val="28"/>
          <w:szCs w:val="28"/>
        </w:rPr>
        <w:t>288 424,8 млн. рублей (- 19,3%).</w:t>
      </w:r>
    </w:p>
    <w:p w14:paraId="13EF02FB" w14:textId="77777777" w:rsidR="00E1515B" w:rsidRPr="00E1515B" w:rsidRDefault="00E1515B" w:rsidP="00E1515B">
      <w:pPr>
        <w:autoSpaceDE w:val="0"/>
        <w:autoSpaceDN w:val="0"/>
        <w:adjustRightInd w:val="0"/>
        <w:spacing w:line="336" w:lineRule="auto"/>
        <w:ind w:firstLine="709"/>
        <w:jc w:val="both"/>
        <w:rPr>
          <w:rFonts w:ascii="Times New Roman" w:hAnsi="Times New Roman" w:cs="Times New Roman"/>
          <w:color w:val="000000"/>
          <w:sz w:val="28"/>
          <w:szCs w:val="28"/>
        </w:rPr>
      </w:pPr>
      <w:r w:rsidRPr="00E1515B">
        <w:rPr>
          <w:rFonts w:ascii="Times New Roman" w:hAnsi="Times New Roman" w:cs="Times New Roman"/>
          <w:color w:val="000000"/>
          <w:sz w:val="28"/>
          <w:szCs w:val="28"/>
        </w:rPr>
        <w:t xml:space="preserve">Снижение нефтегазовых доходов федерального бюджета по отношению к ВВП почти на четверть с 2019 г. по 2022 г. прогнозируется вследствие следующих факторов: отрицательной динамики цен на энергоносители при </w:t>
      </w:r>
      <w:proofErr w:type="spellStart"/>
      <w:r w:rsidRPr="00E1515B">
        <w:rPr>
          <w:rFonts w:ascii="Times New Roman" w:hAnsi="Times New Roman" w:cs="Times New Roman"/>
          <w:color w:val="000000"/>
          <w:sz w:val="28"/>
          <w:szCs w:val="28"/>
        </w:rPr>
        <w:t>таргетируемом</w:t>
      </w:r>
      <w:proofErr w:type="spellEnd"/>
      <w:r w:rsidRPr="00E1515B">
        <w:rPr>
          <w:rFonts w:ascii="Times New Roman" w:hAnsi="Times New Roman" w:cs="Times New Roman"/>
          <w:color w:val="000000"/>
          <w:sz w:val="28"/>
          <w:szCs w:val="28"/>
        </w:rPr>
        <w:t xml:space="preserve"> курсе рубля к доллару США; сокращения доли нефтегазового сектора в структуре ВВП на фоне снижения темпов роста физических объемов добычи и экспорта углеводородов; роста налоговых расходов в отношении предприятий ТЭК. </w:t>
      </w:r>
    </w:p>
    <w:p w14:paraId="53520A5C" w14:textId="259AA1DE" w:rsidR="00E1515B" w:rsidRDefault="00E1515B" w:rsidP="00E1515B">
      <w:pPr>
        <w:autoSpaceDE w:val="0"/>
        <w:autoSpaceDN w:val="0"/>
        <w:adjustRightInd w:val="0"/>
        <w:spacing w:line="360" w:lineRule="auto"/>
        <w:ind w:firstLine="709"/>
        <w:jc w:val="both"/>
        <w:rPr>
          <w:rFonts w:ascii="Times New Roman" w:hAnsi="Times New Roman" w:cs="Times New Roman"/>
          <w:color w:val="000000"/>
          <w:sz w:val="28"/>
          <w:szCs w:val="28"/>
        </w:rPr>
      </w:pPr>
      <w:r w:rsidRPr="00E1515B">
        <w:rPr>
          <w:rFonts w:ascii="Times New Roman" w:hAnsi="Times New Roman" w:cs="Times New Roman"/>
          <w:sz w:val="28"/>
          <w:szCs w:val="28"/>
          <w:lang w:eastAsia="en-US"/>
        </w:rPr>
        <w:lastRenderedPageBreak/>
        <w:t xml:space="preserve">Важнейшим регуляторным фактором, влияющим на структуру и объем нефтегазовых доходов в </w:t>
      </w:r>
      <w:r w:rsidR="002B69C7">
        <w:rPr>
          <w:rFonts w:ascii="Times New Roman" w:hAnsi="Times New Roman" w:cs="Times New Roman"/>
          <w:sz w:val="28"/>
          <w:szCs w:val="28"/>
          <w:lang w:eastAsia="en-US"/>
        </w:rPr>
        <w:t>2020-2022 гг.,</w:t>
      </w:r>
      <w:r w:rsidRPr="00E1515B">
        <w:rPr>
          <w:rFonts w:ascii="Times New Roman" w:hAnsi="Times New Roman" w:cs="Times New Roman"/>
          <w:sz w:val="28"/>
          <w:szCs w:val="28"/>
          <w:lang w:eastAsia="en-US"/>
        </w:rPr>
        <w:t xml:space="preserve"> будет завершение большого налогового маневра в нефтегазовой отрасли, получившее нормативное оформление </w:t>
      </w:r>
      <w:r w:rsidR="002B69C7">
        <w:rPr>
          <w:rFonts w:ascii="Times New Roman" w:hAnsi="Times New Roman" w:cs="Times New Roman"/>
          <w:sz w:val="28"/>
          <w:szCs w:val="28"/>
          <w:lang w:eastAsia="en-US"/>
        </w:rPr>
        <w:t>в</w:t>
      </w:r>
      <w:r w:rsidRPr="00E1515B">
        <w:rPr>
          <w:rFonts w:ascii="Times New Roman" w:hAnsi="Times New Roman" w:cs="Times New Roman"/>
          <w:sz w:val="28"/>
          <w:szCs w:val="28"/>
          <w:lang w:eastAsia="en-US"/>
        </w:rPr>
        <w:t xml:space="preserve"> </w:t>
      </w:r>
      <w:r w:rsidR="002B69C7">
        <w:rPr>
          <w:rFonts w:ascii="Times New Roman" w:hAnsi="Times New Roman" w:cs="Times New Roman"/>
          <w:color w:val="000000"/>
          <w:sz w:val="28"/>
          <w:szCs w:val="28"/>
        </w:rPr>
        <w:t>ф</w:t>
      </w:r>
      <w:r w:rsidRPr="00E1515B">
        <w:rPr>
          <w:rFonts w:ascii="Times New Roman" w:hAnsi="Times New Roman" w:cs="Times New Roman"/>
          <w:color w:val="000000"/>
          <w:sz w:val="28"/>
          <w:szCs w:val="28"/>
        </w:rPr>
        <w:t>едерально</w:t>
      </w:r>
      <w:r w:rsidR="002B69C7">
        <w:rPr>
          <w:rFonts w:ascii="Times New Roman" w:hAnsi="Times New Roman" w:cs="Times New Roman"/>
          <w:color w:val="000000"/>
          <w:sz w:val="28"/>
          <w:szCs w:val="28"/>
        </w:rPr>
        <w:t>м законе</w:t>
      </w:r>
      <w:r w:rsidRPr="00E1515B">
        <w:rPr>
          <w:rFonts w:ascii="Times New Roman" w:hAnsi="Times New Roman" w:cs="Times New Roman"/>
          <w:color w:val="000000"/>
          <w:sz w:val="28"/>
          <w:szCs w:val="28"/>
        </w:rPr>
        <w:t xml:space="preserve"> от 30.07.2019 г. № 255-ФЗ «О внесении изменений в часть вторую Налогового кодекса Российской Федерации».</w:t>
      </w:r>
    </w:p>
    <w:p w14:paraId="4961A57D" w14:textId="72B0B35F" w:rsidR="002B69C7" w:rsidRPr="00E1515B" w:rsidRDefault="002B69C7" w:rsidP="002B69C7">
      <w:pPr>
        <w:spacing w:line="360" w:lineRule="auto"/>
        <w:ind w:firstLine="567"/>
        <w:jc w:val="both"/>
        <w:rPr>
          <w:rFonts w:ascii="Times New Roman" w:hAnsi="Times New Roman" w:cs="Times New Roman"/>
          <w:sz w:val="28"/>
          <w:szCs w:val="28"/>
        </w:rPr>
      </w:pPr>
      <w:r w:rsidRPr="00E1515B">
        <w:rPr>
          <w:rFonts w:ascii="Times New Roman" w:eastAsia="Calibri" w:hAnsi="Times New Roman" w:cs="Times New Roman"/>
          <w:sz w:val="28"/>
          <w:szCs w:val="28"/>
        </w:rPr>
        <w:t>Отметим, что модификация российского бюджетного правила в отношении нефтегазовых доходов 2018 г. соответствует лучшим зарубежным практикам и основным принципам Сантьяго в части</w:t>
      </w:r>
      <w:r w:rsidRPr="00E1515B">
        <w:rPr>
          <w:rFonts w:ascii="Times New Roman" w:hAnsi="Times New Roman" w:cs="Times New Roman"/>
          <w:sz w:val="28"/>
          <w:szCs w:val="28"/>
        </w:rPr>
        <w:t xml:space="preserve"> законодательного закрепления</w:t>
      </w:r>
      <w:r w:rsidRPr="00E1515B">
        <w:rPr>
          <w:rFonts w:ascii="Times New Roman" w:eastAsia="Calibri" w:hAnsi="Times New Roman" w:cs="Times New Roman"/>
          <w:sz w:val="28"/>
          <w:szCs w:val="28"/>
        </w:rPr>
        <w:t>:</w:t>
      </w:r>
      <w:r w:rsidRPr="00E1515B">
        <w:rPr>
          <w:rFonts w:ascii="Times New Roman" w:hAnsi="Times New Roman" w:cs="Times New Roman"/>
          <w:sz w:val="28"/>
          <w:szCs w:val="28"/>
        </w:rPr>
        <w:t xml:space="preserve"> базовой цены на нефть в целях ограничения текущего потребления нефтегазовых доходов; предельной величины ежегодного использования средств ФНБ на финансирование дефицита федерального бюджета и бюджета ПФР в зависимости от объема накопленных средств ФНБ; направлений использования нефтегазовых сверхдоходов, аккумулируемых в ФНБ.</w:t>
      </w:r>
    </w:p>
    <w:p w14:paraId="0BCE858D" w14:textId="6F16BB24" w:rsidR="002B69C7" w:rsidRDefault="002B69C7" w:rsidP="002B69C7">
      <w:pPr>
        <w:autoSpaceDE w:val="0"/>
        <w:autoSpaceDN w:val="0"/>
        <w:adjustRightInd w:val="0"/>
        <w:spacing w:line="360" w:lineRule="auto"/>
        <w:ind w:firstLine="709"/>
        <w:jc w:val="both"/>
        <w:rPr>
          <w:rFonts w:ascii="Times New Roman" w:hAnsi="Times New Roman" w:cs="Times New Roman"/>
          <w:color w:val="000000"/>
          <w:sz w:val="28"/>
          <w:szCs w:val="28"/>
        </w:rPr>
      </w:pPr>
      <w:r w:rsidRPr="00E1515B">
        <w:rPr>
          <w:rFonts w:ascii="Times New Roman" w:eastAsia="Calibri" w:hAnsi="Times New Roman" w:cs="Times New Roman"/>
          <w:sz w:val="28"/>
          <w:szCs w:val="28"/>
        </w:rPr>
        <w:t xml:space="preserve">Ликвидная часть ФНБ объемом 7% ВВП – лишь гарантия относительно стабильного исполнения бюджетных обязательств в условиях одного кризиса. Фонд такого размера нельзя считать устойчивым инструментом сохранения и передачи доходов от истощаемых ресурсов будущим поколениям. </w:t>
      </w:r>
      <w:r w:rsidRPr="00E1515B">
        <w:rPr>
          <w:rFonts w:ascii="Times New Roman" w:hAnsi="Times New Roman" w:cs="Times New Roman"/>
          <w:color w:val="000000"/>
          <w:sz w:val="28"/>
          <w:szCs w:val="28"/>
        </w:rPr>
        <w:t xml:space="preserve">Считаем целесообразным увеличить предельный максимальный размер ФНБ до 15% ВВП (либо отказаться от ограничения предельного размера фонда – при придании ему статуса фонда будущих поколений). Кроме того, необходимо законодательно установить минимальный неснижаемый объем ликвидной части ФНБ, достаточный для компенсации снижения нефтегазовых доходов федерального бюджета в течение трех лет. </w:t>
      </w:r>
      <w:r w:rsidRPr="00E1515B">
        <w:rPr>
          <w:rFonts w:ascii="Times New Roman" w:eastAsia="Calibri" w:hAnsi="Times New Roman" w:cs="Times New Roman"/>
          <w:sz w:val="28"/>
          <w:szCs w:val="28"/>
        </w:rPr>
        <w:t>Поэтому можно приветствовать п</w:t>
      </w:r>
      <w:r w:rsidRPr="00E1515B">
        <w:rPr>
          <w:rFonts w:ascii="Times New Roman" w:hAnsi="Times New Roman" w:cs="Times New Roman"/>
          <w:color w:val="000000"/>
          <w:spacing w:val="-4"/>
          <w:sz w:val="28"/>
          <w:szCs w:val="28"/>
        </w:rPr>
        <w:t>рогнозируемое увеличение объема средств ФНБ в 2020 г. до 11 059,5 млрд. руб., в</w:t>
      </w:r>
      <w:r w:rsidRPr="00E1515B">
        <w:rPr>
          <w:rFonts w:ascii="Times New Roman" w:hAnsi="Times New Roman" w:cs="Times New Roman"/>
          <w:color w:val="000000"/>
          <w:sz w:val="28"/>
          <w:szCs w:val="28"/>
        </w:rPr>
        <w:t xml:space="preserve"> 2021 г. до 13 658,0 млрд. руб., в 2022 г. до 16 196,3 млрд. руб.</w:t>
      </w:r>
      <w:r>
        <w:rPr>
          <w:rFonts w:ascii="Times New Roman" w:hAnsi="Times New Roman" w:cs="Times New Roman"/>
          <w:color w:val="000000"/>
          <w:sz w:val="28"/>
          <w:szCs w:val="28"/>
        </w:rPr>
        <w:t xml:space="preserve"> </w:t>
      </w:r>
      <w:r w:rsidR="00A437A7">
        <w:rPr>
          <w:rFonts w:ascii="Times New Roman" w:eastAsia="Calibri" w:hAnsi="Times New Roman" w:cs="Times New Roman"/>
          <w:sz w:val="28"/>
          <w:szCs w:val="28"/>
        </w:rPr>
        <w:t>(таблица 7</w:t>
      </w:r>
      <w:r>
        <w:rPr>
          <w:rFonts w:ascii="Times New Roman" w:eastAsia="Calibri" w:hAnsi="Times New Roman" w:cs="Times New Roman"/>
          <w:sz w:val="28"/>
          <w:szCs w:val="28"/>
        </w:rPr>
        <w:t>).</w:t>
      </w:r>
      <w:r w:rsidRPr="00E1515B">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xml:space="preserve"> 2020-2022 гг. согласно бюджетно</w:t>
      </w:r>
      <w:r w:rsidRPr="00E1515B">
        <w:rPr>
          <w:rFonts w:ascii="Times New Roman" w:hAnsi="Times New Roman" w:cs="Times New Roman"/>
          <w:color w:val="000000"/>
          <w:sz w:val="28"/>
          <w:szCs w:val="28"/>
        </w:rPr>
        <w:t>м</w:t>
      </w:r>
      <w:r>
        <w:rPr>
          <w:rFonts w:ascii="Times New Roman" w:hAnsi="Times New Roman" w:cs="Times New Roman"/>
          <w:color w:val="000000"/>
          <w:sz w:val="28"/>
          <w:szCs w:val="28"/>
        </w:rPr>
        <w:t>у</w:t>
      </w:r>
      <w:r w:rsidRPr="00E1515B">
        <w:rPr>
          <w:rFonts w:ascii="Times New Roman" w:hAnsi="Times New Roman" w:cs="Times New Roman"/>
          <w:color w:val="000000"/>
          <w:sz w:val="28"/>
          <w:szCs w:val="28"/>
        </w:rPr>
        <w:t xml:space="preserve"> правил</w:t>
      </w:r>
      <w:r>
        <w:rPr>
          <w:rFonts w:ascii="Times New Roman" w:hAnsi="Times New Roman" w:cs="Times New Roman"/>
          <w:color w:val="000000"/>
          <w:sz w:val="28"/>
          <w:szCs w:val="28"/>
        </w:rPr>
        <w:t>у</w:t>
      </w:r>
      <w:r w:rsidRPr="00E1515B">
        <w:rPr>
          <w:rFonts w:ascii="Times New Roman" w:hAnsi="Times New Roman" w:cs="Times New Roman"/>
          <w:color w:val="000000"/>
          <w:sz w:val="28"/>
          <w:szCs w:val="28"/>
        </w:rPr>
        <w:t xml:space="preserve"> с учетом прогнозных цен на нефть не предполагается использование средств ФНБ на финансирование дефицита федерального бюджета и бюджета Пенсионного фонда Российской Федерации.</w:t>
      </w:r>
    </w:p>
    <w:p w14:paraId="5B1B0900" w14:textId="50169719" w:rsidR="00E1515B" w:rsidRPr="00E1515B" w:rsidRDefault="00E1515B" w:rsidP="00C96B22">
      <w:pPr>
        <w:rPr>
          <w:rFonts w:ascii="Times New Roman" w:hAnsi="Times New Roman" w:cs="Times New Roman"/>
          <w:color w:val="000000"/>
          <w:sz w:val="28"/>
          <w:szCs w:val="28"/>
        </w:rPr>
      </w:pPr>
      <w:r w:rsidRPr="00E1515B">
        <w:rPr>
          <w:rFonts w:ascii="Times New Roman" w:hAnsi="Times New Roman" w:cs="Times New Roman"/>
          <w:color w:val="000000"/>
          <w:sz w:val="28"/>
          <w:szCs w:val="28"/>
        </w:rPr>
        <w:lastRenderedPageBreak/>
        <w:t xml:space="preserve">Таблица </w:t>
      </w:r>
      <w:r w:rsidR="00A437A7">
        <w:rPr>
          <w:rFonts w:ascii="Times New Roman" w:hAnsi="Times New Roman" w:cs="Times New Roman"/>
          <w:color w:val="000000"/>
          <w:sz w:val="28"/>
          <w:szCs w:val="28"/>
        </w:rPr>
        <w:t>7</w:t>
      </w:r>
      <w:r w:rsidRPr="00E1515B">
        <w:rPr>
          <w:rFonts w:ascii="Times New Roman" w:hAnsi="Times New Roman" w:cs="Times New Roman"/>
          <w:color w:val="000000"/>
          <w:sz w:val="28"/>
          <w:szCs w:val="28"/>
        </w:rPr>
        <w:t xml:space="preserve"> – Прогноз объема Фонда национального благосостояния, млрд.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332"/>
        <w:gridCol w:w="1332"/>
        <w:gridCol w:w="1333"/>
        <w:gridCol w:w="1332"/>
        <w:gridCol w:w="1333"/>
      </w:tblGrid>
      <w:tr w:rsidR="00E1515B" w:rsidRPr="00E1515B" w14:paraId="1915AF4C" w14:textId="77777777" w:rsidTr="00E1515B">
        <w:trPr>
          <w:trHeight w:val="199"/>
          <w:tblHeader/>
        </w:trPr>
        <w:tc>
          <w:tcPr>
            <w:tcW w:w="3227" w:type="dxa"/>
            <w:shd w:val="clear" w:color="auto" w:fill="auto"/>
            <w:vAlign w:val="center"/>
          </w:tcPr>
          <w:p w14:paraId="37353817" w14:textId="77777777" w:rsidR="00E1515B" w:rsidRPr="002B69C7" w:rsidRDefault="00E1515B" w:rsidP="00E1515B">
            <w:pPr>
              <w:kinsoku w:val="0"/>
              <w:overflowPunct w:val="0"/>
              <w:spacing w:beforeAutospacing="1" w:afterAutospacing="1"/>
              <w:ind w:right="113"/>
              <w:jc w:val="center"/>
              <w:textAlignment w:val="baseline"/>
              <w:rPr>
                <w:rFonts w:ascii="Times New Roman" w:hAnsi="Times New Roman" w:cs="Times New Roman"/>
                <w:color w:val="000000"/>
                <w:kern w:val="24"/>
              </w:rPr>
            </w:pPr>
            <w:r w:rsidRPr="002B69C7">
              <w:rPr>
                <w:rFonts w:ascii="Times New Roman" w:hAnsi="Times New Roman" w:cs="Times New Roman"/>
              </w:rPr>
              <w:t>Показатели</w:t>
            </w:r>
          </w:p>
        </w:tc>
        <w:tc>
          <w:tcPr>
            <w:tcW w:w="1332" w:type="dxa"/>
            <w:shd w:val="clear" w:color="auto" w:fill="auto"/>
            <w:vAlign w:val="center"/>
          </w:tcPr>
          <w:p w14:paraId="0FB5A433" w14:textId="77777777" w:rsidR="00E1515B" w:rsidRPr="002B69C7" w:rsidRDefault="00E1515B" w:rsidP="00E1515B">
            <w:pPr>
              <w:jc w:val="center"/>
              <w:textAlignment w:val="center"/>
              <w:rPr>
                <w:rFonts w:ascii="Times New Roman" w:hAnsi="Times New Roman" w:cs="Times New Roman"/>
              </w:rPr>
            </w:pPr>
            <w:r w:rsidRPr="002B69C7">
              <w:rPr>
                <w:rFonts w:ascii="Times New Roman" w:hAnsi="Times New Roman" w:cs="Times New Roman"/>
              </w:rPr>
              <w:t>2018 год</w:t>
            </w:r>
          </w:p>
        </w:tc>
        <w:tc>
          <w:tcPr>
            <w:tcW w:w="1332" w:type="dxa"/>
            <w:shd w:val="clear" w:color="auto" w:fill="auto"/>
            <w:vAlign w:val="center"/>
          </w:tcPr>
          <w:p w14:paraId="4668E3D6" w14:textId="77777777" w:rsidR="00E1515B" w:rsidRPr="002B69C7" w:rsidRDefault="00E1515B" w:rsidP="00E1515B">
            <w:pPr>
              <w:jc w:val="center"/>
              <w:textAlignment w:val="center"/>
              <w:rPr>
                <w:rFonts w:ascii="Times New Roman" w:hAnsi="Times New Roman" w:cs="Times New Roman"/>
              </w:rPr>
            </w:pPr>
            <w:r w:rsidRPr="002B69C7">
              <w:rPr>
                <w:rFonts w:ascii="Times New Roman" w:hAnsi="Times New Roman" w:cs="Times New Roman"/>
              </w:rPr>
              <w:t>2019 год</w:t>
            </w:r>
          </w:p>
        </w:tc>
        <w:tc>
          <w:tcPr>
            <w:tcW w:w="1333" w:type="dxa"/>
            <w:shd w:val="clear" w:color="auto" w:fill="auto"/>
            <w:vAlign w:val="center"/>
          </w:tcPr>
          <w:p w14:paraId="40F96222" w14:textId="77777777" w:rsidR="00E1515B" w:rsidRPr="002B69C7" w:rsidRDefault="00E1515B" w:rsidP="00E1515B">
            <w:pPr>
              <w:jc w:val="center"/>
              <w:textAlignment w:val="center"/>
              <w:rPr>
                <w:rFonts w:ascii="Times New Roman" w:hAnsi="Times New Roman" w:cs="Times New Roman"/>
              </w:rPr>
            </w:pPr>
            <w:r w:rsidRPr="002B69C7">
              <w:rPr>
                <w:rFonts w:ascii="Times New Roman" w:hAnsi="Times New Roman" w:cs="Times New Roman"/>
              </w:rPr>
              <w:t>2020 год</w:t>
            </w:r>
          </w:p>
        </w:tc>
        <w:tc>
          <w:tcPr>
            <w:tcW w:w="1332" w:type="dxa"/>
            <w:shd w:val="clear" w:color="auto" w:fill="auto"/>
            <w:vAlign w:val="center"/>
          </w:tcPr>
          <w:p w14:paraId="3A368094" w14:textId="77777777" w:rsidR="00E1515B" w:rsidRPr="002B69C7" w:rsidRDefault="00E1515B" w:rsidP="00E1515B">
            <w:pPr>
              <w:jc w:val="center"/>
              <w:rPr>
                <w:rFonts w:ascii="Times New Roman" w:hAnsi="Times New Roman" w:cs="Times New Roman"/>
              </w:rPr>
            </w:pPr>
            <w:r w:rsidRPr="002B69C7">
              <w:rPr>
                <w:rFonts w:ascii="Times New Roman" w:hAnsi="Times New Roman" w:cs="Times New Roman"/>
              </w:rPr>
              <w:t>2021 год</w:t>
            </w:r>
          </w:p>
        </w:tc>
        <w:tc>
          <w:tcPr>
            <w:tcW w:w="1333" w:type="dxa"/>
            <w:shd w:val="clear" w:color="auto" w:fill="auto"/>
            <w:vAlign w:val="center"/>
          </w:tcPr>
          <w:p w14:paraId="57EF7984" w14:textId="77777777" w:rsidR="00E1515B" w:rsidRPr="002B69C7" w:rsidRDefault="00E1515B" w:rsidP="00E1515B">
            <w:pPr>
              <w:jc w:val="center"/>
              <w:rPr>
                <w:rFonts w:ascii="Times New Roman" w:hAnsi="Times New Roman" w:cs="Times New Roman"/>
              </w:rPr>
            </w:pPr>
            <w:r w:rsidRPr="002B69C7">
              <w:rPr>
                <w:rFonts w:ascii="Times New Roman" w:hAnsi="Times New Roman" w:cs="Times New Roman"/>
              </w:rPr>
              <w:t>2022 год</w:t>
            </w:r>
          </w:p>
        </w:tc>
      </w:tr>
      <w:tr w:rsidR="00E1515B" w:rsidRPr="00E1515B" w14:paraId="5BC412E9" w14:textId="77777777" w:rsidTr="00E1515B">
        <w:trPr>
          <w:trHeight w:val="199"/>
          <w:tblHeader/>
        </w:trPr>
        <w:tc>
          <w:tcPr>
            <w:tcW w:w="3227" w:type="dxa"/>
            <w:shd w:val="clear" w:color="auto" w:fill="auto"/>
            <w:vAlign w:val="center"/>
          </w:tcPr>
          <w:p w14:paraId="6FF2B120" w14:textId="77777777" w:rsidR="00E1515B" w:rsidRPr="002B69C7" w:rsidRDefault="00E1515B" w:rsidP="00E1515B">
            <w:pPr>
              <w:jc w:val="center"/>
              <w:rPr>
                <w:rFonts w:ascii="Times New Roman" w:hAnsi="Times New Roman" w:cs="Times New Roman"/>
              </w:rPr>
            </w:pPr>
            <w:r w:rsidRPr="002B69C7">
              <w:rPr>
                <w:rFonts w:ascii="Times New Roman" w:hAnsi="Times New Roman" w:cs="Times New Roman"/>
              </w:rPr>
              <w:t>1</w:t>
            </w:r>
          </w:p>
        </w:tc>
        <w:tc>
          <w:tcPr>
            <w:tcW w:w="1332" w:type="dxa"/>
            <w:shd w:val="clear" w:color="auto" w:fill="auto"/>
            <w:vAlign w:val="center"/>
          </w:tcPr>
          <w:p w14:paraId="4C821382" w14:textId="77777777" w:rsidR="00E1515B" w:rsidRPr="002B69C7" w:rsidRDefault="00E1515B" w:rsidP="00E1515B">
            <w:pPr>
              <w:jc w:val="center"/>
              <w:rPr>
                <w:rFonts w:ascii="Times New Roman" w:hAnsi="Times New Roman" w:cs="Times New Roman"/>
              </w:rPr>
            </w:pPr>
            <w:r w:rsidRPr="002B69C7">
              <w:rPr>
                <w:rFonts w:ascii="Times New Roman" w:hAnsi="Times New Roman" w:cs="Times New Roman"/>
              </w:rPr>
              <w:t>2</w:t>
            </w:r>
          </w:p>
        </w:tc>
        <w:tc>
          <w:tcPr>
            <w:tcW w:w="1332" w:type="dxa"/>
            <w:shd w:val="clear" w:color="auto" w:fill="auto"/>
            <w:vAlign w:val="center"/>
          </w:tcPr>
          <w:p w14:paraId="353337DF" w14:textId="77777777" w:rsidR="00E1515B" w:rsidRPr="002B69C7" w:rsidRDefault="00E1515B" w:rsidP="00E1515B">
            <w:pPr>
              <w:ind w:hanging="55"/>
              <w:jc w:val="center"/>
              <w:rPr>
                <w:rFonts w:ascii="Times New Roman" w:hAnsi="Times New Roman" w:cs="Times New Roman"/>
                <w:color w:val="000000"/>
              </w:rPr>
            </w:pPr>
            <w:r w:rsidRPr="002B69C7">
              <w:rPr>
                <w:rFonts w:ascii="Times New Roman" w:hAnsi="Times New Roman" w:cs="Times New Roman"/>
              </w:rPr>
              <w:t>3</w:t>
            </w:r>
          </w:p>
        </w:tc>
        <w:tc>
          <w:tcPr>
            <w:tcW w:w="1333" w:type="dxa"/>
            <w:shd w:val="clear" w:color="auto" w:fill="auto"/>
            <w:vAlign w:val="center"/>
          </w:tcPr>
          <w:p w14:paraId="08F33118" w14:textId="77777777" w:rsidR="00E1515B" w:rsidRPr="002B69C7" w:rsidRDefault="00E1515B" w:rsidP="00E1515B">
            <w:pPr>
              <w:jc w:val="center"/>
              <w:rPr>
                <w:rFonts w:ascii="Times New Roman" w:hAnsi="Times New Roman" w:cs="Times New Roman"/>
              </w:rPr>
            </w:pPr>
            <w:r w:rsidRPr="002B69C7">
              <w:rPr>
                <w:rFonts w:ascii="Times New Roman" w:hAnsi="Times New Roman" w:cs="Times New Roman"/>
              </w:rPr>
              <w:t>5</w:t>
            </w:r>
          </w:p>
        </w:tc>
        <w:tc>
          <w:tcPr>
            <w:tcW w:w="1332" w:type="dxa"/>
            <w:shd w:val="clear" w:color="auto" w:fill="auto"/>
            <w:vAlign w:val="center"/>
          </w:tcPr>
          <w:p w14:paraId="74AF1957" w14:textId="77777777" w:rsidR="00E1515B" w:rsidRPr="002B69C7" w:rsidRDefault="00E1515B" w:rsidP="00E1515B">
            <w:pPr>
              <w:ind w:hanging="55"/>
              <w:jc w:val="center"/>
              <w:rPr>
                <w:rFonts w:ascii="Times New Roman" w:hAnsi="Times New Roman" w:cs="Times New Roman"/>
                <w:color w:val="000000"/>
              </w:rPr>
            </w:pPr>
            <w:r w:rsidRPr="002B69C7">
              <w:rPr>
                <w:rFonts w:ascii="Times New Roman" w:hAnsi="Times New Roman" w:cs="Times New Roman"/>
                <w:color w:val="000000"/>
              </w:rPr>
              <w:t>8</w:t>
            </w:r>
          </w:p>
        </w:tc>
        <w:tc>
          <w:tcPr>
            <w:tcW w:w="1333" w:type="dxa"/>
            <w:shd w:val="clear" w:color="auto" w:fill="auto"/>
            <w:vAlign w:val="center"/>
          </w:tcPr>
          <w:p w14:paraId="7C6C2493" w14:textId="77777777" w:rsidR="00E1515B" w:rsidRPr="002B69C7" w:rsidRDefault="00E1515B" w:rsidP="00E1515B">
            <w:pPr>
              <w:ind w:hanging="55"/>
              <w:jc w:val="center"/>
              <w:rPr>
                <w:rFonts w:ascii="Times New Roman" w:hAnsi="Times New Roman" w:cs="Times New Roman"/>
                <w:color w:val="000000"/>
              </w:rPr>
            </w:pPr>
            <w:r w:rsidRPr="002B69C7">
              <w:rPr>
                <w:rFonts w:ascii="Times New Roman" w:hAnsi="Times New Roman" w:cs="Times New Roman"/>
                <w:color w:val="000000"/>
              </w:rPr>
              <w:t>10</w:t>
            </w:r>
          </w:p>
        </w:tc>
      </w:tr>
      <w:tr w:rsidR="00E1515B" w:rsidRPr="00E1515B" w14:paraId="7E05AB31" w14:textId="77777777" w:rsidTr="00E1515B">
        <w:trPr>
          <w:trHeight w:val="199"/>
        </w:trPr>
        <w:tc>
          <w:tcPr>
            <w:tcW w:w="3227" w:type="dxa"/>
            <w:shd w:val="clear" w:color="auto" w:fill="auto"/>
            <w:vAlign w:val="center"/>
          </w:tcPr>
          <w:p w14:paraId="0C166A10" w14:textId="77777777" w:rsidR="00E1515B" w:rsidRPr="002B69C7" w:rsidRDefault="00E1515B" w:rsidP="00E1515B">
            <w:pPr>
              <w:kinsoku w:val="0"/>
              <w:overflowPunct w:val="0"/>
              <w:spacing w:beforeAutospacing="1" w:afterAutospacing="1"/>
              <w:ind w:right="113"/>
              <w:textAlignment w:val="baseline"/>
              <w:rPr>
                <w:rFonts w:ascii="Times New Roman" w:hAnsi="Times New Roman" w:cs="Times New Roman"/>
              </w:rPr>
            </w:pPr>
            <w:r w:rsidRPr="002B69C7">
              <w:rPr>
                <w:rFonts w:ascii="Times New Roman" w:hAnsi="Times New Roman" w:cs="Times New Roman"/>
                <w:color w:val="000000"/>
                <w:kern w:val="24"/>
              </w:rPr>
              <w:t>Объем ФНБ</w:t>
            </w:r>
            <w:r w:rsidRPr="002B69C7">
              <w:rPr>
                <w:rFonts w:ascii="Times New Roman" w:hAnsi="Times New Roman" w:cs="Times New Roman"/>
                <w:b/>
                <w:color w:val="000000"/>
                <w:kern w:val="24"/>
              </w:rPr>
              <w:t xml:space="preserve"> </w:t>
            </w:r>
            <w:r w:rsidRPr="002B69C7">
              <w:rPr>
                <w:rFonts w:ascii="Times New Roman" w:hAnsi="Times New Roman" w:cs="Times New Roman"/>
                <w:color w:val="000000"/>
                <w:kern w:val="24"/>
              </w:rPr>
              <w:t>на начало года</w:t>
            </w:r>
          </w:p>
        </w:tc>
        <w:tc>
          <w:tcPr>
            <w:tcW w:w="1332" w:type="dxa"/>
            <w:shd w:val="clear" w:color="auto" w:fill="auto"/>
            <w:vAlign w:val="center"/>
          </w:tcPr>
          <w:p w14:paraId="52EF8D20"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3 752,9</w:t>
            </w:r>
          </w:p>
        </w:tc>
        <w:tc>
          <w:tcPr>
            <w:tcW w:w="1332" w:type="dxa"/>
            <w:shd w:val="clear" w:color="auto" w:fill="auto"/>
            <w:vAlign w:val="center"/>
          </w:tcPr>
          <w:p w14:paraId="4B05EFFF"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4 036,0</w:t>
            </w:r>
          </w:p>
        </w:tc>
        <w:tc>
          <w:tcPr>
            <w:tcW w:w="1333" w:type="dxa"/>
            <w:shd w:val="clear" w:color="auto" w:fill="auto"/>
            <w:vAlign w:val="center"/>
          </w:tcPr>
          <w:p w14:paraId="3DD4EEA4"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8 172,0</w:t>
            </w:r>
          </w:p>
        </w:tc>
        <w:tc>
          <w:tcPr>
            <w:tcW w:w="1332" w:type="dxa"/>
            <w:shd w:val="clear" w:color="auto" w:fill="auto"/>
            <w:vAlign w:val="center"/>
          </w:tcPr>
          <w:p w14:paraId="2CD3DDB9"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11 059,5</w:t>
            </w:r>
          </w:p>
        </w:tc>
        <w:tc>
          <w:tcPr>
            <w:tcW w:w="1333" w:type="dxa"/>
            <w:shd w:val="clear" w:color="auto" w:fill="auto"/>
            <w:vAlign w:val="center"/>
          </w:tcPr>
          <w:p w14:paraId="56EDDB5F"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13 658,0</w:t>
            </w:r>
          </w:p>
        </w:tc>
      </w:tr>
      <w:tr w:rsidR="00E1515B" w:rsidRPr="00E1515B" w14:paraId="643433DD" w14:textId="77777777" w:rsidTr="00E1515B">
        <w:trPr>
          <w:trHeight w:val="214"/>
        </w:trPr>
        <w:tc>
          <w:tcPr>
            <w:tcW w:w="3227" w:type="dxa"/>
            <w:shd w:val="clear" w:color="auto" w:fill="auto"/>
            <w:vAlign w:val="center"/>
          </w:tcPr>
          <w:p w14:paraId="3A857548" w14:textId="77777777" w:rsidR="00E1515B" w:rsidRPr="002B69C7" w:rsidRDefault="00E1515B" w:rsidP="00E1515B">
            <w:pPr>
              <w:kinsoku w:val="0"/>
              <w:overflowPunct w:val="0"/>
              <w:spacing w:beforeAutospacing="1" w:afterAutospacing="1"/>
              <w:ind w:right="113"/>
              <w:jc w:val="both"/>
              <w:textAlignment w:val="baseline"/>
              <w:rPr>
                <w:rFonts w:ascii="Times New Roman" w:hAnsi="Times New Roman" w:cs="Times New Roman"/>
                <w:i/>
              </w:rPr>
            </w:pPr>
            <w:r w:rsidRPr="002B69C7">
              <w:rPr>
                <w:rFonts w:ascii="Times New Roman" w:hAnsi="Times New Roman" w:cs="Times New Roman"/>
                <w:i/>
                <w:color w:val="000000"/>
                <w:kern w:val="24"/>
              </w:rPr>
              <w:t xml:space="preserve">%% к ВВП </w:t>
            </w:r>
          </w:p>
        </w:tc>
        <w:tc>
          <w:tcPr>
            <w:tcW w:w="1332" w:type="dxa"/>
            <w:shd w:val="clear" w:color="auto" w:fill="auto"/>
            <w:vAlign w:val="center"/>
          </w:tcPr>
          <w:p w14:paraId="2CF11603" w14:textId="77777777" w:rsidR="00E1515B" w:rsidRPr="002B69C7" w:rsidRDefault="00E1515B" w:rsidP="00E1515B">
            <w:pPr>
              <w:jc w:val="center"/>
              <w:rPr>
                <w:rFonts w:ascii="Times New Roman" w:hAnsi="Times New Roman" w:cs="Times New Roman"/>
                <w:i/>
                <w:color w:val="000000"/>
                <w:kern w:val="24"/>
              </w:rPr>
            </w:pPr>
            <w:r w:rsidRPr="002B69C7">
              <w:rPr>
                <w:rFonts w:ascii="Times New Roman" w:hAnsi="Times New Roman" w:cs="Times New Roman"/>
                <w:i/>
                <w:color w:val="000000"/>
                <w:kern w:val="24"/>
              </w:rPr>
              <w:t>3,6</w:t>
            </w:r>
          </w:p>
        </w:tc>
        <w:tc>
          <w:tcPr>
            <w:tcW w:w="1332" w:type="dxa"/>
            <w:shd w:val="clear" w:color="auto" w:fill="auto"/>
            <w:vAlign w:val="center"/>
          </w:tcPr>
          <w:p w14:paraId="37E6362D" w14:textId="77777777" w:rsidR="00E1515B" w:rsidRPr="002B69C7" w:rsidRDefault="00E1515B" w:rsidP="00E1515B">
            <w:pPr>
              <w:jc w:val="center"/>
              <w:rPr>
                <w:rFonts w:ascii="Times New Roman" w:hAnsi="Times New Roman" w:cs="Times New Roman"/>
                <w:i/>
                <w:color w:val="000000"/>
                <w:kern w:val="24"/>
              </w:rPr>
            </w:pPr>
            <w:r w:rsidRPr="002B69C7">
              <w:rPr>
                <w:rFonts w:ascii="Times New Roman" w:hAnsi="Times New Roman" w:cs="Times New Roman"/>
                <w:i/>
                <w:color w:val="000000"/>
                <w:kern w:val="24"/>
              </w:rPr>
              <w:t>3,7</w:t>
            </w:r>
          </w:p>
        </w:tc>
        <w:tc>
          <w:tcPr>
            <w:tcW w:w="1333" w:type="dxa"/>
            <w:shd w:val="clear" w:color="auto" w:fill="auto"/>
            <w:vAlign w:val="center"/>
          </w:tcPr>
          <w:p w14:paraId="15B921F5" w14:textId="77777777" w:rsidR="00E1515B" w:rsidRPr="002B69C7" w:rsidRDefault="00E1515B" w:rsidP="00E1515B">
            <w:pPr>
              <w:jc w:val="center"/>
              <w:rPr>
                <w:rFonts w:ascii="Times New Roman" w:hAnsi="Times New Roman" w:cs="Times New Roman"/>
                <w:i/>
                <w:color w:val="000000"/>
                <w:kern w:val="24"/>
              </w:rPr>
            </w:pPr>
            <w:r w:rsidRPr="002B69C7">
              <w:rPr>
                <w:rFonts w:ascii="Times New Roman" w:hAnsi="Times New Roman" w:cs="Times New Roman"/>
                <w:i/>
                <w:color w:val="000000"/>
                <w:kern w:val="24"/>
              </w:rPr>
              <w:t>7,2</w:t>
            </w:r>
          </w:p>
        </w:tc>
        <w:tc>
          <w:tcPr>
            <w:tcW w:w="1332" w:type="dxa"/>
            <w:shd w:val="clear" w:color="auto" w:fill="auto"/>
            <w:vAlign w:val="center"/>
          </w:tcPr>
          <w:p w14:paraId="7A588406" w14:textId="77777777" w:rsidR="00E1515B" w:rsidRPr="002B69C7" w:rsidRDefault="00E1515B" w:rsidP="00E1515B">
            <w:pPr>
              <w:jc w:val="center"/>
              <w:rPr>
                <w:rFonts w:ascii="Times New Roman" w:hAnsi="Times New Roman" w:cs="Times New Roman"/>
                <w:i/>
                <w:color w:val="000000"/>
                <w:kern w:val="24"/>
              </w:rPr>
            </w:pPr>
            <w:r w:rsidRPr="002B69C7">
              <w:rPr>
                <w:rFonts w:ascii="Times New Roman" w:hAnsi="Times New Roman" w:cs="Times New Roman"/>
                <w:i/>
                <w:color w:val="000000"/>
                <w:kern w:val="24"/>
              </w:rPr>
              <w:t>9,2</w:t>
            </w:r>
          </w:p>
        </w:tc>
        <w:tc>
          <w:tcPr>
            <w:tcW w:w="1333" w:type="dxa"/>
            <w:shd w:val="clear" w:color="auto" w:fill="auto"/>
            <w:vAlign w:val="center"/>
          </w:tcPr>
          <w:p w14:paraId="30CDDA15" w14:textId="77777777" w:rsidR="00E1515B" w:rsidRPr="002B69C7" w:rsidRDefault="00E1515B" w:rsidP="00E1515B">
            <w:pPr>
              <w:jc w:val="center"/>
              <w:rPr>
                <w:rFonts w:ascii="Times New Roman" w:hAnsi="Times New Roman" w:cs="Times New Roman"/>
                <w:i/>
                <w:color w:val="000000"/>
                <w:kern w:val="24"/>
              </w:rPr>
            </w:pPr>
            <w:r w:rsidRPr="002B69C7">
              <w:rPr>
                <w:rFonts w:ascii="Times New Roman" w:hAnsi="Times New Roman" w:cs="Times New Roman"/>
                <w:i/>
                <w:color w:val="000000"/>
                <w:kern w:val="24"/>
              </w:rPr>
              <w:t>10,6</w:t>
            </w:r>
          </w:p>
        </w:tc>
      </w:tr>
      <w:tr w:rsidR="00E1515B" w:rsidRPr="00E1515B" w14:paraId="0377A189" w14:textId="77777777" w:rsidTr="00E1515B">
        <w:trPr>
          <w:trHeight w:val="214"/>
        </w:trPr>
        <w:tc>
          <w:tcPr>
            <w:tcW w:w="3227" w:type="dxa"/>
            <w:shd w:val="clear" w:color="auto" w:fill="auto"/>
            <w:vAlign w:val="center"/>
          </w:tcPr>
          <w:p w14:paraId="41B69621" w14:textId="77777777" w:rsidR="00E1515B" w:rsidRPr="002B69C7" w:rsidRDefault="00E1515B" w:rsidP="00E1515B">
            <w:pPr>
              <w:kinsoku w:val="0"/>
              <w:overflowPunct w:val="0"/>
              <w:spacing w:beforeAutospacing="1" w:afterAutospacing="1"/>
              <w:ind w:right="113"/>
              <w:textAlignment w:val="baseline"/>
              <w:rPr>
                <w:rFonts w:ascii="Times New Roman" w:hAnsi="Times New Roman" w:cs="Times New Roman"/>
              </w:rPr>
            </w:pPr>
            <w:r w:rsidRPr="002B69C7">
              <w:rPr>
                <w:rFonts w:ascii="Times New Roman" w:hAnsi="Times New Roman" w:cs="Times New Roman"/>
                <w:color w:val="000000"/>
                <w:kern w:val="24"/>
              </w:rPr>
              <w:t>Пополнение ФНБ</w:t>
            </w:r>
          </w:p>
        </w:tc>
        <w:tc>
          <w:tcPr>
            <w:tcW w:w="1332" w:type="dxa"/>
            <w:shd w:val="clear" w:color="auto" w:fill="auto"/>
            <w:vAlign w:val="center"/>
          </w:tcPr>
          <w:p w14:paraId="14AA3899"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906,7</w:t>
            </w:r>
          </w:p>
        </w:tc>
        <w:tc>
          <w:tcPr>
            <w:tcW w:w="1332" w:type="dxa"/>
            <w:shd w:val="clear" w:color="auto" w:fill="auto"/>
            <w:vAlign w:val="center"/>
          </w:tcPr>
          <w:p w14:paraId="6149F96E"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4 122,2</w:t>
            </w:r>
          </w:p>
        </w:tc>
        <w:tc>
          <w:tcPr>
            <w:tcW w:w="1333" w:type="dxa"/>
            <w:shd w:val="clear" w:color="auto" w:fill="auto"/>
            <w:vAlign w:val="center"/>
          </w:tcPr>
          <w:p w14:paraId="6DF2E579"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2 856,1</w:t>
            </w:r>
          </w:p>
        </w:tc>
        <w:tc>
          <w:tcPr>
            <w:tcW w:w="1332" w:type="dxa"/>
            <w:shd w:val="clear" w:color="auto" w:fill="auto"/>
            <w:vAlign w:val="center"/>
          </w:tcPr>
          <w:p w14:paraId="1A5A3E1B"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2 372,0</w:t>
            </w:r>
          </w:p>
        </w:tc>
        <w:tc>
          <w:tcPr>
            <w:tcW w:w="1333" w:type="dxa"/>
            <w:shd w:val="clear" w:color="auto" w:fill="auto"/>
            <w:vAlign w:val="center"/>
          </w:tcPr>
          <w:p w14:paraId="130D620F"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2 274,9</w:t>
            </w:r>
          </w:p>
        </w:tc>
      </w:tr>
      <w:tr w:rsidR="00E1515B" w:rsidRPr="00E1515B" w14:paraId="14958193" w14:textId="77777777" w:rsidTr="00E1515B">
        <w:trPr>
          <w:trHeight w:val="214"/>
        </w:trPr>
        <w:tc>
          <w:tcPr>
            <w:tcW w:w="3227" w:type="dxa"/>
            <w:shd w:val="clear" w:color="auto" w:fill="auto"/>
            <w:vAlign w:val="center"/>
          </w:tcPr>
          <w:p w14:paraId="1F7CAE35" w14:textId="77777777" w:rsidR="00E1515B" w:rsidRPr="002B69C7" w:rsidRDefault="00E1515B" w:rsidP="00E1515B">
            <w:pPr>
              <w:kinsoku w:val="0"/>
              <w:overflowPunct w:val="0"/>
              <w:spacing w:beforeAutospacing="1" w:afterAutospacing="1"/>
              <w:ind w:right="113"/>
              <w:textAlignment w:val="baseline"/>
              <w:rPr>
                <w:rFonts w:ascii="Times New Roman" w:hAnsi="Times New Roman" w:cs="Times New Roman"/>
                <w:color w:val="000000"/>
                <w:kern w:val="24"/>
              </w:rPr>
            </w:pPr>
            <w:r w:rsidRPr="002B69C7">
              <w:rPr>
                <w:rFonts w:ascii="Times New Roman" w:hAnsi="Times New Roman" w:cs="Times New Roman"/>
                <w:i/>
                <w:color w:val="000000"/>
                <w:kern w:val="24"/>
              </w:rPr>
              <w:t>в том числе:</w:t>
            </w:r>
          </w:p>
        </w:tc>
        <w:tc>
          <w:tcPr>
            <w:tcW w:w="1332" w:type="dxa"/>
            <w:shd w:val="clear" w:color="auto" w:fill="auto"/>
            <w:vAlign w:val="center"/>
          </w:tcPr>
          <w:p w14:paraId="0D33EBE4" w14:textId="77777777" w:rsidR="00E1515B" w:rsidRPr="002B69C7" w:rsidRDefault="00E1515B" w:rsidP="00E1515B">
            <w:pPr>
              <w:jc w:val="center"/>
              <w:rPr>
                <w:rFonts w:ascii="Times New Roman" w:hAnsi="Times New Roman" w:cs="Times New Roman"/>
                <w:color w:val="000000"/>
                <w:kern w:val="24"/>
              </w:rPr>
            </w:pPr>
          </w:p>
        </w:tc>
        <w:tc>
          <w:tcPr>
            <w:tcW w:w="1332" w:type="dxa"/>
            <w:shd w:val="clear" w:color="auto" w:fill="auto"/>
            <w:vAlign w:val="center"/>
          </w:tcPr>
          <w:p w14:paraId="1BED4BFE" w14:textId="77777777" w:rsidR="00E1515B" w:rsidRPr="002B69C7" w:rsidRDefault="00E1515B" w:rsidP="00E1515B">
            <w:pPr>
              <w:jc w:val="center"/>
              <w:rPr>
                <w:rFonts w:ascii="Times New Roman" w:hAnsi="Times New Roman" w:cs="Times New Roman"/>
                <w:color w:val="000000"/>
                <w:kern w:val="24"/>
              </w:rPr>
            </w:pPr>
          </w:p>
        </w:tc>
        <w:tc>
          <w:tcPr>
            <w:tcW w:w="1333" w:type="dxa"/>
            <w:shd w:val="clear" w:color="auto" w:fill="auto"/>
            <w:vAlign w:val="center"/>
          </w:tcPr>
          <w:p w14:paraId="798911A8" w14:textId="77777777" w:rsidR="00E1515B" w:rsidRPr="002B69C7" w:rsidRDefault="00E1515B" w:rsidP="00E1515B">
            <w:pPr>
              <w:jc w:val="center"/>
              <w:rPr>
                <w:rFonts w:ascii="Times New Roman" w:hAnsi="Times New Roman" w:cs="Times New Roman"/>
                <w:color w:val="000000"/>
                <w:kern w:val="24"/>
              </w:rPr>
            </w:pPr>
          </w:p>
        </w:tc>
        <w:tc>
          <w:tcPr>
            <w:tcW w:w="1332" w:type="dxa"/>
            <w:shd w:val="clear" w:color="auto" w:fill="auto"/>
            <w:vAlign w:val="center"/>
          </w:tcPr>
          <w:p w14:paraId="1A7757B0" w14:textId="77777777" w:rsidR="00E1515B" w:rsidRPr="002B69C7" w:rsidRDefault="00E1515B" w:rsidP="00E1515B">
            <w:pPr>
              <w:jc w:val="center"/>
              <w:rPr>
                <w:rFonts w:ascii="Times New Roman" w:hAnsi="Times New Roman" w:cs="Times New Roman"/>
                <w:color w:val="000000"/>
                <w:kern w:val="24"/>
              </w:rPr>
            </w:pPr>
          </w:p>
        </w:tc>
        <w:tc>
          <w:tcPr>
            <w:tcW w:w="1333" w:type="dxa"/>
            <w:shd w:val="clear" w:color="auto" w:fill="auto"/>
            <w:vAlign w:val="center"/>
          </w:tcPr>
          <w:p w14:paraId="6F6BC5F0" w14:textId="77777777" w:rsidR="00E1515B" w:rsidRPr="002B69C7" w:rsidRDefault="00E1515B" w:rsidP="00E1515B">
            <w:pPr>
              <w:jc w:val="center"/>
              <w:rPr>
                <w:rFonts w:ascii="Times New Roman" w:hAnsi="Times New Roman" w:cs="Times New Roman"/>
                <w:color w:val="000000"/>
                <w:kern w:val="24"/>
              </w:rPr>
            </w:pPr>
          </w:p>
        </w:tc>
      </w:tr>
      <w:tr w:rsidR="00E1515B" w:rsidRPr="00E1515B" w14:paraId="36B8C19C" w14:textId="77777777" w:rsidTr="00E1515B">
        <w:trPr>
          <w:trHeight w:val="214"/>
        </w:trPr>
        <w:tc>
          <w:tcPr>
            <w:tcW w:w="3227" w:type="dxa"/>
            <w:shd w:val="clear" w:color="auto" w:fill="auto"/>
            <w:vAlign w:val="center"/>
          </w:tcPr>
          <w:p w14:paraId="4698A1C5" w14:textId="77777777" w:rsidR="00E1515B" w:rsidRPr="002B69C7" w:rsidRDefault="00E1515B" w:rsidP="00E1515B">
            <w:pPr>
              <w:kinsoku w:val="0"/>
              <w:overflowPunct w:val="0"/>
              <w:spacing w:beforeAutospacing="1" w:afterAutospacing="1"/>
              <w:ind w:right="113"/>
              <w:textAlignment w:val="baseline"/>
              <w:rPr>
                <w:rFonts w:ascii="Times New Roman" w:hAnsi="Times New Roman" w:cs="Times New Roman"/>
                <w:color w:val="000000"/>
                <w:kern w:val="24"/>
              </w:rPr>
            </w:pPr>
            <w:r w:rsidRPr="002B69C7">
              <w:rPr>
                <w:rFonts w:ascii="Times New Roman" w:hAnsi="Times New Roman" w:cs="Times New Roman"/>
                <w:color w:val="000000"/>
                <w:kern w:val="24"/>
              </w:rPr>
              <w:t>за счет нефтегазовых доходов</w:t>
            </w:r>
          </w:p>
        </w:tc>
        <w:tc>
          <w:tcPr>
            <w:tcW w:w="1332" w:type="dxa"/>
            <w:shd w:val="clear" w:color="auto" w:fill="auto"/>
            <w:vAlign w:val="center"/>
          </w:tcPr>
          <w:p w14:paraId="6882D356"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829,1</w:t>
            </w:r>
          </w:p>
        </w:tc>
        <w:tc>
          <w:tcPr>
            <w:tcW w:w="1332" w:type="dxa"/>
            <w:shd w:val="clear" w:color="auto" w:fill="auto"/>
            <w:vAlign w:val="center"/>
          </w:tcPr>
          <w:p w14:paraId="7DF28319"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4 261,4</w:t>
            </w:r>
          </w:p>
        </w:tc>
        <w:tc>
          <w:tcPr>
            <w:tcW w:w="1333" w:type="dxa"/>
            <w:shd w:val="clear" w:color="auto" w:fill="auto"/>
            <w:vAlign w:val="center"/>
          </w:tcPr>
          <w:p w14:paraId="5B9C55C2"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2 857,0</w:t>
            </w:r>
          </w:p>
        </w:tc>
        <w:tc>
          <w:tcPr>
            <w:tcW w:w="1332" w:type="dxa"/>
            <w:shd w:val="clear" w:color="auto" w:fill="auto"/>
            <w:vAlign w:val="center"/>
          </w:tcPr>
          <w:p w14:paraId="1792E119"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2 332,9</w:t>
            </w:r>
          </w:p>
        </w:tc>
        <w:tc>
          <w:tcPr>
            <w:tcW w:w="1333" w:type="dxa"/>
            <w:shd w:val="clear" w:color="auto" w:fill="auto"/>
            <w:vAlign w:val="center"/>
          </w:tcPr>
          <w:p w14:paraId="78D24BF4"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2 234,6</w:t>
            </w:r>
          </w:p>
        </w:tc>
      </w:tr>
      <w:tr w:rsidR="00E1515B" w:rsidRPr="00E1515B" w14:paraId="28AF4AE4" w14:textId="77777777" w:rsidTr="00E1515B">
        <w:trPr>
          <w:trHeight w:val="214"/>
        </w:trPr>
        <w:tc>
          <w:tcPr>
            <w:tcW w:w="3227" w:type="dxa"/>
            <w:shd w:val="clear" w:color="auto" w:fill="auto"/>
            <w:vAlign w:val="center"/>
          </w:tcPr>
          <w:p w14:paraId="68E83BC9" w14:textId="77777777" w:rsidR="00E1515B" w:rsidRPr="002B69C7" w:rsidRDefault="00E1515B" w:rsidP="00E1515B">
            <w:pPr>
              <w:kinsoku w:val="0"/>
              <w:overflowPunct w:val="0"/>
              <w:spacing w:beforeAutospacing="1" w:afterAutospacing="1"/>
              <w:ind w:right="113"/>
              <w:textAlignment w:val="baseline"/>
              <w:rPr>
                <w:rFonts w:ascii="Times New Roman" w:hAnsi="Times New Roman" w:cs="Times New Roman"/>
                <w:color w:val="000000"/>
                <w:kern w:val="24"/>
              </w:rPr>
            </w:pPr>
            <w:r w:rsidRPr="002B69C7">
              <w:rPr>
                <w:rFonts w:ascii="Times New Roman" w:hAnsi="Times New Roman" w:cs="Times New Roman"/>
                <w:color w:val="000000"/>
                <w:kern w:val="24"/>
              </w:rPr>
              <w:t>за счет курсовой разницы</w:t>
            </w:r>
          </w:p>
        </w:tc>
        <w:tc>
          <w:tcPr>
            <w:tcW w:w="1332" w:type="dxa"/>
            <w:shd w:val="clear" w:color="auto" w:fill="auto"/>
            <w:vAlign w:val="center"/>
          </w:tcPr>
          <w:p w14:paraId="304A7E1D"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77,6</w:t>
            </w:r>
          </w:p>
        </w:tc>
        <w:tc>
          <w:tcPr>
            <w:tcW w:w="1332" w:type="dxa"/>
            <w:shd w:val="clear" w:color="auto" w:fill="auto"/>
            <w:vAlign w:val="center"/>
          </w:tcPr>
          <w:p w14:paraId="34D4EE2F"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-139,3</w:t>
            </w:r>
          </w:p>
        </w:tc>
        <w:tc>
          <w:tcPr>
            <w:tcW w:w="1333" w:type="dxa"/>
            <w:shd w:val="clear" w:color="auto" w:fill="auto"/>
            <w:vAlign w:val="center"/>
          </w:tcPr>
          <w:p w14:paraId="67C25E22"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-0,9</w:t>
            </w:r>
          </w:p>
        </w:tc>
        <w:tc>
          <w:tcPr>
            <w:tcW w:w="1332" w:type="dxa"/>
            <w:shd w:val="clear" w:color="auto" w:fill="auto"/>
            <w:vAlign w:val="center"/>
          </w:tcPr>
          <w:p w14:paraId="26A22F1F"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39,1</w:t>
            </w:r>
          </w:p>
        </w:tc>
        <w:tc>
          <w:tcPr>
            <w:tcW w:w="1333" w:type="dxa"/>
            <w:shd w:val="clear" w:color="auto" w:fill="auto"/>
            <w:vAlign w:val="center"/>
          </w:tcPr>
          <w:p w14:paraId="36F679E6"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40,3</w:t>
            </w:r>
          </w:p>
        </w:tc>
      </w:tr>
      <w:tr w:rsidR="00E1515B" w:rsidRPr="00E1515B" w14:paraId="3E36A614" w14:textId="77777777" w:rsidTr="00E1515B">
        <w:trPr>
          <w:trHeight w:val="336"/>
        </w:trPr>
        <w:tc>
          <w:tcPr>
            <w:tcW w:w="3227" w:type="dxa"/>
            <w:shd w:val="clear" w:color="auto" w:fill="auto"/>
            <w:vAlign w:val="center"/>
          </w:tcPr>
          <w:p w14:paraId="67D8DA9A" w14:textId="77777777" w:rsidR="00E1515B" w:rsidRPr="002B69C7" w:rsidRDefault="00E1515B" w:rsidP="00E1515B">
            <w:pPr>
              <w:kinsoku w:val="0"/>
              <w:overflowPunct w:val="0"/>
              <w:spacing w:beforeAutospacing="1" w:afterAutospacing="1"/>
              <w:ind w:right="113"/>
              <w:textAlignment w:val="baseline"/>
              <w:rPr>
                <w:rFonts w:ascii="Times New Roman" w:hAnsi="Times New Roman" w:cs="Times New Roman"/>
              </w:rPr>
            </w:pPr>
            <w:r w:rsidRPr="002B69C7">
              <w:rPr>
                <w:rFonts w:ascii="Times New Roman" w:hAnsi="Times New Roman" w:cs="Times New Roman"/>
                <w:color w:val="000000"/>
                <w:kern w:val="24"/>
              </w:rPr>
              <w:t>Использование средств ФНБ</w:t>
            </w:r>
          </w:p>
        </w:tc>
        <w:tc>
          <w:tcPr>
            <w:tcW w:w="1332" w:type="dxa"/>
            <w:shd w:val="clear" w:color="auto" w:fill="auto"/>
            <w:vAlign w:val="center"/>
          </w:tcPr>
          <w:p w14:paraId="0547349E"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1 113,3</w:t>
            </w:r>
          </w:p>
        </w:tc>
        <w:tc>
          <w:tcPr>
            <w:tcW w:w="1332" w:type="dxa"/>
            <w:shd w:val="clear" w:color="auto" w:fill="auto"/>
            <w:vAlign w:val="center"/>
          </w:tcPr>
          <w:p w14:paraId="17BA4FBE"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4,7</w:t>
            </w:r>
          </w:p>
        </w:tc>
        <w:tc>
          <w:tcPr>
            <w:tcW w:w="1333" w:type="dxa"/>
            <w:shd w:val="clear" w:color="auto" w:fill="auto"/>
            <w:vAlign w:val="center"/>
          </w:tcPr>
          <w:p w14:paraId="6191E44B"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4,5</w:t>
            </w:r>
          </w:p>
        </w:tc>
        <w:tc>
          <w:tcPr>
            <w:tcW w:w="1332" w:type="dxa"/>
            <w:shd w:val="clear" w:color="auto" w:fill="auto"/>
            <w:vAlign w:val="center"/>
          </w:tcPr>
          <w:p w14:paraId="34EFFAE5"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4,3</w:t>
            </w:r>
          </w:p>
        </w:tc>
        <w:tc>
          <w:tcPr>
            <w:tcW w:w="1333" w:type="dxa"/>
            <w:shd w:val="clear" w:color="auto" w:fill="auto"/>
            <w:vAlign w:val="center"/>
          </w:tcPr>
          <w:p w14:paraId="75790160"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4,1</w:t>
            </w:r>
          </w:p>
        </w:tc>
      </w:tr>
      <w:tr w:rsidR="00E1515B" w:rsidRPr="00E1515B" w14:paraId="5974B6BA" w14:textId="77777777" w:rsidTr="00E1515B">
        <w:trPr>
          <w:trHeight w:val="336"/>
        </w:trPr>
        <w:tc>
          <w:tcPr>
            <w:tcW w:w="3227" w:type="dxa"/>
            <w:shd w:val="clear" w:color="auto" w:fill="auto"/>
            <w:vAlign w:val="center"/>
          </w:tcPr>
          <w:p w14:paraId="518E1DD0" w14:textId="77777777" w:rsidR="00E1515B" w:rsidRPr="002B69C7" w:rsidRDefault="00E1515B" w:rsidP="00E1515B">
            <w:pPr>
              <w:kinsoku w:val="0"/>
              <w:overflowPunct w:val="0"/>
              <w:spacing w:beforeAutospacing="1" w:afterAutospacing="1"/>
              <w:ind w:right="113"/>
              <w:textAlignment w:val="baseline"/>
              <w:rPr>
                <w:rFonts w:ascii="Times New Roman" w:hAnsi="Times New Roman" w:cs="Times New Roman"/>
                <w:color w:val="000000"/>
                <w:kern w:val="24"/>
              </w:rPr>
            </w:pPr>
            <w:r w:rsidRPr="002B69C7">
              <w:rPr>
                <w:rFonts w:ascii="Times New Roman" w:hAnsi="Times New Roman" w:cs="Times New Roman"/>
                <w:color w:val="000000"/>
                <w:kern w:val="24"/>
              </w:rPr>
              <w:t>Курсовая разница</w:t>
            </w:r>
          </w:p>
        </w:tc>
        <w:tc>
          <w:tcPr>
            <w:tcW w:w="1332" w:type="dxa"/>
            <w:shd w:val="clear" w:color="auto" w:fill="auto"/>
            <w:vAlign w:val="center"/>
          </w:tcPr>
          <w:p w14:paraId="541A9884"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489,7</w:t>
            </w:r>
          </w:p>
        </w:tc>
        <w:tc>
          <w:tcPr>
            <w:tcW w:w="1332" w:type="dxa"/>
            <w:shd w:val="clear" w:color="auto" w:fill="auto"/>
            <w:vAlign w:val="center"/>
          </w:tcPr>
          <w:p w14:paraId="1B59E5A2"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18,5</w:t>
            </w:r>
          </w:p>
        </w:tc>
        <w:tc>
          <w:tcPr>
            <w:tcW w:w="1333" w:type="dxa"/>
            <w:shd w:val="clear" w:color="auto" w:fill="auto"/>
            <w:vAlign w:val="center"/>
          </w:tcPr>
          <w:p w14:paraId="62CB3DFC"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35,9</w:t>
            </w:r>
          </w:p>
        </w:tc>
        <w:tc>
          <w:tcPr>
            <w:tcW w:w="1332" w:type="dxa"/>
            <w:shd w:val="clear" w:color="auto" w:fill="auto"/>
            <w:vAlign w:val="center"/>
          </w:tcPr>
          <w:p w14:paraId="2A15C6FD"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230,8</w:t>
            </w:r>
          </w:p>
        </w:tc>
        <w:tc>
          <w:tcPr>
            <w:tcW w:w="1333" w:type="dxa"/>
            <w:shd w:val="clear" w:color="auto" w:fill="auto"/>
            <w:vAlign w:val="center"/>
          </w:tcPr>
          <w:p w14:paraId="207F949B"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202,8</w:t>
            </w:r>
          </w:p>
        </w:tc>
      </w:tr>
      <w:tr w:rsidR="00E1515B" w:rsidRPr="00E1515B" w14:paraId="298B3631" w14:textId="77777777" w:rsidTr="00E1515B">
        <w:trPr>
          <w:trHeight w:val="336"/>
        </w:trPr>
        <w:tc>
          <w:tcPr>
            <w:tcW w:w="3227" w:type="dxa"/>
            <w:shd w:val="clear" w:color="auto" w:fill="auto"/>
            <w:vAlign w:val="center"/>
          </w:tcPr>
          <w:p w14:paraId="6D92F527" w14:textId="77777777" w:rsidR="00E1515B" w:rsidRPr="002B69C7" w:rsidRDefault="00E1515B" w:rsidP="00E1515B">
            <w:pPr>
              <w:kinsoku w:val="0"/>
              <w:overflowPunct w:val="0"/>
              <w:spacing w:beforeAutospacing="1" w:afterAutospacing="1"/>
              <w:ind w:right="113"/>
              <w:textAlignment w:val="baseline"/>
              <w:rPr>
                <w:rFonts w:ascii="Times New Roman" w:hAnsi="Times New Roman" w:cs="Times New Roman"/>
              </w:rPr>
            </w:pPr>
            <w:r w:rsidRPr="002B69C7">
              <w:rPr>
                <w:rFonts w:ascii="Times New Roman" w:hAnsi="Times New Roman" w:cs="Times New Roman"/>
                <w:color w:val="000000"/>
                <w:kern w:val="24"/>
              </w:rPr>
              <w:t xml:space="preserve">Объем ФНБ на конец года </w:t>
            </w:r>
          </w:p>
        </w:tc>
        <w:tc>
          <w:tcPr>
            <w:tcW w:w="1332" w:type="dxa"/>
            <w:shd w:val="clear" w:color="auto" w:fill="auto"/>
            <w:vAlign w:val="center"/>
          </w:tcPr>
          <w:p w14:paraId="39D3D57A"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4 036,0</w:t>
            </w:r>
          </w:p>
        </w:tc>
        <w:tc>
          <w:tcPr>
            <w:tcW w:w="1332" w:type="dxa"/>
            <w:shd w:val="clear" w:color="auto" w:fill="auto"/>
            <w:vAlign w:val="center"/>
          </w:tcPr>
          <w:p w14:paraId="0EB169FD"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8 172,0</w:t>
            </w:r>
          </w:p>
        </w:tc>
        <w:tc>
          <w:tcPr>
            <w:tcW w:w="1333" w:type="dxa"/>
            <w:shd w:val="clear" w:color="auto" w:fill="auto"/>
            <w:vAlign w:val="center"/>
          </w:tcPr>
          <w:p w14:paraId="473BB905"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11 059,5</w:t>
            </w:r>
          </w:p>
        </w:tc>
        <w:tc>
          <w:tcPr>
            <w:tcW w:w="1332" w:type="dxa"/>
            <w:shd w:val="clear" w:color="auto" w:fill="auto"/>
            <w:vAlign w:val="center"/>
          </w:tcPr>
          <w:p w14:paraId="5935D1CD"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13 658,0</w:t>
            </w:r>
          </w:p>
        </w:tc>
        <w:tc>
          <w:tcPr>
            <w:tcW w:w="1333" w:type="dxa"/>
            <w:shd w:val="clear" w:color="auto" w:fill="auto"/>
            <w:vAlign w:val="center"/>
          </w:tcPr>
          <w:p w14:paraId="00BE8F47"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16 196,3</w:t>
            </w:r>
          </w:p>
        </w:tc>
      </w:tr>
      <w:tr w:rsidR="00E1515B" w:rsidRPr="00E1515B" w14:paraId="34477C64" w14:textId="77777777" w:rsidTr="00E1515B">
        <w:trPr>
          <w:trHeight w:val="336"/>
        </w:trPr>
        <w:tc>
          <w:tcPr>
            <w:tcW w:w="3227" w:type="dxa"/>
            <w:shd w:val="clear" w:color="auto" w:fill="auto"/>
            <w:vAlign w:val="center"/>
          </w:tcPr>
          <w:p w14:paraId="5CAAAD66" w14:textId="77777777" w:rsidR="00E1515B" w:rsidRPr="002B69C7" w:rsidRDefault="00E1515B" w:rsidP="00E1515B">
            <w:pPr>
              <w:kinsoku w:val="0"/>
              <w:overflowPunct w:val="0"/>
              <w:spacing w:beforeAutospacing="1" w:afterAutospacing="1"/>
              <w:ind w:right="113"/>
              <w:jc w:val="both"/>
              <w:textAlignment w:val="baseline"/>
              <w:rPr>
                <w:rFonts w:ascii="Times New Roman" w:hAnsi="Times New Roman" w:cs="Times New Roman"/>
                <w:i/>
              </w:rPr>
            </w:pPr>
            <w:r w:rsidRPr="002B69C7">
              <w:rPr>
                <w:rFonts w:ascii="Times New Roman" w:hAnsi="Times New Roman" w:cs="Times New Roman"/>
                <w:i/>
                <w:color w:val="000000"/>
                <w:kern w:val="24"/>
              </w:rPr>
              <w:t xml:space="preserve">%% к ВВП </w:t>
            </w:r>
          </w:p>
        </w:tc>
        <w:tc>
          <w:tcPr>
            <w:tcW w:w="1332" w:type="dxa"/>
            <w:shd w:val="clear" w:color="auto" w:fill="auto"/>
            <w:vAlign w:val="center"/>
          </w:tcPr>
          <w:p w14:paraId="1ACAFEDB" w14:textId="77777777" w:rsidR="00E1515B" w:rsidRPr="002B69C7" w:rsidRDefault="00E1515B" w:rsidP="00E1515B">
            <w:pPr>
              <w:jc w:val="center"/>
              <w:rPr>
                <w:rFonts w:ascii="Times New Roman" w:hAnsi="Times New Roman" w:cs="Times New Roman"/>
                <w:i/>
                <w:color w:val="000000"/>
                <w:kern w:val="24"/>
              </w:rPr>
            </w:pPr>
            <w:r w:rsidRPr="002B69C7">
              <w:rPr>
                <w:rFonts w:ascii="Times New Roman" w:hAnsi="Times New Roman" w:cs="Times New Roman"/>
                <w:i/>
                <w:color w:val="000000"/>
                <w:kern w:val="24"/>
              </w:rPr>
              <w:t>3,9</w:t>
            </w:r>
          </w:p>
        </w:tc>
        <w:tc>
          <w:tcPr>
            <w:tcW w:w="1332" w:type="dxa"/>
            <w:shd w:val="clear" w:color="auto" w:fill="auto"/>
            <w:vAlign w:val="center"/>
          </w:tcPr>
          <w:p w14:paraId="789FDCCA" w14:textId="77777777" w:rsidR="00E1515B" w:rsidRPr="002B69C7" w:rsidRDefault="00E1515B" w:rsidP="00E1515B">
            <w:pPr>
              <w:jc w:val="center"/>
              <w:rPr>
                <w:rFonts w:ascii="Times New Roman" w:hAnsi="Times New Roman" w:cs="Times New Roman"/>
                <w:i/>
                <w:color w:val="000000"/>
                <w:kern w:val="24"/>
              </w:rPr>
            </w:pPr>
            <w:r w:rsidRPr="002B69C7">
              <w:rPr>
                <w:rFonts w:ascii="Times New Roman" w:hAnsi="Times New Roman" w:cs="Times New Roman"/>
                <w:i/>
                <w:color w:val="000000"/>
                <w:kern w:val="24"/>
              </w:rPr>
              <w:t>7,5</w:t>
            </w:r>
          </w:p>
        </w:tc>
        <w:tc>
          <w:tcPr>
            <w:tcW w:w="1333" w:type="dxa"/>
            <w:shd w:val="clear" w:color="auto" w:fill="auto"/>
            <w:vAlign w:val="center"/>
          </w:tcPr>
          <w:p w14:paraId="27E62B4B" w14:textId="77777777" w:rsidR="00E1515B" w:rsidRPr="002B69C7" w:rsidRDefault="00E1515B" w:rsidP="00E1515B">
            <w:pPr>
              <w:jc w:val="center"/>
              <w:rPr>
                <w:rFonts w:ascii="Times New Roman" w:hAnsi="Times New Roman" w:cs="Times New Roman"/>
                <w:i/>
                <w:color w:val="000000"/>
                <w:kern w:val="24"/>
              </w:rPr>
            </w:pPr>
            <w:r w:rsidRPr="002B69C7">
              <w:rPr>
                <w:rFonts w:ascii="Times New Roman" w:hAnsi="Times New Roman" w:cs="Times New Roman"/>
                <w:i/>
                <w:color w:val="000000"/>
                <w:kern w:val="24"/>
              </w:rPr>
              <w:t>9,8</w:t>
            </w:r>
          </w:p>
        </w:tc>
        <w:tc>
          <w:tcPr>
            <w:tcW w:w="1332" w:type="dxa"/>
            <w:shd w:val="clear" w:color="auto" w:fill="auto"/>
            <w:vAlign w:val="center"/>
          </w:tcPr>
          <w:p w14:paraId="4417A41A" w14:textId="77777777" w:rsidR="00E1515B" w:rsidRPr="002B69C7" w:rsidRDefault="00E1515B" w:rsidP="00E1515B">
            <w:pPr>
              <w:jc w:val="center"/>
              <w:rPr>
                <w:rFonts w:ascii="Times New Roman" w:hAnsi="Times New Roman" w:cs="Times New Roman"/>
                <w:i/>
                <w:color w:val="000000"/>
                <w:kern w:val="24"/>
              </w:rPr>
            </w:pPr>
            <w:r w:rsidRPr="002B69C7">
              <w:rPr>
                <w:rFonts w:ascii="Times New Roman" w:hAnsi="Times New Roman" w:cs="Times New Roman"/>
                <w:i/>
                <w:color w:val="000000"/>
                <w:kern w:val="24"/>
              </w:rPr>
              <w:t>11,3</w:t>
            </w:r>
          </w:p>
        </w:tc>
        <w:tc>
          <w:tcPr>
            <w:tcW w:w="1333" w:type="dxa"/>
            <w:shd w:val="clear" w:color="auto" w:fill="auto"/>
            <w:vAlign w:val="center"/>
          </w:tcPr>
          <w:p w14:paraId="59FF5AB3" w14:textId="77777777" w:rsidR="00E1515B" w:rsidRPr="002B69C7" w:rsidRDefault="00E1515B" w:rsidP="00E1515B">
            <w:pPr>
              <w:jc w:val="center"/>
              <w:rPr>
                <w:rFonts w:ascii="Times New Roman" w:hAnsi="Times New Roman" w:cs="Times New Roman"/>
                <w:i/>
                <w:color w:val="000000"/>
                <w:kern w:val="24"/>
              </w:rPr>
            </w:pPr>
            <w:r w:rsidRPr="002B69C7">
              <w:rPr>
                <w:rFonts w:ascii="Times New Roman" w:hAnsi="Times New Roman" w:cs="Times New Roman"/>
                <w:i/>
                <w:color w:val="000000"/>
                <w:kern w:val="24"/>
              </w:rPr>
              <w:t>12,6</w:t>
            </w:r>
          </w:p>
        </w:tc>
      </w:tr>
      <w:tr w:rsidR="00E1515B" w:rsidRPr="00E1515B" w14:paraId="2D319B65" w14:textId="77777777" w:rsidTr="00E1515B">
        <w:trPr>
          <w:trHeight w:val="336"/>
        </w:trPr>
        <w:tc>
          <w:tcPr>
            <w:tcW w:w="3227" w:type="dxa"/>
            <w:shd w:val="clear" w:color="auto" w:fill="auto"/>
            <w:vAlign w:val="center"/>
          </w:tcPr>
          <w:p w14:paraId="357BC95E" w14:textId="77777777" w:rsidR="00E1515B" w:rsidRPr="002B69C7" w:rsidRDefault="00E1515B" w:rsidP="00E1515B">
            <w:pPr>
              <w:kinsoku w:val="0"/>
              <w:overflowPunct w:val="0"/>
              <w:spacing w:beforeAutospacing="1" w:afterAutospacing="1"/>
              <w:ind w:right="113"/>
              <w:jc w:val="both"/>
              <w:textAlignment w:val="baseline"/>
              <w:rPr>
                <w:rFonts w:ascii="Times New Roman" w:hAnsi="Times New Roman" w:cs="Times New Roman"/>
                <w:color w:val="000000"/>
                <w:kern w:val="24"/>
              </w:rPr>
            </w:pPr>
            <w:r w:rsidRPr="002B69C7">
              <w:rPr>
                <w:rFonts w:ascii="Times New Roman" w:hAnsi="Times New Roman" w:cs="Times New Roman"/>
                <w:color w:val="000000"/>
                <w:kern w:val="24"/>
              </w:rPr>
              <w:t>Объем средств ФНБ, размещенных на счетах в Банке России (ликвидная часть)</w:t>
            </w:r>
          </w:p>
        </w:tc>
        <w:tc>
          <w:tcPr>
            <w:tcW w:w="1332" w:type="dxa"/>
            <w:shd w:val="clear" w:color="auto" w:fill="auto"/>
            <w:vAlign w:val="center"/>
          </w:tcPr>
          <w:p w14:paraId="68E8E819"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2 355,6</w:t>
            </w:r>
          </w:p>
        </w:tc>
        <w:tc>
          <w:tcPr>
            <w:tcW w:w="1332" w:type="dxa"/>
            <w:shd w:val="clear" w:color="auto" w:fill="auto"/>
            <w:vAlign w:val="center"/>
          </w:tcPr>
          <w:p w14:paraId="4A1CF5D3"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6 546,7</w:t>
            </w:r>
          </w:p>
        </w:tc>
        <w:tc>
          <w:tcPr>
            <w:tcW w:w="1333" w:type="dxa"/>
            <w:shd w:val="clear" w:color="auto" w:fill="auto"/>
            <w:vAlign w:val="center"/>
          </w:tcPr>
          <w:p w14:paraId="540F8B53"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9 570,7</w:t>
            </w:r>
          </w:p>
        </w:tc>
        <w:tc>
          <w:tcPr>
            <w:tcW w:w="1332" w:type="dxa"/>
            <w:shd w:val="clear" w:color="auto" w:fill="auto"/>
            <w:vAlign w:val="center"/>
          </w:tcPr>
          <w:p w14:paraId="7360C9AA"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12 165,0</w:t>
            </w:r>
          </w:p>
        </w:tc>
        <w:tc>
          <w:tcPr>
            <w:tcW w:w="1333" w:type="dxa"/>
            <w:shd w:val="clear" w:color="auto" w:fill="auto"/>
            <w:vAlign w:val="center"/>
          </w:tcPr>
          <w:p w14:paraId="632568C8"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14 715,5</w:t>
            </w:r>
          </w:p>
        </w:tc>
      </w:tr>
      <w:tr w:rsidR="00E1515B" w:rsidRPr="00E1515B" w14:paraId="67318FCA" w14:textId="77777777" w:rsidTr="00E1515B">
        <w:trPr>
          <w:trHeight w:val="190"/>
        </w:trPr>
        <w:tc>
          <w:tcPr>
            <w:tcW w:w="3227" w:type="dxa"/>
            <w:shd w:val="clear" w:color="auto" w:fill="auto"/>
            <w:vAlign w:val="center"/>
          </w:tcPr>
          <w:p w14:paraId="63234A41" w14:textId="77777777" w:rsidR="00E1515B" w:rsidRPr="002B69C7" w:rsidRDefault="00E1515B" w:rsidP="00E1515B">
            <w:pPr>
              <w:kinsoku w:val="0"/>
              <w:overflowPunct w:val="0"/>
              <w:spacing w:beforeAutospacing="1" w:afterAutospacing="1"/>
              <w:ind w:right="113"/>
              <w:jc w:val="both"/>
              <w:textAlignment w:val="baseline"/>
              <w:rPr>
                <w:rFonts w:ascii="Times New Roman" w:hAnsi="Times New Roman" w:cs="Times New Roman"/>
                <w:color w:val="000000"/>
                <w:kern w:val="24"/>
              </w:rPr>
            </w:pPr>
            <w:r w:rsidRPr="002B69C7">
              <w:rPr>
                <w:rFonts w:ascii="Times New Roman" w:hAnsi="Times New Roman" w:cs="Times New Roman"/>
                <w:i/>
                <w:color w:val="000000"/>
                <w:kern w:val="24"/>
              </w:rPr>
              <w:t>%% к ВВП</w:t>
            </w:r>
          </w:p>
        </w:tc>
        <w:tc>
          <w:tcPr>
            <w:tcW w:w="1332" w:type="dxa"/>
            <w:shd w:val="clear" w:color="auto" w:fill="auto"/>
            <w:vAlign w:val="center"/>
          </w:tcPr>
          <w:p w14:paraId="5BE49446" w14:textId="77777777" w:rsidR="00E1515B" w:rsidRPr="002B69C7" w:rsidRDefault="00E1515B" w:rsidP="00E1515B">
            <w:pPr>
              <w:jc w:val="center"/>
              <w:rPr>
                <w:rFonts w:ascii="Times New Roman" w:hAnsi="Times New Roman" w:cs="Times New Roman"/>
                <w:i/>
                <w:color w:val="000000"/>
                <w:kern w:val="24"/>
              </w:rPr>
            </w:pPr>
            <w:r w:rsidRPr="002B69C7">
              <w:rPr>
                <w:rFonts w:ascii="Times New Roman" w:hAnsi="Times New Roman" w:cs="Times New Roman"/>
                <w:i/>
                <w:color w:val="000000"/>
                <w:kern w:val="24"/>
              </w:rPr>
              <w:t>2,3</w:t>
            </w:r>
          </w:p>
        </w:tc>
        <w:tc>
          <w:tcPr>
            <w:tcW w:w="1332" w:type="dxa"/>
            <w:shd w:val="clear" w:color="auto" w:fill="auto"/>
            <w:vAlign w:val="center"/>
          </w:tcPr>
          <w:p w14:paraId="6B193A83" w14:textId="77777777" w:rsidR="00E1515B" w:rsidRPr="002B69C7" w:rsidRDefault="00E1515B" w:rsidP="00E1515B">
            <w:pPr>
              <w:jc w:val="center"/>
              <w:rPr>
                <w:rFonts w:ascii="Times New Roman" w:hAnsi="Times New Roman" w:cs="Times New Roman"/>
                <w:i/>
                <w:color w:val="000000"/>
                <w:kern w:val="24"/>
              </w:rPr>
            </w:pPr>
            <w:r w:rsidRPr="002B69C7">
              <w:rPr>
                <w:rFonts w:ascii="Times New Roman" w:hAnsi="Times New Roman" w:cs="Times New Roman"/>
                <w:i/>
                <w:color w:val="000000"/>
                <w:kern w:val="24"/>
              </w:rPr>
              <w:t>6,0</w:t>
            </w:r>
          </w:p>
        </w:tc>
        <w:tc>
          <w:tcPr>
            <w:tcW w:w="1333" w:type="dxa"/>
            <w:shd w:val="clear" w:color="auto" w:fill="auto"/>
            <w:vAlign w:val="center"/>
          </w:tcPr>
          <w:p w14:paraId="41E6A1CF" w14:textId="77777777" w:rsidR="00E1515B" w:rsidRPr="002B69C7" w:rsidRDefault="00E1515B" w:rsidP="00E1515B">
            <w:pPr>
              <w:jc w:val="center"/>
              <w:rPr>
                <w:rFonts w:ascii="Times New Roman" w:hAnsi="Times New Roman" w:cs="Times New Roman"/>
                <w:i/>
                <w:color w:val="000000"/>
                <w:kern w:val="24"/>
              </w:rPr>
            </w:pPr>
            <w:r w:rsidRPr="002B69C7">
              <w:rPr>
                <w:rFonts w:ascii="Times New Roman" w:hAnsi="Times New Roman" w:cs="Times New Roman"/>
                <w:i/>
                <w:color w:val="000000"/>
                <w:kern w:val="24"/>
              </w:rPr>
              <w:t>8,5</w:t>
            </w:r>
          </w:p>
        </w:tc>
        <w:tc>
          <w:tcPr>
            <w:tcW w:w="1332" w:type="dxa"/>
            <w:shd w:val="clear" w:color="auto" w:fill="auto"/>
            <w:vAlign w:val="center"/>
          </w:tcPr>
          <w:p w14:paraId="47DA6388" w14:textId="77777777" w:rsidR="00E1515B" w:rsidRPr="002B69C7" w:rsidRDefault="00E1515B" w:rsidP="00E1515B">
            <w:pPr>
              <w:jc w:val="center"/>
              <w:rPr>
                <w:rFonts w:ascii="Times New Roman" w:hAnsi="Times New Roman" w:cs="Times New Roman"/>
                <w:i/>
                <w:color w:val="000000"/>
                <w:kern w:val="24"/>
              </w:rPr>
            </w:pPr>
            <w:r w:rsidRPr="002B69C7">
              <w:rPr>
                <w:rFonts w:ascii="Times New Roman" w:hAnsi="Times New Roman" w:cs="Times New Roman"/>
                <w:i/>
                <w:color w:val="000000"/>
                <w:kern w:val="24"/>
              </w:rPr>
              <w:t>10,1</w:t>
            </w:r>
          </w:p>
        </w:tc>
        <w:tc>
          <w:tcPr>
            <w:tcW w:w="1333" w:type="dxa"/>
            <w:shd w:val="clear" w:color="auto" w:fill="auto"/>
            <w:vAlign w:val="center"/>
          </w:tcPr>
          <w:p w14:paraId="20293060" w14:textId="77777777" w:rsidR="00E1515B" w:rsidRPr="002B69C7" w:rsidRDefault="00E1515B" w:rsidP="00E1515B">
            <w:pPr>
              <w:jc w:val="center"/>
              <w:rPr>
                <w:rFonts w:ascii="Times New Roman" w:hAnsi="Times New Roman" w:cs="Times New Roman"/>
                <w:i/>
                <w:color w:val="000000"/>
                <w:kern w:val="24"/>
              </w:rPr>
            </w:pPr>
            <w:r w:rsidRPr="002B69C7">
              <w:rPr>
                <w:rFonts w:ascii="Times New Roman" w:hAnsi="Times New Roman" w:cs="Times New Roman"/>
                <w:i/>
                <w:color w:val="000000"/>
                <w:kern w:val="24"/>
              </w:rPr>
              <w:t>11,5</w:t>
            </w:r>
          </w:p>
        </w:tc>
      </w:tr>
      <w:tr w:rsidR="00E1515B" w:rsidRPr="00E1515B" w14:paraId="28D0CC58" w14:textId="77777777" w:rsidTr="00E1515B">
        <w:trPr>
          <w:trHeight w:val="336"/>
        </w:trPr>
        <w:tc>
          <w:tcPr>
            <w:tcW w:w="3227" w:type="dxa"/>
            <w:shd w:val="clear" w:color="auto" w:fill="auto"/>
            <w:vAlign w:val="center"/>
          </w:tcPr>
          <w:p w14:paraId="73662C12" w14:textId="77777777" w:rsidR="00E1515B" w:rsidRPr="002B69C7" w:rsidRDefault="00E1515B" w:rsidP="00E1515B">
            <w:pPr>
              <w:kinsoku w:val="0"/>
              <w:overflowPunct w:val="0"/>
              <w:spacing w:beforeAutospacing="1" w:afterAutospacing="1"/>
              <w:ind w:right="113"/>
              <w:textAlignment w:val="baseline"/>
              <w:rPr>
                <w:rFonts w:ascii="Times New Roman" w:hAnsi="Times New Roman" w:cs="Times New Roman"/>
              </w:rPr>
            </w:pPr>
            <w:r w:rsidRPr="002B69C7">
              <w:rPr>
                <w:rFonts w:ascii="Times New Roman" w:hAnsi="Times New Roman" w:cs="Times New Roman"/>
                <w:color w:val="000000"/>
                <w:kern w:val="24"/>
              </w:rPr>
              <w:t xml:space="preserve">Объем средств ФНБ, размещенных в иные (помимо счетов в Банке России) финансовые активы </w:t>
            </w:r>
          </w:p>
        </w:tc>
        <w:tc>
          <w:tcPr>
            <w:tcW w:w="1332" w:type="dxa"/>
            <w:shd w:val="clear" w:color="auto" w:fill="auto"/>
            <w:vAlign w:val="center"/>
          </w:tcPr>
          <w:p w14:paraId="31B599C3"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1 680,4</w:t>
            </w:r>
          </w:p>
        </w:tc>
        <w:tc>
          <w:tcPr>
            <w:tcW w:w="1332" w:type="dxa"/>
            <w:shd w:val="clear" w:color="auto" w:fill="auto"/>
            <w:vAlign w:val="center"/>
          </w:tcPr>
          <w:p w14:paraId="1ED8A4FC"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1 625,3</w:t>
            </w:r>
          </w:p>
        </w:tc>
        <w:tc>
          <w:tcPr>
            <w:tcW w:w="1333" w:type="dxa"/>
            <w:shd w:val="clear" w:color="auto" w:fill="auto"/>
            <w:vAlign w:val="center"/>
          </w:tcPr>
          <w:p w14:paraId="783E1489"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1 488,8</w:t>
            </w:r>
          </w:p>
        </w:tc>
        <w:tc>
          <w:tcPr>
            <w:tcW w:w="1332" w:type="dxa"/>
            <w:shd w:val="clear" w:color="auto" w:fill="auto"/>
            <w:vAlign w:val="center"/>
          </w:tcPr>
          <w:p w14:paraId="00A6C66E"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1 493,0</w:t>
            </w:r>
          </w:p>
        </w:tc>
        <w:tc>
          <w:tcPr>
            <w:tcW w:w="1333" w:type="dxa"/>
            <w:shd w:val="clear" w:color="auto" w:fill="auto"/>
            <w:vAlign w:val="center"/>
          </w:tcPr>
          <w:p w14:paraId="19172AC7" w14:textId="77777777" w:rsidR="00E1515B" w:rsidRPr="002B69C7" w:rsidRDefault="00E1515B" w:rsidP="00E1515B">
            <w:pPr>
              <w:jc w:val="center"/>
              <w:rPr>
                <w:rFonts w:ascii="Times New Roman" w:hAnsi="Times New Roman" w:cs="Times New Roman"/>
                <w:color w:val="000000"/>
                <w:kern w:val="24"/>
              </w:rPr>
            </w:pPr>
            <w:r w:rsidRPr="002B69C7">
              <w:rPr>
                <w:rFonts w:ascii="Times New Roman" w:hAnsi="Times New Roman" w:cs="Times New Roman"/>
                <w:color w:val="000000"/>
                <w:kern w:val="24"/>
              </w:rPr>
              <w:t>1 480,8</w:t>
            </w:r>
          </w:p>
        </w:tc>
      </w:tr>
      <w:tr w:rsidR="00E1515B" w:rsidRPr="00E1515B" w14:paraId="43343345" w14:textId="77777777" w:rsidTr="00E1515B">
        <w:trPr>
          <w:trHeight w:val="278"/>
        </w:trPr>
        <w:tc>
          <w:tcPr>
            <w:tcW w:w="3227" w:type="dxa"/>
            <w:shd w:val="clear" w:color="auto" w:fill="auto"/>
            <w:vAlign w:val="center"/>
          </w:tcPr>
          <w:p w14:paraId="6D3C05D9" w14:textId="77777777" w:rsidR="00E1515B" w:rsidRPr="002B69C7" w:rsidRDefault="00E1515B" w:rsidP="00E1515B">
            <w:pPr>
              <w:kinsoku w:val="0"/>
              <w:overflowPunct w:val="0"/>
              <w:spacing w:beforeAutospacing="1" w:afterAutospacing="1"/>
              <w:ind w:right="113"/>
              <w:textAlignment w:val="baseline"/>
              <w:rPr>
                <w:rFonts w:ascii="Times New Roman" w:hAnsi="Times New Roman" w:cs="Times New Roman"/>
                <w:color w:val="000000"/>
                <w:kern w:val="24"/>
              </w:rPr>
            </w:pPr>
            <w:r w:rsidRPr="002B69C7">
              <w:rPr>
                <w:rFonts w:ascii="Times New Roman" w:hAnsi="Times New Roman" w:cs="Times New Roman"/>
                <w:i/>
                <w:color w:val="000000"/>
                <w:kern w:val="24"/>
              </w:rPr>
              <w:t>%% к ВВП</w:t>
            </w:r>
          </w:p>
        </w:tc>
        <w:tc>
          <w:tcPr>
            <w:tcW w:w="1332" w:type="dxa"/>
            <w:shd w:val="clear" w:color="auto" w:fill="auto"/>
            <w:vAlign w:val="center"/>
          </w:tcPr>
          <w:p w14:paraId="32B94F08" w14:textId="77777777" w:rsidR="00E1515B" w:rsidRPr="002B69C7" w:rsidRDefault="00E1515B" w:rsidP="00E1515B">
            <w:pPr>
              <w:jc w:val="center"/>
              <w:rPr>
                <w:rFonts w:ascii="Times New Roman" w:hAnsi="Times New Roman" w:cs="Times New Roman"/>
                <w:i/>
                <w:color w:val="000000"/>
                <w:kern w:val="24"/>
              </w:rPr>
            </w:pPr>
            <w:r w:rsidRPr="002B69C7">
              <w:rPr>
                <w:rFonts w:ascii="Times New Roman" w:hAnsi="Times New Roman" w:cs="Times New Roman"/>
                <w:i/>
                <w:color w:val="000000"/>
                <w:kern w:val="24"/>
              </w:rPr>
              <w:t>1,6</w:t>
            </w:r>
          </w:p>
        </w:tc>
        <w:tc>
          <w:tcPr>
            <w:tcW w:w="1332" w:type="dxa"/>
            <w:shd w:val="clear" w:color="auto" w:fill="auto"/>
            <w:vAlign w:val="center"/>
          </w:tcPr>
          <w:p w14:paraId="0A19A513" w14:textId="77777777" w:rsidR="00E1515B" w:rsidRPr="002B69C7" w:rsidRDefault="00E1515B" w:rsidP="00E1515B">
            <w:pPr>
              <w:jc w:val="center"/>
              <w:rPr>
                <w:rFonts w:ascii="Times New Roman" w:hAnsi="Times New Roman" w:cs="Times New Roman"/>
                <w:i/>
                <w:color w:val="000000"/>
                <w:kern w:val="24"/>
              </w:rPr>
            </w:pPr>
            <w:r w:rsidRPr="002B69C7">
              <w:rPr>
                <w:rFonts w:ascii="Times New Roman" w:hAnsi="Times New Roman" w:cs="Times New Roman"/>
                <w:i/>
                <w:color w:val="000000"/>
                <w:kern w:val="24"/>
              </w:rPr>
              <w:t>1,5</w:t>
            </w:r>
          </w:p>
        </w:tc>
        <w:tc>
          <w:tcPr>
            <w:tcW w:w="1333" w:type="dxa"/>
            <w:shd w:val="clear" w:color="auto" w:fill="auto"/>
            <w:vAlign w:val="center"/>
          </w:tcPr>
          <w:p w14:paraId="14DE821A" w14:textId="77777777" w:rsidR="00E1515B" w:rsidRPr="002B69C7" w:rsidRDefault="00E1515B" w:rsidP="00E1515B">
            <w:pPr>
              <w:jc w:val="center"/>
              <w:rPr>
                <w:rFonts w:ascii="Times New Roman" w:hAnsi="Times New Roman" w:cs="Times New Roman"/>
                <w:i/>
                <w:color w:val="000000"/>
                <w:kern w:val="24"/>
              </w:rPr>
            </w:pPr>
            <w:r w:rsidRPr="002B69C7">
              <w:rPr>
                <w:rFonts w:ascii="Times New Roman" w:hAnsi="Times New Roman" w:cs="Times New Roman"/>
                <w:i/>
                <w:color w:val="000000"/>
                <w:kern w:val="24"/>
              </w:rPr>
              <w:t>1,3</w:t>
            </w:r>
          </w:p>
        </w:tc>
        <w:tc>
          <w:tcPr>
            <w:tcW w:w="1332" w:type="dxa"/>
            <w:shd w:val="clear" w:color="auto" w:fill="auto"/>
            <w:vAlign w:val="center"/>
          </w:tcPr>
          <w:p w14:paraId="3731DBC3" w14:textId="77777777" w:rsidR="00E1515B" w:rsidRPr="002B69C7" w:rsidRDefault="00E1515B" w:rsidP="00E1515B">
            <w:pPr>
              <w:jc w:val="center"/>
              <w:rPr>
                <w:rFonts w:ascii="Times New Roman" w:hAnsi="Times New Roman" w:cs="Times New Roman"/>
                <w:i/>
                <w:color w:val="000000"/>
                <w:kern w:val="24"/>
              </w:rPr>
            </w:pPr>
            <w:r w:rsidRPr="002B69C7">
              <w:rPr>
                <w:rFonts w:ascii="Times New Roman" w:hAnsi="Times New Roman" w:cs="Times New Roman"/>
                <w:i/>
                <w:color w:val="000000"/>
                <w:kern w:val="24"/>
              </w:rPr>
              <w:t>1,2</w:t>
            </w:r>
          </w:p>
        </w:tc>
        <w:tc>
          <w:tcPr>
            <w:tcW w:w="1333" w:type="dxa"/>
            <w:shd w:val="clear" w:color="auto" w:fill="auto"/>
            <w:vAlign w:val="center"/>
          </w:tcPr>
          <w:p w14:paraId="0EC8AA26" w14:textId="77777777" w:rsidR="00E1515B" w:rsidRPr="002B69C7" w:rsidRDefault="00E1515B" w:rsidP="00E1515B">
            <w:pPr>
              <w:jc w:val="center"/>
              <w:rPr>
                <w:rFonts w:ascii="Times New Roman" w:hAnsi="Times New Roman" w:cs="Times New Roman"/>
                <w:i/>
                <w:color w:val="000000"/>
                <w:kern w:val="24"/>
              </w:rPr>
            </w:pPr>
            <w:r w:rsidRPr="002B69C7">
              <w:rPr>
                <w:rFonts w:ascii="Times New Roman" w:hAnsi="Times New Roman" w:cs="Times New Roman"/>
                <w:i/>
                <w:color w:val="000000"/>
                <w:kern w:val="24"/>
              </w:rPr>
              <w:t>1,2</w:t>
            </w:r>
          </w:p>
        </w:tc>
      </w:tr>
    </w:tbl>
    <w:p w14:paraId="449FB223" w14:textId="77777777" w:rsidR="00E1515B" w:rsidRPr="00E1515B" w:rsidRDefault="00E1515B" w:rsidP="00E1515B">
      <w:pPr>
        <w:autoSpaceDE w:val="0"/>
        <w:autoSpaceDN w:val="0"/>
        <w:adjustRightInd w:val="0"/>
        <w:spacing w:line="336" w:lineRule="auto"/>
        <w:ind w:firstLine="709"/>
        <w:jc w:val="both"/>
        <w:rPr>
          <w:rFonts w:ascii="Times New Roman" w:eastAsia="Calibri" w:hAnsi="Times New Roman" w:cs="Times New Roman"/>
          <w:sz w:val="28"/>
          <w:szCs w:val="28"/>
        </w:rPr>
      </w:pPr>
    </w:p>
    <w:p w14:paraId="59170F6F" w14:textId="4756A183" w:rsidR="00E1515B" w:rsidRDefault="00E1515B" w:rsidP="002E471E">
      <w:pPr>
        <w:autoSpaceDE w:val="0"/>
        <w:autoSpaceDN w:val="0"/>
        <w:adjustRightInd w:val="0"/>
        <w:spacing w:line="360" w:lineRule="auto"/>
        <w:ind w:firstLine="709"/>
        <w:jc w:val="both"/>
        <w:rPr>
          <w:rFonts w:ascii="Times New Roman" w:hAnsi="Times New Roman" w:cs="Times New Roman"/>
          <w:sz w:val="28"/>
          <w:szCs w:val="28"/>
          <w:lang w:eastAsia="en-US"/>
        </w:rPr>
      </w:pPr>
      <w:r w:rsidRPr="00E1515B">
        <w:rPr>
          <w:rFonts w:ascii="Times New Roman" w:hAnsi="Times New Roman" w:cs="Times New Roman"/>
          <w:sz w:val="28"/>
          <w:szCs w:val="28"/>
          <w:lang w:eastAsia="en-US"/>
        </w:rPr>
        <w:t>Один из критериев эффективности бюджетного правила – его стабильность как минимум в среднесрочной перспективе, так как частый пересмотр бюджетных правил девальвирует идею их применения. Действующую редакцию бюджетного прави</w:t>
      </w:r>
      <w:r w:rsidR="002E471E">
        <w:rPr>
          <w:rFonts w:ascii="Times New Roman" w:hAnsi="Times New Roman" w:cs="Times New Roman"/>
          <w:sz w:val="28"/>
          <w:szCs w:val="28"/>
          <w:lang w:eastAsia="en-US"/>
        </w:rPr>
        <w:t>ла следует признать удачной, она</w:t>
      </w:r>
      <w:r w:rsidRPr="00E1515B">
        <w:rPr>
          <w:rFonts w:ascii="Times New Roman" w:hAnsi="Times New Roman" w:cs="Times New Roman"/>
          <w:sz w:val="28"/>
          <w:szCs w:val="28"/>
          <w:lang w:eastAsia="en-US"/>
        </w:rPr>
        <w:t xml:space="preserve"> учитывает возможные колебания нефтяных цен в широком диапазоне значений и способно оперативно реагировать на шоковые изменения цены на нефть. В этой связи следует продолжить его использование, а первичный профицит направлять в соответствии с Бюджетным кодексом РФ на снижение объемов государственных заимствований, погашение государственного долга Российской Федерации и выполнение публичных нормативных обязательств. Кроме того, целесообразно определить возможные сценария действий </w:t>
      </w:r>
      <w:r w:rsidR="002E471E">
        <w:rPr>
          <w:rFonts w:ascii="Times New Roman" w:hAnsi="Times New Roman" w:cs="Times New Roman"/>
          <w:sz w:val="28"/>
          <w:szCs w:val="28"/>
          <w:lang w:eastAsia="en-US"/>
        </w:rPr>
        <w:t>Минфина России</w:t>
      </w:r>
      <w:r w:rsidRPr="00E1515B">
        <w:rPr>
          <w:rFonts w:ascii="Times New Roman" w:hAnsi="Times New Roman" w:cs="Times New Roman"/>
          <w:sz w:val="28"/>
          <w:szCs w:val="28"/>
          <w:lang w:eastAsia="en-US"/>
        </w:rPr>
        <w:t xml:space="preserve"> при отклонении от заданных </w:t>
      </w:r>
      <w:r w:rsidRPr="00E1515B">
        <w:rPr>
          <w:rFonts w:ascii="Times New Roman" w:hAnsi="Times New Roman" w:cs="Times New Roman"/>
          <w:sz w:val="28"/>
          <w:szCs w:val="28"/>
          <w:lang w:eastAsia="en-US"/>
        </w:rPr>
        <w:lastRenderedPageBreak/>
        <w:t xml:space="preserve">бюджетных правил в кризисных экономических ситуациях, не прибегая к приостановлению </w:t>
      </w:r>
      <w:r w:rsidR="002E471E">
        <w:rPr>
          <w:rFonts w:ascii="Times New Roman" w:hAnsi="Times New Roman" w:cs="Times New Roman"/>
          <w:sz w:val="28"/>
          <w:szCs w:val="28"/>
          <w:lang w:eastAsia="en-US"/>
        </w:rPr>
        <w:t xml:space="preserve">их </w:t>
      </w:r>
      <w:r w:rsidRPr="00E1515B">
        <w:rPr>
          <w:rFonts w:ascii="Times New Roman" w:hAnsi="Times New Roman" w:cs="Times New Roman"/>
          <w:sz w:val="28"/>
          <w:szCs w:val="28"/>
          <w:lang w:eastAsia="en-US"/>
        </w:rPr>
        <w:t>действия.</w:t>
      </w:r>
    </w:p>
    <w:p w14:paraId="617EF235" w14:textId="77777777" w:rsidR="002E471E" w:rsidRDefault="002E471E" w:rsidP="002E471E">
      <w:pPr>
        <w:autoSpaceDE w:val="0"/>
        <w:autoSpaceDN w:val="0"/>
        <w:adjustRightInd w:val="0"/>
        <w:spacing w:line="360" w:lineRule="auto"/>
        <w:ind w:firstLine="709"/>
        <w:jc w:val="both"/>
        <w:rPr>
          <w:rFonts w:ascii="Times New Roman" w:hAnsi="Times New Roman" w:cs="Times New Roman"/>
          <w:sz w:val="28"/>
          <w:szCs w:val="28"/>
          <w:lang w:eastAsia="en-US"/>
        </w:rPr>
      </w:pPr>
    </w:p>
    <w:p w14:paraId="719B0B70" w14:textId="77777777" w:rsidR="007E06EF" w:rsidRDefault="007E06EF" w:rsidP="007E06EF">
      <w:pPr>
        <w:jc w:val="center"/>
        <w:rPr>
          <w:b/>
          <w:sz w:val="28"/>
          <w:szCs w:val="28"/>
        </w:rPr>
      </w:pPr>
    </w:p>
    <w:p w14:paraId="6412B8E7" w14:textId="77777777" w:rsidR="007E06EF" w:rsidRPr="007E06EF" w:rsidRDefault="007E06EF" w:rsidP="007E06EF">
      <w:pPr>
        <w:spacing w:line="360" w:lineRule="auto"/>
        <w:ind w:firstLine="709"/>
        <w:jc w:val="center"/>
        <w:rPr>
          <w:rFonts w:ascii="Times New Roman" w:hAnsi="Times New Roman" w:cs="Times New Roman"/>
          <w:b/>
          <w:sz w:val="28"/>
          <w:szCs w:val="28"/>
        </w:rPr>
      </w:pPr>
      <w:r w:rsidRPr="007E06EF">
        <w:rPr>
          <w:rFonts w:ascii="Times New Roman" w:hAnsi="Times New Roman" w:cs="Times New Roman"/>
          <w:b/>
          <w:sz w:val="28"/>
          <w:szCs w:val="28"/>
        </w:rPr>
        <w:t xml:space="preserve">Анализ расходов федерального бюджета на 2020 год </w:t>
      </w:r>
    </w:p>
    <w:p w14:paraId="3D4C6171" w14:textId="2ED33B75" w:rsidR="007E06EF" w:rsidRPr="007E06EF" w:rsidRDefault="007E06EF" w:rsidP="007E06EF">
      <w:pPr>
        <w:spacing w:line="360" w:lineRule="auto"/>
        <w:ind w:firstLine="709"/>
        <w:jc w:val="center"/>
        <w:rPr>
          <w:rFonts w:ascii="Times New Roman" w:hAnsi="Times New Roman" w:cs="Times New Roman"/>
          <w:b/>
          <w:sz w:val="28"/>
          <w:szCs w:val="28"/>
        </w:rPr>
      </w:pPr>
      <w:r w:rsidRPr="007E06EF">
        <w:rPr>
          <w:rFonts w:ascii="Times New Roman" w:hAnsi="Times New Roman" w:cs="Times New Roman"/>
          <w:b/>
          <w:sz w:val="28"/>
          <w:szCs w:val="28"/>
        </w:rPr>
        <w:t>и плановый период 2021 и2022 гг.</w:t>
      </w:r>
    </w:p>
    <w:p w14:paraId="7689730C" w14:textId="77777777" w:rsidR="004A6502" w:rsidRPr="004A6502" w:rsidRDefault="004A6502" w:rsidP="004A6502">
      <w:pPr>
        <w:spacing w:line="360" w:lineRule="auto"/>
        <w:ind w:firstLine="709"/>
        <w:jc w:val="both"/>
        <w:rPr>
          <w:rFonts w:ascii="Times New Roman" w:hAnsi="Times New Roman" w:cs="Times New Roman"/>
          <w:i/>
          <w:sz w:val="28"/>
          <w:szCs w:val="28"/>
        </w:rPr>
      </w:pPr>
      <w:r w:rsidRPr="004A6502">
        <w:rPr>
          <w:rFonts w:ascii="Times New Roman" w:hAnsi="Times New Roman" w:cs="Times New Roman"/>
          <w:i/>
          <w:sz w:val="28"/>
          <w:szCs w:val="28"/>
        </w:rPr>
        <w:t xml:space="preserve">Общая характеристика расходов федерального бюджета на 2020 год </w:t>
      </w:r>
    </w:p>
    <w:p w14:paraId="19E50658" w14:textId="77AE8EE3" w:rsidR="007E06EF" w:rsidRPr="004A6502" w:rsidRDefault="004A6502" w:rsidP="004A6502">
      <w:pPr>
        <w:spacing w:line="360" w:lineRule="auto"/>
        <w:jc w:val="both"/>
        <w:rPr>
          <w:rFonts w:ascii="Times New Roman" w:hAnsi="Times New Roman" w:cs="Times New Roman"/>
          <w:i/>
          <w:sz w:val="28"/>
          <w:szCs w:val="28"/>
        </w:rPr>
      </w:pPr>
      <w:r w:rsidRPr="004A6502">
        <w:rPr>
          <w:rFonts w:ascii="Times New Roman" w:hAnsi="Times New Roman" w:cs="Times New Roman"/>
          <w:i/>
          <w:sz w:val="28"/>
          <w:szCs w:val="28"/>
        </w:rPr>
        <w:t>и плановый период 2021 и2022 гг.</w:t>
      </w:r>
    </w:p>
    <w:p w14:paraId="063A4A3F" w14:textId="5A24C79C" w:rsidR="007E06EF" w:rsidRPr="007E06EF" w:rsidRDefault="007E06EF" w:rsidP="007E06EF">
      <w:pPr>
        <w:pStyle w:val="ConsNormal"/>
        <w:widowControl/>
        <w:spacing w:line="360" w:lineRule="auto"/>
        <w:ind w:firstLine="709"/>
        <w:jc w:val="both"/>
        <w:rPr>
          <w:rFonts w:ascii="Times New Roman" w:hAnsi="Times New Roman"/>
          <w:sz w:val="28"/>
          <w:szCs w:val="28"/>
        </w:rPr>
      </w:pPr>
      <w:proofErr w:type="gramStart"/>
      <w:r w:rsidRPr="007E06EF">
        <w:rPr>
          <w:rFonts w:ascii="Times New Roman" w:hAnsi="Times New Roman"/>
          <w:sz w:val="28"/>
          <w:szCs w:val="28"/>
        </w:rPr>
        <w:t xml:space="preserve">В целом в 2020 году запланирован рост расходов федерального бюджета на 2,7 % </w:t>
      </w:r>
      <w:r w:rsidRPr="007E06EF">
        <w:rPr>
          <w:rFonts w:ascii="Times New Roman" w:hAnsi="Times New Roman"/>
          <w:color w:val="FF0000"/>
          <w:sz w:val="28"/>
          <w:szCs w:val="28"/>
        </w:rPr>
        <w:t xml:space="preserve"> </w:t>
      </w:r>
      <w:r w:rsidRPr="007E06EF">
        <w:rPr>
          <w:rFonts w:ascii="Times New Roman" w:hAnsi="Times New Roman"/>
          <w:sz w:val="28"/>
          <w:szCs w:val="28"/>
        </w:rPr>
        <w:t>по сравнению с первоначально утвержденной федеральным законом  от 29.11.2018 № 459-ФЗ «О федеральном бюджете на 2019 год и на плановый период 2020 и 2021 годов» (с доп. и изм.) суммой на 2020 г., а в 2021 г. – на 3 %. При этом помимо планируемого в абсолютном выражении роста расходов наблюдается</w:t>
      </w:r>
      <w:proofErr w:type="gramEnd"/>
      <w:r w:rsidRPr="007E06EF">
        <w:rPr>
          <w:rFonts w:ascii="Times New Roman" w:hAnsi="Times New Roman"/>
          <w:sz w:val="28"/>
          <w:szCs w:val="28"/>
        </w:rPr>
        <w:t xml:space="preserve"> увеличение по сравнению с предыдущими годами т</w:t>
      </w:r>
      <w:r w:rsidR="00A437A7">
        <w:rPr>
          <w:rFonts w:ascii="Times New Roman" w:hAnsi="Times New Roman"/>
          <w:sz w:val="28"/>
          <w:szCs w:val="28"/>
        </w:rPr>
        <w:t>емпов их прироста (таблица 8</w:t>
      </w:r>
      <w:r w:rsidRPr="007E06EF">
        <w:rPr>
          <w:rFonts w:ascii="Times New Roman" w:hAnsi="Times New Roman"/>
          <w:sz w:val="28"/>
          <w:szCs w:val="28"/>
        </w:rPr>
        <w:t>).</w:t>
      </w:r>
    </w:p>
    <w:p w14:paraId="5DB5F186" w14:textId="3E2F6A15" w:rsidR="007E06EF" w:rsidRPr="007E06EF" w:rsidRDefault="007E06EF" w:rsidP="007E06EF">
      <w:pPr>
        <w:spacing w:line="360" w:lineRule="auto"/>
        <w:ind w:firstLine="709"/>
        <w:jc w:val="both"/>
        <w:rPr>
          <w:rFonts w:ascii="Times New Roman" w:hAnsi="Times New Roman" w:cs="Times New Roman"/>
          <w:sz w:val="28"/>
          <w:szCs w:val="28"/>
        </w:rPr>
      </w:pPr>
      <w:r w:rsidRPr="007E06EF">
        <w:rPr>
          <w:rFonts w:ascii="Times New Roman" w:hAnsi="Times New Roman" w:cs="Times New Roman"/>
          <w:sz w:val="28"/>
          <w:szCs w:val="28"/>
        </w:rPr>
        <w:t xml:space="preserve">Таблица </w:t>
      </w:r>
      <w:r w:rsidR="00A437A7">
        <w:rPr>
          <w:rFonts w:ascii="Times New Roman" w:hAnsi="Times New Roman" w:cs="Times New Roman"/>
          <w:sz w:val="28"/>
          <w:szCs w:val="28"/>
        </w:rPr>
        <w:t>8</w:t>
      </w:r>
      <w:r>
        <w:rPr>
          <w:rFonts w:ascii="Times New Roman" w:hAnsi="Times New Roman" w:cs="Times New Roman"/>
          <w:sz w:val="28"/>
          <w:szCs w:val="28"/>
        </w:rPr>
        <w:t xml:space="preserve"> – </w:t>
      </w:r>
      <w:r w:rsidRPr="007E06EF">
        <w:rPr>
          <w:rFonts w:ascii="Times New Roman" w:hAnsi="Times New Roman" w:cs="Times New Roman"/>
          <w:sz w:val="28"/>
          <w:szCs w:val="28"/>
        </w:rPr>
        <w:t>Динамика расходной части федерального бюджета</w:t>
      </w:r>
      <w:r>
        <w:rPr>
          <w:rFonts w:ascii="Times New Roman" w:hAnsi="Times New Roman" w:cs="Times New Roman"/>
          <w:sz w:val="28"/>
          <w:szCs w:val="28"/>
        </w:rPr>
        <w:t xml:space="preserve">, </w:t>
      </w:r>
      <w:r w:rsidRPr="007E06EF">
        <w:rPr>
          <w:rFonts w:ascii="Times New Roman" w:hAnsi="Times New Roman" w:cs="Times New Roman"/>
          <w:sz w:val="28"/>
          <w:szCs w:val="28"/>
        </w:rPr>
        <w:t>млрд. руб.</w:t>
      </w:r>
    </w:p>
    <w:tbl>
      <w:tblPr>
        <w:tblW w:w="0" w:type="auto"/>
        <w:tblLook w:val="04A0" w:firstRow="1" w:lastRow="0" w:firstColumn="1" w:lastColumn="0" w:noHBand="0" w:noVBand="1"/>
      </w:tblPr>
      <w:tblGrid>
        <w:gridCol w:w="1992"/>
        <w:gridCol w:w="706"/>
        <w:gridCol w:w="706"/>
        <w:gridCol w:w="706"/>
        <w:gridCol w:w="706"/>
        <w:gridCol w:w="706"/>
        <w:gridCol w:w="706"/>
        <w:gridCol w:w="578"/>
        <w:gridCol w:w="734"/>
        <w:gridCol w:w="675"/>
        <w:gridCol w:w="675"/>
        <w:gridCol w:w="675"/>
      </w:tblGrid>
      <w:tr w:rsidR="007E06EF" w:rsidRPr="004C5101" w14:paraId="2A1D04A0" w14:textId="77777777" w:rsidTr="004C510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F96A5" w14:textId="77777777" w:rsidR="007E06EF" w:rsidRPr="004C5101" w:rsidRDefault="007E06EF" w:rsidP="007E06EF">
            <w:pPr>
              <w:jc w:val="center"/>
              <w:rPr>
                <w:rFonts w:ascii="Times New Roman" w:hAnsi="Times New Roman" w:cs="Times New Roman"/>
                <w:b/>
                <w:bCs/>
                <w:color w:val="00206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343002D" w14:textId="77777777" w:rsidR="007E06EF" w:rsidRPr="004C5101" w:rsidRDefault="007E06EF" w:rsidP="007E06EF">
            <w:pPr>
              <w:jc w:val="center"/>
              <w:rPr>
                <w:rFonts w:ascii="Times New Roman" w:hAnsi="Times New Roman" w:cs="Times New Roman"/>
                <w:b/>
                <w:bCs/>
                <w:color w:val="000000"/>
                <w:sz w:val="22"/>
                <w:szCs w:val="22"/>
                <w:vertAlign w:val="subscript"/>
              </w:rPr>
            </w:pPr>
            <w:r w:rsidRPr="004C5101">
              <w:rPr>
                <w:rFonts w:ascii="Times New Roman" w:hAnsi="Times New Roman" w:cs="Times New Roman"/>
                <w:b/>
                <w:bCs/>
                <w:color w:val="000000"/>
                <w:sz w:val="22"/>
                <w:szCs w:val="22"/>
                <w:vertAlign w:val="subscript"/>
              </w:rPr>
              <w:t>2012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C6A75B9" w14:textId="77777777" w:rsidR="007E06EF" w:rsidRPr="004C5101" w:rsidRDefault="007E06EF" w:rsidP="007E06EF">
            <w:pPr>
              <w:jc w:val="center"/>
              <w:rPr>
                <w:rFonts w:ascii="Times New Roman" w:hAnsi="Times New Roman" w:cs="Times New Roman"/>
                <w:b/>
                <w:bCs/>
                <w:color w:val="000000"/>
                <w:sz w:val="22"/>
                <w:szCs w:val="22"/>
                <w:vertAlign w:val="subscript"/>
              </w:rPr>
            </w:pPr>
            <w:r w:rsidRPr="004C5101">
              <w:rPr>
                <w:rFonts w:ascii="Times New Roman" w:hAnsi="Times New Roman" w:cs="Times New Roman"/>
                <w:b/>
                <w:bCs/>
                <w:color w:val="000000"/>
                <w:sz w:val="22"/>
                <w:szCs w:val="22"/>
                <w:vertAlign w:val="subscript"/>
              </w:rPr>
              <w:t>2013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B32F699" w14:textId="77777777" w:rsidR="007E06EF" w:rsidRPr="004C5101" w:rsidRDefault="007E06EF" w:rsidP="007E06EF">
            <w:pPr>
              <w:jc w:val="center"/>
              <w:rPr>
                <w:rFonts w:ascii="Times New Roman" w:hAnsi="Times New Roman" w:cs="Times New Roman"/>
                <w:b/>
                <w:bCs/>
                <w:color w:val="000000"/>
                <w:sz w:val="22"/>
                <w:szCs w:val="22"/>
                <w:vertAlign w:val="subscript"/>
              </w:rPr>
            </w:pPr>
            <w:r w:rsidRPr="004C5101">
              <w:rPr>
                <w:rFonts w:ascii="Times New Roman" w:hAnsi="Times New Roman" w:cs="Times New Roman"/>
                <w:b/>
                <w:bCs/>
                <w:color w:val="000000"/>
                <w:sz w:val="22"/>
                <w:szCs w:val="22"/>
                <w:vertAlign w:val="subscript"/>
              </w:rPr>
              <w:t>2014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D2B34DC" w14:textId="77777777" w:rsidR="007E06EF" w:rsidRPr="004C5101" w:rsidRDefault="007E06EF" w:rsidP="007E06EF">
            <w:pPr>
              <w:jc w:val="center"/>
              <w:rPr>
                <w:rFonts w:ascii="Times New Roman" w:hAnsi="Times New Roman" w:cs="Times New Roman"/>
                <w:b/>
                <w:bCs/>
                <w:color w:val="000000"/>
                <w:sz w:val="22"/>
                <w:szCs w:val="22"/>
                <w:vertAlign w:val="subscript"/>
              </w:rPr>
            </w:pPr>
            <w:r w:rsidRPr="004C5101">
              <w:rPr>
                <w:rFonts w:ascii="Times New Roman" w:hAnsi="Times New Roman" w:cs="Times New Roman"/>
                <w:b/>
                <w:bCs/>
                <w:color w:val="000000"/>
                <w:sz w:val="22"/>
                <w:szCs w:val="22"/>
                <w:vertAlign w:val="subscript"/>
              </w:rPr>
              <w:t>2015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D979758" w14:textId="77777777" w:rsidR="007E06EF" w:rsidRPr="004C5101" w:rsidRDefault="007E06EF" w:rsidP="007E06EF">
            <w:pPr>
              <w:jc w:val="center"/>
              <w:rPr>
                <w:rFonts w:ascii="Times New Roman" w:hAnsi="Times New Roman" w:cs="Times New Roman"/>
                <w:b/>
                <w:bCs/>
                <w:color w:val="000000"/>
                <w:sz w:val="22"/>
                <w:szCs w:val="22"/>
                <w:vertAlign w:val="subscript"/>
              </w:rPr>
            </w:pPr>
            <w:r w:rsidRPr="004C5101">
              <w:rPr>
                <w:rFonts w:ascii="Times New Roman" w:hAnsi="Times New Roman" w:cs="Times New Roman"/>
                <w:b/>
                <w:bCs/>
                <w:color w:val="000000"/>
                <w:sz w:val="22"/>
                <w:szCs w:val="22"/>
                <w:vertAlign w:val="subscript"/>
              </w:rPr>
              <w:t>2016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B95C004" w14:textId="77777777" w:rsidR="007E06EF" w:rsidRPr="004C5101" w:rsidRDefault="007E06EF" w:rsidP="007E06EF">
            <w:pPr>
              <w:jc w:val="center"/>
              <w:rPr>
                <w:rFonts w:ascii="Times New Roman" w:hAnsi="Times New Roman" w:cs="Times New Roman"/>
                <w:b/>
                <w:bCs/>
                <w:color w:val="000000"/>
                <w:sz w:val="22"/>
                <w:szCs w:val="22"/>
                <w:vertAlign w:val="subscript"/>
              </w:rPr>
            </w:pPr>
            <w:r w:rsidRPr="004C5101">
              <w:rPr>
                <w:rFonts w:ascii="Times New Roman" w:hAnsi="Times New Roman" w:cs="Times New Roman"/>
                <w:b/>
                <w:bCs/>
                <w:color w:val="000000"/>
                <w:sz w:val="22"/>
                <w:szCs w:val="22"/>
                <w:vertAlign w:val="subscript"/>
              </w:rPr>
              <w:t>2017</w:t>
            </w:r>
          </w:p>
        </w:tc>
        <w:tc>
          <w:tcPr>
            <w:tcW w:w="0" w:type="auto"/>
            <w:tcBorders>
              <w:top w:val="single" w:sz="4" w:space="0" w:color="auto"/>
              <w:left w:val="nil"/>
              <w:bottom w:val="single" w:sz="4" w:space="0" w:color="auto"/>
              <w:right w:val="single" w:sz="4" w:space="0" w:color="auto"/>
            </w:tcBorders>
            <w:vAlign w:val="center"/>
          </w:tcPr>
          <w:p w14:paraId="1AF44A5F" w14:textId="77777777" w:rsidR="007E06EF" w:rsidRPr="004C5101" w:rsidRDefault="007E06EF" w:rsidP="007E06EF">
            <w:pPr>
              <w:jc w:val="center"/>
              <w:rPr>
                <w:rFonts w:ascii="Times New Roman" w:hAnsi="Times New Roman" w:cs="Times New Roman"/>
                <w:b/>
                <w:bCs/>
                <w:color w:val="000000"/>
                <w:sz w:val="22"/>
                <w:szCs w:val="22"/>
                <w:vertAlign w:val="subscript"/>
              </w:rPr>
            </w:pPr>
            <w:r w:rsidRPr="004C5101">
              <w:rPr>
                <w:rFonts w:ascii="Times New Roman" w:hAnsi="Times New Roman" w:cs="Times New Roman"/>
                <w:b/>
                <w:bCs/>
                <w:color w:val="000000"/>
                <w:sz w:val="22"/>
                <w:szCs w:val="22"/>
                <w:vertAlign w:val="subscript"/>
              </w:rPr>
              <w:t>2018</w:t>
            </w:r>
          </w:p>
        </w:tc>
        <w:tc>
          <w:tcPr>
            <w:tcW w:w="0" w:type="auto"/>
            <w:tcBorders>
              <w:top w:val="single" w:sz="4" w:space="0" w:color="auto"/>
              <w:left w:val="nil"/>
              <w:bottom w:val="single" w:sz="4" w:space="0" w:color="auto"/>
              <w:right w:val="single" w:sz="4" w:space="0" w:color="auto"/>
            </w:tcBorders>
            <w:vAlign w:val="center"/>
          </w:tcPr>
          <w:p w14:paraId="28D5EE16" w14:textId="77777777" w:rsidR="007E06EF" w:rsidRPr="004C5101" w:rsidRDefault="007E06EF" w:rsidP="007E06EF">
            <w:pPr>
              <w:jc w:val="center"/>
              <w:rPr>
                <w:rFonts w:ascii="Times New Roman" w:hAnsi="Times New Roman" w:cs="Times New Roman"/>
                <w:b/>
                <w:bCs/>
                <w:color w:val="000000"/>
                <w:sz w:val="22"/>
                <w:szCs w:val="22"/>
                <w:vertAlign w:val="subscript"/>
              </w:rPr>
            </w:pPr>
            <w:r w:rsidRPr="004C5101">
              <w:rPr>
                <w:rFonts w:ascii="Times New Roman" w:hAnsi="Times New Roman" w:cs="Times New Roman"/>
                <w:b/>
                <w:bCs/>
                <w:color w:val="000000"/>
                <w:sz w:val="22"/>
                <w:szCs w:val="22"/>
                <w:vertAlign w:val="subscript"/>
              </w:rPr>
              <w:t>2019 оценка</w:t>
            </w:r>
          </w:p>
        </w:tc>
        <w:tc>
          <w:tcPr>
            <w:tcW w:w="0" w:type="auto"/>
            <w:tcBorders>
              <w:top w:val="single" w:sz="4" w:space="0" w:color="auto"/>
              <w:left w:val="nil"/>
              <w:bottom w:val="single" w:sz="4" w:space="0" w:color="auto"/>
              <w:right w:val="single" w:sz="4" w:space="0" w:color="auto"/>
            </w:tcBorders>
            <w:vAlign w:val="center"/>
          </w:tcPr>
          <w:p w14:paraId="321B9816" w14:textId="77777777" w:rsidR="007E06EF" w:rsidRPr="004C5101" w:rsidRDefault="007E06EF" w:rsidP="007E06EF">
            <w:pPr>
              <w:jc w:val="center"/>
              <w:rPr>
                <w:rFonts w:ascii="Times New Roman" w:hAnsi="Times New Roman" w:cs="Times New Roman"/>
                <w:b/>
                <w:bCs/>
                <w:color w:val="000000"/>
                <w:sz w:val="22"/>
                <w:szCs w:val="22"/>
                <w:vertAlign w:val="subscript"/>
              </w:rPr>
            </w:pPr>
            <w:r w:rsidRPr="004C5101">
              <w:rPr>
                <w:rFonts w:ascii="Times New Roman" w:hAnsi="Times New Roman" w:cs="Times New Roman"/>
                <w:b/>
                <w:bCs/>
                <w:color w:val="000000"/>
                <w:sz w:val="22"/>
                <w:szCs w:val="22"/>
                <w:vertAlign w:val="subscript"/>
              </w:rPr>
              <w:t>2020</w:t>
            </w:r>
          </w:p>
        </w:tc>
        <w:tc>
          <w:tcPr>
            <w:tcW w:w="0" w:type="auto"/>
            <w:tcBorders>
              <w:top w:val="single" w:sz="4" w:space="0" w:color="auto"/>
              <w:left w:val="nil"/>
              <w:bottom w:val="single" w:sz="4" w:space="0" w:color="auto"/>
              <w:right w:val="single" w:sz="4" w:space="0" w:color="auto"/>
            </w:tcBorders>
            <w:vAlign w:val="center"/>
          </w:tcPr>
          <w:p w14:paraId="67A65284" w14:textId="77777777" w:rsidR="007E06EF" w:rsidRPr="004C5101" w:rsidRDefault="007E06EF" w:rsidP="007E06EF">
            <w:pPr>
              <w:jc w:val="center"/>
              <w:rPr>
                <w:rFonts w:ascii="Times New Roman" w:hAnsi="Times New Roman" w:cs="Times New Roman"/>
                <w:b/>
                <w:bCs/>
                <w:color w:val="000000"/>
                <w:sz w:val="22"/>
                <w:szCs w:val="22"/>
                <w:vertAlign w:val="subscript"/>
              </w:rPr>
            </w:pPr>
            <w:r w:rsidRPr="004C5101">
              <w:rPr>
                <w:rFonts w:ascii="Times New Roman" w:hAnsi="Times New Roman" w:cs="Times New Roman"/>
                <w:b/>
                <w:bCs/>
                <w:color w:val="000000"/>
                <w:sz w:val="22"/>
                <w:szCs w:val="22"/>
                <w:vertAlign w:val="subscript"/>
              </w:rPr>
              <w:t>2021</w:t>
            </w:r>
          </w:p>
        </w:tc>
        <w:tc>
          <w:tcPr>
            <w:tcW w:w="0" w:type="auto"/>
            <w:tcBorders>
              <w:top w:val="single" w:sz="4" w:space="0" w:color="auto"/>
              <w:left w:val="nil"/>
              <w:bottom w:val="single" w:sz="4" w:space="0" w:color="auto"/>
              <w:right w:val="single" w:sz="4" w:space="0" w:color="auto"/>
            </w:tcBorders>
            <w:vAlign w:val="center"/>
          </w:tcPr>
          <w:p w14:paraId="72B87994" w14:textId="77777777" w:rsidR="007E06EF" w:rsidRPr="004C5101" w:rsidRDefault="007E06EF" w:rsidP="007E06EF">
            <w:pPr>
              <w:jc w:val="center"/>
              <w:rPr>
                <w:rFonts w:ascii="Times New Roman" w:hAnsi="Times New Roman" w:cs="Times New Roman"/>
                <w:b/>
                <w:bCs/>
                <w:color w:val="000000"/>
                <w:sz w:val="22"/>
                <w:szCs w:val="22"/>
                <w:vertAlign w:val="subscript"/>
              </w:rPr>
            </w:pPr>
            <w:r w:rsidRPr="004C5101">
              <w:rPr>
                <w:rFonts w:ascii="Times New Roman" w:hAnsi="Times New Roman" w:cs="Times New Roman"/>
                <w:b/>
                <w:bCs/>
                <w:color w:val="000000"/>
                <w:sz w:val="22"/>
                <w:szCs w:val="22"/>
                <w:vertAlign w:val="subscript"/>
              </w:rPr>
              <w:t>2022</w:t>
            </w:r>
          </w:p>
        </w:tc>
      </w:tr>
      <w:tr w:rsidR="007E06EF" w:rsidRPr="004C5101" w14:paraId="2A9420D3" w14:textId="77777777" w:rsidTr="004C510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6472A4B" w14:textId="77777777" w:rsidR="007E06EF" w:rsidRPr="004C5101" w:rsidRDefault="007E06EF" w:rsidP="007E06EF">
            <w:pPr>
              <w:rPr>
                <w:rFonts w:ascii="Times New Roman" w:hAnsi="Times New Roman" w:cs="Times New Roman"/>
                <w:bCs/>
                <w:color w:val="000000"/>
                <w:sz w:val="22"/>
                <w:szCs w:val="22"/>
              </w:rPr>
            </w:pPr>
            <w:r w:rsidRPr="004C5101">
              <w:rPr>
                <w:rFonts w:ascii="Times New Roman" w:hAnsi="Times New Roman" w:cs="Times New Roman"/>
                <w:bCs/>
                <w:color w:val="000000"/>
                <w:sz w:val="22"/>
                <w:szCs w:val="22"/>
              </w:rPr>
              <w:t>Расходы, 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32E539D" w14:textId="77777777" w:rsidR="007E06EF" w:rsidRPr="004C5101" w:rsidRDefault="007E06EF" w:rsidP="007E06EF">
            <w:pPr>
              <w:jc w:val="center"/>
              <w:rPr>
                <w:rFonts w:ascii="Times New Roman" w:hAnsi="Times New Roman" w:cs="Times New Roman"/>
                <w:bCs/>
                <w:color w:val="000000"/>
                <w:sz w:val="22"/>
                <w:szCs w:val="22"/>
                <w:vertAlign w:val="subscript"/>
              </w:rPr>
            </w:pPr>
            <w:r w:rsidRPr="004C5101">
              <w:rPr>
                <w:rFonts w:ascii="Times New Roman" w:hAnsi="Times New Roman" w:cs="Times New Roman"/>
                <w:bCs/>
                <w:color w:val="000000"/>
                <w:sz w:val="22"/>
                <w:szCs w:val="22"/>
                <w:vertAlign w:val="subscript"/>
              </w:rPr>
              <w:t>12 895,0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34A9C1C" w14:textId="77777777" w:rsidR="007E06EF" w:rsidRPr="004C5101" w:rsidRDefault="007E06EF" w:rsidP="007E06EF">
            <w:pPr>
              <w:jc w:val="center"/>
              <w:rPr>
                <w:rFonts w:ascii="Times New Roman" w:hAnsi="Times New Roman" w:cs="Times New Roman"/>
                <w:bCs/>
                <w:color w:val="000000"/>
                <w:sz w:val="22"/>
                <w:szCs w:val="22"/>
                <w:vertAlign w:val="subscript"/>
              </w:rPr>
            </w:pPr>
            <w:r w:rsidRPr="004C5101">
              <w:rPr>
                <w:rFonts w:ascii="Times New Roman" w:hAnsi="Times New Roman" w:cs="Times New Roman"/>
                <w:bCs/>
                <w:color w:val="000000"/>
                <w:sz w:val="22"/>
                <w:szCs w:val="22"/>
                <w:vertAlign w:val="subscript"/>
              </w:rPr>
              <w:t>13 342,9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0538B21" w14:textId="77777777" w:rsidR="007E06EF" w:rsidRPr="004C5101" w:rsidRDefault="007E06EF" w:rsidP="007E06EF">
            <w:pPr>
              <w:jc w:val="center"/>
              <w:rPr>
                <w:rFonts w:ascii="Times New Roman" w:hAnsi="Times New Roman" w:cs="Times New Roman"/>
                <w:bCs/>
                <w:color w:val="000000"/>
                <w:sz w:val="22"/>
                <w:szCs w:val="22"/>
                <w:vertAlign w:val="subscript"/>
              </w:rPr>
            </w:pPr>
            <w:r w:rsidRPr="004C5101">
              <w:rPr>
                <w:rFonts w:ascii="Times New Roman" w:hAnsi="Times New Roman" w:cs="Times New Roman"/>
                <w:bCs/>
                <w:color w:val="000000"/>
                <w:sz w:val="22"/>
                <w:szCs w:val="22"/>
                <w:vertAlign w:val="subscript"/>
              </w:rPr>
              <w:t>14 831,6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00D4A3C" w14:textId="77777777" w:rsidR="007E06EF" w:rsidRPr="004C5101" w:rsidRDefault="007E06EF" w:rsidP="007E06EF">
            <w:pPr>
              <w:jc w:val="center"/>
              <w:rPr>
                <w:rFonts w:ascii="Times New Roman" w:hAnsi="Times New Roman" w:cs="Times New Roman"/>
                <w:bCs/>
                <w:color w:val="000000"/>
                <w:sz w:val="22"/>
                <w:szCs w:val="22"/>
                <w:vertAlign w:val="subscript"/>
              </w:rPr>
            </w:pPr>
            <w:r w:rsidRPr="004C5101">
              <w:rPr>
                <w:rFonts w:ascii="Times New Roman" w:hAnsi="Times New Roman" w:cs="Times New Roman"/>
                <w:bCs/>
                <w:color w:val="000000"/>
                <w:sz w:val="22"/>
                <w:szCs w:val="22"/>
                <w:vertAlign w:val="subscript"/>
              </w:rPr>
              <w:t>15 620,3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8E590BA" w14:textId="77777777" w:rsidR="007E06EF" w:rsidRPr="004C5101" w:rsidRDefault="007E06EF" w:rsidP="007E06EF">
            <w:pPr>
              <w:jc w:val="center"/>
              <w:rPr>
                <w:rFonts w:ascii="Times New Roman" w:hAnsi="Times New Roman" w:cs="Times New Roman"/>
                <w:bCs/>
                <w:color w:val="000000"/>
                <w:sz w:val="22"/>
                <w:szCs w:val="22"/>
                <w:vertAlign w:val="subscript"/>
              </w:rPr>
            </w:pPr>
            <w:r w:rsidRPr="004C5101">
              <w:rPr>
                <w:rFonts w:ascii="Times New Roman" w:hAnsi="Times New Roman" w:cs="Times New Roman"/>
                <w:bCs/>
                <w:color w:val="000000"/>
                <w:sz w:val="22"/>
                <w:szCs w:val="22"/>
                <w:vertAlign w:val="subscript"/>
              </w:rPr>
              <w:t>16 416,4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9EDFA80" w14:textId="77777777" w:rsidR="007E06EF" w:rsidRPr="004C5101" w:rsidRDefault="007E06EF" w:rsidP="007E06EF">
            <w:pPr>
              <w:jc w:val="center"/>
              <w:rPr>
                <w:rFonts w:ascii="Times New Roman" w:hAnsi="Times New Roman" w:cs="Times New Roman"/>
                <w:bCs/>
                <w:color w:val="000000"/>
                <w:sz w:val="22"/>
                <w:szCs w:val="22"/>
                <w:vertAlign w:val="subscript"/>
              </w:rPr>
            </w:pPr>
            <w:r w:rsidRPr="004C5101">
              <w:rPr>
                <w:rFonts w:ascii="Times New Roman" w:hAnsi="Times New Roman" w:cs="Times New Roman"/>
                <w:bCs/>
                <w:color w:val="000000"/>
                <w:sz w:val="22"/>
                <w:szCs w:val="22"/>
                <w:vertAlign w:val="subscript"/>
              </w:rPr>
              <w:t>16 420,3</w:t>
            </w:r>
          </w:p>
        </w:tc>
        <w:tc>
          <w:tcPr>
            <w:tcW w:w="0" w:type="auto"/>
            <w:tcBorders>
              <w:top w:val="single" w:sz="4" w:space="0" w:color="auto"/>
              <w:left w:val="nil"/>
              <w:bottom w:val="single" w:sz="4" w:space="0" w:color="auto"/>
              <w:right w:val="single" w:sz="4" w:space="0" w:color="auto"/>
            </w:tcBorders>
            <w:vAlign w:val="center"/>
          </w:tcPr>
          <w:p w14:paraId="79AFDA34" w14:textId="77777777" w:rsidR="007E06EF" w:rsidRPr="004C5101" w:rsidRDefault="007E06EF" w:rsidP="007E06EF">
            <w:pPr>
              <w:jc w:val="center"/>
              <w:rPr>
                <w:rFonts w:ascii="Times New Roman" w:hAnsi="Times New Roman" w:cs="Times New Roman"/>
                <w:color w:val="000000"/>
                <w:spacing w:val="-4"/>
                <w:sz w:val="22"/>
                <w:szCs w:val="22"/>
                <w:vertAlign w:val="subscript"/>
              </w:rPr>
            </w:pPr>
            <w:r w:rsidRPr="004C5101">
              <w:rPr>
                <w:rFonts w:ascii="Times New Roman" w:hAnsi="Times New Roman" w:cs="Times New Roman"/>
                <w:color w:val="000000"/>
                <w:spacing w:val="-4"/>
                <w:sz w:val="22"/>
                <w:szCs w:val="22"/>
                <w:vertAlign w:val="subscript"/>
              </w:rPr>
              <w:t>16 713</w:t>
            </w:r>
          </w:p>
        </w:tc>
        <w:tc>
          <w:tcPr>
            <w:tcW w:w="0" w:type="auto"/>
            <w:tcBorders>
              <w:top w:val="single" w:sz="4" w:space="0" w:color="auto"/>
              <w:left w:val="nil"/>
              <w:bottom w:val="single" w:sz="4" w:space="0" w:color="auto"/>
              <w:right w:val="single" w:sz="4" w:space="0" w:color="auto"/>
            </w:tcBorders>
            <w:vAlign w:val="center"/>
          </w:tcPr>
          <w:p w14:paraId="6A53057C" w14:textId="77777777" w:rsidR="007E06EF" w:rsidRPr="004C5101" w:rsidRDefault="007E06EF" w:rsidP="007E06EF">
            <w:pPr>
              <w:jc w:val="center"/>
              <w:rPr>
                <w:rFonts w:ascii="Times New Roman" w:hAnsi="Times New Roman" w:cs="Times New Roman"/>
                <w:color w:val="000000"/>
                <w:spacing w:val="-4"/>
                <w:sz w:val="22"/>
                <w:szCs w:val="22"/>
                <w:vertAlign w:val="subscript"/>
              </w:rPr>
            </w:pPr>
            <w:r w:rsidRPr="004C5101">
              <w:rPr>
                <w:rFonts w:ascii="Times New Roman" w:hAnsi="Times New Roman" w:cs="Times New Roman"/>
                <w:color w:val="000000"/>
                <w:spacing w:val="-4"/>
                <w:sz w:val="22"/>
                <w:szCs w:val="22"/>
                <w:vertAlign w:val="subscript"/>
              </w:rPr>
              <w:t>19 310,8</w:t>
            </w:r>
          </w:p>
        </w:tc>
        <w:tc>
          <w:tcPr>
            <w:tcW w:w="0" w:type="auto"/>
            <w:tcBorders>
              <w:top w:val="single" w:sz="4" w:space="0" w:color="auto"/>
              <w:left w:val="nil"/>
              <w:bottom w:val="single" w:sz="4" w:space="0" w:color="auto"/>
              <w:right w:val="single" w:sz="4" w:space="0" w:color="auto"/>
            </w:tcBorders>
            <w:vAlign w:val="center"/>
          </w:tcPr>
          <w:p w14:paraId="0E0644FC" w14:textId="77777777" w:rsidR="007E06EF" w:rsidRPr="004C5101" w:rsidRDefault="007E06EF" w:rsidP="007E06EF">
            <w:pPr>
              <w:jc w:val="center"/>
              <w:rPr>
                <w:rFonts w:ascii="Times New Roman" w:hAnsi="Times New Roman" w:cs="Times New Roman"/>
                <w:color w:val="000000"/>
                <w:spacing w:val="-4"/>
                <w:sz w:val="22"/>
                <w:szCs w:val="22"/>
                <w:vertAlign w:val="subscript"/>
              </w:rPr>
            </w:pPr>
            <w:r w:rsidRPr="004C5101">
              <w:rPr>
                <w:rFonts w:ascii="Times New Roman" w:hAnsi="Times New Roman" w:cs="Times New Roman"/>
                <w:color w:val="000000"/>
                <w:spacing w:val="-4"/>
                <w:sz w:val="22"/>
                <w:szCs w:val="22"/>
                <w:vertAlign w:val="subscript"/>
              </w:rPr>
              <w:t>19 503,3</w:t>
            </w:r>
          </w:p>
        </w:tc>
        <w:tc>
          <w:tcPr>
            <w:tcW w:w="0" w:type="auto"/>
            <w:tcBorders>
              <w:top w:val="single" w:sz="4" w:space="0" w:color="auto"/>
              <w:left w:val="nil"/>
              <w:bottom w:val="single" w:sz="4" w:space="0" w:color="auto"/>
              <w:right w:val="single" w:sz="4" w:space="0" w:color="auto"/>
            </w:tcBorders>
            <w:vAlign w:val="center"/>
          </w:tcPr>
          <w:p w14:paraId="21913058" w14:textId="77777777" w:rsidR="007E06EF" w:rsidRPr="004C5101" w:rsidRDefault="007E06EF" w:rsidP="007E06EF">
            <w:pPr>
              <w:jc w:val="center"/>
              <w:rPr>
                <w:rFonts w:ascii="Times New Roman" w:hAnsi="Times New Roman" w:cs="Times New Roman"/>
                <w:color w:val="000000"/>
                <w:spacing w:val="-4"/>
                <w:sz w:val="22"/>
                <w:szCs w:val="22"/>
                <w:vertAlign w:val="subscript"/>
              </w:rPr>
            </w:pPr>
            <w:r w:rsidRPr="004C5101">
              <w:rPr>
                <w:rFonts w:ascii="Times New Roman" w:hAnsi="Times New Roman" w:cs="Times New Roman"/>
                <w:color w:val="000000"/>
                <w:spacing w:val="-4"/>
                <w:sz w:val="22"/>
                <w:szCs w:val="22"/>
                <w:vertAlign w:val="subscript"/>
              </w:rPr>
              <w:t>20 634,0</w:t>
            </w:r>
          </w:p>
        </w:tc>
        <w:tc>
          <w:tcPr>
            <w:tcW w:w="0" w:type="auto"/>
            <w:tcBorders>
              <w:top w:val="single" w:sz="4" w:space="0" w:color="auto"/>
              <w:left w:val="nil"/>
              <w:bottom w:val="single" w:sz="4" w:space="0" w:color="auto"/>
              <w:right w:val="single" w:sz="4" w:space="0" w:color="auto"/>
            </w:tcBorders>
            <w:vAlign w:val="center"/>
          </w:tcPr>
          <w:p w14:paraId="59F86DAB" w14:textId="77777777" w:rsidR="007E06EF" w:rsidRPr="004C5101" w:rsidRDefault="007E06EF" w:rsidP="007E06EF">
            <w:pPr>
              <w:jc w:val="center"/>
              <w:rPr>
                <w:rFonts w:ascii="Times New Roman" w:hAnsi="Times New Roman" w:cs="Times New Roman"/>
                <w:color w:val="000000"/>
                <w:spacing w:val="-4"/>
                <w:sz w:val="22"/>
                <w:szCs w:val="22"/>
                <w:vertAlign w:val="subscript"/>
              </w:rPr>
            </w:pPr>
            <w:r w:rsidRPr="004C5101">
              <w:rPr>
                <w:rFonts w:ascii="Times New Roman" w:hAnsi="Times New Roman" w:cs="Times New Roman"/>
                <w:color w:val="000000"/>
                <w:spacing w:val="-4"/>
                <w:sz w:val="22"/>
                <w:szCs w:val="22"/>
                <w:vertAlign w:val="subscript"/>
              </w:rPr>
              <w:t>21 763,3</w:t>
            </w:r>
          </w:p>
        </w:tc>
      </w:tr>
      <w:tr w:rsidR="007E06EF" w:rsidRPr="004C5101" w14:paraId="1F636CDA" w14:textId="77777777" w:rsidTr="004C510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FBC011E" w14:textId="77777777" w:rsidR="007E06EF" w:rsidRPr="004C5101" w:rsidRDefault="007E06EF" w:rsidP="007E06EF">
            <w:pPr>
              <w:rPr>
                <w:rFonts w:ascii="Times New Roman" w:hAnsi="Times New Roman" w:cs="Times New Roman"/>
                <w:bCs/>
                <w:color w:val="000000"/>
                <w:sz w:val="22"/>
                <w:szCs w:val="22"/>
              </w:rPr>
            </w:pPr>
            <w:r w:rsidRPr="004C5101">
              <w:rPr>
                <w:rFonts w:ascii="Times New Roman" w:hAnsi="Times New Roman" w:cs="Times New Roman"/>
                <w:bCs/>
                <w:color w:val="000000"/>
                <w:sz w:val="22"/>
                <w:szCs w:val="22"/>
              </w:rPr>
              <w:t>Прирост, в % к предыдущему году</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A8393CC" w14:textId="77777777" w:rsidR="007E06EF" w:rsidRPr="004C5101" w:rsidRDefault="007E06EF" w:rsidP="007E06EF">
            <w:pPr>
              <w:jc w:val="right"/>
              <w:rPr>
                <w:rFonts w:ascii="Times New Roman" w:hAnsi="Times New Roman" w:cs="Times New Roman"/>
                <w:bCs/>
                <w:color w:val="000000"/>
                <w:sz w:val="22"/>
                <w:szCs w:val="22"/>
              </w:rPr>
            </w:pPr>
            <w:r w:rsidRPr="004C5101">
              <w:rPr>
                <w:rFonts w:ascii="Times New Roman" w:hAnsi="Times New Roman" w:cs="Times New Roman"/>
                <w:bCs/>
                <w:color w:val="000000"/>
                <w:sz w:val="22"/>
                <w:szCs w:val="22"/>
              </w:rPr>
              <w:t>18,0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4C9BFEA" w14:textId="77777777" w:rsidR="007E06EF" w:rsidRPr="004C5101" w:rsidRDefault="007E06EF" w:rsidP="007E06EF">
            <w:pPr>
              <w:jc w:val="right"/>
              <w:rPr>
                <w:rFonts w:ascii="Times New Roman" w:hAnsi="Times New Roman" w:cs="Times New Roman"/>
                <w:bCs/>
                <w:color w:val="000000"/>
                <w:sz w:val="22"/>
                <w:szCs w:val="22"/>
              </w:rPr>
            </w:pPr>
            <w:r w:rsidRPr="004C5101">
              <w:rPr>
                <w:rFonts w:ascii="Times New Roman" w:hAnsi="Times New Roman" w:cs="Times New Roman"/>
                <w:bCs/>
                <w:color w:val="000000"/>
                <w:sz w:val="22"/>
                <w:szCs w:val="22"/>
              </w:rPr>
              <w:t>3,5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AD466CD" w14:textId="77777777" w:rsidR="007E06EF" w:rsidRPr="004C5101" w:rsidRDefault="007E06EF" w:rsidP="007E06EF">
            <w:pPr>
              <w:jc w:val="right"/>
              <w:rPr>
                <w:rFonts w:ascii="Times New Roman" w:hAnsi="Times New Roman" w:cs="Times New Roman"/>
                <w:bCs/>
                <w:color w:val="000000"/>
                <w:sz w:val="22"/>
                <w:szCs w:val="22"/>
              </w:rPr>
            </w:pPr>
            <w:r w:rsidRPr="004C5101">
              <w:rPr>
                <w:rFonts w:ascii="Times New Roman" w:hAnsi="Times New Roman" w:cs="Times New Roman"/>
                <w:bCs/>
                <w:color w:val="000000"/>
                <w:sz w:val="22"/>
                <w:szCs w:val="22"/>
              </w:rPr>
              <w:t>11,2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1788471" w14:textId="77777777" w:rsidR="007E06EF" w:rsidRPr="004C5101" w:rsidRDefault="007E06EF" w:rsidP="007E06EF">
            <w:pPr>
              <w:jc w:val="right"/>
              <w:rPr>
                <w:rFonts w:ascii="Times New Roman" w:hAnsi="Times New Roman" w:cs="Times New Roman"/>
                <w:bCs/>
                <w:color w:val="000000"/>
                <w:sz w:val="22"/>
                <w:szCs w:val="22"/>
              </w:rPr>
            </w:pPr>
            <w:r w:rsidRPr="004C5101">
              <w:rPr>
                <w:rFonts w:ascii="Times New Roman" w:hAnsi="Times New Roman" w:cs="Times New Roman"/>
                <w:bCs/>
                <w:color w:val="000000"/>
                <w:sz w:val="22"/>
                <w:szCs w:val="22"/>
              </w:rPr>
              <w:t>5,3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77D9ED7" w14:textId="77777777" w:rsidR="007E06EF" w:rsidRPr="004C5101" w:rsidRDefault="007E06EF" w:rsidP="007E06EF">
            <w:pPr>
              <w:jc w:val="right"/>
              <w:rPr>
                <w:rFonts w:ascii="Times New Roman" w:hAnsi="Times New Roman" w:cs="Times New Roman"/>
                <w:bCs/>
                <w:color w:val="000000"/>
                <w:sz w:val="22"/>
                <w:szCs w:val="22"/>
              </w:rPr>
            </w:pPr>
            <w:r w:rsidRPr="004C5101">
              <w:rPr>
                <w:rFonts w:ascii="Times New Roman" w:hAnsi="Times New Roman" w:cs="Times New Roman"/>
                <w:bCs/>
                <w:color w:val="000000"/>
                <w:sz w:val="22"/>
                <w:szCs w:val="22"/>
              </w:rPr>
              <w:t>5,1</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9439C5D" w14:textId="77777777" w:rsidR="007E06EF" w:rsidRPr="004C5101" w:rsidRDefault="007E06EF" w:rsidP="007E06EF">
            <w:pPr>
              <w:jc w:val="right"/>
              <w:rPr>
                <w:rFonts w:ascii="Times New Roman" w:hAnsi="Times New Roman" w:cs="Times New Roman"/>
                <w:bCs/>
                <w:color w:val="000000"/>
                <w:sz w:val="22"/>
                <w:szCs w:val="22"/>
              </w:rPr>
            </w:pPr>
            <w:r w:rsidRPr="004C5101">
              <w:rPr>
                <w:rFonts w:ascii="Times New Roman" w:hAnsi="Times New Roman" w:cs="Times New Roman"/>
                <w:bCs/>
                <w:color w:val="000000"/>
                <w:sz w:val="22"/>
                <w:szCs w:val="22"/>
              </w:rPr>
              <w:t>0,02</w:t>
            </w:r>
          </w:p>
        </w:tc>
        <w:tc>
          <w:tcPr>
            <w:tcW w:w="0" w:type="auto"/>
            <w:tcBorders>
              <w:top w:val="single" w:sz="4" w:space="0" w:color="auto"/>
              <w:left w:val="nil"/>
              <w:bottom w:val="single" w:sz="4" w:space="0" w:color="auto"/>
              <w:right w:val="single" w:sz="4" w:space="0" w:color="auto"/>
            </w:tcBorders>
            <w:vAlign w:val="bottom"/>
          </w:tcPr>
          <w:p w14:paraId="21D251D0" w14:textId="77777777" w:rsidR="007E06EF" w:rsidRPr="004C5101" w:rsidRDefault="007E06EF" w:rsidP="007E06EF">
            <w:pPr>
              <w:jc w:val="right"/>
              <w:rPr>
                <w:rFonts w:ascii="Times New Roman" w:hAnsi="Times New Roman" w:cs="Times New Roman"/>
                <w:color w:val="000000"/>
                <w:spacing w:val="-4"/>
                <w:sz w:val="22"/>
                <w:szCs w:val="22"/>
              </w:rPr>
            </w:pPr>
            <w:r w:rsidRPr="004C5101">
              <w:rPr>
                <w:rFonts w:ascii="Times New Roman" w:hAnsi="Times New Roman" w:cs="Times New Roman"/>
                <w:color w:val="000000"/>
                <w:spacing w:val="-4"/>
                <w:sz w:val="22"/>
                <w:szCs w:val="22"/>
              </w:rPr>
              <w:t>1,8</w:t>
            </w:r>
          </w:p>
        </w:tc>
        <w:tc>
          <w:tcPr>
            <w:tcW w:w="0" w:type="auto"/>
            <w:tcBorders>
              <w:top w:val="single" w:sz="4" w:space="0" w:color="auto"/>
              <w:left w:val="nil"/>
              <w:bottom w:val="single" w:sz="4" w:space="0" w:color="auto"/>
              <w:right w:val="single" w:sz="4" w:space="0" w:color="auto"/>
            </w:tcBorders>
            <w:vAlign w:val="bottom"/>
          </w:tcPr>
          <w:p w14:paraId="1C994A9E" w14:textId="77777777" w:rsidR="007E06EF" w:rsidRPr="004C5101" w:rsidRDefault="007E06EF" w:rsidP="007E06EF">
            <w:pPr>
              <w:jc w:val="right"/>
              <w:rPr>
                <w:rFonts w:ascii="Times New Roman" w:hAnsi="Times New Roman" w:cs="Times New Roman"/>
                <w:color w:val="000000"/>
                <w:spacing w:val="-4"/>
                <w:sz w:val="22"/>
                <w:szCs w:val="22"/>
              </w:rPr>
            </w:pPr>
            <w:r w:rsidRPr="004C5101">
              <w:rPr>
                <w:rFonts w:ascii="Times New Roman" w:hAnsi="Times New Roman" w:cs="Times New Roman"/>
                <w:color w:val="000000"/>
                <w:spacing w:val="-4"/>
                <w:sz w:val="22"/>
                <w:szCs w:val="22"/>
              </w:rPr>
              <w:t>15,5</w:t>
            </w:r>
          </w:p>
        </w:tc>
        <w:tc>
          <w:tcPr>
            <w:tcW w:w="0" w:type="auto"/>
            <w:tcBorders>
              <w:top w:val="single" w:sz="4" w:space="0" w:color="auto"/>
              <w:left w:val="nil"/>
              <w:bottom w:val="single" w:sz="4" w:space="0" w:color="auto"/>
              <w:right w:val="single" w:sz="4" w:space="0" w:color="auto"/>
            </w:tcBorders>
            <w:vAlign w:val="bottom"/>
          </w:tcPr>
          <w:p w14:paraId="3FD04FC3" w14:textId="77777777" w:rsidR="007E06EF" w:rsidRPr="004C5101" w:rsidRDefault="007E06EF" w:rsidP="007E06EF">
            <w:pPr>
              <w:jc w:val="right"/>
              <w:rPr>
                <w:rFonts w:ascii="Times New Roman" w:hAnsi="Times New Roman" w:cs="Times New Roman"/>
                <w:color w:val="000000"/>
                <w:spacing w:val="-4"/>
                <w:sz w:val="22"/>
                <w:szCs w:val="22"/>
              </w:rPr>
            </w:pPr>
            <w:r w:rsidRPr="004C5101">
              <w:rPr>
                <w:rFonts w:ascii="Times New Roman" w:hAnsi="Times New Roman" w:cs="Times New Roman"/>
                <w:color w:val="000000"/>
                <w:spacing w:val="-4"/>
                <w:sz w:val="22"/>
                <w:szCs w:val="22"/>
              </w:rPr>
              <w:t>0,9</w:t>
            </w:r>
          </w:p>
        </w:tc>
        <w:tc>
          <w:tcPr>
            <w:tcW w:w="0" w:type="auto"/>
            <w:tcBorders>
              <w:top w:val="single" w:sz="4" w:space="0" w:color="auto"/>
              <w:left w:val="nil"/>
              <w:bottom w:val="single" w:sz="4" w:space="0" w:color="auto"/>
              <w:right w:val="single" w:sz="4" w:space="0" w:color="auto"/>
            </w:tcBorders>
            <w:vAlign w:val="bottom"/>
          </w:tcPr>
          <w:p w14:paraId="3590C6CE" w14:textId="77777777" w:rsidR="007E06EF" w:rsidRPr="004C5101" w:rsidRDefault="007E06EF" w:rsidP="007E06EF">
            <w:pPr>
              <w:jc w:val="right"/>
              <w:rPr>
                <w:rFonts w:ascii="Times New Roman" w:hAnsi="Times New Roman" w:cs="Times New Roman"/>
                <w:color w:val="000000"/>
                <w:spacing w:val="-4"/>
                <w:sz w:val="22"/>
                <w:szCs w:val="22"/>
              </w:rPr>
            </w:pPr>
            <w:r w:rsidRPr="004C5101">
              <w:rPr>
                <w:rFonts w:ascii="Times New Roman" w:hAnsi="Times New Roman" w:cs="Times New Roman"/>
                <w:color w:val="000000"/>
                <w:spacing w:val="-4"/>
                <w:sz w:val="22"/>
                <w:szCs w:val="22"/>
              </w:rPr>
              <w:t>5,8</w:t>
            </w:r>
          </w:p>
        </w:tc>
        <w:tc>
          <w:tcPr>
            <w:tcW w:w="0" w:type="auto"/>
            <w:tcBorders>
              <w:top w:val="single" w:sz="4" w:space="0" w:color="auto"/>
              <w:left w:val="nil"/>
              <w:bottom w:val="single" w:sz="4" w:space="0" w:color="auto"/>
              <w:right w:val="single" w:sz="4" w:space="0" w:color="auto"/>
            </w:tcBorders>
            <w:vAlign w:val="bottom"/>
          </w:tcPr>
          <w:p w14:paraId="0E2793F2" w14:textId="77777777" w:rsidR="007E06EF" w:rsidRPr="004C5101" w:rsidRDefault="007E06EF" w:rsidP="007E06EF">
            <w:pPr>
              <w:jc w:val="right"/>
              <w:rPr>
                <w:rFonts w:ascii="Times New Roman" w:hAnsi="Times New Roman" w:cs="Times New Roman"/>
                <w:color w:val="000000"/>
                <w:spacing w:val="-4"/>
                <w:sz w:val="22"/>
                <w:szCs w:val="22"/>
              </w:rPr>
            </w:pPr>
            <w:r w:rsidRPr="004C5101">
              <w:rPr>
                <w:rFonts w:ascii="Times New Roman" w:hAnsi="Times New Roman" w:cs="Times New Roman"/>
                <w:color w:val="000000"/>
                <w:spacing w:val="-4"/>
                <w:sz w:val="22"/>
                <w:szCs w:val="22"/>
              </w:rPr>
              <w:t>5,5</w:t>
            </w:r>
          </w:p>
        </w:tc>
      </w:tr>
    </w:tbl>
    <w:p w14:paraId="4453BB0A" w14:textId="77777777" w:rsidR="007E06EF" w:rsidRDefault="007E06EF" w:rsidP="007E06EF">
      <w:pPr>
        <w:ind w:firstLine="709"/>
        <w:jc w:val="both"/>
        <w:rPr>
          <w:spacing w:val="-4"/>
          <w:sz w:val="30"/>
          <w:szCs w:val="30"/>
        </w:rPr>
      </w:pPr>
    </w:p>
    <w:p w14:paraId="5B3B5249" w14:textId="393F1609" w:rsidR="007E06EF" w:rsidRPr="004C5101" w:rsidRDefault="007E06EF" w:rsidP="004C5101">
      <w:pPr>
        <w:spacing w:line="360" w:lineRule="auto"/>
        <w:ind w:firstLine="709"/>
        <w:jc w:val="both"/>
        <w:rPr>
          <w:rFonts w:ascii="Times New Roman" w:hAnsi="Times New Roman" w:cs="Times New Roman"/>
          <w:sz w:val="28"/>
          <w:szCs w:val="28"/>
        </w:rPr>
      </w:pPr>
      <w:r w:rsidRPr="004C5101">
        <w:rPr>
          <w:rFonts w:ascii="Times New Roman" w:hAnsi="Times New Roman" w:cs="Times New Roman"/>
          <w:sz w:val="28"/>
          <w:szCs w:val="28"/>
        </w:rPr>
        <w:t>Анализ изменения расходов федерального бюджета по разделам бюджетной классификации (табл</w:t>
      </w:r>
      <w:r w:rsidR="00A437A7">
        <w:rPr>
          <w:rFonts w:ascii="Times New Roman" w:hAnsi="Times New Roman" w:cs="Times New Roman"/>
          <w:sz w:val="28"/>
          <w:szCs w:val="28"/>
        </w:rPr>
        <w:t>ица 9</w:t>
      </w:r>
      <w:r w:rsidRPr="004C5101">
        <w:rPr>
          <w:rFonts w:ascii="Times New Roman" w:hAnsi="Times New Roman" w:cs="Times New Roman"/>
          <w:sz w:val="28"/>
          <w:szCs w:val="28"/>
        </w:rPr>
        <w:t>) позволил выявить следующие тенденции:</w:t>
      </w:r>
    </w:p>
    <w:p w14:paraId="0DD0AAB1" w14:textId="100FA6E4" w:rsidR="007E06EF" w:rsidRPr="004C5101" w:rsidRDefault="007E06EF" w:rsidP="004C5101">
      <w:pPr>
        <w:spacing w:line="360" w:lineRule="auto"/>
        <w:ind w:firstLine="709"/>
        <w:jc w:val="both"/>
        <w:rPr>
          <w:rFonts w:ascii="Times New Roman" w:hAnsi="Times New Roman" w:cs="Times New Roman"/>
          <w:sz w:val="28"/>
          <w:szCs w:val="28"/>
        </w:rPr>
      </w:pPr>
      <w:r w:rsidRPr="004C5101">
        <w:rPr>
          <w:rFonts w:ascii="Times New Roman" w:hAnsi="Times New Roman" w:cs="Times New Roman"/>
          <w:sz w:val="28"/>
          <w:szCs w:val="28"/>
        </w:rPr>
        <w:t>- общегосударственные расходы в абсолютном выражении снижаются;</w:t>
      </w:r>
    </w:p>
    <w:p w14:paraId="06BC3888" w14:textId="1B56091F" w:rsidR="007E06EF" w:rsidRPr="004C5101" w:rsidRDefault="007E06EF" w:rsidP="004C5101">
      <w:pPr>
        <w:spacing w:line="360" w:lineRule="auto"/>
        <w:ind w:firstLine="709"/>
        <w:jc w:val="both"/>
        <w:rPr>
          <w:rFonts w:ascii="Times New Roman" w:hAnsi="Times New Roman" w:cs="Times New Roman"/>
          <w:sz w:val="28"/>
          <w:szCs w:val="28"/>
        </w:rPr>
      </w:pPr>
      <w:r w:rsidRPr="004C5101">
        <w:rPr>
          <w:rFonts w:ascii="Times New Roman" w:hAnsi="Times New Roman" w:cs="Times New Roman"/>
          <w:sz w:val="28"/>
          <w:szCs w:val="28"/>
        </w:rPr>
        <w:t>- постепенно растут, хотя и не высокими темпами, расходы на национальную безопасность и правоохранительную деятельность, образование, здравоохранение, социальную политику и средства массовой информации</w:t>
      </w:r>
      <w:r w:rsidR="004C5101" w:rsidRPr="004C5101">
        <w:rPr>
          <w:rFonts w:ascii="Times New Roman" w:hAnsi="Times New Roman" w:cs="Times New Roman"/>
          <w:sz w:val="28"/>
          <w:szCs w:val="28"/>
        </w:rPr>
        <w:t>, охрану окружающей среды</w:t>
      </w:r>
      <w:r w:rsidRPr="004C5101">
        <w:rPr>
          <w:rFonts w:ascii="Times New Roman" w:hAnsi="Times New Roman" w:cs="Times New Roman"/>
          <w:sz w:val="28"/>
          <w:szCs w:val="28"/>
        </w:rPr>
        <w:t>;</w:t>
      </w:r>
    </w:p>
    <w:p w14:paraId="640925C4" w14:textId="739FC15E" w:rsidR="007E06EF" w:rsidRPr="004C5101" w:rsidRDefault="007E06EF" w:rsidP="004C5101">
      <w:pPr>
        <w:spacing w:line="360" w:lineRule="auto"/>
        <w:ind w:firstLine="709"/>
        <w:jc w:val="both"/>
        <w:rPr>
          <w:rFonts w:ascii="Times New Roman" w:hAnsi="Times New Roman" w:cs="Times New Roman"/>
          <w:sz w:val="28"/>
          <w:szCs w:val="28"/>
        </w:rPr>
      </w:pPr>
      <w:r w:rsidRPr="004C5101">
        <w:rPr>
          <w:rFonts w:ascii="Times New Roman" w:hAnsi="Times New Roman" w:cs="Times New Roman"/>
          <w:sz w:val="28"/>
          <w:szCs w:val="28"/>
        </w:rPr>
        <w:lastRenderedPageBreak/>
        <w:t>- снижаются в абсолютном выражении расходы на национальную экономику</w:t>
      </w:r>
      <w:r w:rsidR="004C5101" w:rsidRPr="004C5101">
        <w:rPr>
          <w:rFonts w:ascii="Times New Roman" w:hAnsi="Times New Roman" w:cs="Times New Roman"/>
          <w:sz w:val="28"/>
          <w:szCs w:val="28"/>
        </w:rPr>
        <w:t xml:space="preserve">, </w:t>
      </w:r>
      <w:r w:rsidRPr="004C5101">
        <w:rPr>
          <w:rFonts w:ascii="Times New Roman" w:hAnsi="Times New Roman" w:cs="Times New Roman"/>
          <w:sz w:val="28"/>
          <w:szCs w:val="28"/>
        </w:rPr>
        <w:t>жилищно-коммунальное хозяйство, культуру, физическую культуру и спорт;</w:t>
      </w:r>
    </w:p>
    <w:p w14:paraId="27B2D321" w14:textId="22EF6273" w:rsidR="007E06EF" w:rsidRPr="004C5101" w:rsidRDefault="007E06EF" w:rsidP="004C5101">
      <w:pPr>
        <w:spacing w:line="360" w:lineRule="auto"/>
        <w:ind w:firstLine="709"/>
        <w:jc w:val="both"/>
        <w:rPr>
          <w:rFonts w:ascii="Times New Roman" w:hAnsi="Times New Roman" w:cs="Times New Roman"/>
          <w:sz w:val="28"/>
          <w:szCs w:val="28"/>
        </w:rPr>
      </w:pPr>
      <w:r w:rsidRPr="004C5101">
        <w:rPr>
          <w:rFonts w:ascii="Times New Roman" w:hAnsi="Times New Roman" w:cs="Times New Roman"/>
          <w:sz w:val="28"/>
          <w:szCs w:val="28"/>
        </w:rPr>
        <w:t xml:space="preserve">- расходы на обслуживание долга </w:t>
      </w:r>
      <w:r w:rsidR="004C5101" w:rsidRPr="004C5101">
        <w:rPr>
          <w:rFonts w:ascii="Times New Roman" w:hAnsi="Times New Roman" w:cs="Times New Roman"/>
          <w:sz w:val="28"/>
          <w:szCs w:val="28"/>
        </w:rPr>
        <w:t>увеличились</w:t>
      </w:r>
      <w:r w:rsidRPr="004C5101">
        <w:rPr>
          <w:rFonts w:ascii="Times New Roman" w:hAnsi="Times New Roman" w:cs="Times New Roman"/>
          <w:sz w:val="28"/>
          <w:szCs w:val="28"/>
        </w:rPr>
        <w:t xml:space="preserve"> почти на 10</w:t>
      </w:r>
      <w:r w:rsidR="004C5101" w:rsidRPr="004C5101">
        <w:rPr>
          <w:rFonts w:ascii="Times New Roman" w:hAnsi="Times New Roman" w:cs="Times New Roman"/>
          <w:sz w:val="28"/>
          <w:szCs w:val="28"/>
        </w:rPr>
        <w:t>%</w:t>
      </w:r>
      <w:r w:rsidRPr="004C5101">
        <w:rPr>
          <w:rFonts w:ascii="Times New Roman" w:hAnsi="Times New Roman" w:cs="Times New Roman"/>
          <w:sz w:val="28"/>
          <w:szCs w:val="28"/>
        </w:rPr>
        <w:t>;</w:t>
      </w:r>
    </w:p>
    <w:p w14:paraId="32D1823E" w14:textId="2BB23C49" w:rsidR="007E06EF" w:rsidRPr="004C5101" w:rsidRDefault="007E06EF" w:rsidP="004C5101">
      <w:pPr>
        <w:spacing w:line="360" w:lineRule="auto"/>
        <w:ind w:firstLine="709"/>
        <w:jc w:val="both"/>
        <w:rPr>
          <w:rFonts w:ascii="Times New Roman" w:hAnsi="Times New Roman" w:cs="Times New Roman"/>
          <w:sz w:val="28"/>
          <w:szCs w:val="28"/>
        </w:rPr>
      </w:pPr>
      <w:r w:rsidRPr="004C5101">
        <w:rPr>
          <w:rFonts w:ascii="Times New Roman" w:hAnsi="Times New Roman" w:cs="Times New Roman"/>
          <w:sz w:val="28"/>
          <w:szCs w:val="28"/>
        </w:rPr>
        <w:t>- размер межбюджетных трансфертов бюджетам бюджетной системы Российской Федерации остался практически на прежнем уровне.</w:t>
      </w:r>
    </w:p>
    <w:p w14:paraId="48CF574F" w14:textId="7936007D" w:rsidR="007E06EF" w:rsidRPr="004D585B" w:rsidRDefault="007E06EF" w:rsidP="004C5101">
      <w:pPr>
        <w:spacing w:line="360" w:lineRule="auto"/>
        <w:ind w:firstLine="709"/>
        <w:jc w:val="both"/>
        <w:rPr>
          <w:rFonts w:ascii="Times New Roman" w:hAnsi="Times New Roman" w:cs="Times New Roman"/>
          <w:sz w:val="28"/>
          <w:szCs w:val="28"/>
        </w:rPr>
      </w:pPr>
      <w:r w:rsidRPr="004C5101">
        <w:rPr>
          <w:rFonts w:ascii="Times New Roman" w:hAnsi="Times New Roman" w:cs="Times New Roman"/>
          <w:sz w:val="28"/>
          <w:szCs w:val="28"/>
        </w:rPr>
        <w:t xml:space="preserve">Таблица </w:t>
      </w:r>
      <w:r w:rsidR="00A437A7">
        <w:rPr>
          <w:rFonts w:ascii="Times New Roman" w:hAnsi="Times New Roman" w:cs="Times New Roman"/>
          <w:sz w:val="28"/>
          <w:szCs w:val="28"/>
        </w:rPr>
        <w:t>9</w:t>
      </w:r>
      <w:r w:rsidR="004C5101">
        <w:rPr>
          <w:rFonts w:ascii="Times New Roman" w:hAnsi="Times New Roman" w:cs="Times New Roman"/>
          <w:sz w:val="28"/>
          <w:szCs w:val="28"/>
        </w:rPr>
        <w:t xml:space="preserve"> –  Динамика р</w:t>
      </w:r>
      <w:r w:rsidRPr="004C5101">
        <w:rPr>
          <w:rFonts w:ascii="Times New Roman" w:hAnsi="Times New Roman" w:cs="Times New Roman"/>
          <w:sz w:val="28"/>
          <w:szCs w:val="28"/>
        </w:rPr>
        <w:t>асход</w:t>
      </w:r>
      <w:r w:rsidR="004C5101">
        <w:rPr>
          <w:rFonts w:ascii="Times New Roman" w:hAnsi="Times New Roman" w:cs="Times New Roman"/>
          <w:sz w:val="28"/>
          <w:szCs w:val="28"/>
        </w:rPr>
        <w:t>ов ф</w:t>
      </w:r>
      <w:r w:rsidRPr="004C5101">
        <w:rPr>
          <w:rFonts w:ascii="Times New Roman" w:hAnsi="Times New Roman" w:cs="Times New Roman"/>
          <w:sz w:val="28"/>
          <w:szCs w:val="28"/>
        </w:rPr>
        <w:t>едерального бюджета по разделам бюджетной классификации</w:t>
      </w:r>
      <w:r w:rsidR="008A1A5C">
        <w:rPr>
          <w:rFonts w:ascii="Times New Roman" w:hAnsi="Times New Roman" w:cs="Times New Roman"/>
          <w:sz w:val="28"/>
          <w:szCs w:val="28"/>
        </w:rPr>
        <w:t xml:space="preserve"> в 2013-2020 гг.</w:t>
      </w:r>
      <w:r w:rsidR="004C5101">
        <w:rPr>
          <w:rFonts w:ascii="Times New Roman" w:hAnsi="Times New Roman" w:cs="Times New Roman"/>
          <w:sz w:val="28"/>
          <w:szCs w:val="28"/>
        </w:rPr>
        <w:t xml:space="preserve">, </w:t>
      </w:r>
      <w:r w:rsidRPr="004C5101">
        <w:rPr>
          <w:rFonts w:ascii="Times New Roman" w:hAnsi="Times New Roman" w:cs="Times New Roman"/>
          <w:sz w:val="28"/>
          <w:szCs w:val="28"/>
        </w:rPr>
        <w:t>млрд. руб.</w:t>
      </w:r>
      <w:r w:rsidR="008A1A5C" w:rsidRPr="004D585B">
        <w:rPr>
          <w:rFonts w:ascii="Times New Roman" w:hAnsi="Times New Roman" w:cs="Times New Roman"/>
          <w:sz w:val="28"/>
          <w:szCs w:val="28"/>
        </w:rPr>
        <w:t>*</w:t>
      </w:r>
    </w:p>
    <w:tbl>
      <w:tblPr>
        <w:tblW w:w="0" w:type="auto"/>
        <w:tblInd w:w="-176" w:type="dxa"/>
        <w:tblLook w:val="04A0" w:firstRow="1" w:lastRow="0" w:firstColumn="1" w:lastColumn="0" w:noHBand="0" w:noVBand="1"/>
      </w:tblPr>
      <w:tblGrid>
        <w:gridCol w:w="3154"/>
        <w:gridCol w:w="816"/>
        <w:gridCol w:w="816"/>
        <w:gridCol w:w="816"/>
        <w:gridCol w:w="816"/>
        <w:gridCol w:w="816"/>
        <w:gridCol w:w="815"/>
        <w:gridCol w:w="846"/>
        <w:gridCol w:w="846"/>
      </w:tblGrid>
      <w:tr w:rsidR="008A1A5C" w:rsidRPr="004C5101" w14:paraId="03484BCF" w14:textId="77777777" w:rsidTr="004C510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54159" w14:textId="77777777" w:rsidR="008A1A5C" w:rsidRPr="004C5101" w:rsidRDefault="008A1A5C" w:rsidP="007E06EF">
            <w:pPr>
              <w:jc w:val="center"/>
              <w:rPr>
                <w:rFonts w:ascii="Times New Roman" w:hAnsi="Times New Roman" w:cs="Times New Roman"/>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2B8D065" w14:textId="77777777" w:rsidR="008A1A5C" w:rsidRPr="004C5101" w:rsidRDefault="008A1A5C" w:rsidP="007E06EF">
            <w:pPr>
              <w:jc w:val="center"/>
              <w:rPr>
                <w:rFonts w:ascii="Times New Roman" w:hAnsi="Times New Roman" w:cs="Times New Roman"/>
                <w:b/>
                <w:bCs/>
                <w:sz w:val="20"/>
                <w:szCs w:val="20"/>
              </w:rPr>
            </w:pPr>
            <w:r w:rsidRPr="004C5101">
              <w:rPr>
                <w:rFonts w:ascii="Times New Roman" w:hAnsi="Times New Roman" w:cs="Times New Roman"/>
                <w:b/>
                <w:bCs/>
                <w:sz w:val="20"/>
                <w:szCs w:val="20"/>
              </w:rPr>
              <w:t>2013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71F7D18" w14:textId="77777777" w:rsidR="008A1A5C" w:rsidRPr="004C5101" w:rsidRDefault="008A1A5C" w:rsidP="007E06EF">
            <w:pPr>
              <w:jc w:val="center"/>
              <w:rPr>
                <w:rFonts w:ascii="Times New Roman" w:hAnsi="Times New Roman" w:cs="Times New Roman"/>
                <w:b/>
                <w:bCs/>
                <w:sz w:val="20"/>
                <w:szCs w:val="20"/>
              </w:rPr>
            </w:pPr>
            <w:r w:rsidRPr="004C5101">
              <w:rPr>
                <w:rFonts w:ascii="Times New Roman" w:hAnsi="Times New Roman" w:cs="Times New Roman"/>
                <w:b/>
                <w:bCs/>
                <w:sz w:val="20"/>
                <w:szCs w:val="20"/>
              </w:rPr>
              <w:t>2014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E0EE9B9" w14:textId="77777777" w:rsidR="008A1A5C" w:rsidRPr="004C5101" w:rsidRDefault="008A1A5C" w:rsidP="007E06EF">
            <w:pPr>
              <w:jc w:val="center"/>
              <w:rPr>
                <w:rFonts w:ascii="Times New Roman" w:hAnsi="Times New Roman" w:cs="Times New Roman"/>
                <w:b/>
                <w:bCs/>
                <w:sz w:val="20"/>
                <w:szCs w:val="20"/>
              </w:rPr>
            </w:pPr>
            <w:r w:rsidRPr="004C5101">
              <w:rPr>
                <w:rFonts w:ascii="Times New Roman" w:hAnsi="Times New Roman" w:cs="Times New Roman"/>
                <w:b/>
                <w:bCs/>
                <w:sz w:val="20"/>
                <w:szCs w:val="20"/>
              </w:rPr>
              <w:t>2015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D29162E" w14:textId="77777777" w:rsidR="008A1A5C" w:rsidRPr="004C5101" w:rsidRDefault="008A1A5C" w:rsidP="007E06EF">
            <w:pPr>
              <w:jc w:val="center"/>
              <w:rPr>
                <w:rFonts w:ascii="Times New Roman" w:hAnsi="Times New Roman" w:cs="Times New Roman"/>
                <w:b/>
                <w:bCs/>
                <w:sz w:val="20"/>
                <w:szCs w:val="20"/>
              </w:rPr>
            </w:pPr>
            <w:r w:rsidRPr="004C5101">
              <w:rPr>
                <w:rFonts w:ascii="Times New Roman" w:hAnsi="Times New Roman" w:cs="Times New Roman"/>
                <w:b/>
                <w:bCs/>
                <w:sz w:val="20"/>
                <w:szCs w:val="20"/>
              </w:rPr>
              <w:t>2016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C44B07C" w14:textId="77777777" w:rsidR="008A1A5C" w:rsidRPr="004C5101" w:rsidRDefault="008A1A5C" w:rsidP="007E06EF">
            <w:pPr>
              <w:jc w:val="center"/>
              <w:rPr>
                <w:rFonts w:ascii="Times New Roman" w:hAnsi="Times New Roman" w:cs="Times New Roman"/>
                <w:b/>
                <w:bCs/>
                <w:sz w:val="20"/>
                <w:szCs w:val="20"/>
              </w:rPr>
            </w:pPr>
            <w:r w:rsidRPr="004C5101">
              <w:rPr>
                <w:rFonts w:ascii="Times New Roman" w:hAnsi="Times New Roman" w:cs="Times New Roman"/>
                <w:b/>
                <w:bCs/>
                <w:sz w:val="20"/>
                <w:szCs w:val="20"/>
              </w:rPr>
              <w:t>2017</w:t>
            </w:r>
          </w:p>
        </w:tc>
        <w:tc>
          <w:tcPr>
            <w:tcW w:w="0" w:type="auto"/>
            <w:tcBorders>
              <w:top w:val="single" w:sz="4" w:space="0" w:color="auto"/>
              <w:left w:val="nil"/>
              <w:bottom w:val="single" w:sz="4" w:space="0" w:color="auto"/>
              <w:right w:val="single" w:sz="4" w:space="0" w:color="auto"/>
            </w:tcBorders>
            <w:vAlign w:val="center"/>
          </w:tcPr>
          <w:p w14:paraId="223373B8" w14:textId="0CDB4573" w:rsidR="008A1A5C" w:rsidRPr="004C5101" w:rsidRDefault="008A1A5C" w:rsidP="007E06EF">
            <w:pPr>
              <w:jc w:val="center"/>
              <w:rPr>
                <w:rFonts w:ascii="Times New Roman" w:hAnsi="Times New Roman" w:cs="Times New Roman"/>
                <w:b/>
                <w:bCs/>
                <w:sz w:val="20"/>
                <w:szCs w:val="20"/>
              </w:rPr>
            </w:pPr>
            <w:r>
              <w:rPr>
                <w:rFonts w:ascii="Times New Roman" w:hAnsi="Times New Roman" w:cs="Times New Roman"/>
                <w:b/>
                <w:bCs/>
                <w:sz w:val="20"/>
                <w:szCs w:val="20"/>
              </w:rPr>
              <w:t>2018</w:t>
            </w:r>
          </w:p>
        </w:tc>
        <w:tc>
          <w:tcPr>
            <w:tcW w:w="0" w:type="auto"/>
            <w:tcBorders>
              <w:top w:val="single" w:sz="4" w:space="0" w:color="auto"/>
              <w:left w:val="nil"/>
              <w:bottom w:val="single" w:sz="4" w:space="0" w:color="auto"/>
              <w:right w:val="single" w:sz="4" w:space="0" w:color="auto"/>
            </w:tcBorders>
            <w:vAlign w:val="center"/>
          </w:tcPr>
          <w:p w14:paraId="2AEB1843" w14:textId="77777777" w:rsidR="008A1A5C" w:rsidRPr="004C5101" w:rsidRDefault="008A1A5C" w:rsidP="007E06EF">
            <w:pPr>
              <w:jc w:val="center"/>
              <w:rPr>
                <w:rFonts w:ascii="Times New Roman" w:hAnsi="Times New Roman" w:cs="Times New Roman"/>
                <w:b/>
                <w:bCs/>
                <w:sz w:val="20"/>
                <w:szCs w:val="20"/>
              </w:rPr>
            </w:pPr>
            <w:r w:rsidRPr="004C5101">
              <w:rPr>
                <w:rFonts w:ascii="Times New Roman" w:hAnsi="Times New Roman" w:cs="Times New Roman"/>
                <w:b/>
                <w:bCs/>
                <w:sz w:val="20"/>
                <w:szCs w:val="20"/>
              </w:rPr>
              <w:t>2019</w:t>
            </w:r>
          </w:p>
        </w:tc>
        <w:tc>
          <w:tcPr>
            <w:tcW w:w="0" w:type="auto"/>
            <w:tcBorders>
              <w:top w:val="single" w:sz="4" w:space="0" w:color="auto"/>
              <w:left w:val="nil"/>
              <w:bottom w:val="single" w:sz="4" w:space="0" w:color="auto"/>
              <w:right w:val="single" w:sz="4" w:space="0" w:color="auto"/>
            </w:tcBorders>
            <w:vAlign w:val="center"/>
          </w:tcPr>
          <w:p w14:paraId="180E8195" w14:textId="77777777" w:rsidR="008A1A5C" w:rsidRPr="004C5101" w:rsidRDefault="008A1A5C" w:rsidP="007E06EF">
            <w:pPr>
              <w:jc w:val="center"/>
              <w:rPr>
                <w:rFonts w:ascii="Times New Roman" w:hAnsi="Times New Roman" w:cs="Times New Roman"/>
                <w:b/>
                <w:bCs/>
                <w:sz w:val="20"/>
                <w:szCs w:val="20"/>
              </w:rPr>
            </w:pPr>
            <w:r w:rsidRPr="004C5101">
              <w:rPr>
                <w:rFonts w:ascii="Times New Roman" w:hAnsi="Times New Roman" w:cs="Times New Roman"/>
                <w:b/>
                <w:bCs/>
                <w:sz w:val="20"/>
                <w:szCs w:val="20"/>
              </w:rPr>
              <w:t>2020</w:t>
            </w:r>
          </w:p>
        </w:tc>
      </w:tr>
      <w:tr w:rsidR="008A1A5C" w:rsidRPr="004C5101" w14:paraId="5AD59E22" w14:textId="77777777" w:rsidTr="004C510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79100AC" w14:textId="77777777" w:rsidR="008A1A5C" w:rsidRPr="004C5101" w:rsidRDefault="008A1A5C" w:rsidP="007E06EF">
            <w:pPr>
              <w:rPr>
                <w:rFonts w:ascii="Times New Roman" w:hAnsi="Times New Roman" w:cs="Times New Roman"/>
                <w:b/>
                <w:bCs/>
                <w:color w:val="000000"/>
                <w:sz w:val="18"/>
                <w:szCs w:val="18"/>
              </w:rPr>
            </w:pPr>
            <w:r w:rsidRPr="004C5101">
              <w:rPr>
                <w:rFonts w:ascii="Times New Roman" w:hAnsi="Times New Roman" w:cs="Times New Roman"/>
                <w:b/>
                <w:bCs/>
                <w:color w:val="000000"/>
                <w:sz w:val="18"/>
                <w:szCs w:val="18"/>
              </w:rPr>
              <w:t>Расходы, всего</w:t>
            </w:r>
          </w:p>
        </w:tc>
        <w:tc>
          <w:tcPr>
            <w:tcW w:w="0" w:type="auto"/>
            <w:tcBorders>
              <w:top w:val="nil"/>
              <w:left w:val="nil"/>
              <w:bottom w:val="single" w:sz="4" w:space="0" w:color="auto"/>
              <w:right w:val="single" w:sz="4" w:space="0" w:color="auto"/>
            </w:tcBorders>
            <w:shd w:val="clear" w:color="auto" w:fill="auto"/>
            <w:noWrap/>
            <w:vAlign w:val="bottom"/>
            <w:hideMark/>
          </w:tcPr>
          <w:p w14:paraId="60D36A00" w14:textId="2A228A75" w:rsidR="008A1A5C" w:rsidRPr="004C5101" w:rsidRDefault="008A1A5C" w:rsidP="004C5101">
            <w:pPr>
              <w:jc w:val="center"/>
              <w:rPr>
                <w:rFonts w:ascii="Times New Roman" w:hAnsi="Times New Roman" w:cs="Times New Roman"/>
                <w:b/>
                <w:bCs/>
                <w:color w:val="000000"/>
                <w:sz w:val="18"/>
                <w:szCs w:val="18"/>
              </w:rPr>
            </w:pPr>
            <w:r w:rsidRPr="004C5101">
              <w:rPr>
                <w:rFonts w:ascii="Times New Roman" w:hAnsi="Times New Roman" w:cs="Times New Roman"/>
                <w:b/>
                <w:bCs/>
                <w:color w:val="000000"/>
                <w:sz w:val="18"/>
                <w:szCs w:val="18"/>
              </w:rPr>
              <w:t>13342,9</w:t>
            </w:r>
          </w:p>
        </w:tc>
        <w:tc>
          <w:tcPr>
            <w:tcW w:w="0" w:type="auto"/>
            <w:tcBorders>
              <w:top w:val="nil"/>
              <w:left w:val="nil"/>
              <w:bottom w:val="single" w:sz="4" w:space="0" w:color="auto"/>
              <w:right w:val="single" w:sz="4" w:space="0" w:color="auto"/>
            </w:tcBorders>
            <w:shd w:val="clear" w:color="auto" w:fill="auto"/>
            <w:noWrap/>
            <w:vAlign w:val="bottom"/>
            <w:hideMark/>
          </w:tcPr>
          <w:p w14:paraId="29967695" w14:textId="0A26730A" w:rsidR="008A1A5C" w:rsidRPr="004C5101" w:rsidRDefault="008A1A5C" w:rsidP="004C5101">
            <w:pPr>
              <w:jc w:val="center"/>
              <w:rPr>
                <w:rFonts w:ascii="Times New Roman" w:hAnsi="Times New Roman" w:cs="Times New Roman"/>
                <w:b/>
                <w:bCs/>
                <w:color w:val="000000"/>
                <w:sz w:val="18"/>
                <w:szCs w:val="18"/>
              </w:rPr>
            </w:pPr>
            <w:r w:rsidRPr="004C5101">
              <w:rPr>
                <w:rFonts w:ascii="Times New Roman" w:hAnsi="Times New Roman" w:cs="Times New Roman"/>
                <w:b/>
                <w:bCs/>
                <w:color w:val="000000"/>
                <w:sz w:val="18"/>
                <w:szCs w:val="18"/>
              </w:rPr>
              <w:t>14831,6</w:t>
            </w:r>
          </w:p>
        </w:tc>
        <w:tc>
          <w:tcPr>
            <w:tcW w:w="0" w:type="auto"/>
            <w:tcBorders>
              <w:top w:val="nil"/>
              <w:left w:val="nil"/>
              <w:bottom w:val="single" w:sz="4" w:space="0" w:color="auto"/>
              <w:right w:val="single" w:sz="4" w:space="0" w:color="auto"/>
            </w:tcBorders>
            <w:shd w:val="clear" w:color="auto" w:fill="auto"/>
            <w:noWrap/>
            <w:vAlign w:val="bottom"/>
            <w:hideMark/>
          </w:tcPr>
          <w:p w14:paraId="0C4FEE99" w14:textId="31E5E13A" w:rsidR="008A1A5C" w:rsidRPr="004C5101" w:rsidRDefault="008A1A5C" w:rsidP="004C5101">
            <w:pPr>
              <w:jc w:val="center"/>
              <w:rPr>
                <w:rFonts w:ascii="Times New Roman" w:hAnsi="Times New Roman" w:cs="Times New Roman"/>
                <w:b/>
                <w:bCs/>
                <w:color w:val="000000"/>
                <w:sz w:val="18"/>
                <w:szCs w:val="18"/>
              </w:rPr>
            </w:pPr>
            <w:r w:rsidRPr="004C5101">
              <w:rPr>
                <w:rFonts w:ascii="Times New Roman" w:hAnsi="Times New Roman" w:cs="Times New Roman"/>
                <w:b/>
                <w:bCs/>
                <w:color w:val="000000"/>
                <w:sz w:val="18"/>
                <w:szCs w:val="18"/>
              </w:rPr>
              <w:t>15620,3</w:t>
            </w:r>
          </w:p>
        </w:tc>
        <w:tc>
          <w:tcPr>
            <w:tcW w:w="0" w:type="auto"/>
            <w:tcBorders>
              <w:top w:val="nil"/>
              <w:left w:val="nil"/>
              <w:bottom w:val="single" w:sz="4" w:space="0" w:color="auto"/>
              <w:right w:val="single" w:sz="4" w:space="0" w:color="auto"/>
            </w:tcBorders>
            <w:shd w:val="clear" w:color="auto" w:fill="auto"/>
            <w:noWrap/>
            <w:vAlign w:val="bottom"/>
            <w:hideMark/>
          </w:tcPr>
          <w:p w14:paraId="71812D75" w14:textId="64E379F0" w:rsidR="008A1A5C" w:rsidRPr="004C5101" w:rsidRDefault="008A1A5C" w:rsidP="004C5101">
            <w:pPr>
              <w:jc w:val="center"/>
              <w:rPr>
                <w:rFonts w:ascii="Times New Roman" w:hAnsi="Times New Roman" w:cs="Times New Roman"/>
                <w:b/>
                <w:bCs/>
                <w:color w:val="000000"/>
                <w:sz w:val="18"/>
                <w:szCs w:val="18"/>
              </w:rPr>
            </w:pPr>
            <w:r w:rsidRPr="004C5101">
              <w:rPr>
                <w:rFonts w:ascii="Times New Roman" w:hAnsi="Times New Roman" w:cs="Times New Roman"/>
                <w:b/>
                <w:bCs/>
                <w:color w:val="000000"/>
                <w:sz w:val="18"/>
                <w:szCs w:val="18"/>
              </w:rPr>
              <w:t>16416,4</w:t>
            </w:r>
          </w:p>
        </w:tc>
        <w:tc>
          <w:tcPr>
            <w:tcW w:w="0" w:type="auto"/>
            <w:tcBorders>
              <w:top w:val="nil"/>
              <w:left w:val="nil"/>
              <w:bottom w:val="single" w:sz="4" w:space="0" w:color="auto"/>
              <w:right w:val="single" w:sz="4" w:space="0" w:color="auto"/>
            </w:tcBorders>
            <w:shd w:val="clear" w:color="auto" w:fill="auto"/>
            <w:noWrap/>
            <w:vAlign w:val="bottom"/>
            <w:hideMark/>
          </w:tcPr>
          <w:p w14:paraId="03B9E575" w14:textId="2D2B5943" w:rsidR="008A1A5C" w:rsidRPr="004C5101" w:rsidRDefault="008A1A5C" w:rsidP="004C5101">
            <w:pPr>
              <w:jc w:val="center"/>
              <w:rPr>
                <w:rFonts w:ascii="Times New Roman" w:hAnsi="Times New Roman" w:cs="Times New Roman"/>
                <w:b/>
                <w:bCs/>
                <w:color w:val="000000"/>
                <w:sz w:val="18"/>
                <w:szCs w:val="18"/>
              </w:rPr>
            </w:pPr>
            <w:r w:rsidRPr="004C5101">
              <w:rPr>
                <w:rFonts w:ascii="Times New Roman" w:hAnsi="Times New Roman" w:cs="Times New Roman"/>
                <w:b/>
                <w:bCs/>
                <w:color w:val="000000"/>
                <w:sz w:val="18"/>
                <w:szCs w:val="18"/>
              </w:rPr>
              <w:t>16420,3</w:t>
            </w:r>
          </w:p>
        </w:tc>
        <w:tc>
          <w:tcPr>
            <w:tcW w:w="0" w:type="auto"/>
            <w:tcBorders>
              <w:top w:val="nil"/>
              <w:left w:val="nil"/>
              <w:bottom w:val="single" w:sz="4" w:space="0" w:color="auto"/>
              <w:right w:val="single" w:sz="4" w:space="0" w:color="auto"/>
            </w:tcBorders>
            <w:vAlign w:val="bottom"/>
          </w:tcPr>
          <w:p w14:paraId="0DA4680A" w14:textId="350C01A1" w:rsidR="008A1A5C" w:rsidRPr="004C5101" w:rsidRDefault="008A1A5C" w:rsidP="004C5101">
            <w:pPr>
              <w:jc w:val="center"/>
              <w:rPr>
                <w:rFonts w:ascii="Times New Roman" w:hAnsi="Times New Roman" w:cs="Times New Roman"/>
                <w:b/>
                <w:color w:val="000000"/>
                <w:spacing w:val="-4"/>
                <w:sz w:val="18"/>
                <w:szCs w:val="18"/>
              </w:rPr>
            </w:pPr>
            <w:r w:rsidRPr="004C5101">
              <w:rPr>
                <w:rFonts w:ascii="Times New Roman" w:hAnsi="Times New Roman" w:cs="Times New Roman"/>
                <w:b/>
                <w:color w:val="000000"/>
                <w:spacing w:val="-4"/>
                <w:sz w:val="18"/>
                <w:szCs w:val="18"/>
              </w:rPr>
              <w:t>17 229,3</w:t>
            </w:r>
          </w:p>
        </w:tc>
        <w:tc>
          <w:tcPr>
            <w:tcW w:w="0" w:type="auto"/>
            <w:tcBorders>
              <w:top w:val="nil"/>
              <w:left w:val="nil"/>
              <w:bottom w:val="single" w:sz="4" w:space="0" w:color="auto"/>
              <w:right w:val="single" w:sz="4" w:space="0" w:color="auto"/>
            </w:tcBorders>
            <w:vAlign w:val="bottom"/>
          </w:tcPr>
          <w:p w14:paraId="7737F363" w14:textId="77777777" w:rsidR="008A1A5C" w:rsidRPr="004C5101" w:rsidRDefault="008A1A5C" w:rsidP="004C5101">
            <w:pPr>
              <w:jc w:val="center"/>
              <w:rPr>
                <w:rFonts w:ascii="Times New Roman" w:hAnsi="Times New Roman" w:cs="Times New Roman"/>
                <w:b/>
                <w:color w:val="000000"/>
                <w:sz w:val="18"/>
                <w:szCs w:val="18"/>
              </w:rPr>
            </w:pPr>
            <w:r w:rsidRPr="004C5101">
              <w:rPr>
                <w:rFonts w:ascii="Times New Roman" w:hAnsi="Times New Roman" w:cs="Times New Roman"/>
                <w:b/>
                <w:color w:val="000000"/>
                <w:sz w:val="18"/>
                <w:szCs w:val="18"/>
              </w:rPr>
              <w:t>19 139,3</w:t>
            </w:r>
          </w:p>
        </w:tc>
        <w:tc>
          <w:tcPr>
            <w:tcW w:w="0" w:type="auto"/>
            <w:tcBorders>
              <w:top w:val="nil"/>
              <w:left w:val="nil"/>
              <w:bottom w:val="single" w:sz="4" w:space="0" w:color="auto"/>
              <w:right w:val="single" w:sz="4" w:space="0" w:color="auto"/>
            </w:tcBorders>
            <w:vAlign w:val="bottom"/>
          </w:tcPr>
          <w:p w14:paraId="3881202A" w14:textId="77777777" w:rsidR="008A1A5C" w:rsidRPr="004C5101" w:rsidRDefault="008A1A5C" w:rsidP="004C5101">
            <w:pPr>
              <w:jc w:val="center"/>
              <w:rPr>
                <w:rFonts w:ascii="Times New Roman" w:hAnsi="Times New Roman" w:cs="Times New Roman"/>
                <w:b/>
                <w:color w:val="000000"/>
                <w:sz w:val="18"/>
                <w:szCs w:val="18"/>
              </w:rPr>
            </w:pPr>
            <w:r w:rsidRPr="004C5101">
              <w:rPr>
                <w:rFonts w:ascii="Times New Roman" w:hAnsi="Times New Roman" w:cs="Times New Roman"/>
                <w:b/>
                <w:color w:val="000000"/>
                <w:sz w:val="18"/>
                <w:szCs w:val="18"/>
              </w:rPr>
              <w:t>19 503,3</w:t>
            </w:r>
          </w:p>
        </w:tc>
      </w:tr>
      <w:tr w:rsidR="008A1A5C" w:rsidRPr="004C5101" w14:paraId="3E38AE1F" w14:textId="77777777" w:rsidTr="004C510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205771" w14:textId="77777777" w:rsidR="008A1A5C" w:rsidRPr="004C5101" w:rsidRDefault="008A1A5C" w:rsidP="007E06EF">
            <w:pPr>
              <w:rPr>
                <w:rFonts w:ascii="Times New Roman" w:hAnsi="Times New Roman" w:cs="Times New Roman"/>
                <w:color w:val="000000"/>
                <w:sz w:val="20"/>
                <w:szCs w:val="20"/>
              </w:rPr>
            </w:pPr>
            <w:r w:rsidRPr="004C5101">
              <w:rPr>
                <w:rFonts w:ascii="Times New Roman" w:hAnsi="Times New Roman" w:cs="Times New Roman"/>
                <w:color w:val="000000"/>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14:paraId="03C762C5"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850,7</w:t>
            </w:r>
          </w:p>
        </w:tc>
        <w:tc>
          <w:tcPr>
            <w:tcW w:w="0" w:type="auto"/>
            <w:tcBorders>
              <w:top w:val="nil"/>
              <w:left w:val="nil"/>
              <w:bottom w:val="single" w:sz="4" w:space="0" w:color="auto"/>
              <w:right w:val="single" w:sz="4" w:space="0" w:color="auto"/>
            </w:tcBorders>
            <w:shd w:val="clear" w:color="auto" w:fill="auto"/>
            <w:noWrap/>
            <w:vAlign w:val="bottom"/>
            <w:hideMark/>
          </w:tcPr>
          <w:p w14:paraId="1324D571"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935,7</w:t>
            </w:r>
          </w:p>
        </w:tc>
        <w:tc>
          <w:tcPr>
            <w:tcW w:w="0" w:type="auto"/>
            <w:tcBorders>
              <w:top w:val="nil"/>
              <w:left w:val="nil"/>
              <w:bottom w:val="single" w:sz="4" w:space="0" w:color="auto"/>
              <w:right w:val="single" w:sz="4" w:space="0" w:color="auto"/>
            </w:tcBorders>
            <w:shd w:val="clear" w:color="auto" w:fill="auto"/>
            <w:noWrap/>
            <w:vAlign w:val="bottom"/>
            <w:hideMark/>
          </w:tcPr>
          <w:p w14:paraId="071D1A89"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1 117,6</w:t>
            </w:r>
          </w:p>
        </w:tc>
        <w:tc>
          <w:tcPr>
            <w:tcW w:w="0" w:type="auto"/>
            <w:tcBorders>
              <w:top w:val="nil"/>
              <w:left w:val="nil"/>
              <w:bottom w:val="single" w:sz="4" w:space="0" w:color="auto"/>
              <w:right w:val="single" w:sz="4" w:space="0" w:color="auto"/>
            </w:tcBorders>
            <w:shd w:val="clear" w:color="auto" w:fill="auto"/>
            <w:noWrap/>
            <w:vAlign w:val="bottom"/>
            <w:hideMark/>
          </w:tcPr>
          <w:p w14:paraId="028F9C04"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1 095,6</w:t>
            </w:r>
          </w:p>
        </w:tc>
        <w:tc>
          <w:tcPr>
            <w:tcW w:w="0" w:type="auto"/>
            <w:tcBorders>
              <w:top w:val="nil"/>
              <w:left w:val="nil"/>
              <w:bottom w:val="single" w:sz="4" w:space="0" w:color="auto"/>
              <w:right w:val="single" w:sz="4" w:space="0" w:color="auto"/>
            </w:tcBorders>
            <w:shd w:val="clear" w:color="auto" w:fill="auto"/>
            <w:noWrap/>
            <w:vAlign w:val="bottom"/>
            <w:hideMark/>
          </w:tcPr>
          <w:p w14:paraId="5A60F94D"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1 162,4</w:t>
            </w:r>
          </w:p>
        </w:tc>
        <w:tc>
          <w:tcPr>
            <w:tcW w:w="0" w:type="auto"/>
            <w:tcBorders>
              <w:top w:val="nil"/>
              <w:left w:val="nil"/>
              <w:bottom w:val="single" w:sz="4" w:space="0" w:color="auto"/>
              <w:right w:val="single" w:sz="4" w:space="0" w:color="auto"/>
            </w:tcBorders>
            <w:vAlign w:val="bottom"/>
          </w:tcPr>
          <w:p w14:paraId="5548F37D" w14:textId="77777777" w:rsidR="008A1A5C" w:rsidRPr="004C5101" w:rsidRDefault="008A1A5C" w:rsidP="007E06EF">
            <w:pPr>
              <w:jc w:val="right"/>
              <w:rPr>
                <w:rFonts w:ascii="Times New Roman" w:hAnsi="Times New Roman" w:cs="Times New Roman"/>
                <w:color w:val="000000"/>
                <w:spacing w:val="-4"/>
                <w:sz w:val="20"/>
                <w:szCs w:val="20"/>
              </w:rPr>
            </w:pPr>
            <w:r w:rsidRPr="004C5101">
              <w:rPr>
                <w:rFonts w:ascii="Times New Roman" w:hAnsi="Times New Roman" w:cs="Times New Roman"/>
                <w:color w:val="000000"/>
                <w:spacing w:val="-4"/>
                <w:sz w:val="20"/>
                <w:szCs w:val="20"/>
              </w:rPr>
              <w:t>1 392,2</w:t>
            </w:r>
          </w:p>
        </w:tc>
        <w:tc>
          <w:tcPr>
            <w:tcW w:w="0" w:type="auto"/>
            <w:tcBorders>
              <w:top w:val="nil"/>
              <w:left w:val="nil"/>
              <w:bottom w:val="single" w:sz="4" w:space="0" w:color="auto"/>
              <w:right w:val="single" w:sz="4" w:space="0" w:color="auto"/>
            </w:tcBorders>
            <w:vAlign w:val="bottom"/>
          </w:tcPr>
          <w:p w14:paraId="6AB1DE32"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1 643,0</w:t>
            </w:r>
          </w:p>
        </w:tc>
        <w:tc>
          <w:tcPr>
            <w:tcW w:w="0" w:type="auto"/>
            <w:tcBorders>
              <w:top w:val="nil"/>
              <w:left w:val="nil"/>
              <w:bottom w:val="single" w:sz="4" w:space="0" w:color="auto"/>
              <w:right w:val="single" w:sz="4" w:space="0" w:color="auto"/>
            </w:tcBorders>
            <w:vAlign w:val="bottom"/>
          </w:tcPr>
          <w:p w14:paraId="44A6118F"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1 555,4</w:t>
            </w:r>
          </w:p>
        </w:tc>
      </w:tr>
      <w:tr w:rsidR="008A1A5C" w:rsidRPr="004C5101" w14:paraId="4613D313" w14:textId="77777777" w:rsidTr="004C510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F7CBE8B" w14:textId="77777777" w:rsidR="008A1A5C" w:rsidRPr="004C5101" w:rsidRDefault="008A1A5C" w:rsidP="007E06EF">
            <w:pPr>
              <w:rPr>
                <w:rFonts w:ascii="Times New Roman" w:hAnsi="Times New Roman" w:cs="Times New Roman"/>
                <w:color w:val="000000"/>
                <w:sz w:val="20"/>
                <w:szCs w:val="20"/>
              </w:rPr>
            </w:pPr>
            <w:r w:rsidRPr="004C5101">
              <w:rPr>
                <w:rFonts w:ascii="Times New Roman" w:hAnsi="Times New Roman" w:cs="Times New Roman"/>
                <w:color w:val="000000"/>
                <w:sz w:val="20"/>
                <w:szCs w:val="20"/>
              </w:rPr>
              <w:t>Национальная оборона</w:t>
            </w:r>
          </w:p>
        </w:tc>
        <w:tc>
          <w:tcPr>
            <w:tcW w:w="0" w:type="auto"/>
            <w:tcBorders>
              <w:top w:val="nil"/>
              <w:left w:val="nil"/>
              <w:bottom w:val="single" w:sz="4" w:space="0" w:color="auto"/>
              <w:right w:val="single" w:sz="4" w:space="0" w:color="auto"/>
            </w:tcBorders>
            <w:shd w:val="clear" w:color="auto" w:fill="auto"/>
            <w:noWrap/>
            <w:vAlign w:val="bottom"/>
            <w:hideMark/>
          </w:tcPr>
          <w:p w14:paraId="0FA6A7D3"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2 103,6</w:t>
            </w:r>
          </w:p>
        </w:tc>
        <w:tc>
          <w:tcPr>
            <w:tcW w:w="0" w:type="auto"/>
            <w:tcBorders>
              <w:top w:val="nil"/>
              <w:left w:val="nil"/>
              <w:bottom w:val="single" w:sz="4" w:space="0" w:color="auto"/>
              <w:right w:val="single" w:sz="4" w:space="0" w:color="auto"/>
            </w:tcBorders>
            <w:shd w:val="clear" w:color="auto" w:fill="auto"/>
            <w:noWrap/>
            <w:vAlign w:val="bottom"/>
            <w:hideMark/>
          </w:tcPr>
          <w:p w14:paraId="07810E84"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2 479,1</w:t>
            </w:r>
          </w:p>
        </w:tc>
        <w:tc>
          <w:tcPr>
            <w:tcW w:w="0" w:type="auto"/>
            <w:tcBorders>
              <w:top w:val="nil"/>
              <w:left w:val="nil"/>
              <w:bottom w:val="single" w:sz="4" w:space="0" w:color="auto"/>
              <w:right w:val="single" w:sz="4" w:space="0" w:color="auto"/>
            </w:tcBorders>
            <w:shd w:val="clear" w:color="auto" w:fill="auto"/>
            <w:noWrap/>
            <w:vAlign w:val="bottom"/>
            <w:hideMark/>
          </w:tcPr>
          <w:p w14:paraId="7D168EA7"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3 181,4</w:t>
            </w:r>
          </w:p>
        </w:tc>
        <w:tc>
          <w:tcPr>
            <w:tcW w:w="0" w:type="auto"/>
            <w:tcBorders>
              <w:top w:val="nil"/>
              <w:left w:val="nil"/>
              <w:bottom w:val="single" w:sz="4" w:space="0" w:color="auto"/>
              <w:right w:val="single" w:sz="4" w:space="0" w:color="auto"/>
            </w:tcBorders>
            <w:shd w:val="clear" w:color="auto" w:fill="auto"/>
            <w:noWrap/>
            <w:vAlign w:val="bottom"/>
            <w:hideMark/>
          </w:tcPr>
          <w:p w14:paraId="656B9F6A"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3 775,3</w:t>
            </w:r>
          </w:p>
        </w:tc>
        <w:tc>
          <w:tcPr>
            <w:tcW w:w="0" w:type="auto"/>
            <w:tcBorders>
              <w:top w:val="nil"/>
              <w:left w:val="nil"/>
              <w:bottom w:val="single" w:sz="4" w:space="0" w:color="auto"/>
              <w:right w:val="single" w:sz="4" w:space="0" w:color="auto"/>
            </w:tcBorders>
            <w:shd w:val="clear" w:color="auto" w:fill="auto"/>
            <w:noWrap/>
            <w:vAlign w:val="bottom"/>
            <w:hideMark/>
          </w:tcPr>
          <w:p w14:paraId="6CCFA45C"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2 852,3</w:t>
            </w:r>
          </w:p>
        </w:tc>
        <w:tc>
          <w:tcPr>
            <w:tcW w:w="0" w:type="auto"/>
            <w:tcBorders>
              <w:top w:val="nil"/>
              <w:left w:val="nil"/>
              <w:bottom w:val="single" w:sz="4" w:space="0" w:color="auto"/>
              <w:right w:val="single" w:sz="4" w:space="0" w:color="auto"/>
            </w:tcBorders>
            <w:vAlign w:val="bottom"/>
          </w:tcPr>
          <w:p w14:paraId="74E14B1D" w14:textId="77777777" w:rsidR="008A1A5C" w:rsidRPr="004C5101" w:rsidRDefault="008A1A5C" w:rsidP="007E06EF">
            <w:pPr>
              <w:jc w:val="right"/>
              <w:rPr>
                <w:rFonts w:ascii="Times New Roman" w:hAnsi="Times New Roman" w:cs="Times New Roman"/>
                <w:color w:val="000000"/>
                <w:spacing w:val="-4"/>
                <w:sz w:val="20"/>
                <w:szCs w:val="20"/>
              </w:rPr>
            </w:pPr>
            <w:r w:rsidRPr="004C5101">
              <w:rPr>
                <w:rFonts w:ascii="Times New Roman" w:hAnsi="Times New Roman" w:cs="Times New Roman"/>
                <w:color w:val="000000"/>
                <w:spacing w:val="-4"/>
                <w:sz w:val="20"/>
                <w:szCs w:val="20"/>
              </w:rPr>
              <w:t>3 032,7</w:t>
            </w:r>
          </w:p>
        </w:tc>
        <w:tc>
          <w:tcPr>
            <w:tcW w:w="0" w:type="auto"/>
            <w:tcBorders>
              <w:top w:val="nil"/>
              <w:left w:val="nil"/>
              <w:bottom w:val="single" w:sz="4" w:space="0" w:color="auto"/>
              <w:right w:val="single" w:sz="4" w:space="0" w:color="auto"/>
            </w:tcBorders>
            <w:vAlign w:val="bottom"/>
          </w:tcPr>
          <w:p w14:paraId="020B94BF"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3 210,9</w:t>
            </w:r>
          </w:p>
        </w:tc>
        <w:tc>
          <w:tcPr>
            <w:tcW w:w="0" w:type="auto"/>
            <w:tcBorders>
              <w:top w:val="nil"/>
              <w:left w:val="nil"/>
              <w:bottom w:val="single" w:sz="4" w:space="0" w:color="auto"/>
              <w:right w:val="single" w:sz="4" w:space="0" w:color="auto"/>
            </w:tcBorders>
            <w:vAlign w:val="bottom"/>
          </w:tcPr>
          <w:p w14:paraId="11560495"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3 100,8</w:t>
            </w:r>
          </w:p>
        </w:tc>
      </w:tr>
      <w:tr w:rsidR="008A1A5C" w:rsidRPr="004C5101" w14:paraId="6835DCD1" w14:textId="77777777" w:rsidTr="004C510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1955CBE" w14:textId="77777777" w:rsidR="008A1A5C" w:rsidRPr="004C5101" w:rsidRDefault="008A1A5C" w:rsidP="007E06EF">
            <w:pPr>
              <w:rPr>
                <w:rFonts w:ascii="Times New Roman" w:hAnsi="Times New Roman" w:cs="Times New Roman"/>
                <w:color w:val="000000"/>
                <w:sz w:val="20"/>
                <w:szCs w:val="20"/>
              </w:rPr>
            </w:pPr>
            <w:r w:rsidRPr="004C5101">
              <w:rPr>
                <w:rFonts w:ascii="Times New Roman" w:hAnsi="Times New Roman" w:cs="Times New Roman"/>
                <w:color w:val="000000"/>
                <w:sz w:val="20"/>
                <w:szCs w:val="2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14:paraId="5A139A85"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2 061,6</w:t>
            </w:r>
          </w:p>
        </w:tc>
        <w:tc>
          <w:tcPr>
            <w:tcW w:w="0" w:type="auto"/>
            <w:tcBorders>
              <w:top w:val="nil"/>
              <w:left w:val="nil"/>
              <w:bottom w:val="single" w:sz="4" w:space="0" w:color="auto"/>
              <w:right w:val="single" w:sz="4" w:space="0" w:color="auto"/>
            </w:tcBorders>
            <w:shd w:val="clear" w:color="auto" w:fill="auto"/>
            <w:noWrap/>
            <w:vAlign w:val="bottom"/>
            <w:hideMark/>
          </w:tcPr>
          <w:p w14:paraId="3D1BD4AF"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2 086,2</w:t>
            </w:r>
          </w:p>
        </w:tc>
        <w:tc>
          <w:tcPr>
            <w:tcW w:w="0" w:type="auto"/>
            <w:tcBorders>
              <w:top w:val="nil"/>
              <w:left w:val="nil"/>
              <w:bottom w:val="single" w:sz="4" w:space="0" w:color="auto"/>
              <w:right w:val="single" w:sz="4" w:space="0" w:color="auto"/>
            </w:tcBorders>
            <w:shd w:val="clear" w:color="auto" w:fill="auto"/>
            <w:noWrap/>
            <w:vAlign w:val="bottom"/>
            <w:hideMark/>
          </w:tcPr>
          <w:p w14:paraId="6FBAFFE2"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1 965,6</w:t>
            </w:r>
          </w:p>
        </w:tc>
        <w:tc>
          <w:tcPr>
            <w:tcW w:w="0" w:type="auto"/>
            <w:tcBorders>
              <w:top w:val="nil"/>
              <w:left w:val="nil"/>
              <w:bottom w:val="single" w:sz="4" w:space="0" w:color="auto"/>
              <w:right w:val="single" w:sz="4" w:space="0" w:color="auto"/>
            </w:tcBorders>
            <w:shd w:val="clear" w:color="auto" w:fill="auto"/>
            <w:noWrap/>
            <w:vAlign w:val="bottom"/>
            <w:hideMark/>
          </w:tcPr>
          <w:p w14:paraId="73F777C9"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1 898,7</w:t>
            </w:r>
          </w:p>
        </w:tc>
        <w:tc>
          <w:tcPr>
            <w:tcW w:w="0" w:type="auto"/>
            <w:tcBorders>
              <w:top w:val="nil"/>
              <w:left w:val="nil"/>
              <w:bottom w:val="single" w:sz="4" w:space="0" w:color="auto"/>
              <w:right w:val="single" w:sz="4" w:space="0" w:color="auto"/>
            </w:tcBorders>
            <w:shd w:val="clear" w:color="auto" w:fill="auto"/>
            <w:noWrap/>
            <w:vAlign w:val="bottom"/>
            <w:hideMark/>
          </w:tcPr>
          <w:p w14:paraId="77BB4F6E"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1 918,0</w:t>
            </w:r>
          </w:p>
        </w:tc>
        <w:tc>
          <w:tcPr>
            <w:tcW w:w="0" w:type="auto"/>
            <w:tcBorders>
              <w:top w:val="nil"/>
              <w:left w:val="nil"/>
              <w:bottom w:val="single" w:sz="4" w:space="0" w:color="auto"/>
              <w:right w:val="single" w:sz="4" w:space="0" w:color="auto"/>
            </w:tcBorders>
            <w:vAlign w:val="bottom"/>
          </w:tcPr>
          <w:p w14:paraId="67E32113" w14:textId="77777777" w:rsidR="008A1A5C" w:rsidRPr="004C5101" w:rsidRDefault="008A1A5C" w:rsidP="007E06EF">
            <w:pPr>
              <w:jc w:val="right"/>
              <w:rPr>
                <w:rFonts w:ascii="Times New Roman" w:hAnsi="Times New Roman" w:cs="Times New Roman"/>
                <w:color w:val="000000"/>
                <w:spacing w:val="-4"/>
                <w:sz w:val="20"/>
                <w:szCs w:val="20"/>
              </w:rPr>
            </w:pPr>
            <w:r w:rsidRPr="004C5101">
              <w:rPr>
                <w:rFonts w:ascii="Times New Roman" w:hAnsi="Times New Roman" w:cs="Times New Roman"/>
                <w:color w:val="000000"/>
                <w:spacing w:val="-4"/>
                <w:sz w:val="20"/>
                <w:szCs w:val="20"/>
              </w:rPr>
              <w:t>2 115,9</w:t>
            </w:r>
          </w:p>
        </w:tc>
        <w:tc>
          <w:tcPr>
            <w:tcW w:w="0" w:type="auto"/>
            <w:tcBorders>
              <w:top w:val="nil"/>
              <w:left w:val="nil"/>
              <w:bottom w:val="single" w:sz="4" w:space="0" w:color="auto"/>
              <w:right w:val="single" w:sz="4" w:space="0" w:color="auto"/>
            </w:tcBorders>
            <w:vAlign w:val="bottom"/>
          </w:tcPr>
          <w:p w14:paraId="0F78C852"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2 233,1</w:t>
            </w:r>
          </w:p>
        </w:tc>
        <w:tc>
          <w:tcPr>
            <w:tcW w:w="0" w:type="auto"/>
            <w:tcBorders>
              <w:top w:val="nil"/>
              <w:left w:val="nil"/>
              <w:bottom w:val="single" w:sz="4" w:space="0" w:color="auto"/>
              <w:right w:val="single" w:sz="4" w:space="0" w:color="auto"/>
            </w:tcBorders>
            <w:vAlign w:val="bottom"/>
          </w:tcPr>
          <w:p w14:paraId="27A9B347"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2 458,2</w:t>
            </w:r>
          </w:p>
        </w:tc>
      </w:tr>
      <w:tr w:rsidR="008A1A5C" w:rsidRPr="004C5101" w14:paraId="6B840F77" w14:textId="77777777" w:rsidTr="004C510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5652BD8" w14:textId="77777777" w:rsidR="008A1A5C" w:rsidRPr="004C5101" w:rsidRDefault="008A1A5C" w:rsidP="007E06EF">
            <w:pPr>
              <w:rPr>
                <w:rFonts w:ascii="Times New Roman" w:hAnsi="Times New Roman" w:cs="Times New Roman"/>
                <w:color w:val="000000"/>
                <w:sz w:val="20"/>
                <w:szCs w:val="20"/>
              </w:rPr>
            </w:pPr>
            <w:r w:rsidRPr="004C5101">
              <w:rPr>
                <w:rFonts w:ascii="Times New Roman" w:hAnsi="Times New Roman" w:cs="Times New Roman"/>
                <w:color w:val="000000"/>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14:paraId="454FE937"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1 849,3</w:t>
            </w:r>
          </w:p>
        </w:tc>
        <w:tc>
          <w:tcPr>
            <w:tcW w:w="0" w:type="auto"/>
            <w:tcBorders>
              <w:top w:val="nil"/>
              <w:left w:val="nil"/>
              <w:bottom w:val="single" w:sz="4" w:space="0" w:color="auto"/>
              <w:right w:val="single" w:sz="4" w:space="0" w:color="auto"/>
            </w:tcBorders>
            <w:shd w:val="clear" w:color="auto" w:fill="auto"/>
            <w:noWrap/>
            <w:vAlign w:val="bottom"/>
            <w:hideMark/>
          </w:tcPr>
          <w:p w14:paraId="25B2C49D"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3 062,9</w:t>
            </w:r>
          </w:p>
        </w:tc>
        <w:tc>
          <w:tcPr>
            <w:tcW w:w="0" w:type="auto"/>
            <w:tcBorders>
              <w:top w:val="nil"/>
              <w:left w:val="nil"/>
              <w:bottom w:val="single" w:sz="4" w:space="0" w:color="auto"/>
              <w:right w:val="single" w:sz="4" w:space="0" w:color="auto"/>
            </w:tcBorders>
            <w:shd w:val="clear" w:color="auto" w:fill="auto"/>
            <w:noWrap/>
            <w:vAlign w:val="bottom"/>
            <w:hideMark/>
          </w:tcPr>
          <w:p w14:paraId="562D8883"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2 324,2</w:t>
            </w:r>
          </w:p>
        </w:tc>
        <w:tc>
          <w:tcPr>
            <w:tcW w:w="0" w:type="auto"/>
            <w:tcBorders>
              <w:top w:val="nil"/>
              <w:left w:val="nil"/>
              <w:bottom w:val="single" w:sz="4" w:space="0" w:color="auto"/>
              <w:right w:val="single" w:sz="4" w:space="0" w:color="auto"/>
            </w:tcBorders>
            <w:shd w:val="clear" w:color="auto" w:fill="auto"/>
            <w:noWrap/>
            <w:vAlign w:val="bottom"/>
            <w:hideMark/>
          </w:tcPr>
          <w:p w14:paraId="2BDADC63"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2 302,1</w:t>
            </w:r>
          </w:p>
        </w:tc>
        <w:tc>
          <w:tcPr>
            <w:tcW w:w="0" w:type="auto"/>
            <w:tcBorders>
              <w:top w:val="nil"/>
              <w:left w:val="nil"/>
              <w:bottom w:val="single" w:sz="4" w:space="0" w:color="auto"/>
              <w:right w:val="single" w:sz="4" w:space="0" w:color="auto"/>
            </w:tcBorders>
            <w:shd w:val="clear" w:color="auto" w:fill="auto"/>
            <w:noWrap/>
            <w:vAlign w:val="bottom"/>
            <w:hideMark/>
          </w:tcPr>
          <w:p w14:paraId="064590CB"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2 460,1</w:t>
            </w:r>
          </w:p>
        </w:tc>
        <w:tc>
          <w:tcPr>
            <w:tcW w:w="0" w:type="auto"/>
            <w:tcBorders>
              <w:top w:val="nil"/>
              <w:left w:val="nil"/>
              <w:bottom w:val="single" w:sz="4" w:space="0" w:color="auto"/>
              <w:right w:val="single" w:sz="4" w:space="0" w:color="auto"/>
            </w:tcBorders>
            <w:vAlign w:val="bottom"/>
          </w:tcPr>
          <w:p w14:paraId="35D07285" w14:textId="77777777" w:rsidR="008A1A5C" w:rsidRPr="004C5101" w:rsidRDefault="008A1A5C" w:rsidP="007E06EF">
            <w:pPr>
              <w:jc w:val="right"/>
              <w:rPr>
                <w:rFonts w:ascii="Times New Roman" w:hAnsi="Times New Roman" w:cs="Times New Roman"/>
                <w:color w:val="000000"/>
                <w:spacing w:val="-4"/>
                <w:sz w:val="20"/>
                <w:szCs w:val="20"/>
              </w:rPr>
            </w:pPr>
            <w:r w:rsidRPr="004C5101">
              <w:rPr>
                <w:rFonts w:ascii="Times New Roman" w:hAnsi="Times New Roman" w:cs="Times New Roman"/>
                <w:color w:val="000000"/>
                <w:spacing w:val="-4"/>
                <w:sz w:val="20"/>
                <w:szCs w:val="20"/>
              </w:rPr>
              <w:t>2 437,5</w:t>
            </w:r>
          </w:p>
        </w:tc>
        <w:tc>
          <w:tcPr>
            <w:tcW w:w="0" w:type="auto"/>
            <w:tcBorders>
              <w:top w:val="nil"/>
              <w:left w:val="nil"/>
              <w:bottom w:val="single" w:sz="4" w:space="0" w:color="auto"/>
              <w:right w:val="single" w:sz="4" w:space="0" w:color="auto"/>
            </w:tcBorders>
            <w:vAlign w:val="bottom"/>
          </w:tcPr>
          <w:p w14:paraId="18C629B1"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2 896,5</w:t>
            </w:r>
          </w:p>
        </w:tc>
        <w:tc>
          <w:tcPr>
            <w:tcW w:w="0" w:type="auto"/>
            <w:tcBorders>
              <w:top w:val="nil"/>
              <w:left w:val="nil"/>
              <w:bottom w:val="single" w:sz="4" w:space="0" w:color="auto"/>
              <w:right w:val="single" w:sz="4" w:space="0" w:color="auto"/>
            </w:tcBorders>
            <w:vAlign w:val="bottom"/>
          </w:tcPr>
          <w:p w14:paraId="053A28D2"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2 638,3</w:t>
            </w:r>
          </w:p>
        </w:tc>
      </w:tr>
      <w:tr w:rsidR="008A1A5C" w:rsidRPr="004C5101" w14:paraId="155E0156" w14:textId="77777777" w:rsidTr="004C510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45248A8" w14:textId="77777777" w:rsidR="008A1A5C" w:rsidRPr="004C5101" w:rsidRDefault="008A1A5C" w:rsidP="007E06EF">
            <w:pPr>
              <w:rPr>
                <w:rFonts w:ascii="Times New Roman" w:hAnsi="Times New Roman" w:cs="Times New Roman"/>
                <w:color w:val="000000"/>
                <w:sz w:val="20"/>
                <w:szCs w:val="20"/>
              </w:rPr>
            </w:pPr>
            <w:r w:rsidRPr="004C5101">
              <w:rPr>
                <w:rFonts w:ascii="Times New Roman" w:hAnsi="Times New Roman" w:cs="Times New Roman"/>
                <w:color w:val="000000"/>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14:paraId="23BA3BC3"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177,5</w:t>
            </w:r>
          </w:p>
        </w:tc>
        <w:tc>
          <w:tcPr>
            <w:tcW w:w="0" w:type="auto"/>
            <w:tcBorders>
              <w:top w:val="nil"/>
              <w:left w:val="nil"/>
              <w:bottom w:val="single" w:sz="4" w:space="0" w:color="auto"/>
              <w:right w:val="single" w:sz="4" w:space="0" w:color="auto"/>
            </w:tcBorders>
            <w:shd w:val="clear" w:color="auto" w:fill="auto"/>
            <w:noWrap/>
            <w:vAlign w:val="bottom"/>
            <w:hideMark/>
          </w:tcPr>
          <w:p w14:paraId="3A935C71"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119,6</w:t>
            </w:r>
          </w:p>
        </w:tc>
        <w:tc>
          <w:tcPr>
            <w:tcW w:w="0" w:type="auto"/>
            <w:tcBorders>
              <w:top w:val="nil"/>
              <w:left w:val="nil"/>
              <w:bottom w:val="single" w:sz="4" w:space="0" w:color="auto"/>
              <w:right w:val="single" w:sz="4" w:space="0" w:color="auto"/>
            </w:tcBorders>
            <w:shd w:val="clear" w:color="auto" w:fill="auto"/>
            <w:noWrap/>
            <w:vAlign w:val="bottom"/>
            <w:hideMark/>
          </w:tcPr>
          <w:p w14:paraId="424E2228"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144,1</w:t>
            </w:r>
          </w:p>
        </w:tc>
        <w:tc>
          <w:tcPr>
            <w:tcW w:w="0" w:type="auto"/>
            <w:tcBorders>
              <w:top w:val="nil"/>
              <w:left w:val="nil"/>
              <w:bottom w:val="single" w:sz="4" w:space="0" w:color="auto"/>
              <w:right w:val="single" w:sz="4" w:space="0" w:color="auto"/>
            </w:tcBorders>
            <w:shd w:val="clear" w:color="auto" w:fill="auto"/>
            <w:noWrap/>
            <w:vAlign w:val="bottom"/>
            <w:hideMark/>
          </w:tcPr>
          <w:p w14:paraId="4A8140D5"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72,2</w:t>
            </w:r>
          </w:p>
        </w:tc>
        <w:tc>
          <w:tcPr>
            <w:tcW w:w="0" w:type="auto"/>
            <w:tcBorders>
              <w:top w:val="nil"/>
              <w:left w:val="nil"/>
              <w:bottom w:val="single" w:sz="4" w:space="0" w:color="auto"/>
              <w:right w:val="single" w:sz="4" w:space="0" w:color="auto"/>
            </w:tcBorders>
            <w:shd w:val="clear" w:color="auto" w:fill="auto"/>
            <w:noWrap/>
            <w:vAlign w:val="bottom"/>
            <w:hideMark/>
          </w:tcPr>
          <w:p w14:paraId="5BA0FF39"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119,5</w:t>
            </w:r>
          </w:p>
        </w:tc>
        <w:tc>
          <w:tcPr>
            <w:tcW w:w="0" w:type="auto"/>
            <w:tcBorders>
              <w:top w:val="nil"/>
              <w:left w:val="nil"/>
              <w:bottom w:val="single" w:sz="4" w:space="0" w:color="auto"/>
              <w:right w:val="single" w:sz="4" w:space="0" w:color="auto"/>
            </w:tcBorders>
            <w:vAlign w:val="bottom"/>
          </w:tcPr>
          <w:p w14:paraId="4A6C115D" w14:textId="77777777" w:rsidR="008A1A5C" w:rsidRPr="004C5101" w:rsidRDefault="008A1A5C" w:rsidP="007E06EF">
            <w:pPr>
              <w:jc w:val="right"/>
              <w:rPr>
                <w:rFonts w:ascii="Times New Roman" w:hAnsi="Times New Roman" w:cs="Times New Roman"/>
                <w:color w:val="000000"/>
                <w:spacing w:val="-4"/>
                <w:sz w:val="20"/>
                <w:szCs w:val="20"/>
              </w:rPr>
            </w:pPr>
            <w:r w:rsidRPr="004C5101">
              <w:rPr>
                <w:rFonts w:ascii="Times New Roman" w:hAnsi="Times New Roman" w:cs="Times New Roman"/>
                <w:color w:val="000000"/>
                <w:spacing w:val="-4"/>
                <w:sz w:val="20"/>
                <w:szCs w:val="20"/>
              </w:rPr>
              <w:t>157,2</w:t>
            </w:r>
          </w:p>
        </w:tc>
        <w:tc>
          <w:tcPr>
            <w:tcW w:w="0" w:type="auto"/>
            <w:tcBorders>
              <w:top w:val="nil"/>
              <w:left w:val="nil"/>
              <w:bottom w:val="single" w:sz="4" w:space="0" w:color="auto"/>
              <w:right w:val="single" w:sz="4" w:space="0" w:color="auto"/>
            </w:tcBorders>
            <w:vAlign w:val="bottom"/>
          </w:tcPr>
          <w:p w14:paraId="2EE2E697"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290,3</w:t>
            </w:r>
          </w:p>
        </w:tc>
        <w:tc>
          <w:tcPr>
            <w:tcW w:w="0" w:type="auto"/>
            <w:tcBorders>
              <w:top w:val="nil"/>
              <w:left w:val="nil"/>
              <w:bottom w:val="single" w:sz="4" w:space="0" w:color="auto"/>
              <w:right w:val="single" w:sz="4" w:space="0" w:color="auto"/>
            </w:tcBorders>
            <w:vAlign w:val="bottom"/>
          </w:tcPr>
          <w:p w14:paraId="51B50579"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251,6</w:t>
            </w:r>
          </w:p>
        </w:tc>
      </w:tr>
      <w:tr w:rsidR="008A1A5C" w:rsidRPr="004C5101" w14:paraId="32F34AD4" w14:textId="77777777" w:rsidTr="004C510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265FE5B" w14:textId="77777777" w:rsidR="008A1A5C" w:rsidRPr="004C5101" w:rsidRDefault="008A1A5C" w:rsidP="007E06EF">
            <w:pPr>
              <w:rPr>
                <w:rFonts w:ascii="Times New Roman" w:hAnsi="Times New Roman" w:cs="Times New Roman"/>
                <w:color w:val="000000"/>
                <w:sz w:val="20"/>
                <w:szCs w:val="20"/>
              </w:rPr>
            </w:pPr>
            <w:r w:rsidRPr="004C5101">
              <w:rPr>
                <w:rFonts w:ascii="Times New Roman" w:hAnsi="Times New Roman" w:cs="Times New Roman"/>
                <w:color w:val="000000"/>
                <w:sz w:val="20"/>
                <w:szCs w:val="20"/>
              </w:rPr>
              <w:t>Охрана окружающей среды</w:t>
            </w:r>
          </w:p>
        </w:tc>
        <w:tc>
          <w:tcPr>
            <w:tcW w:w="0" w:type="auto"/>
            <w:tcBorders>
              <w:top w:val="nil"/>
              <w:left w:val="nil"/>
              <w:bottom w:val="single" w:sz="4" w:space="0" w:color="auto"/>
              <w:right w:val="single" w:sz="4" w:space="0" w:color="auto"/>
            </w:tcBorders>
            <w:shd w:val="clear" w:color="auto" w:fill="auto"/>
            <w:noWrap/>
            <w:vAlign w:val="bottom"/>
            <w:hideMark/>
          </w:tcPr>
          <w:p w14:paraId="2DDBD927"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24,3</w:t>
            </w:r>
          </w:p>
        </w:tc>
        <w:tc>
          <w:tcPr>
            <w:tcW w:w="0" w:type="auto"/>
            <w:tcBorders>
              <w:top w:val="nil"/>
              <w:left w:val="nil"/>
              <w:bottom w:val="single" w:sz="4" w:space="0" w:color="auto"/>
              <w:right w:val="single" w:sz="4" w:space="0" w:color="auto"/>
            </w:tcBorders>
            <w:shd w:val="clear" w:color="auto" w:fill="auto"/>
            <w:noWrap/>
            <w:vAlign w:val="bottom"/>
            <w:hideMark/>
          </w:tcPr>
          <w:p w14:paraId="66267CD1"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46,4</w:t>
            </w:r>
          </w:p>
        </w:tc>
        <w:tc>
          <w:tcPr>
            <w:tcW w:w="0" w:type="auto"/>
            <w:tcBorders>
              <w:top w:val="nil"/>
              <w:left w:val="nil"/>
              <w:bottom w:val="single" w:sz="4" w:space="0" w:color="auto"/>
              <w:right w:val="single" w:sz="4" w:space="0" w:color="auto"/>
            </w:tcBorders>
            <w:shd w:val="clear" w:color="auto" w:fill="auto"/>
            <w:noWrap/>
            <w:vAlign w:val="bottom"/>
            <w:hideMark/>
          </w:tcPr>
          <w:p w14:paraId="6D8F3AFC"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49,7</w:t>
            </w:r>
          </w:p>
        </w:tc>
        <w:tc>
          <w:tcPr>
            <w:tcW w:w="0" w:type="auto"/>
            <w:tcBorders>
              <w:top w:val="nil"/>
              <w:left w:val="nil"/>
              <w:bottom w:val="single" w:sz="4" w:space="0" w:color="auto"/>
              <w:right w:val="single" w:sz="4" w:space="0" w:color="auto"/>
            </w:tcBorders>
            <w:shd w:val="clear" w:color="auto" w:fill="auto"/>
            <w:noWrap/>
            <w:vAlign w:val="bottom"/>
            <w:hideMark/>
          </w:tcPr>
          <w:p w14:paraId="2AD6C651"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63,1</w:t>
            </w:r>
          </w:p>
        </w:tc>
        <w:tc>
          <w:tcPr>
            <w:tcW w:w="0" w:type="auto"/>
            <w:tcBorders>
              <w:top w:val="nil"/>
              <w:left w:val="nil"/>
              <w:bottom w:val="single" w:sz="4" w:space="0" w:color="auto"/>
              <w:right w:val="single" w:sz="4" w:space="0" w:color="auto"/>
            </w:tcBorders>
            <w:shd w:val="clear" w:color="auto" w:fill="auto"/>
            <w:noWrap/>
            <w:vAlign w:val="bottom"/>
            <w:hideMark/>
          </w:tcPr>
          <w:p w14:paraId="0C82D324"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92,4</w:t>
            </w:r>
          </w:p>
        </w:tc>
        <w:tc>
          <w:tcPr>
            <w:tcW w:w="0" w:type="auto"/>
            <w:tcBorders>
              <w:top w:val="nil"/>
              <w:left w:val="nil"/>
              <w:bottom w:val="single" w:sz="4" w:space="0" w:color="auto"/>
              <w:right w:val="single" w:sz="4" w:space="0" w:color="auto"/>
            </w:tcBorders>
            <w:vAlign w:val="bottom"/>
          </w:tcPr>
          <w:p w14:paraId="11EACB05" w14:textId="77777777" w:rsidR="008A1A5C" w:rsidRPr="004C5101" w:rsidRDefault="008A1A5C" w:rsidP="007E06EF">
            <w:pPr>
              <w:jc w:val="right"/>
              <w:rPr>
                <w:rFonts w:ascii="Times New Roman" w:hAnsi="Times New Roman" w:cs="Times New Roman"/>
                <w:color w:val="000000"/>
                <w:spacing w:val="-4"/>
                <w:sz w:val="20"/>
                <w:szCs w:val="20"/>
              </w:rPr>
            </w:pPr>
            <w:r w:rsidRPr="004C5101">
              <w:rPr>
                <w:rFonts w:ascii="Times New Roman" w:hAnsi="Times New Roman" w:cs="Times New Roman"/>
                <w:color w:val="000000"/>
                <w:spacing w:val="-4"/>
                <w:sz w:val="20"/>
                <w:szCs w:val="20"/>
              </w:rPr>
              <w:t>99,9</w:t>
            </w:r>
          </w:p>
        </w:tc>
        <w:tc>
          <w:tcPr>
            <w:tcW w:w="0" w:type="auto"/>
            <w:tcBorders>
              <w:top w:val="nil"/>
              <w:left w:val="nil"/>
              <w:bottom w:val="single" w:sz="4" w:space="0" w:color="auto"/>
              <w:right w:val="single" w:sz="4" w:space="0" w:color="auto"/>
            </w:tcBorders>
            <w:vAlign w:val="bottom"/>
          </w:tcPr>
          <w:p w14:paraId="777B4878"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195,5</w:t>
            </w:r>
          </w:p>
        </w:tc>
        <w:tc>
          <w:tcPr>
            <w:tcW w:w="0" w:type="auto"/>
            <w:tcBorders>
              <w:top w:val="nil"/>
              <w:left w:val="nil"/>
              <w:bottom w:val="single" w:sz="4" w:space="0" w:color="auto"/>
              <w:right w:val="single" w:sz="4" w:space="0" w:color="auto"/>
            </w:tcBorders>
            <w:vAlign w:val="bottom"/>
          </w:tcPr>
          <w:p w14:paraId="4F9812A3"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348,4</w:t>
            </w:r>
          </w:p>
        </w:tc>
      </w:tr>
      <w:tr w:rsidR="008A1A5C" w:rsidRPr="004C5101" w14:paraId="4B5DD14A" w14:textId="77777777" w:rsidTr="004C510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8A63EF" w14:textId="77777777" w:rsidR="008A1A5C" w:rsidRPr="004C5101" w:rsidRDefault="008A1A5C" w:rsidP="007E06EF">
            <w:pPr>
              <w:rPr>
                <w:rFonts w:ascii="Times New Roman" w:hAnsi="Times New Roman" w:cs="Times New Roman"/>
                <w:color w:val="000000"/>
                <w:sz w:val="20"/>
                <w:szCs w:val="20"/>
              </w:rPr>
            </w:pPr>
            <w:r w:rsidRPr="004C5101">
              <w:rPr>
                <w:rFonts w:ascii="Times New Roman" w:hAnsi="Times New Roman" w:cs="Times New Roman"/>
                <w:color w:val="000000"/>
                <w:sz w:val="20"/>
                <w:szCs w:val="20"/>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14:paraId="6A289526"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672,3</w:t>
            </w:r>
          </w:p>
        </w:tc>
        <w:tc>
          <w:tcPr>
            <w:tcW w:w="0" w:type="auto"/>
            <w:tcBorders>
              <w:top w:val="nil"/>
              <w:left w:val="nil"/>
              <w:bottom w:val="single" w:sz="4" w:space="0" w:color="auto"/>
              <w:right w:val="single" w:sz="4" w:space="0" w:color="auto"/>
            </w:tcBorders>
            <w:shd w:val="clear" w:color="auto" w:fill="auto"/>
            <w:noWrap/>
            <w:vAlign w:val="bottom"/>
            <w:hideMark/>
          </w:tcPr>
          <w:p w14:paraId="31EEBE07"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638,3</w:t>
            </w:r>
          </w:p>
        </w:tc>
        <w:tc>
          <w:tcPr>
            <w:tcW w:w="0" w:type="auto"/>
            <w:tcBorders>
              <w:top w:val="nil"/>
              <w:left w:val="nil"/>
              <w:bottom w:val="single" w:sz="4" w:space="0" w:color="auto"/>
              <w:right w:val="single" w:sz="4" w:space="0" w:color="auto"/>
            </w:tcBorders>
            <w:shd w:val="clear" w:color="auto" w:fill="auto"/>
            <w:noWrap/>
            <w:vAlign w:val="bottom"/>
            <w:hideMark/>
          </w:tcPr>
          <w:p w14:paraId="2EFCE99C"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610,6</w:t>
            </w:r>
          </w:p>
        </w:tc>
        <w:tc>
          <w:tcPr>
            <w:tcW w:w="0" w:type="auto"/>
            <w:tcBorders>
              <w:top w:val="nil"/>
              <w:left w:val="nil"/>
              <w:bottom w:val="single" w:sz="4" w:space="0" w:color="auto"/>
              <w:right w:val="single" w:sz="4" w:space="0" w:color="auto"/>
            </w:tcBorders>
            <w:shd w:val="clear" w:color="auto" w:fill="auto"/>
            <w:noWrap/>
            <w:vAlign w:val="bottom"/>
            <w:hideMark/>
          </w:tcPr>
          <w:p w14:paraId="379AE20F"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597,8</w:t>
            </w:r>
          </w:p>
        </w:tc>
        <w:tc>
          <w:tcPr>
            <w:tcW w:w="0" w:type="auto"/>
            <w:tcBorders>
              <w:top w:val="nil"/>
              <w:left w:val="nil"/>
              <w:bottom w:val="single" w:sz="4" w:space="0" w:color="auto"/>
              <w:right w:val="single" w:sz="4" w:space="0" w:color="auto"/>
            </w:tcBorders>
            <w:shd w:val="clear" w:color="auto" w:fill="auto"/>
            <w:noWrap/>
            <w:vAlign w:val="bottom"/>
            <w:hideMark/>
          </w:tcPr>
          <w:p w14:paraId="4BDF31DD"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615,0</w:t>
            </w:r>
          </w:p>
        </w:tc>
        <w:tc>
          <w:tcPr>
            <w:tcW w:w="0" w:type="auto"/>
            <w:tcBorders>
              <w:top w:val="nil"/>
              <w:left w:val="nil"/>
              <w:bottom w:val="single" w:sz="4" w:space="0" w:color="auto"/>
              <w:right w:val="single" w:sz="4" w:space="0" w:color="auto"/>
            </w:tcBorders>
            <w:vAlign w:val="bottom"/>
          </w:tcPr>
          <w:p w14:paraId="4C88D203" w14:textId="77777777" w:rsidR="008A1A5C" w:rsidRPr="004C5101" w:rsidRDefault="008A1A5C" w:rsidP="007E06EF">
            <w:pPr>
              <w:jc w:val="right"/>
              <w:rPr>
                <w:rFonts w:ascii="Times New Roman" w:hAnsi="Times New Roman" w:cs="Times New Roman"/>
                <w:color w:val="000000"/>
                <w:spacing w:val="-4"/>
                <w:sz w:val="20"/>
                <w:szCs w:val="20"/>
              </w:rPr>
            </w:pPr>
            <w:r w:rsidRPr="004C5101">
              <w:rPr>
                <w:rFonts w:ascii="Times New Roman" w:hAnsi="Times New Roman" w:cs="Times New Roman"/>
                <w:color w:val="000000"/>
                <w:spacing w:val="-4"/>
                <w:sz w:val="20"/>
                <w:szCs w:val="20"/>
              </w:rPr>
              <w:t>729,5</w:t>
            </w:r>
          </w:p>
        </w:tc>
        <w:tc>
          <w:tcPr>
            <w:tcW w:w="0" w:type="auto"/>
            <w:tcBorders>
              <w:top w:val="nil"/>
              <w:left w:val="nil"/>
              <w:bottom w:val="single" w:sz="4" w:space="0" w:color="auto"/>
              <w:right w:val="single" w:sz="4" w:space="0" w:color="auto"/>
            </w:tcBorders>
            <w:vAlign w:val="bottom"/>
          </w:tcPr>
          <w:p w14:paraId="37ED980E"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899,6</w:t>
            </w:r>
          </w:p>
        </w:tc>
        <w:tc>
          <w:tcPr>
            <w:tcW w:w="0" w:type="auto"/>
            <w:tcBorders>
              <w:top w:val="nil"/>
              <w:left w:val="nil"/>
              <w:bottom w:val="single" w:sz="4" w:space="0" w:color="auto"/>
              <w:right w:val="single" w:sz="4" w:space="0" w:color="auto"/>
            </w:tcBorders>
            <w:vAlign w:val="bottom"/>
          </w:tcPr>
          <w:p w14:paraId="30EF1832"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911,6</w:t>
            </w:r>
          </w:p>
        </w:tc>
      </w:tr>
      <w:tr w:rsidR="008A1A5C" w:rsidRPr="004C5101" w14:paraId="3A2A22D3" w14:textId="77777777" w:rsidTr="004C510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932E789" w14:textId="77777777" w:rsidR="008A1A5C" w:rsidRPr="004C5101" w:rsidRDefault="008A1A5C" w:rsidP="007E06EF">
            <w:pPr>
              <w:rPr>
                <w:rFonts w:ascii="Times New Roman" w:hAnsi="Times New Roman" w:cs="Times New Roman"/>
                <w:color w:val="000000"/>
                <w:sz w:val="20"/>
                <w:szCs w:val="20"/>
              </w:rPr>
            </w:pPr>
            <w:r w:rsidRPr="004C5101">
              <w:rPr>
                <w:rFonts w:ascii="Times New Roman" w:hAnsi="Times New Roman" w:cs="Times New Roman"/>
                <w:color w:val="000000"/>
                <w:sz w:val="20"/>
                <w:szCs w:val="20"/>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14:paraId="60E962EF"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94,8</w:t>
            </w:r>
          </w:p>
        </w:tc>
        <w:tc>
          <w:tcPr>
            <w:tcW w:w="0" w:type="auto"/>
            <w:tcBorders>
              <w:top w:val="nil"/>
              <w:left w:val="nil"/>
              <w:bottom w:val="single" w:sz="4" w:space="0" w:color="auto"/>
              <w:right w:val="single" w:sz="4" w:space="0" w:color="auto"/>
            </w:tcBorders>
            <w:shd w:val="clear" w:color="auto" w:fill="auto"/>
            <w:noWrap/>
            <w:vAlign w:val="bottom"/>
            <w:hideMark/>
          </w:tcPr>
          <w:p w14:paraId="748567CD"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97,8</w:t>
            </w:r>
          </w:p>
        </w:tc>
        <w:tc>
          <w:tcPr>
            <w:tcW w:w="0" w:type="auto"/>
            <w:tcBorders>
              <w:top w:val="nil"/>
              <w:left w:val="nil"/>
              <w:bottom w:val="single" w:sz="4" w:space="0" w:color="auto"/>
              <w:right w:val="single" w:sz="4" w:space="0" w:color="auto"/>
            </w:tcBorders>
            <w:shd w:val="clear" w:color="auto" w:fill="auto"/>
            <w:noWrap/>
            <w:vAlign w:val="bottom"/>
            <w:hideMark/>
          </w:tcPr>
          <w:p w14:paraId="3CEC22C7"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89,9</w:t>
            </w:r>
          </w:p>
        </w:tc>
        <w:tc>
          <w:tcPr>
            <w:tcW w:w="0" w:type="auto"/>
            <w:tcBorders>
              <w:top w:val="nil"/>
              <w:left w:val="nil"/>
              <w:bottom w:val="single" w:sz="4" w:space="0" w:color="auto"/>
              <w:right w:val="single" w:sz="4" w:space="0" w:color="auto"/>
            </w:tcBorders>
            <w:shd w:val="clear" w:color="auto" w:fill="auto"/>
            <w:noWrap/>
            <w:vAlign w:val="bottom"/>
            <w:hideMark/>
          </w:tcPr>
          <w:p w14:paraId="49FEF725"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87,3</w:t>
            </w:r>
          </w:p>
        </w:tc>
        <w:tc>
          <w:tcPr>
            <w:tcW w:w="0" w:type="auto"/>
            <w:tcBorders>
              <w:top w:val="nil"/>
              <w:left w:val="nil"/>
              <w:bottom w:val="single" w:sz="4" w:space="0" w:color="auto"/>
              <w:right w:val="single" w:sz="4" w:space="0" w:color="auto"/>
            </w:tcBorders>
            <w:shd w:val="clear" w:color="auto" w:fill="auto"/>
            <w:noWrap/>
            <w:vAlign w:val="bottom"/>
            <w:hideMark/>
          </w:tcPr>
          <w:p w14:paraId="555C31E3"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89,7</w:t>
            </w:r>
          </w:p>
        </w:tc>
        <w:tc>
          <w:tcPr>
            <w:tcW w:w="0" w:type="auto"/>
            <w:tcBorders>
              <w:top w:val="nil"/>
              <w:left w:val="nil"/>
              <w:bottom w:val="single" w:sz="4" w:space="0" w:color="auto"/>
              <w:right w:val="single" w:sz="4" w:space="0" w:color="auto"/>
            </w:tcBorders>
            <w:vAlign w:val="bottom"/>
          </w:tcPr>
          <w:p w14:paraId="4CF2BD70" w14:textId="77777777" w:rsidR="008A1A5C" w:rsidRPr="004C5101" w:rsidRDefault="008A1A5C" w:rsidP="007E06EF">
            <w:pPr>
              <w:jc w:val="right"/>
              <w:rPr>
                <w:rFonts w:ascii="Times New Roman" w:hAnsi="Times New Roman" w:cs="Times New Roman"/>
                <w:color w:val="000000"/>
                <w:spacing w:val="-4"/>
                <w:sz w:val="20"/>
                <w:szCs w:val="20"/>
              </w:rPr>
            </w:pPr>
            <w:r w:rsidRPr="004C5101">
              <w:rPr>
                <w:rFonts w:ascii="Times New Roman" w:hAnsi="Times New Roman" w:cs="Times New Roman"/>
                <w:color w:val="000000"/>
                <w:spacing w:val="-4"/>
                <w:sz w:val="20"/>
                <w:szCs w:val="20"/>
              </w:rPr>
              <w:t>112,9</w:t>
            </w:r>
          </w:p>
        </w:tc>
        <w:tc>
          <w:tcPr>
            <w:tcW w:w="0" w:type="auto"/>
            <w:tcBorders>
              <w:top w:val="nil"/>
              <w:left w:val="nil"/>
              <w:bottom w:val="single" w:sz="4" w:space="0" w:color="auto"/>
              <w:right w:val="single" w:sz="4" w:space="0" w:color="auto"/>
            </w:tcBorders>
            <w:vAlign w:val="bottom"/>
          </w:tcPr>
          <w:p w14:paraId="175A41B7"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141,2</w:t>
            </w:r>
          </w:p>
        </w:tc>
        <w:tc>
          <w:tcPr>
            <w:tcW w:w="0" w:type="auto"/>
            <w:tcBorders>
              <w:top w:val="nil"/>
              <w:left w:val="nil"/>
              <w:bottom w:val="single" w:sz="4" w:space="0" w:color="auto"/>
              <w:right w:val="single" w:sz="4" w:space="0" w:color="auto"/>
            </w:tcBorders>
            <w:vAlign w:val="bottom"/>
          </w:tcPr>
          <w:p w14:paraId="7C97BCA7"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138,4</w:t>
            </w:r>
          </w:p>
        </w:tc>
      </w:tr>
      <w:tr w:rsidR="008A1A5C" w:rsidRPr="004C5101" w14:paraId="3460A21F" w14:textId="77777777" w:rsidTr="004C510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D86D350" w14:textId="77777777" w:rsidR="008A1A5C" w:rsidRPr="004C5101" w:rsidRDefault="008A1A5C" w:rsidP="007E06EF">
            <w:pPr>
              <w:rPr>
                <w:rFonts w:ascii="Times New Roman" w:hAnsi="Times New Roman" w:cs="Times New Roman"/>
                <w:color w:val="000000"/>
                <w:sz w:val="20"/>
                <w:szCs w:val="20"/>
              </w:rPr>
            </w:pPr>
            <w:r w:rsidRPr="004C5101">
              <w:rPr>
                <w:rFonts w:ascii="Times New Roman" w:hAnsi="Times New Roman" w:cs="Times New Roman"/>
                <w:color w:val="000000"/>
                <w:sz w:val="20"/>
                <w:szCs w:val="20"/>
              </w:rPr>
              <w:t>Здравоохранение</w:t>
            </w:r>
          </w:p>
        </w:tc>
        <w:tc>
          <w:tcPr>
            <w:tcW w:w="0" w:type="auto"/>
            <w:tcBorders>
              <w:top w:val="nil"/>
              <w:left w:val="nil"/>
              <w:bottom w:val="single" w:sz="4" w:space="0" w:color="auto"/>
              <w:right w:val="single" w:sz="4" w:space="0" w:color="auto"/>
            </w:tcBorders>
            <w:shd w:val="clear" w:color="auto" w:fill="auto"/>
            <w:noWrap/>
            <w:vAlign w:val="bottom"/>
            <w:hideMark/>
          </w:tcPr>
          <w:p w14:paraId="38659C06"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502,0</w:t>
            </w:r>
          </w:p>
        </w:tc>
        <w:tc>
          <w:tcPr>
            <w:tcW w:w="0" w:type="auto"/>
            <w:tcBorders>
              <w:top w:val="nil"/>
              <w:left w:val="nil"/>
              <w:bottom w:val="single" w:sz="4" w:space="0" w:color="auto"/>
              <w:right w:val="single" w:sz="4" w:space="0" w:color="auto"/>
            </w:tcBorders>
            <w:shd w:val="clear" w:color="auto" w:fill="auto"/>
            <w:noWrap/>
            <w:vAlign w:val="bottom"/>
            <w:hideMark/>
          </w:tcPr>
          <w:p w14:paraId="2D1F64AD"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535,5</w:t>
            </w:r>
          </w:p>
        </w:tc>
        <w:tc>
          <w:tcPr>
            <w:tcW w:w="0" w:type="auto"/>
            <w:tcBorders>
              <w:top w:val="nil"/>
              <w:left w:val="nil"/>
              <w:bottom w:val="single" w:sz="4" w:space="0" w:color="auto"/>
              <w:right w:val="single" w:sz="4" w:space="0" w:color="auto"/>
            </w:tcBorders>
            <w:shd w:val="clear" w:color="auto" w:fill="auto"/>
            <w:noWrap/>
            <w:vAlign w:val="bottom"/>
            <w:hideMark/>
          </w:tcPr>
          <w:p w14:paraId="28661A2A"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516,0</w:t>
            </w:r>
          </w:p>
        </w:tc>
        <w:tc>
          <w:tcPr>
            <w:tcW w:w="0" w:type="auto"/>
            <w:tcBorders>
              <w:top w:val="nil"/>
              <w:left w:val="nil"/>
              <w:bottom w:val="single" w:sz="4" w:space="0" w:color="auto"/>
              <w:right w:val="single" w:sz="4" w:space="0" w:color="auto"/>
            </w:tcBorders>
            <w:shd w:val="clear" w:color="auto" w:fill="auto"/>
            <w:noWrap/>
            <w:vAlign w:val="bottom"/>
            <w:hideMark/>
          </w:tcPr>
          <w:p w14:paraId="70068483"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506,3</w:t>
            </w:r>
          </w:p>
        </w:tc>
        <w:tc>
          <w:tcPr>
            <w:tcW w:w="0" w:type="auto"/>
            <w:tcBorders>
              <w:top w:val="nil"/>
              <w:left w:val="nil"/>
              <w:bottom w:val="single" w:sz="4" w:space="0" w:color="auto"/>
              <w:right w:val="single" w:sz="4" w:space="0" w:color="auto"/>
            </w:tcBorders>
            <w:shd w:val="clear" w:color="auto" w:fill="auto"/>
            <w:noWrap/>
            <w:vAlign w:val="bottom"/>
            <w:hideMark/>
          </w:tcPr>
          <w:p w14:paraId="45168BD4"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439,8</w:t>
            </w:r>
          </w:p>
        </w:tc>
        <w:tc>
          <w:tcPr>
            <w:tcW w:w="0" w:type="auto"/>
            <w:tcBorders>
              <w:top w:val="nil"/>
              <w:left w:val="nil"/>
              <w:bottom w:val="single" w:sz="4" w:space="0" w:color="auto"/>
              <w:right w:val="single" w:sz="4" w:space="0" w:color="auto"/>
            </w:tcBorders>
            <w:vAlign w:val="bottom"/>
          </w:tcPr>
          <w:p w14:paraId="0CFF0FC6" w14:textId="77777777" w:rsidR="008A1A5C" w:rsidRPr="004C5101" w:rsidRDefault="008A1A5C" w:rsidP="007E06EF">
            <w:pPr>
              <w:jc w:val="right"/>
              <w:rPr>
                <w:rFonts w:ascii="Times New Roman" w:hAnsi="Times New Roman" w:cs="Times New Roman"/>
                <w:color w:val="000000"/>
                <w:spacing w:val="-4"/>
                <w:sz w:val="20"/>
                <w:szCs w:val="20"/>
              </w:rPr>
            </w:pPr>
            <w:r w:rsidRPr="004C5101">
              <w:rPr>
                <w:rFonts w:ascii="Times New Roman" w:hAnsi="Times New Roman" w:cs="Times New Roman"/>
                <w:color w:val="000000"/>
                <w:spacing w:val="-4"/>
                <w:sz w:val="20"/>
                <w:szCs w:val="20"/>
              </w:rPr>
              <w:t>558,9</w:t>
            </w:r>
          </w:p>
        </w:tc>
        <w:tc>
          <w:tcPr>
            <w:tcW w:w="0" w:type="auto"/>
            <w:tcBorders>
              <w:top w:val="nil"/>
              <w:left w:val="nil"/>
              <w:bottom w:val="single" w:sz="4" w:space="0" w:color="auto"/>
              <w:right w:val="single" w:sz="4" w:space="0" w:color="auto"/>
            </w:tcBorders>
            <w:vAlign w:val="bottom"/>
          </w:tcPr>
          <w:p w14:paraId="300CC48C"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739,2</w:t>
            </w:r>
          </w:p>
        </w:tc>
        <w:tc>
          <w:tcPr>
            <w:tcW w:w="0" w:type="auto"/>
            <w:tcBorders>
              <w:top w:val="nil"/>
              <w:left w:val="nil"/>
              <w:bottom w:val="single" w:sz="4" w:space="0" w:color="auto"/>
              <w:right w:val="single" w:sz="4" w:space="0" w:color="auto"/>
            </w:tcBorders>
            <w:vAlign w:val="bottom"/>
          </w:tcPr>
          <w:p w14:paraId="74DCE960"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1 022,1</w:t>
            </w:r>
          </w:p>
        </w:tc>
      </w:tr>
      <w:tr w:rsidR="008A1A5C" w:rsidRPr="004C5101" w14:paraId="659CFA79" w14:textId="77777777" w:rsidTr="004C510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A384A56" w14:textId="77777777" w:rsidR="008A1A5C" w:rsidRPr="004C5101" w:rsidRDefault="008A1A5C" w:rsidP="007E06EF">
            <w:pPr>
              <w:rPr>
                <w:rFonts w:ascii="Times New Roman" w:hAnsi="Times New Roman" w:cs="Times New Roman"/>
                <w:color w:val="000000"/>
                <w:sz w:val="20"/>
                <w:szCs w:val="20"/>
              </w:rPr>
            </w:pPr>
            <w:r w:rsidRPr="004C5101">
              <w:rPr>
                <w:rFonts w:ascii="Times New Roman" w:hAnsi="Times New Roman" w:cs="Times New Roman"/>
                <w:color w:val="000000"/>
                <w:sz w:val="20"/>
                <w:szCs w:val="20"/>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14:paraId="5C88C598"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3 833,1</w:t>
            </w:r>
          </w:p>
        </w:tc>
        <w:tc>
          <w:tcPr>
            <w:tcW w:w="0" w:type="auto"/>
            <w:tcBorders>
              <w:top w:val="nil"/>
              <w:left w:val="nil"/>
              <w:bottom w:val="single" w:sz="4" w:space="0" w:color="auto"/>
              <w:right w:val="single" w:sz="4" w:space="0" w:color="auto"/>
            </w:tcBorders>
            <w:shd w:val="clear" w:color="auto" w:fill="auto"/>
            <w:noWrap/>
            <w:vAlign w:val="bottom"/>
            <w:hideMark/>
          </w:tcPr>
          <w:p w14:paraId="061137E8"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3 452,4</w:t>
            </w:r>
          </w:p>
        </w:tc>
        <w:tc>
          <w:tcPr>
            <w:tcW w:w="0" w:type="auto"/>
            <w:tcBorders>
              <w:top w:val="nil"/>
              <w:left w:val="nil"/>
              <w:bottom w:val="single" w:sz="4" w:space="0" w:color="auto"/>
              <w:right w:val="single" w:sz="4" w:space="0" w:color="auto"/>
            </w:tcBorders>
            <w:shd w:val="clear" w:color="auto" w:fill="auto"/>
            <w:noWrap/>
            <w:vAlign w:val="bottom"/>
            <w:hideMark/>
          </w:tcPr>
          <w:p w14:paraId="5D9A7108"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4 265,3</w:t>
            </w:r>
          </w:p>
        </w:tc>
        <w:tc>
          <w:tcPr>
            <w:tcW w:w="0" w:type="auto"/>
            <w:tcBorders>
              <w:top w:val="nil"/>
              <w:left w:val="nil"/>
              <w:bottom w:val="single" w:sz="4" w:space="0" w:color="auto"/>
              <w:right w:val="single" w:sz="4" w:space="0" w:color="auto"/>
            </w:tcBorders>
            <w:shd w:val="clear" w:color="auto" w:fill="auto"/>
            <w:noWrap/>
            <w:vAlign w:val="bottom"/>
            <w:hideMark/>
          </w:tcPr>
          <w:p w14:paraId="08EF3120"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4 588,5</w:t>
            </w:r>
          </w:p>
        </w:tc>
        <w:tc>
          <w:tcPr>
            <w:tcW w:w="0" w:type="auto"/>
            <w:tcBorders>
              <w:top w:val="nil"/>
              <w:left w:val="nil"/>
              <w:bottom w:val="single" w:sz="4" w:space="0" w:color="auto"/>
              <w:right w:val="single" w:sz="4" w:space="0" w:color="auto"/>
            </w:tcBorders>
            <w:shd w:val="clear" w:color="auto" w:fill="auto"/>
            <w:noWrap/>
            <w:vAlign w:val="bottom"/>
            <w:hideMark/>
          </w:tcPr>
          <w:p w14:paraId="5B3C5DB5"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4 992,0</w:t>
            </w:r>
          </w:p>
        </w:tc>
        <w:tc>
          <w:tcPr>
            <w:tcW w:w="0" w:type="auto"/>
            <w:tcBorders>
              <w:top w:val="nil"/>
              <w:left w:val="nil"/>
              <w:bottom w:val="single" w:sz="4" w:space="0" w:color="auto"/>
              <w:right w:val="single" w:sz="4" w:space="0" w:color="auto"/>
            </w:tcBorders>
            <w:vAlign w:val="bottom"/>
          </w:tcPr>
          <w:p w14:paraId="35E3D4BA" w14:textId="77777777" w:rsidR="008A1A5C" w:rsidRPr="004C5101" w:rsidRDefault="008A1A5C" w:rsidP="007E06EF">
            <w:pPr>
              <w:jc w:val="right"/>
              <w:rPr>
                <w:rFonts w:ascii="Times New Roman" w:hAnsi="Times New Roman" w:cs="Times New Roman"/>
                <w:color w:val="000000"/>
                <w:spacing w:val="-4"/>
                <w:sz w:val="20"/>
                <w:szCs w:val="20"/>
              </w:rPr>
            </w:pPr>
            <w:r w:rsidRPr="004C5101">
              <w:rPr>
                <w:rFonts w:ascii="Times New Roman" w:hAnsi="Times New Roman" w:cs="Times New Roman"/>
                <w:color w:val="000000"/>
                <w:spacing w:val="-4"/>
                <w:sz w:val="20"/>
                <w:szCs w:val="20"/>
              </w:rPr>
              <w:t>4 642,2</w:t>
            </w:r>
          </w:p>
        </w:tc>
        <w:tc>
          <w:tcPr>
            <w:tcW w:w="0" w:type="auto"/>
            <w:tcBorders>
              <w:top w:val="nil"/>
              <w:left w:val="nil"/>
              <w:bottom w:val="single" w:sz="4" w:space="0" w:color="auto"/>
              <w:right w:val="single" w:sz="4" w:space="0" w:color="auto"/>
            </w:tcBorders>
            <w:vAlign w:val="bottom"/>
          </w:tcPr>
          <w:p w14:paraId="0064B399"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4 856,5</w:t>
            </w:r>
          </w:p>
        </w:tc>
        <w:tc>
          <w:tcPr>
            <w:tcW w:w="0" w:type="auto"/>
            <w:tcBorders>
              <w:top w:val="nil"/>
              <w:left w:val="nil"/>
              <w:bottom w:val="single" w:sz="4" w:space="0" w:color="auto"/>
              <w:right w:val="single" w:sz="4" w:space="0" w:color="auto"/>
            </w:tcBorders>
            <w:vAlign w:val="bottom"/>
          </w:tcPr>
          <w:p w14:paraId="324AA7C2"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5 010,6</w:t>
            </w:r>
          </w:p>
        </w:tc>
      </w:tr>
      <w:tr w:rsidR="008A1A5C" w:rsidRPr="004C5101" w14:paraId="7223E476" w14:textId="77777777" w:rsidTr="004C510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241E253" w14:textId="77777777" w:rsidR="008A1A5C" w:rsidRPr="004C5101" w:rsidRDefault="008A1A5C" w:rsidP="007E06EF">
            <w:pPr>
              <w:rPr>
                <w:rFonts w:ascii="Times New Roman" w:hAnsi="Times New Roman" w:cs="Times New Roman"/>
                <w:color w:val="000000"/>
                <w:sz w:val="20"/>
                <w:szCs w:val="20"/>
              </w:rPr>
            </w:pPr>
            <w:r w:rsidRPr="004C5101">
              <w:rPr>
                <w:rFonts w:ascii="Times New Roman" w:hAnsi="Times New Roman" w:cs="Times New Roman"/>
                <w:color w:val="000000"/>
                <w:sz w:val="20"/>
                <w:szCs w:val="20"/>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14:paraId="44947959"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0F001417"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71,2</w:t>
            </w:r>
          </w:p>
        </w:tc>
        <w:tc>
          <w:tcPr>
            <w:tcW w:w="0" w:type="auto"/>
            <w:tcBorders>
              <w:top w:val="nil"/>
              <w:left w:val="nil"/>
              <w:bottom w:val="single" w:sz="4" w:space="0" w:color="auto"/>
              <w:right w:val="single" w:sz="4" w:space="0" w:color="auto"/>
            </w:tcBorders>
            <w:shd w:val="clear" w:color="auto" w:fill="auto"/>
            <w:noWrap/>
            <w:vAlign w:val="bottom"/>
            <w:hideMark/>
          </w:tcPr>
          <w:p w14:paraId="110F7825"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1980E95A"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59,6</w:t>
            </w:r>
          </w:p>
        </w:tc>
        <w:tc>
          <w:tcPr>
            <w:tcW w:w="0" w:type="auto"/>
            <w:tcBorders>
              <w:top w:val="nil"/>
              <w:left w:val="nil"/>
              <w:bottom w:val="single" w:sz="4" w:space="0" w:color="auto"/>
              <w:right w:val="single" w:sz="4" w:space="0" w:color="auto"/>
            </w:tcBorders>
            <w:shd w:val="clear" w:color="auto" w:fill="auto"/>
            <w:noWrap/>
            <w:vAlign w:val="bottom"/>
            <w:hideMark/>
          </w:tcPr>
          <w:p w14:paraId="0184E73C"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96,1</w:t>
            </w:r>
          </w:p>
        </w:tc>
        <w:tc>
          <w:tcPr>
            <w:tcW w:w="0" w:type="auto"/>
            <w:tcBorders>
              <w:top w:val="nil"/>
              <w:left w:val="nil"/>
              <w:bottom w:val="single" w:sz="4" w:space="0" w:color="auto"/>
              <w:right w:val="single" w:sz="4" w:space="0" w:color="auto"/>
            </w:tcBorders>
            <w:vAlign w:val="bottom"/>
          </w:tcPr>
          <w:p w14:paraId="62A78B7D" w14:textId="77777777" w:rsidR="008A1A5C" w:rsidRPr="004C5101" w:rsidRDefault="008A1A5C" w:rsidP="007E06EF">
            <w:pPr>
              <w:jc w:val="right"/>
              <w:rPr>
                <w:rFonts w:ascii="Times New Roman" w:hAnsi="Times New Roman" w:cs="Times New Roman"/>
                <w:color w:val="000000"/>
                <w:spacing w:val="-4"/>
                <w:sz w:val="20"/>
                <w:szCs w:val="20"/>
              </w:rPr>
            </w:pPr>
            <w:r w:rsidRPr="004C5101">
              <w:rPr>
                <w:rFonts w:ascii="Times New Roman" w:hAnsi="Times New Roman" w:cs="Times New Roman"/>
                <w:color w:val="000000"/>
                <w:spacing w:val="-4"/>
                <w:sz w:val="20"/>
                <w:szCs w:val="20"/>
              </w:rPr>
              <w:t>70,8</w:t>
            </w:r>
          </w:p>
        </w:tc>
        <w:tc>
          <w:tcPr>
            <w:tcW w:w="0" w:type="auto"/>
            <w:tcBorders>
              <w:top w:val="nil"/>
              <w:left w:val="nil"/>
              <w:bottom w:val="single" w:sz="4" w:space="0" w:color="auto"/>
              <w:right w:val="single" w:sz="4" w:space="0" w:color="auto"/>
            </w:tcBorders>
            <w:vAlign w:val="bottom"/>
          </w:tcPr>
          <w:p w14:paraId="509F1812"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86,8</w:t>
            </w:r>
          </w:p>
        </w:tc>
        <w:tc>
          <w:tcPr>
            <w:tcW w:w="0" w:type="auto"/>
            <w:tcBorders>
              <w:top w:val="nil"/>
              <w:left w:val="nil"/>
              <w:bottom w:val="single" w:sz="4" w:space="0" w:color="auto"/>
              <w:right w:val="single" w:sz="4" w:space="0" w:color="auto"/>
            </w:tcBorders>
            <w:vAlign w:val="bottom"/>
          </w:tcPr>
          <w:p w14:paraId="026B51CB"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69,9</w:t>
            </w:r>
          </w:p>
        </w:tc>
      </w:tr>
      <w:tr w:rsidR="008A1A5C" w:rsidRPr="004C5101" w14:paraId="2D47BB50" w14:textId="77777777" w:rsidTr="004C510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60084CA" w14:textId="77777777" w:rsidR="008A1A5C" w:rsidRPr="004C5101" w:rsidRDefault="008A1A5C" w:rsidP="007E06EF">
            <w:pPr>
              <w:rPr>
                <w:rFonts w:ascii="Times New Roman" w:hAnsi="Times New Roman" w:cs="Times New Roman"/>
                <w:color w:val="000000"/>
                <w:sz w:val="20"/>
                <w:szCs w:val="20"/>
              </w:rPr>
            </w:pPr>
            <w:r w:rsidRPr="004C5101">
              <w:rPr>
                <w:rFonts w:ascii="Times New Roman" w:hAnsi="Times New Roman" w:cs="Times New Roman"/>
                <w:color w:val="000000"/>
                <w:sz w:val="20"/>
                <w:szCs w:val="20"/>
              </w:rPr>
              <w:t>Средства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14:paraId="3CF33863"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77,3</w:t>
            </w:r>
          </w:p>
        </w:tc>
        <w:tc>
          <w:tcPr>
            <w:tcW w:w="0" w:type="auto"/>
            <w:tcBorders>
              <w:top w:val="nil"/>
              <w:left w:val="nil"/>
              <w:bottom w:val="single" w:sz="4" w:space="0" w:color="auto"/>
              <w:right w:val="single" w:sz="4" w:space="0" w:color="auto"/>
            </w:tcBorders>
            <w:shd w:val="clear" w:color="auto" w:fill="auto"/>
            <w:noWrap/>
            <w:vAlign w:val="bottom"/>
            <w:hideMark/>
          </w:tcPr>
          <w:p w14:paraId="59C7033B"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74,8</w:t>
            </w:r>
          </w:p>
        </w:tc>
        <w:tc>
          <w:tcPr>
            <w:tcW w:w="0" w:type="auto"/>
            <w:tcBorders>
              <w:top w:val="nil"/>
              <w:left w:val="nil"/>
              <w:bottom w:val="single" w:sz="4" w:space="0" w:color="auto"/>
              <w:right w:val="single" w:sz="4" w:space="0" w:color="auto"/>
            </w:tcBorders>
            <w:shd w:val="clear" w:color="auto" w:fill="auto"/>
            <w:noWrap/>
            <w:vAlign w:val="bottom"/>
            <w:hideMark/>
          </w:tcPr>
          <w:p w14:paraId="42D3E366"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82,1</w:t>
            </w:r>
          </w:p>
        </w:tc>
        <w:tc>
          <w:tcPr>
            <w:tcW w:w="0" w:type="auto"/>
            <w:tcBorders>
              <w:top w:val="nil"/>
              <w:left w:val="nil"/>
              <w:bottom w:val="single" w:sz="4" w:space="0" w:color="auto"/>
              <w:right w:val="single" w:sz="4" w:space="0" w:color="auto"/>
            </w:tcBorders>
            <w:shd w:val="clear" w:color="auto" w:fill="auto"/>
            <w:noWrap/>
            <w:vAlign w:val="bottom"/>
            <w:hideMark/>
          </w:tcPr>
          <w:p w14:paraId="55C78849"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76,6</w:t>
            </w:r>
          </w:p>
        </w:tc>
        <w:tc>
          <w:tcPr>
            <w:tcW w:w="0" w:type="auto"/>
            <w:tcBorders>
              <w:top w:val="nil"/>
              <w:left w:val="nil"/>
              <w:bottom w:val="single" w:sz="4" w:space="0" w:color="auto"/>
              <w:right w:val="single" w:sz="4" w:space="0" w:color="auto"/>
            </w:tcBorders>
            <w:shd w:val="clear" w:color="auto" w:fill="auto"/>
            <w:noWrap/>
            <w:vAlign w:val="bottom"/>
            <w:hideMark/>
          </w:tcPr>
          <w:p w14:paraId="62C43641"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83,2</w:t>
            </w:r>
          </w:p>
        </w:tc>
        <w:tc>
          <w:tcPr>
            <w:tcW w:w="0" w:type="auto"/>
            <w:tcBorders>
              <w:top w:val="nil"/>
              <w:left w:val="nil"/>
              <w:bottom w:val="single" w:sz="4" w:space="0" w:color="auto"/>
              <w:right w:val="single" w:sz="4" w:space="0" w:color="auto"/>
            </w:tcBorders>
            <w:vAlign w:val="bottom"/>
          </w:tcPr>
          <w:p w14:paraId="1C623E5F" w14:textId="77777777" w:rsidR="008A1A5C" w:rsidRPr="004C5101" w:rsidRDefault="008A1A5C" w:rsidP="007E06EF">
            <w:pPr>
              <w:jc w:val="right"/>
              <w:rPr>
                <w:rFonts w:ascii="Times New Roman" w:hAnsi="Times New Roman" w:cs="Times New Roman"/>
                <w:color w:val="000000"/>
                <w:spacing w:val="-4"/>
                <w:sz w:val="20"/>
                <w:szCs w:val="20"/>
              </w:rPr>
            </w:pPr>
            <w:r w:rsidRPr="004C5101">
              <w:rPr>
                <w:rFonts w:ascii="Times New Roman" w:hAnsi="Times New Roman" w:cs="Times New Roman"/>
                <w:color w:val="000000"/>
                <w:spacing w:val="-4"/>
                <w:sz w:val="20"/>
                <w:szCs w:val="20"/>
              </w:rPr>
              <w:t>84,0</w:t>
            </w:r>
          </w:p>
        </w:tc>
        <w:tc>
          <w:tcPr>
            <w:tcW w:w="0" w:type="auto"/>
            <w:tcBorders>
              <w:top w:val="nil"/>
              <w:left w:val="nil"/>
              <w:bottom w:val="single" w:sz="4" w:space="0" w:color="auto"/>
              <w:right w:val="single" w:sz="4" w:space="0" w:color="auto"/>
            </w:tcBorders>
            <w:vAlign w:val="bottom"/>
          </w:tcPr>
          <w:p w14:paraId="7FFF856B"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88,3</w:t>
            </w:r>
          </w:p>
        </w:tc>
        <w:tc>
          <w:tcPr>
            <w:tcW w:w="0" w:type="auto"/>
            <w:tcBorders>
              <w:top w:val="nil"/>
              <w:left w:val="nil"/>
              <w:bottom w:val="single" w:sz="4" w:space="0" w:color="auto"/>
              <w:right w:val="single" w:sz="4" w:space="0" w:color="auto"/>
            </w:tcBorders>
            <w:vAlign w:val="bottom"/>
          </w:tcPr>
          <w:p w14:paraId="08AE61F2"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92,5</w:t>
            </w:r>
          </w:p>
        </w:tc>
      </w:tr>
      <w:tr w:rsidR="008A1A5C" w:rsidRPr="004C5101" w14:paraId="720C5CB5" w14:textId="77777777" w:rsidTr="004C510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E9BB43" w14:textId="77777777" w:rsidR="008A1A5C" w:rsidRPr="004C5101" w:rsidRDefault="008A1A5C" w:rsidP="007E06EF">
            <w:pPr>
              <w:rPr>
                <w:rFonts w:ascii="Times New Roman" w:hAnsi="Times New Roman" w:cs="Times New Roman"/>
                <w:color w:val="000000"/>
                <w:sz w:val="20"/>
                <w:szCs w:val="20"/>
              </w:rPr>
            </w:pPr>
            <w:r w:rsidRPr="004C5101">
              <w:rPr>
                <w:rFonts w:ascii="Times New Roman" w:hAnsi="Times New Roman" w:cs="Times New Roman"/>
                <w:color w:val="000000"/>
                <w:sz w:val="20"/>
                <w:szCs w:val="20"/>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14:paraId="28C1D2F5"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360,3</w:t>
            </w:r>
          </w:p>
        </w:tc>
        <w:tc>
          <w:tcPr>
            <w:tcW w:w="0" w:type="auto"/>
            <w:tcBorders>
              <w:top w:val="nil"/>
              <w:left w:val="nil"/>
              <w:bottom w:val="single" w:sz="4" w:space="0" w:color="auto"/>
              <w:right w:val="single" w:sz="4" w:space="0" w:color="auto"/>
            </w:tcBorders>
            <w:shd w:val="clear" w:color="auto" w:fill="auto"/>
            <w:noWrap/>
            <w:vAlign w:val="bottom"/>
            <w:hideMark/>
          </w:tcPr>
          <w:p w14:paraId="2EC6BDC6"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415,6</w:t>
            </w:r>
          </w:p>
        </w:tc>
        <w:tc>
          <w:tcPr>
            <w:tcW w:w="0" w:type="auto"/>
            <w:tcBorders>
              <w:top w:val="nil"/>
              <w:left w:val="nil"/>
              <w:bottom w:val="single" w:sz="4" w:space="0" w:color="auto"/>
              <w:right w:val="single" w:sz="4" w:space="0" w:color="auto"/>
            </w:tcBorders>
            <w:shd w:val="clear" w:color="auto" w:fill="auto"/>
            <w:noWrap/>
            <w:vAlign w:val="bottom"/>
            <w:hideMark/>
          </w:tcPr>
          <w:p w14:paraId="196B1452"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518,7</w:t>
            </w:r>
          </w:p>
        </w:tc>
        <w:tc>
          <w:tcPr>
            <w:tcW w:w="0" w:type="auto"/>
            <w:tcBorders>
              <w:top w:val="nil"/>
              <w:left w:val="nil"/>
              <w:bottom w:val="single" w:sz="4" w:space="0" w:color="auto"/>
              <w:right w:val="single" w:sz="4" w:space="0" w:color="auto"/>
            </w:tcBorders>
            <w:shd w:val="clear" w:color="auto" w:fill="auto"/>
            <w:noWrap/>
            <w:vAlign w:val="bottom"/>
            <w:hideMark/>
          </w:tcPr>
          <w:p w14:paraId="3BF75AE4"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621,3</w:t>
            </w:r>
          </w:p>
        </w:tc>
        <w:tc>
          <w:tcPr>
            <w:tcW w:w="0" w:type="auto"/>
            <w:tcBorders>
              <w:top w:val="nil"/>
              <w:left w:val="nil"/>
              <w:bottom w:val="single" w:sz="4" w:space="0" w:color="auto"/>
              <w:right w:val="single" w:sz="4" w:space="0" w:color="auto"/>
            </w:tcBorders>
            <w:shd w:val="clear" w:color="auto" w:fill="auto"/>
            <w:noWrap/>
            <w:vAlign w:val="bottom"/>
            <w:hideMark/>
          </w:tcPr>
          <w:p w14:paraId="1B66B326"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709,2</w:t>
            </w:r>
          </w:p>
        </w:tc>
        <w:tc>
          <w:tcPr>
            <w:tcW w:w="0" w:type="auto"/>
            <w:tcBorders>
              <w:top w:val="nil"/>
              <w:left w:val="nil"/>
              <w:bottom w:val="single" w:sz="4" w:space="0" w:color="auto"/>
              <w:right w:val="single" w:sz="4" w:space="0" w:color="auto"/>
            </w:tcBorders>
            <w:vAlign w:val="bottom"/>
          </w:tcPr>
          <w:p w14:paraId="4DF375DF" w14:textId="77777777" w:rsidR="008A1A5C" w:rsidRPr="004C5101" w:rsidRDefault="008A1A5C" w:rsidP="007E06EF">
            <w:pPr>
              <w:jc w:val="right"/>
              <w:rPr>
                <w:rFonts w:ascii="Times New Roman" w:hAnsi="Times New Roman" w:cs="Times New Roman"/>
                <w:color w:val="000000"/>
                <w:spacing w:val="-4"/>
                <w:sz w:val="20"/>
                <w:szCs w:val="20"/>
              </w:rPr>
            </w:pPr>
            <w:r w:rsidRPr="004C5101">
              <w:rPr>
                <w:rFonts w:ascii="Times New Roman" w:hAnsi="Times New Roman" w:cs="Times New Roman"/>
                <w:color w:val="000000"/>
                <w:spacing w:val="-4"/>
                <w:sz w:val="20"/>
                <w:szCs w:val="20"/>
              </w:rPr>
              <w:t>824,3</w:t>
            </w:r>
          </w:p>
        </w:tc>
        <w:tc>
          <w:tcPr>
            <w:tcW w:w="0" w:type="auto"/>
            <w:tcBorders>
              <w:top w:val="nil"/>
              <w:left w:val="nil"/>
              <w:bottom w:val="single" w:sz="4" w:space="0" w:color="auto"/>
              <w:right w:val="single" w:sz="4" w:space="0" w:color="auto"/>
            </w:tcBorders>
            <w:vAlign w:val="bottom"/>
          </w:tcPr>
          <w:p w14:paraId="0FFDC747"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819,0</w:t>
            </w:r>
          </w:p>
        </w:tc>
        <w:tc>
          <w:tcPr>
            <w:tcW w:w="0" w:type="auto"/>
            <w:tcBorders>
              <w:top w:val="nil"/>
              <w:left w:val="nil"/>
              <w:bottom w:val="single" w:sz="4" w:space="0" w:color="auto"/>
              <w:right w:val="single" w:sz="4" w:space="0" w:color="auto"/>
            </w:tcBorders>
            <w:vAlign w:val="bottom"/>
          </w:tcPr>
          <w:p w14:paraId="15D2AB6A"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896,9</w:t>
            </w:r>
          </w:p>
        </w:tc>
      </w:tr>
      <w:tr w:rsidR="008A1A5C" w:rsidRPr="004C5101" w14:paraId="590C08ED" w14:textId="77777777" w:rsidTr="004C5101">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F4D87AF" w14:textId="77777777" w:rsidR="008A1A5C" w:rsidRPr="004C5101" w:rsidRDefault="008A1A5C" w:rsidP="007E06EF">
            <w:pPr>
              <w:rPr>
                <w:rFonts w:ascii="Times New Roman" w:hAnsi="Times New Roman" w:cs="Times New Roman"/>
                <w:color w:val="000000"/>
                <w:sz w:val="20"/>
                <w:szCs w:val="20"/>
              </w:rPr>
            </w:pPr>
            <w:r w:rsidRPr="004C5101">
              <w:rPr>
                <w:rFonts w:ascii="Times New Roman" w:hAnsi="Times New Roman" w:cs="Times New Roman"/>
                <w:color w:val="000000"/>
                <w:sz w:val="20"/>
                <w:szCs w:val="20"/>
              </w:rPr>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14:paraId="3C5B2F33"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668,1</w:t>
            </w:r>
          </w:p>
        </w:tc>
        <w:tc>
          <w:tcPr>
            <w:tcW w:w="0" w:type="auto"/>
            <w:tcBorders>
              <w:top w:val="nil"/>
              <w:left w:val="nil"/>
              <w:bottom w:val="single" w:sz="4" w:space="0" w:color="auto"/>
              <w:right w:val="single" w:sz="4" w:space="0" w:color="auto"/>
            </w:tcBorders>
            <w:shd w:val="clear" w:color="auto" w:fill="auto"/>
            <w:noWrap/>
            <w:vAlign w:val="bottom"/>
            <w:hideMark/>
          </w:tcPr>
          <w:p w14:paraId="112E7D37"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816,1</w:t>
            </w:r>
          </w:p>
        </w:tc>
        <w:tc>
          <w:tcPr>
            <w:tcW w:w="0" w:type="auto"/>
            <w:tcBorders>
              <w:top w:val="nil"/>
              <w:left w:val="nil"/>
              <w:bottom w:val="single" w:sz="4" w:space="0" w:color="auto"/>
              <w:right w:val="single" w:sz="4" w:space="0" w:color="auto"/>
            </w:tcBorders>
            <w:shd w:val="clear" w:color="auto" w:fill="auto"/>
            <w:noWrap/>
            <w:vAlign w:val="bottom"/>
            <w:hideMark/>
          </w:tcPr>
          <w:p w14:paraId="3F86579C"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682,0</w:t>
            </w:r>
          </w:p>
        </w:tc>
        <w:tc>
          <w:tcPr>
            <w:tcW w:w="0" w:type="auto"/>
            <w:tcBorders>
              <w:top w:val="nil"/>
              <w:left w:val="nil"/>
              <w:bottom w:val="single" w:sz="4" w:space="0" w:color="auto"/>
              <w:right w:val="single" w:sz="4" w:space="0" w:color="auto"/>
            </w:tcBorders>
            <w:shd w:val="clear" w:color="auto" w:fill="auto"/>
            <w:noWrap/>
            <w:vAlign w:val="bottom"/>
            <w:hideMark/>
          </w:tcPr>
          <w:p w14:paraId="1FDBD118"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672,0</w:t>
            </w:r>
          </w:p>
        </w:tc>
        <w:tc>
          <w:tcPr>
            <w:tcW w:w="0" w:type="auto"/>
            <w:tcBorders>
              <w:top w:val="nil"/>
              <w:left w:val="nil"/>
              <w:bottom w:val="single" w:sz="4" w:space="0" w:color="auto"/>
              <w:right w:val="single" w:sz="4" w:space="0" w:color="auto"/>
            </w:tcBorders>
            <w:shd w:val="clear" w:color="auto" w:fill="auto"/>
            <w:noWrap/>
            <w:vAlign w:val="bottom"/>
            <w:hideMark/>
          </w:tcPr>
          <w:p w14:paraId="4EF13BE4"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790,7</w:t>
            </w:r>
          </w:p>
        </w:tc>
        <w:tc>
          <w:tcPr>
            <w:tcW w:w="0" w:type="auto"/>
            <w:tcBorders>
              <w:top w:val="nil"/>
              <w:left w:val="nil"/>
              <w:bottom w:val="single" w:sz="4" w:space="0" w:color="auto"/>
              <w:right w:val="single" w:sz="4" w:space="0" w:color="auto"/>
            </w:tcBorders>
            <w:vAlign w:val="bottom"/>
          </w:tcPr>
          <w:p w14:paraId="1793802F" w14:textId="77777777" w:rsidR="008A1A5C" w:rsidRPr="004C5101" w:rsidRDefault="008A1A5C" w:rsidP="007E06EF">
            <w:pPr>
              <w:jc w:val="right"/>
              <w:rPr>
                <w:rFonts w:ascii="Times New Roman" w:hAnsi="Times New Roman" w:cs="Times New Roman"/>
                <w:color w:val="000000"/>
                <w:spacing w:val="-4"/>
                <w:sz w:val="20"/>
                <w:szCs w:val="20"/>
              </w:rPr>
            </w:pPr>
            <w:r w:rsidRPr="004C5101">
              <w:rPr>
                <w:rFonts w:ascii="Times New Roman" w:hAnsi="Times New Roman" w:cs="Times New Roman"/>
                <w:color w:val="000000"/>
                <w:spacing w:val="-4"/>
                <w:sz w:val="20"/>
                <w:szCs w:val="20"/>
              </w:rPr>
              <w:t>971,3</w:t>
            </w:r>
          </w:p>
        </w:tc>
        <w:tc>
          <w:tcPr>
            <w:tcW w:w="0" w:type="auto"/>
            <w:tcBorders>
              <w:top w:val="nil"/>
              <w:left w:val="nil"/>
              <w:bottom w:val="single" w:sz="4" w:space="0" w:color="auto"/>
              <w:right w:val="single" w:sz="4" w:space="0" w:color="auto"/>
            </w:tcBorders>
            <w:vAlign w:val="bottom"/>
          </w:tcPr>
          <w:p w14:paraId="10A94333"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1 038,9</w:t>
            </w:r>
          </w:p>
        </w:tc>
        <w:tc>
          <w:tcPr>
            <w:tcW w:w="0" w:type="auto"/>
            <w:tcBorders>
              <w:top w:val="nil"/>
              <w:left w:val="nil"/>
              <w:bottom w:val="single" w:sz="4" w:space="0" w:color="auto"/>
              <w:right w:val="single" w:sz="4" w:space="0" w:color="auto"/>
            </w:tcBorders>
            <w:vAlign w:val="bottom"/>
          </w:tcPr>
          <w:p w14:paraId="4883B0E0" w14:textId="77777777" w:rsidR="008A1A5C" w:rsidRPr="004C5101" w:rsidRDefault="008A1A5C" w:rsidP="007E06EF">
            <w:pPr>
              <w:jc w:val="right"/>
              <w:rPr>
                <w:rFonts w:ascii="Times New Roman" w:hAnsi="Times New Roman" w:cs="Times New Roman"/>
                <w:color w:val="000000"/>
                <w:sz w:val="20"/>
                <w:szCs w:val="20"/>
              </w:rPr>
            </w:pPr>
            <w:r w:rsidRPr="004C5101">
              <w:rPr>
                <w:rFonts w:ascii="Times New Roman" w:hAnsi="Times New Roman" w:cs="Times New Roman"/>
                <w:color w:val="000000"/>
                <w:sz w:val="20"/>
                <w:szCs w:val="20"/>
              </w:rPr>
              <w:t>1 008,7</w:t>
            </w:r>
          </w:p>
        </w:tc>
      </w:tr>
    </w:tbl>
    <w:p w14:paraId="3DBF43D7" w14:textId="5DAE686F" w:rsidR="007E06EF" w:rsidRPr="008A1A5C" w:rsidRDefault="008A1A5C" w:rsidP="008A1A5C">
      <w:pPr>
        <w:jc w:val="both"/>
        <w:rPr>
          <w:rFonts w:ascii="Times New Roman" w:hAnsi="Times New Roman" w:cs="Times New Roman"/>
        </w:rPr>
      </w:pPr>
      <w:r w:rsidRPr="008A1A5C">
        <w:rPr>
          <w:rFonts w:ascii="Times New Roman" w:hAnsi="Times New Roman" w:cs="Times New Roman"/>
        </w:rPr>
        <w:t xml:space="preserve">* 2013-2018 гг. – факт, 2019 – закон, 2020 гг. - законопроект </w:t>
      </w:r>
    </w:p>
    <w:p w14:paraId="06E94F8E" w14:textId="77777777" w:rsidR="008A1A5C" w:rsidRDefault="008A1A5C" w:rsidP="00343D72">
      <w:pPr>
        <w:spacing w:line="360" w:lineRule="auto"/>
        <w:ind w:firstLine="709"/>
        <w:jc w:val="both"/>
        <w:rPr>
          <w:rFonts w:ascii="Times New Roman" w:hAnsi="Times New Roman" w:cs="Times New Roman"/>
          <w:sz w:val="28"/>
          <w:szCs w:val="28"/>
        </w:rPr>
      </w:pPr>
    </w:p>
    <w:p w14:paraId="7666D1E1" w14:textId="6E8E714F" w:rsidR="007E06EF" w:rsidRPr="00343D72" w:rsidRDefault="004C5101" w:rsidP="00343D72">
      <w:pPr>
        <w:spacing w:line="360" w:lineRule="auto"/>
        <w:ind w:firstLine="709"/>
        <w:jc w:val="both"/>
        <w:rPr>
          <w:rFonts w:ascii="Times New Roman" w:hAnsi="Times New Roman" w:cs="Times New Roman"/>
          <w:sz w:val="28"/>
          <w:szCs w:val="28"/>
          <w:shd w:val="clear" w:color="auto" w:fill="FFFFFF"/>
        </w:rPr>
      </w:pPr>
      <w:r w:rsidRPr="00343D72">
        <w:rPr>
          <w:rFonts w:ascii="Times New Roman" w:hAnsi="Times New Roman" w:cs="Times New Roman"/>
          <w:sz w:val="28"/>
          <w:szCs w:val="28"/>
        </w:rPr>
        <w:t>Структура</w:t>
      </w:r>
      <w:r w:rsidR="007E06EF" w:rsidRPr="00343D72">
        <w:rPr>
          <w:rFonts w:ascii="Times New Roman" w:hAnsi="Times New Roman" w:cs="Times New Roman"/>
          <w:sz w:val="28"/>
          <w:szCs w:val="28"/>
        </w:rPr>
        <w:t xml:space="preserve"> расходов федерального бюджета на 2020 год и плановый период 2021</w:t>
      </w:r>
      <w:r w:rsidRPr="00343D72">
        <w:rPr>
          <w:rFonts w:ascii="Times New Roman" w:hAnsi="Times New Roman" w:cs="Times New Roman"/>
          <w:sz w:val="28"/>
          <w:szCs w:val="28"/>
        </w:rPr>
        <w:t xml:space="preserve"> и </w:t>
      </w:r>
      <w:r w:rsidR="007E06EF" w:rsidRPr="00343D72">
        <w:rPr>
          <w:rFonts w:ascii="Times New Roman" w:hAnsi="Times New Roman" w:cs="Times New Roman"/>
          <w:sz w:val="28"/>
          <w:szCs w:val="28"/>
        </w:rPr>
        <w:t>2022 г</w:t>
      </w:r>
      <w:r w:rsidRPr="00343D72">
        <w:rPr>
          <w:rFonts w:ascii="Times New Roman" w:hAnsi="Times New Roman" w:cs="Times New Roman"/>
          <w:sz w:val="28"/>
          <w:szCs w:val="28"/>
        </w:rPr>
        <w:t>г.</w:t>
      </w:r>
      <w:r w:rsidR="007E06EF" w:rsidRPr="00343D72">
        <w:rPr>
          <w:rFonts w:ascii="Times New Roman" w:hAnsi="Times New Roman" w:cs="Times New Roman"/>
          <w:sz w:val="28"/>
          <w:szCs w:val="28"/>
        </w:rPr>
        <w:t xml:space="preserve"> </w:t>
      </w:r>
      <w:r w:rsidRPr="00343D72">
        <w:rPr>
          <w:rFonts w:ascii="Times New Roman" w:hAnsi="Times New Roman" w:cs="Times New Roman"/>
          <w:sz w:val="28"/>
          <w:szCs w:val="28"/>
        </w:rPr>
        <w:t xml:space="preserve">не претерпевает принципиальных изменений по сравнению с параметрами федерального бюджета в 2018-2019 гг. </w:t>
      </w:r>
    </w:p>
    <w:p w14:paraId="42EF3F43" w14:textId="34BF289D" w:rsidR="00343D72" w:rsidRDefault="007E06EF" w:rsidP="00343D72">
      <w:pPr>
        <w:pStyle w:val="af1"/>
        <w:spacing w:line="360" w:lineRule="auto"/>
        <w:ind w:firstLine="709"/>
        <w:jc w:val="both"/>
        <w:rPr>
          <w:rFonts w:ascii="Times New Roman" w:hAnsi="Times New Roman"/>
          <w:sz w:val="28"/>
          <w:szCs w:val="28"/>
        </w:rPr>
      </w:pPr>
      <w:r w:rsidRPr="00343D72">
        <w:rPr>
          <w:rFonts w:ascii="Times New Roman" w:hAnsi="Times New Roman"/>
          <w:sz w:val="28"/>
          <w:szCs w:val="28"/>
        </w:rPr>
        <w:t>Доля расходов федерального бюджета запланированных в рамках государственных программ (табл</w:t>
      </w:r>
      <w:r w:rsidR="00343D72" w:rsidRPr="00343D72">
        <w:rPr>
          <w:rFonts w:ascii="Times New Roman" w:hAnsi="Times New Roman"/>
          <w:sz w:val="28"/>
          <w:szCs w:val="28"/>
        </w:rPr>
        <w:t xml:space="preserve">ица </w:t>
      </w:r>
      <w:r w:rsidR="00A437A7">
        <w:rPr>
          <w:rFonts w:ascii="Times New Roman" w:hAnsi="Times New Roman"/>
          <w:sz w:val="28"/>
          <w:szCs w:val="28"/>
        </w:rPr>
        <w:t>10</w:t>
      </w:r>
      <w:r w:rsidRPr="00343D72">
        <w:rPr>
          <w:rFonts w:ascii="Times New Roman" w:hAnsi="Times New Roman"/>
          <w:sz w:val="28"/>
          <w:szCs w:val="28"/>
        </w:rPr>
        <w:t xml:space="preserve">) остается </w:t>
      </w:r>
      <w:r w:rsidR="00343D72" w:rsidRPr="00343D72">
        <w:rPr>
          <w:rFonts w:ascii="Times New Roman" w:hAnsi="Times New Roman"/>
          <w:sz w:val="28"/>
          <w:szCs w:val="28"/>
        </w:rPr>
        <w:t xml:space="preserve">в 2020 г. </w:t>
      </w:r>
      <w:r w:rsidRPr="00343D72">
        <w:rPr>
          <w:rFonts w:ascii="Times New Roman" w:hAnsi="Times New Roman"/>
          <w:sz w:val="28"/>
          <w:szCs w:val="28"/>
        </w:rPr>
        <w:t>на прежнем уровне</w:t>
      </w:r>
      <w:r w:rsidR="00343D72">
        <w:rPr>
          <w:rFonts w:ascii="Times New Roman" w:hAnsi="Times New Roman"/>
          <w:sz w:val="28"/>
          <w:szCs w:val="28"/>
        </w:rPr>
        <w:t>.</w:t>
      </w:r>
    </w:p>
    <w:p w14:paraId="3EC55C3F" w14:textId="77777777" w:rsidR="00A437A7" w:rsidRDefault="00A437A7">
      <w:pPr>
        <w:rPr>
          <w:rFonts w:ascii="Times New Roman" w:eastAsia="Calibri" w:hAnsi="Times New Roman" w:cs="Times New Roman"/>
          <w:sz w:val="28"/>
          <w:szCs w:val="28"/>
          <w:lang w:eastAsia="en-US"/>
        </w:rPr>
      </w:pPr>
      <w:r>
        <w:rPr>
          <w:rFonts w:ascii="Times New Roman" w:hAnsi="Times New Roman"/>
          <w:sz w:val="28"/>
          <w:szCs w:val="28"/>
        </w:rPr>
        <w:br w:type="page"/>
      </w:r>
    </w:p>
    <w:p w14:paraId="12F44A52" w14:textId="64B41D01" w:rsidR="007E06EF" w:rsidRPr="00343D72" w:rsidRDefault="00A437A7" w:rsidP="00343D72">
      <w:pPr>
        <w:pStyle w:val="af1"/>
        <w:spacing w:line="360" w:lineRule="auto"/>
        <w:ind w:firstLine="709"/>
        <w:jc w:val="both"/>
        <w:rPr>
          <w:rFonts w:ascii="Times New Roman" w:hAnsi="Times New Roman"/>
          <w:sz w:val="28"/>
          <w:szCs w:val="28"/>
        </w:rPr>
      </w:pPr>
      <w:r>
        <w:rPr>
          <w:rFonts w:ascii="Times New Roman" w:hAnsi="Times New Roman"/>
          <w:sz w:val="28"/>
          <w:szCs w:val="28"/>
        </w:rPr>
        <w:lastRenderedPageBreak/>
        <w:t>Таблица 10</w:t>
      </w:r>
      <w:r w:rsidR="00343D72" w:rsidRPr="00343D72">
        <w:rPr>
          <w:rFonts w:ascii="Times New Roman" w:hAnsi="Times New Roman"/>
          <w:sz w:val="28"/>
          <w:szCs w:val="28"/>
        </w:rPr>
        <w:t xml:space="preserve"> – </w:t>
      </w:r>
      <w:r w:rsidR="007E06EF" w:rsidRPr="00343D72">
        <w:rPr>
          <w:rFonts w:ascii="Times New Roman" w:hAnsi="Times New Roman"/>
          <w:sz w:val="28"/>
          <w:szCs w:val="28"/>
        </w:rPr>
        <w:t xml:space="preserve"> </w:t>
      </w:r>
      <w:r w:rsidR="00343D72" w:rsidRPr="00343D72">
        <w:rPr>
          <w:rFonts w:ascii="Times New Roman" w:hAnsi="Times New Roman"/>
          <w:sz w:val="28"/>
          <w:szCs w:val="28"/>
        </w:rPr>
        <w:t>Программная структура р</w:t>
      </w:r>
      <w:r w:rsidR="007E06EF" w:rsidRPr="00343D72">
        <w:rPr>
          <w:rFonts w:ascii="Times New Roman" w:hAnsi="Times New Roman"/>
          <w:sz w:val="28"/>
          <w:szCs w:val="28"/>
        </w:rPr>
        <w:t>асход</w:t>
      </w:r>
      <w:r w:rsidR="00343D72" w:rsidRPr="00343D72">
        <w:rPr>
          <w:rFonts w:ascii="Times New Roman" w:hAnsi="Times New Roman"/>
          <w:sz w:val="28"/>
          <w:szCs w:val="28"/>
        </w:rPr>
        <w:t>ов</w:t>
      </w:r>
      <w:r w:rsidR="007E06EF" w:rsidRPr="00343D72">
        <w:rPr>
          <w:rFonts w:ascii="Times New Roman" w:hAnsi="Times New Roman"/>
          <w:sz w:val="28"/>
          <w:szCs w:val="28"/>
        </w:rPr>
        <w:t xml:space="preserve"> фед</w:t>
      </w:r>
      <w:r w:rsidR="00343D72" w:rsidRPr="00343D72">
        <w:rPr>
          <w:rFonts w:ascii="Times New Roman" w:hAnsi="Times New Roman"/>
          <w:sz w:val="28"/>
          <w:szCs w:val="28"/>
        </w:rPr>
        <w:t xml:space="preserve">ерального бюджета по программам, </w:t>
      </w:r>
      <w:r w:rsidR="007E06EF" w:rsidRPr="00343D72">
        <w:rPr>
          <w:rFonts w:ascii="Times New Roman" w:hAnsi="Times New Roman"/>
          <w:sz w:val="28"/>
          <w:szCs w:val="28"/>
        </w:rPr>
        <w:t>млн. рублей</w:t>
      </w:r>
    </w:p>
    <w:tbl>
      <w:tblPr>
        <w:tblW w:w="4661" w:type="pct"/>
        <w:jc w:val="center"/>
        <w:tblLayout w:type="fixed"/>
        <w:tblLook w:val="04A0" w:firstRow="1" w:lastRow="0" w:firstColumn="1" w:lastColumn="0" w:noHBand="0" w:noVBand="1"/>
      </w:tblPr>
      <w:tblGrid>
        <w:gridCol w:w="5487"/>
        <w:gridCol w:w="1851"/>
        <w:gridCol w:w="1578"/>
      </w:tblGrid>
      <w:tr w:rsidR="00343D72" w:rsidRPr="00343D72" w14:paraId="12B01699" w14:textId="77777777" w:rsidTr="00343D72">
        <w:trPr>
          <w:trHeight w:val="288"/>
          <w:tblHeader/>
          <w:jc w:val="center"/>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40D3EEC6" w14:textId="77777777" w:rsidR="00343D72" w:rsidRPr="00343D72" w:rsidRDefault="00343D72" w:rsidP="00343D72">
            <w:pPr>
              <w:ind w:left="-53" w:firstLine="53"/>
              <w:jc w:val="center"/>
              <w:rPr>
                <w:rFonts w:ascii="Times New Roman" w:hAnsi="Times New Roman" w:cs="Times New Roman"/>
                <w:b/>
                <w:color w:val="000000"/>
              </w:rPr>
            </w:pPr>
            <w:r w:rsidRPr="00343D72">
              <w:rPr>
                <w:rFonts w:ascii="Times New Roman" w:hAnsi="Times New Roman" w:cs="Times New Roman"/>
                <w:b/>
                <w:color w:val="000000"/>
              </w:rPr>
              <w:t>Наименование</w:t>
            </w:r>
          </w:p>
        </w:tc>
        <w:tc>
          <w:tcPr>
            <w:tcW w:w="1038" w:type="pct"/>
            <w:tcBorders>
              <w:top w:val="single" w:sz="4" w:space="0" w:color="auto"/>
              <w:left w:val="nil"/>
              <w:bottom w:val="single" w:sz="4" w:space="0" w:color="auto"/>
              <w:right w:val="single" w:sz="4" w:space="0" w:color="auto"/>
            </w:tcBorders>
            <w:shd w:val="clear" w:color="auto" w:fill="auto"/>
            <w:vAlign w:val="center"/>
          </w:tcPr>
          <w:p w14:paraId="1D7C0A9B" w14:textId="77777777" w:rsidR="00343D72" w:rsidRPr="00343D72" w:rsidRDefault="00343D72" w:rsidP="007E06EF">
            <w:pPr>
              <w:jc w:val="center"/>
              <w:rPr>
                <w:rFonts w:ascii="Times New Roman" w:hAnsi="Times New Roman" w:cs="Times New Roman"/>
                <w:b/>
                <w:color w:val="000000"/>
              </w:rPr>
            </w:pPr>
            <w:r w:rsidRPr="00343D72">
              <w:rPr>
                <w:rFonts w:ascii="Times New Roman" w:hAnsi="Times New Roman" w:cs="Times New Roman"/>
                <w:b/>
                <w:color w:val="000000"/>
              </w:rPr>
              <w:t>2019 год</w:t>
            </w:r>
          </w:p>
        </w:tc>
        <w:tc>
          <w:tcPr>
            <w:tcW w:w="885" w:type="pct"/>
            <w:tcBorders>
              <w:top w:val="single" w:sz="4" w:space="0" w:color="auto"/>
              <w:left w:val="nil"/>
              <w:bottom w:val="single" w:sz="4" w:space="0" w:color="auto"/>
              <w:right w:val="single" w:sz="4" w:space="0" w:color="auto"/>
            </w:tcBorders>
            <w:shd w:val="clear" w:color="auto" w:fill="auto"/>
            <w:vAlign w:val="center"/>
          </w:tcPr>
          <w:p w14:paraId="3AAFACA2" w14:textId="77777777" w:rsidR="00343D72" w:rsidRPr="00343D72" w:rsidRDefault="00343D72" w:rsidP="007E06EF">
            <w:pPr>
              <w:jc w:val="center"/>
              <w:rPr>
                <w:rFonts w:ascii="Times New Roman" w:hAnsi="Times New Roman" w:cs="Times New Roman"/>
                <w:b/>
                <w:color w:val="000000"/>
              </w:rPr>
            </w:pPr>
            <w:r w:rsidRPr="00343D72">
              <w:rPr>
                <w:rFonts w:ascii="Times New Roman" w:hAnsi="Times New Roman" w:cs="Times New Roman"/>
                <w:b/>
                <w:color w:val="000000"/>
              </w:rPr>
              <w:t>2020 год</w:t>
            </w:r>
          </w:p>
        </w:tc>
      </w:tr>
      <w:tr w:rsidR="00343D72" w:rsidRPr="00343D72" w14:paraId="0A0C965A" w14:textId="77777777" w:rsidTr="00343D72">
        <w:trPr>
          <w:trHeight w:val="408"/>
          <w:jc w:val="center"/>
        </w:trPr>
        <w:tc>
          <w:tcPr>
            <w:tcW w:w="3077" w:type="pct"/>
            <w:tcBorders>
              <w:top w:val="nil"/>
              <w:left w:val="single" w:sz="4" w:space="0" w:color="auto"/>
              <w:bottom w:val="single" w:sz="4" w:space="0" w:color="auto"/>
              <w:right w:val="single" w:sz="4" w:space="0" w:color="auto"/>
            </w:tcBorders>
            <w:shd w:val="clear" w:color="auto" w:fill="auto"/>
            <w:vAlign w:val="center"/>
            <w:hideMark/>
          </w:tcPr>
          <w:p w14:paraId="085FB099" w14:textId="77777777" w:rsidR="00343D72" w:rsidRPr="00343D72" w:rsidRDefault="00343D72" w:rsidP="007E06EF">
            <w:pPr>
              <w:jc w:val="both"/>
              <w:rPr>
                <w:rFonts w:ascii="Times New Roman" w:hAnsi="Times New Roman" w:cs="Times New Roman"/>
                <w:bCs/>
                <w:color w:val="000000"/>
              </w:rPr>
            </w:pPr>
            <w:r w:rsidRPr="00343D72">
              <w:rPr>
                <w:rFonts w:ascii="Times New Roman" w:hAnsi="Times New Roman" w:cs="Times New Roman"/>
                <w:bCs/>
                <w:color w:val="000000"/>
              </w:rPr>
              <w:t>Расходы на реализацию государственных программ, всего</w:t>
            </w:r>
          </w:p>
        </w:tc>
        <w:tc>
          <w:tcPr>
            <w:tcW w:w="1038" w:type="pct"/>
            <w:tcBorders>
              <w:top w:val="nil"/>
              <w:left w:val="nil"/>
              <w:bottom w:val="single" w:sz="4" w:space="0" w:color="auto"/>
              <w:right w:val="single" w:sz="4" w:space="0" w:color="auto"/>
            </w:tcBorders>
            <w:shd w:val="clear" w:color="auto" w:fill="auto"/>
            <w:noWrap/>
            <w:vAlign w:val="center"/>
            <w:hideMark/>
          </w:tcPr>
          <w:p w14:paraId="5A06815C" w14:textId="77777777" w:rsidR="00343D72" w:rsidRPr="00343D72" w:rsidRDefault="00343D72" w:rsidP="007E06EF">
            <w:pPr>
              <w:jc w:val="center"/>
              <w:rPr>
                <w:rFonts w:ascii="Times New Roman" w:hAnsi="Times New Roman" w:cs="Times New Roman"/>
                <w:b/>
                <w:bCs/>
                <w:color w:val="000000"/>
                <w:u w:val="single"/>
              </w:rPr>
            </w:pPr>
            <w:r w:rsidRPr="00343D72">
              <w:rPr>
                <w:rFonts w:ascii="Times New Roman" w:hAnsi="Times New Roman" w:cs="Times New Roman"/>
                <w:b/>
                <w:bCs/>
                <w:color w:val="000000"/>
                <w:u w:val="single"/>
              </w:rPr>
              <w:t>14 631 508,9</w:t>
            </w:r>
          </w:p>
        </w:tc>
        <w:tc>
          <w:tcPr>
            <w:tcW w:w="885" w:type="pct"/>
            <w:tcBorders>
              <w:top w:val="nil"/>
              <w:left w:val="nil"/>
              <w:bottom w:val="single" w:sz="4" w:space="0" w:color="auto"/>
              <w:right w:val="single" w:sz="4" w:space="0" w:color="auto"/>
            </w:tcBorders>
            <w:shd w:val="clear" w:color="auto" w:fill="auto"/>
            <w:noWrap/>
            <w:vAlign w:val="center"/>
            <w:hideMark/>
          </w:tcPr>
          <w:p w14:paraId="469D8937" w14:textId="77777777" w:rsidR="00343D72" w:rsidRPr="00343D72" w:rsidRDefault="00343D72" w:rsidP="007E06EF">
            <w:pPr>
              <w:jc w:val="center"/>
              <w:rPr>
                <w:rFonts w:ascii="Times New Roman" w:hAnsi="Times New Roman" w:cs="Times New Roman"/>
                <w:b/>
                <w:bCs/>
                <w:color w:val="000000"/>
                <w:u w:val="single"/>
              </w:rPr>
            </w:pPr>
            <w:r w:rsidRPr="00343D72">
              <w:rPr>
                <w:rFonts w:ascii="Times New Roman" w:hAnsi="Times New Roman" w:cs="Times New Roman"/>
                <w:b/>
                <w:bCs/>
                <w:color w:val="000000"/>
                <w:u w:val="single"/>
              </w:rPr>
              <w:t>14 639 784,7</w:t>
            </w:r>
          </w:p>
        </w:tc>
      </w:tr>
      <w:tr w:rsidR="00343D72" w:rsidRPr="00343D72" w14:paraId="234BF84B" w14:textId="77777777" w:rsidTr="00343D72">
        <w:trPr>
          <w:trHeight w:val="288"/>
          <w:jc w:val="center"/>
        </w:trPr>
        <w:tc>
          <w:tcPr>
            <w:tcW w:w="3077" w:type="pct"/>
            <w:tcBorders>
              <w:top w:val="nil"/>
              <w:left w:val="single" w:sz="4" w:space="0" w:color="auto"/>
              <w:bottom w:val="single" w:sz="4" w:space="0" w:color="auto"/>
              <w:right w:val="single" w:sz="4" w:space="0" w:color="auto"/>
            </w:tcBorders>
            <w:shd w:val="clear" w:color="auto" w:fill="auto"/>
            <w:vAlign w:val="center"/>
            <w:hideMark/>
          </w:tcPr>
          <w:p w14:paraId="1FF0BA16" w14:textId="77777777" w:rsidR="00343D72" w:rsidRPr="00343D72" w:rsidRDefault="00343D72" w:rsidP="007E06EF">
            <w:pPr>
              <w:rPr>
                <w:rFonts w:ascii="Times New Roman" w:hAnsi="Times New Roman" w:cs="Times New Roman"/>
                <w:i/>
                <w:iCs/>
                <w:color w:val="000000"/>
              </w:rPr>
            </w:pPr>
            <w:r w:rsidRPr="00343D72">
              <w:rPr>
                <w:rFonts w:ascii="Times New Roman" w:hAnsi="Times New Roman" w:cs="Times New Roman"/>
                <w:i/>
                <w:iCs/>
                <w:color w:val="000000"/>
              </w:rPr>
              <w:t>в том числе по направлениям:</w:t>
            </w:r>
          </w:p>
        </w:tc>
        <w:tc>
          <w:tcPr>
            <w:tcW w:w="1038" w:type="pct"/>
            <w:tcBorders>
              <w:top w:val="nil"/>
              <w:left w:val="nil"/>
              <w:bottom w:val="single" w:sz="4" w:space="0" w:color="auto"/>
              <w:right w:val="single" w:sz="4" w:space="0" w:color="auto"/>
            </w:tcBorders>
            <w:shd w:val="clear" w:color="auto" w:fill="auto"/>
            <w:noWrap/>
            <w:vAlign w:val="bottom"/>
            <w:hideMark/>
          </w:tcPr>
          <w:p w14:paraId="711FAB17" w14:textId="77777777" w:rsidR="00343D72" w:rsidRPr="00343D72" w:rsidRDefault="00343D72" w:rsidP="007E06EF">
            <w:pPr>
              <w:rPr>
                <w:rFonts w:ascii="Times New Roman" w:hAnsi="Times New Roman" w:cs="Times New Roman"/>
                <w:color w:val="000000"/>
              </w:rPr>
            </w:pPr>
            <w:r w:rsidRPr="00343D72">
              <w:rPr>
                <w:rFonts w:ascii="Times New Roman" w:hAnsi="Times New Roman" w:cs="Times New Roman"/>
                <w:color w:val="000000"/>
              </w:rPr>
              <w:t> </w:t>
            </w:r>
          </w:p>
        </w:tc>
        <w:tc>
          <w:tcPr>
            <w:tcW w:w="885" w:type="pct"/>
            <w:tcBorders>
              <w:top w:val="nil"/>
              <w:left w:val="nil"/>
              <w:bottom w:val="single" w:sz="4" w:space="0" w:color="auto"/>
              <w:right w:val="single" w:sz="4" w:space="0" w:color="auto"/>
            </w:tcBorders>
            <w:shd w:val="clear" w:color="auto" w:fill="auto"/>
            <w:noWrap/>
            <w:vAlign w:val="bottom"/>
            <w:hideMark/>
          </w:tcPr>
          <w:p w14:paraId="66F38E09" w14:textId="77777777" w:rsidR="00343D72" w:rsidRPr="00343D72" w:rsidRDefault="00343D72" w:rsidP="007E06EF">
            <w:pPr>
              <w:ind w:left="-249" w:firstLine="249"/>
              <w:rPr>
                <w:rFonts w:ascii="Times New Roman" w:hAnsi="Times New Roman" w:cs="Times New Roman"/>
                <w:color w:val="000000"/>
              </w:rPr>
            </w:pPr>
            <w:r w:rsidRPr="00343D72">
              <w:rPr>
                <w:rFonts w:ascii="Times New Roman" w:hAnsi="Times New Roman" w:cs="Times New Roman"/>
                <w:color w:val="000000"/>
              </w:rPr>
              <w:t> </w:t>
            </w:r>
          </w:p>
        </w:tc>
      </w:tr>
      <w:tr w:rsidR="00343D72" w:rsidRPr="00343D72" w14:paraId="5C757FE6" w14:textId="77777777" w:rsidTr="00343D72">
        <w:trPr>
          <w:trHeight w:val="408"/>
          <w:jc w:val="center"/>
        </w:trPr>
        <w:tc>
          <w:tcPr>
            <w:tcW w:w="3077" w:type="pct"/>
            <w:tcBorders>
              <w:top w:val="nil"/>
              <w:left w:val="single" w:sz="4" w:space="0" w:color="auto"/>
              <w:bottom w:val="single" w:sz="4" w:space="0" w:color="auto"/>
              <w:right w:val="single" w:sz="4" w:space="0" w:color="auto"/>
            </w:tcBorders>
            <w:shd w:val="clear" w:color="auto" w:fill="auto"/>
            <w:vAlign w:val="center"/>
            <w:hideMark/>
          </w:tcPr>
          <w:p w14:paraId="348111DD" w14:textId="77777777" w:rsidR="00343D72" w:rsidRPr="00343D72" w:rsidRDefault="00343D72" w:rsidP="007E06EF">
            <w:pPr>
              <w:rPr>
                <w:rFonts w:ascii="Times New Roman" w:hAnsi="Times New Roman" w:cs="Times New Roman"/>
              </w:rPr>
            </w:pPr>
            <w:r w:rsidRPr="00343D72">
              <w:rPr>
                <w:rFonts w:ascii="Times New Roman" w:hAnsi="Times New Roman" w:cs="Times New Roman"/>
              </w:rPr>
              <w:t>I. Новое качество жизни</w:t>
            </w:r>
            <w:r w:rsidRPr="00343D72">
              <w:rPr>
                <w:rFonts w:ascii="Times New Roman" w:hAnsi="Times New Roman" w:cs="Times New Roman"/>
              </w:rPr>
              <w:br/>
              <w:t>(10 программ)</w:t>
            </w:r>
          </w:p>
        </w:tc>
        <w:tc>
          <w:tcPr>
            <w:tcW w:w="1038" w:type="pct"/>
            <w:tcBorders>
              <w:top w:val="nil"/>
              <w:left w:val="nil"/>
              <w:bottom w:val="single" w:sz="4" w:space="0" w:color="auto"/>
              <w:right w:val="single" w:sz="4" w:space="0" w:color="auto"/>
            </w:tcBorders>
            <w:shd w:val="clear" w:color="auto" w:fill="auto"/>
            <w:noWrap/>
            <w:vAlign w:val="center"/>
            <w:hideMark/>
          </w:tcPr>
          <w:p w14:paraId="5697231A" w14:textId="77777777" w:rsidR="00343D72" w:rsidRPr="00343D72" w:rsidRDefault="00343D72" w:rsidP="007E06EF">
            <w:pPr>
              <w:jc w:val="center"/>
              <w:rPr>
                <w:rFonts w:ascii="Times New Roman" w:hAnsi="Times New Roman" w:cs="Times New Roman"/>
              </w:rPr>
            </w:pPr>
            <w:r w:rsidRPr="00343D72">
              <w:rPr>
                <w:rFonts w:ascii="Times New Roman" w:hAnsi="Times New Roman" w:cs="Times New Roman"/>
              </w:rPr>
              <w:t>2 783 827,1</w:t>
            </w:r>
          </w:p>
        </w:tc>
        <w:tc>
          <w:tcPr>
            <w:tcW w:w="885" w:type="pct"/>
            <w:tcBorders>
              <w:top w:val="nil"/>
              <w:left w:val="nil"/>
              <w:bottom w:val="single" w:sz="4" w:space="0" w:color="auto"/>
              <w:right w:val="single" w:sz="4" w:space="0" w:color="auto"/>
            </w:tcBorders>
            <w:shd w:val="clear" w:color="auto" w:fill="auto"/>
            <w:noWrap/>
            <w:vAlign w:val="center"/>
            <w:hideMark/>
          </w:tcPr>
          <w:p w14:paraId="7F2A71C9" w14:textId="77777777" w:rsidR="00343D72" w:rsidRPr="00343D72" w:rsidRDefault="00343D72" w:rsidP="007E06EF">
            <w:pPr>
              <w:jc w:val="center"/>
              <w:rPr>
                <w:rFonts w:ascii="Times New Roman" w:hAnsi="Times New Roman" w:cs="Times New Roman"/>
              </w:rPr>
            </w:pPr>
            <w:r w:rsidRPr="00343D72">
              <w:rPr>
                <w:rFonts w:ascii="Times New Roman" w:hAnsi="Times New Roman" w:cs="Times New Roman"/>
              </w:rPr>
              <w:t>3 137 216,0</w:t>
            </w:r>
          </w:p>
        </w:tc>
      </w:tr>
      <w:tr w:rsidR="00343D72" w:rsidRPr="00343D72" w14:paraId="318C66D2" w14:textId="77777777" w:rsidTr="00343D72">
        <w:trPr>
          <w:trHeight w:val="408"/>
          <w:jc w:val="center"/>
        </w:trPr>
        <w:tc>
          <w:tcPr>
            <w:tcW w:w="3077" w:type="pct"/>
            <w:tcBorders>
              <w:top w:val="nil"/>
              <w:left w:val="single" w:sz="4" w:space="0" w:color="auto"/>
              <w:bottom w:val="single" w:sz="4" w:space="0" w:color="auto"/>
              <w:right w:val="single" w:sz="4" w:space="0" w:color="auto"/>
            </w:tcBorders>
            <w:shd w:val="clear" w:color="auto" w:fill="auto"/>
            <w:vAlign w:val="center"/>
          </w:tcPr>
          <w:p w14:paraId="22B8869A" w14:textId="77777777" w:rsidR="00343D72" w:rsidRPr="00343D72" w:rsidRDefault="00343D72" w:rsidP="007E06EF">
            <w:pPr>
              <w:rPr>
                <w:rFonts w:ascii="Times New Roman" w:hAnsi="Times New Roman" w:cs="Times New Roman"/>
              </w:rPr>
            </w:pPr>
            <w:r w:rsidRPr="00343D72">
              <w:rPr>
                <w:rFonts w:ascii="Times New Roman" w:hAnsi="Times New Roman" w:cs="Times New Roman"/>
                <w:i/>
              </w:rPr>
              <w:t>доля в общем объеме расходов на реализацию госпрограмм, %</w:t>
            </w:r>
          </w:p>
        </w:tc>
        <w:tc>
          <w:tcPr>
            <w:tcW w:w="1038" w:type="pct"/>
            <w:tcBorders>
              <w:top w:val="nil"/>
              <w:left w:val="nil"/>
              <w:bottom w:val="single" w:sz="4" w:space="0" w:color="auto"/>
              <w:right w:val="single" w:sz="4" w:space="0" w:color="auto"/>
            </w:tcBorders>
            <w:shd w:val="clear" w:color="auto" w:fill="auto"/>
            <w:noWrap/>
            <w:vAlign w:val="center"/>
          </w:tcPr>
          <w:p w14:paraId="1C1098F1" w14:textId="77777777" w:rsidR="00343D72" w:rsidRPr="00343D72" w:rsidRDefault="00343D72" w:rsidP="007E06EF">
            <w:pPr>
              <w:jc w:val="center"/>
              <w:rPr>
                <w:rFonts w:ascii="Times New Roman" w:hAnsi="Times New Roman" w:cs="Times New Roman"/>
                <w:i/>
              </w:rPr>
            </w:pPr>
            <w:r w:rsidRPr="00343D72">
              <w:rPr>
                <w:rFonts w:ascii="Times New Roman" w:hAnsi="Times New Roman" w:cs="Times New Roman"/>
                <w:i/>
              </w:rPr>
              <w:t>19</w:t>
            </w:r>
          </w:p>
        </w:tc>
        <w:tc>
          <w:tcPr>
            <w:tcW w:w="885" w:type="pct"/>
            <w:tcBorders>
              <w:top w:val="nil"/>
              <w:left w:val="nil"/>
              <w:bottom w:val="single" w:sz="4" w:space="0" w:color="auto"/>
              <w:right w:val="single" w:sz="4" w:space="0" w:color="auto"/>
            </w:tcBorders>
            <w:shd w:val="clear" w:color="auto" w:fill="auto"/>
            <w:noWrap/>
            <w:vAlign w:val="center"/>
          </w:tcPr>
          <w:p w14:paraId="43C8049B" w14:textId="77777777" w:rsidR="00343D72" w:rsidRPr="00343D72" w:rsidRDefault="00343D72" w:rsidP="007E06EF">
            <w:pPr>
              <w:jc w:val="center"/>
              <w:rPr>
                <w:rFonts w:ascii="Times New Roman" w:hAnsi="Times New Roman" w:cs="Times New Roman"/>
                <w:i/>
              </w:rPr>
            </w:pPr>
            <w:r w:rsidRPr="00343D72">
              <w:rPr>
                <w:rFonts w:ascii="Times New Roman" w:hAnsi="Times New Roman" w:cs="Times New Roman"/>
                <w:i/>
              </w:rPr>
              <w:t>21</w:t>
            </w:r>
          </w:p>
        </w:tc>
      </w:tr>
      <w:tr w:rsidR="00343D72" w:rsidRPr="00343D72" w14:paraId="63D3BC09" w14:textId="77777777" w:rsidTr="00343D72">
        <w:trPr>
          <w:trHeight w:val="612"/>
          <w:jc w:val="center"/>
        </w:trPr>
        <w:tc>
          <w:tcPr>
            <w:tcW w:w="3077" w:type="pct"/>
            <w:tcBorders>
              <w:top w:val="nil"/>
              <w:left w:val="single" w:sz="4" w:space="0" w:color="auto"/>
              <w:bottom w:val="single" w:sz="4" w:space="0" w:color="auto"/>
              <w:right w:val="single" w:sz="4" w:space="0" w:color="auto"/>
            </w:tcBorders>
            <w:shd w:val="clear" w:color="auto" w:fill="auto"/>
            <w:vAlign w:val="center"/>
            <w:hideMark/>
          </w:tcPr>
          <w:p w14:paraId="725164EC" w14:textId="08B49C24" w:rsidR="00343D72" w:rsidRPr="00343D72" w:rsidRDefault="00343D72" w:rsidP="007E06EF">
            <w:pPr>
              <w:rPr>
                <w:rFonts w:ascii="Times New Roman" w:hAnsi="Times New Roman" w:cs="Times New Roman"/>
              </w:rPr>
            </w:pPr>
            <w:r w:rsidRPr="00343D72">
              <w:rPr>
                <w:rFonts w:ascii="Times New Roman" w:hAnsi="Times New Roman" w:cs="Times New Roman"/>
              </w:rPr>
              <w:t>II. Инновационное развитие и моде</w:t>
            </w:r>
            <w:r>
              <w:rPr>
                <w:rFonts w:ascii="Times New Roman" w:hAnsi="Times New Roman" w:cs="Times New Roman"/>
              </w:rPr>
              <w:t>рнизация экономики</w:t>
            </w:r>
            <w:r>
              <w:rPr>
                <w:rFonts w:ascii="Times New Roman" w:hAnsi="Times New Roman" w:cs="Times New Roman"/>
              </w:rPr>
              <w:br/>
              <w:t>(19 программ, без закрытой части)</w:t>
            </w:r>
          </w:p>
        </w:tc>
        <w:tc>
          <w:tcPr>
            <w:tcW w:w="1038" w:type="pct"/>
            <w:tcBorders>
              <w:top w:val="nil"/>
              <w:left w:val="nil"/>
              <w:bottom w:val="single" w:sz="4" w:space="0" w:color="auto"/>
              <w:right w:val="single" w:sz="4" w:space="0" w:color="auto"/>
            </w:tcBorders>
            <w:shd w:val="clear" w:color="auto" w:fill="auto"/>
            <w:noWrap/>
            <w:vAlign w:val="center"/>
            <w:hideMark/>
          </w:tcPr>
          <w:p w14:paraId="37999B62" w14:textId="77777777" w:rsidR="00343D72" w:rsidRPr="00343D72" w:rsidRDefault="00343D72" w:rsidP="007E06EF">
            <w:pPr>
              <w:jc w:val="center"/>
              <w:rPr>
                <w:rFonts w:ascii="Times New Roman" w:hAnsi="Times New Roman" w:cs="Times New Roman"/>
              </w:rPr>
            </w:pPr>
            <w:r w:rsidRPr="00343D72">
              <w:rPr>
                <w:rFonts w:ascii="Times New Roman" w:hAnsi="Times New Roman" w:cs="Times New Roman"/>
              </w:rPr>
              <w:t>3 476 145,1</w:t>
            </w:r>
          </w:p>
        </w:tc>
        <w:tc>
          <w:tcPr>
            <w:tcW w:w="885" w:type="pct"/>
            <w:tcBorders>
              <w:top w:val="nil"/>
              <w:left w:val="nil"/>
              <w:bottom w:val="single" w:sz="4" w:space="0" w:color="auto"/>
              <w:right w:val="single" w:sz="4" w:space="0" w:color="auto"/>
            </w:tcBorders>
            <w:shd w:val="clear" w:color="auto" w:fill="auto"/>
            <w:noWrap/>
            <w:vAlign w:val="center"/>
            <w:hideMark/>
          </w:tcPr>
          <w:p w14:paraId="1AEADCF0" w14:textId="77777777" w:rsidR="00343D72" w:rsidRPr="00343D72" w:rsidRDefault="00343D72" w:rsidP="007E06EF">
            <w:pPr>
              <w:jc w:val="center"/>
              <w:rPr>
                <w:rFonts w:ascii="Times New Roman" w:hAnsi="Times New Roman" w:cs="Times New Roman"/>
              </w:rPr>
            </w:pPr>
            <w:r w:rsidRPr="00343D72">
              <w:rPr>
                <w:rFonts w:ascii="Times New Roman" w:hAnsi="Times New Roman" w:cs="Times New Roman"/>
              </w:rPr>
              <w:t>3 585 142,8</w:t>
            </w:r>
          </w:p>
        </w:tc>
      </w:tr>
      <w:tr w:rsidR="00343D72" w:rsidRPr="00343D72" w14:paraId="712B550F" w14:textId="77777777" w:rsidTr="00343D72">
        <w:trPr>
          <w:trHeight w:val="408"/>
          <w:jc w:val="center"/>
        </w:trPr>
        <w:tc>
          <w:tcPr>
            <w:tcW w:w="3077" w:type="pct"/>
            <w:tcBorders>
              <w:top w:val="nil"/>
              <w:left w:val="single" w:sz="4" w:space="0" w:color="auto"/>
              <w:bottom w:val="single" w:sz="4" w:space="0" w:color="auto"/>
              <w:right w:val="single" w:sz="4" w:space="0" w:color="auto"/>
            </w:tcBorders>
            <w:shd w:val="clear" w:color="auto" w:fill="auto"/>
            <w:vAlign w:val="center"/>
          </w:tcPr>
          <w:p w14:paraId="4CE189F9" w14:textId="77777777" w:rsidR="00343D72" w:rsidRPr="00343D72" w:rsidRDefault="00343D72" w:rsidP="007E06EF">
            <w:pPr>
              <w:rPr>
                <w:rFonts w:ascii="Times New Roman" w:hAnsi="Times New Roman" w:cs="Times New Roman"/>
              </w:rPr>
            </w:pPr>
            <w:r w:rsidRPr="00343D72">
              <w:rPr>
                <w:rFonts w:ascii="Times New Roman" w:hAnsi="Times New Roman" w:cs="Times New Roman"/>
                <w:i/>
              </w:rPr>
              <w:t>доля в общем объеме расходов на реализацию госпрограмм, %</w:t>
            </w:r>
          </w:p>
        </w:tc>
        <w:tc>
          <w:tcPr>
            <w:tcW w:w="1038" w:type="pct"/>
            <w:tcBorders>
              <w:top w:val="nil"/>
              <w:left w:val="nil"/>
              <w:bottom w:val="single" w:sz="4" w:space="0" w:color="auto"/>
              <w:right w:val="single" w:sz="4" w:space="0" w:color="auto"/>
            </w:tcBorders>
            <w:shd w:val="clear" w:color="auto" w:fill="auto"/>
            <w:noWrap/>
            <w:vAlign w:val="center"/>
          </w:tcPr>
          <w:p w14:paraId="0376F418" w14:textId="77777777" w:rsidR="00343D72" w:rsidRPr="00343D72" w:rsidRDefault="00343D72" w:rsidP="007E06EF">
            <w:pPr>
              <w:jc w:val="center"/>
              <w:rPr>
                <w:rFonts w:ascii="Times New Roman" w:hAnsi="Times New Roman" w:cs="Times New Roman"/>
                <w:i/>
              </w:rPr>
            </w:pPr>
            <w:r w:rsidRPr="00343D72">
              <w:rPr>
                <w:rFonts w:ascii="Times New Roman" w:hAnsi="Times New Roman" w:cs="Times New Roman"/>
                <w:i/>
              </w:rPr>
              <w:t>23,8</w:t>
            </w:r>
          </w:p>
        </w:tc>
        <w:tc>
          <w:tcPr>
            <w:tcW w:w="885" w:type="pct"/>
            <w:tcBorders>
              <w:top w:val="nil"/>
              <w:left w:val="nil"/>
              <w:bottom w:val="single" w:sz="4" w:space="0" w:color="auto"/>
              <w:right w:val="single" w:sz="4" w:space="0" w:color="auto"/>
            </w:tcBorders>
            <w:shd w:val="clear" w:color="auto" w:fill="auto"/>
            <w:noWrap/>
            <w:vAlign w:val="center"/>
          </w:tcPr>
          <w:p w14:paraId="057F0002" w14:textId="77777777" w:rsidR="00343D72" w:rsidRPr="00343D72" w:rsidRDefault="00343D72" w:rsidP="007E06EF">
            <w:pPr>
              <w:jc w:val="center"/>
              <w:rPr>
                <w:rFonts w:ascii="Times New Roman" w:hAnsi="Times New Roman" w:cs="Times New Roman"/>
                <w:i/>
              </w:rPr>
            </w:pPr>
            <w:r w:rsidRPr="00343D72">
              <w:rPr>
                <w:rFonts w:ascii="Times New Roman" w:hAnsi="Times New Roman" w:cs="Times New Roman"/>
                <w:i/>
              </w:rPr>
              <w:t>24,6</w:t>
            </w:r>
          </w:p>
        </w:tc>
      </w:tr>
      <w:tr w:rsidR="00343D72" w:rsidRPr="00343D72" w14:paraId="75B6E639" w14:textId="77777777" w:rsidTr="00343D72">
        <w:trPr>
          <w:trHeight w:val="612"/>
          <w:jc w:val="center"/>
        </w:trPr>
        <w:tc>
          <w:tcPr>
            <w:tcW w:w="3077" w:type="pct"/>
            <w:tcBorders>
              <w:top w:val="nil"/>
              <w:left w:val="single" w:sz="4" w:space="0" w:color="auto"/>
              <w:bottom w:val="single" w:sz="4" w:space="0" w:color="auto"/>
              <w:right w:val="single" w:sz="4" w:space="0" w:color="auto"/>
            </w:tcBorders>
            <w:shd w:val="clear" w:color="auto" w:fill="auto"/>
            <w:vAlign w:val="center"/>
            <w:hideMark/>
          </w:tcPr>
          <w:p w14:paraId="13D6C981" w14:textId="77777777" w:rsidR="00343D72" w:rsidRDefault="00343D72" w:rsidP="007E06EF">
            <w:pPr>
              <w:rPr>
                <w:rFonts w:ascii="Times New Roman" w:hAnsi="Times New Roman" w:cs="Times New Roman"/>
              </w:rPr>
            </w:pPr>
            <w:r w:rsidRPr="00343D72">
              <w:rPr>
                <w:rFonts w:ascii="Times New Roman" w:hAnsi="Times New Roman" w:cs="Times New Roman"/>
              </w:rPr>
              <w:t xml:space="preserve">III. Обеспечение национальной безопасности </w:t>
            </w:r>
          </w:p>
          <w:p w14:paraId="266B175D" w14:textId="4469744A" w:rsidR="00343D72" w:rsidRPr="00343D72" w:rsidRDefault="00343D72" w:rsidP="007E06EF">
            <w:pPr>
              <w:rPr>
                <w:rFonts w:ascii="Times New Roman" w:hAnsi="Times New Roman" w:cs="Times New Roman"/>
              </w:rPr>
            </w:pPr>
            <w:r>
              <w:rPr>
                <w:rFonts w:ascii="Times New Roman" w:hAnsi="Times New Roman" w:cs="Times New Roman"/>
              </w:rPr>
              <w:t>(5 программ, без закрытой части)</w:t>
            </w:r>
          </w:p>
        </w:tc>
        <w:tc>
          <w:tcPr>
            <w:tcW w:w="1038" w:type="pct"/>
            <w:tcBorders>
              <w:top w:val="nil"/>
              <w:left w:val="nil"/>
              <w:bottom w:val="single" w:sz="4" w:space="0" w:color="auto"/>
              <w:right w:val="single" w:sz="4" w:space="0" w:color="auto"/>
            </w:tcBorders>
            <w:shd w:val="clear" w:color="auto" w:fill="auto"/>
            <w:noWrap/>
            <w:vAlign w:val="center"/>
            <w:hideMark/>
          </w:tcPr>
          <w:p w14:paraId="756C0873" w14:textId="77777777" w:rsidR="00343D72" w:rsidRPr="00343D72" w:rsidRDefault="00343D72" w:rsidP="007E06EF">
            <w:pPr>
              <w:jc w:val="center"/>
              <w:rPr>
                <w:rFonts w:ascii="Times New Roman" w:hAnsi="Times New Roman" w:cs="Times New Roman"/>
              </w:rPr>
            </w:pPr>
            <w:r w:rsidRPr="00343D72">
              <w:rPr>
                <w:rFonts w:ascii="Times New Roman" w:hAnsi="Times New Roman" w:cs="Times New Roman"/>
              </w:rPr>
              <w:t>2 326 453,4</w:t>
            </w:r>
          </w:p>
        </w:tc>
        <w:tc>
          <w:tcPr>
            <w:tcW w:w="885" w:type="pct"/>
            <w:tcBorders>
              <w:top w:val="nil"/>
              <w:left w:val="nil"/>
              <w:bottom w:val="single" w:sz="4" w:space="0" w:color="auto"/>
              <w:right w:val="single" w:sz="4" w:space="0" w:color="auto"/>
            </w:tcBorders>
            <w:shd w:val="clear" w:color="auto" w:fill="auto"/>
            <w:noWrap/>
            <w:vAlign w:val="center"/>
            <w:hideMark/>
          </w:tcPr>
          <w:p w14:paraId="4C8D106C" w14:textId="77777777" w:rsidR="00343D72" w:rsidRPr="00343D72" w:rsidRDefault="00343D72" w:rsidP="007E06EF">
            <w:pPr>
              <w:jc w:val="center"/>
              <w:rPr>
                <w:rFonts w:ascii="Times New Roman" w:hAnsi="Times New Roman" w:cs="Times New Roman"/>
              </w:rPr>
            </w:pPr>
            <w:r w:rsidRPr="00343D72">
              <w:rPr>
                <w:rFonts w:ascii="Times New Roman" w:hAnsi="Times New Roman" w:cs="Times New Roman"/>
              </w:rPr>
              <w:t>2 415 277,5</w:t>
            </w:r>
          </w:p>
        </w:tc>
      </w:tr>
      <w:tr w:rsidR="00343D72" w:rsidRPr="00343D72" w14:paraId="52991994" w14:textId="77777777" w:rsidTr="00343D72">
        <w:trPr>
          <w:trHeight w:val="408"/>
          <w:jc w:val="center"/>
        </w:trPr>
        <w:tc>
          <w:tcPr>
            <w:tcW w:w="3077" w:type="pct"/>
            <w:tcBorders>
              <w:top w:val="nil"/>
              <w:left w:val="single" w:sz="4" w:space="0" w:color="auto"/>
              <w:bottom w:val="single" w:sz="4" w:space="0" w:color="auto"/>
              <w:right w:val="single" w:sz="4" w:space="0" w:color="auto"/>
            </w:tcBorders>
            <w:shd w:val="clear" w:color="auto" w:fill="auto"/>
            <w:vAlign w:val="center"/>
          </w:tcPr>
          <w:p w14:paraId="04AB165E" w14:textId="77777777" w:rsidR="00343D72" w:rsidRPr="00343D72" w:rsidRDefault="00343D72" w:rsidP="007E06EF">
            <w:pPr>
              <w:rPr>
                <w:rFonts w:ascii="Times New Roman" w:hAnsi="Times New Roman" w:cs="Times New Roman"/>
              </w:rPr>
            </w:pPr>
            <w:r w:rsidRPr="00343D72">
              <w:rPr>
                <w:rFonts w:ascii="Times New Roman" w:hAnsi="Times New Roman" w:cs="Times New Roman"/>
                <w:i/>
              </w:rPr>
              <w:t>доля в общем объеме расходов на реализацию госпрограмм, %</w:t>
            </w:r>
          </w:p>
        </w:tc>
        <w:tc>
          <w:tcPr>
            <w:tcW w:w="1038" w:type="pct"/>
            <w:tcBorders>
              <w:top w:val="nil"/>
              <w:left w:val="nil"/>
              <w:bottom w:val="single" w:sz="4" w:space="0" w:color="auto"/>
              <w:right w:val="single" w:sz="4" w:space="0" w:color="auto"/>
            </w:tcBorders>
            <w:shd w:val="clear" w:color="auto" w:fill="auto"/>
            <w:noWrap/>
            <w:vAlign w:val="center"/>
          </w:tcPr>
          <w:p w14:paraId="3285B8CA" w14:textId="77777777" w:rsidR="00343D72" w:rsidRPr="00343D72" w:rsidRDefault="00343D72" w:rsidP="007E06EF">
            <w:pPr>
              <w:jc w:val="center"/>
              <w:rPr>
                <w:rFonts w:ascii="Times New Roman" w:hAnsi="Times New Roman" w:cs="Times New Roman"/>
                <w:i/>
              </w:rPr>
            </w:pPr>
            <w:r w:rsidRPr="00343D72">
              <w:rPr>
                <w:rFonts w:ascii="Times New Roman" w:hAnsi="Times New Roman" w:cs="Times New Roman"/>
                <w:i/>
              </w:rPr>
              <w:t>15,9</w:t>
            </w:r>
          </w:p>
        </w:tc>
        <w:tc>
          <w:tcPr>
            <w:tcW w:w="885" w:type="pct"/>
            <w:tcBorders>
              <w:top w:val="nil"/>
              <w:left w:val="nil"/>
              <w:bottom w:val="single" w:sz="4" w:space="0" w:color="auto"/>
              <w:right w:val="single" w:sz="4" w:space="0" w:color="auto"/>
            </w:tcBorders>
            <w:shd w:val="clear" w:color="auto" w:fill="auto"/>
            <w:noWrap/>
            <w:vAlign w:val="center"/>
          </w:tcPr>
          <w:p w14:paraId="4F0EF067" w14:textId="77777777" w:rsidR="00343D72" w:rsidRPr="00343D72" w:rsidRDefault="00343D72" w:rsidP="007E06EF">
            <w:pPr>
              <w:jc w:val="center"/>
              <w:rPr>
                <w:rFonts w:ascii="Times New Roman" w:hAnsi="Times New Roman" w:cs="Times New Roman"/>
                <w:i/>
              </w:rPr>
            </w:pPr>
            <w:r w:rsidRPr="00343D72">
              <w:rPr>
                <w:rFonts w:ascii="Times New Roman" w:hAnsi="Times New Roman" w:cs="Times New Roman"/>
                <w:i/>
              </w:rPr>
              <w:t>16,6</w:t>
            </w:r>
          </w:p>
        </w:tc>
      </w:tr>
      <w:tr w:rsidR="00343D72" w:rsidRPr="00343D72" w14:paraId="03629415" w14:textId="77777777" w:rsidTr="00343D72">
        <w:trPr>
          <w:trHeight w:val="612"/>
          <w:jc w:val="center"/>
        </w:trPr>
        <w:tc>
          <w:tcPr>
            <w:tcW w:w="3077" w:type="pct"/>
            <w:tcBorders>
              <w:top w:val="nil"/>
              <w:left w:val="single" w:sz="4" w:space="0" w:color="auto"/>
              <w:bottom w:val="single" w:sz="4" w:space="0" w:color="auto"/>
              <w:right w:val="single" w:sz="4" w:space="0" w:color="auto"/>
            </w:tcBorders>
            <w:shd w:val="clear" w:color="auto" w:fill="auto"/>
            <w:vAlign w:val="center"/>
            <w:hideMark/>
          </w:tcPr>
          <w:p w14:paraId="56771543" w14:textId="77777777" w:rsidR="00343D72" w:rsidRPr="00343D72" w:rsidRDefault="00343D72" w:rsidP="007E06EF">
            <w:pPr>
              <w:rPr>
                <w:rFonts w:ascii="Times New Roman" w:hAnsi="Times New Roman" w:cs="Times New Roman"/>
              </w:rPr>
            </w:pPr>
            <w:r w:rsidRPr="00343D72">
              <w:rPr>
                <w:rFonts w:ascii="Times New Roman" w:hAnsi="Times New Roman" w:cs="Times New Roman"/>
              </w:rPr>
              <w:t>IV. Сбалансированное региональное развитие</w:t>
            </w:r>
            <w:r w:rsidRPr="00343D72">
              <w:rPr>
                <w:rFonts w:ascii="Times New Roman" w:hAnsi="Times New Roman" w:cs="Times New Roman"/>
              </w:rPr>
              <w:br/>
              <w:t>(6 программ)</w:t>
            </w:r>
          </w:p>
        </w:tc>
        <w:tc>
          <w:tcPr>
            <w:tcW w:w="1038" w:type="pct"/>
            <w:tcBorders>
              <w:top w:val="nil"/>
              <w:left w:val="nil"/>
              <w:bottom w:val="single" w:sz="4" w:space="0" w:color="auto"/>
              <w:right w:val="single" w:sz="4" w:space="0" w:color="auto"/>
            </w:tcBorders>
            <w:shd w:val="clear" w:color="auto" w:fill="auto"/>
            <w:noWrap/>
            <w:vAlign w:val="center"/>
            <w:hideMark/>
          </w:tcPr>
          <w:p w14:paraId="317784A8" w14:textId="77777777" w:rsidR="00343D72" w:rsidRPr="00343D72" w:rsidRDefault="00343D72" w:rsidP="007E06EF">
            <w:pPr>
              <w:jc w:val="center"/>
              <w:rPr>
                <w:rFonts w:ascii="Times New Roman" w:hAnsi="Times New Roman" w:cs="Times New Roman"/>
              </w:rPr>
            </w:pPr>
            <w:r w:rsidRPr="00343D72">
              <w:rPr>
                <w:rFonts w:ascii="Times New Roman" w:hAnsi="Times New Roman" w:cs="Times New Roman"/>
              </w:rPr>
              <w:t>1 270 601,7</w:t>
            </w:r>
          </w:p>
        </w:tc>
        <w:tc>
          <w:tcPr>
            <w:tcW w:w="885" w:type="pct"/>
            <w:tcBorders>
              <w:top w:val="nil"/>
              <w:left w:val="nil"/>
              <w:bottom w:val="single" w:sz="4" w:space="0" w:color="auto"/>
              <w:right w:val="single" w:sz="4" w:space="0" w:color="auto"/>
            </w:tcBorders>
            <w:shd w:val="clear" w:color="auto" w:fill="auto"/>
            <w:noWrap/>
            <w:vAlign w:val="center"/>
            <w:hideMark/>
          </w:tcPr>
          <w:p w14:paraId="5128E84A" w14:textId="77777777" w:rsidR="00343D72" w:rsidRPr="00343D72" w:rsidRDefault="00343D72" w:rsidP="007E06EF">
            <w:pPr>
              <w:jc w:val="center"/>
              <w:rPr>
                <w:rFonts w:ascii="Times New Roman" w:hAnsi="Times New Roman" w:cs="Times New Roman"/>
              </w:rPr>
            </w:pPr>
            <w:r w:rsidRPr="00343D72">
              <w:rPr>
                <w:rFonts w:ascii="Times New Roman" w:hAnsi="Times New Roman" w:cs="Times New Roman"/>
              </w:rPr>
              <w:t>1 174 192,4</w:t>
            </w:r>
          </w:p>
        </w:tc>
      </w:tr>
      <w:tr w:rsidR="00343D72" w:rsidRPr="00343D72" w14:paraId="054E77AA" w14:textId="77777777" w:rsidTr="00343D72">
        <w:trPr>
          <w:trHeight w:val="408"/>
          <w:jc w:val="center"/>
        </w:trPr>
        <w:tc>
          <w:tcPr>
            <w:tcW w:w="3077" w:type="pct"/>
            <w:tcBorders>
              <w:top w:val="nil"/>
              <w:left w:val="single" w:sz="4" w:space="0" w:color="auto"/>
              <w:bottom w:val="single" w:sz="4" w:space="0" w:color="auto"/>
              <w:right w:val="single" w:sz="4" w:space="0" w:color="auto"/>
            </w:tcBorders>
            <w:shd w:val="clear" w:color="auto" w:fill="auto"/>
            <w:vAlign w:val="center"/>
          </w:tcPr>
          <w:p w14:paraId="77D7A7AB" w14:textId="77777777" w:rsidR="00343D72" w:rsidRPr="00343D72" w:rsidRDefault="00343D72" w:rsidP="007E06EF">
            <w:pPr>
              <w:rPr>
                <w:rFonts w:ascii="Times New Roman" w:hAnsi="Times New Roman" w:cs="Times New Roman"/>
              </w:rPr>
            </w:pPr>
            <w:r w:rsidRPr="00343D72">
              <w:rPr>
                <w:rFonts w:ascii="Times New Roman" w:hAnsi="Times New Roman" w:cs="Times New Roman"/>
                <w:i/>
              </w:rPr>
              <w:t>доля в общем объеме расходов на реализацию госпрограмм, %</w:t>
            </w:r>
          </w:p>
        </w:tc>
        <w:tc>
          <w:tcPr>
            <w:tcW w:w="1038" w:type="pct"/>
            <w:tcBorders>
              <w:top w:val="nil"/>
              <w:left w:val="nil"/>
              <w:bottom w:val="single" w:sz="4" w:space="0" w:color="auto"/>
              <w:right w:val="single" w:sz="4" w:space="0" w:color="auto"/>
            </w:tcBorders>
            <w:shd w:val="clear" w:color="auto" w:fill="auto"/>
            <w:noWrap/>
            <w:vAlign w:val="center"/>
          </w:tcPr>
          <w:p w14:paraId="2748343F" w14:textId="77777777" w:rsidR="00343D72" w:rsidRPr="00343D72" w:rsidRDefault="00343D72" w:rsidP="007E06EF">
            <w:pPr>
              <w:jc w:val="center"/>
              <w:rPr>
                <w:rFonts w:ascii="Times New Roman" w:hAnsi="Times New Roman" w:cs="Times New Roman"/>
                <w:i/>
              </w:rPr>
            </w:pPr>
            <w:r w:rsidRPr="00343D72">
              <w:rPr>
                <w:rFonts w:ascii="Times New Roman" w:hAnsi="Times New Roman" w:cs="Times New Roman"/>
                <w:i/>
              </w:rPr>
              <w:t>8,7</w:t>
            </w:r>
          </w:p>
        </w:tc>
        <w:tc>
          <w:tcPr>
            <w:tcW w:w="885" w:type="pct"/>
            <w:tcBorders>
              <w:top w:val="nil"/>
              <w:left w:val="nil"/>
              <w:bottom w:val="single" w:sz="4" w:space="0" w:color="auto"/>
              <w:right w:val="single" w:sz="4" w:space="0" w:color="auto"/>
            </w:tcBorders>
            <w:shd w:val="clear" w:color="auto" w:fill="auto"/>
            <w:noWrap/>
            <w:vAlign w:val="center"/>
          </w:tcPr>
          <w:p w14:paraId="180928BC" w14:textId="77777777" w:rsidR="00343D72" w:rsidRPr="00343D72" w:rsidRDefault="00343D72" w:rsidP="007E06EF">
            <w:pPr>
              <w:jc w:val="center"/>
              <w:rPr>
                <w:rFonts w:ascii="Times New Roman" w:hAnsi="Times New Roman" w:cs="Times New Roman"/>
                <w:i/>
              </w:rPr>
            </w:pPr>
            <w:r w:rsidRPr="00343D72">
              <w:rPr>
                <w:rFonts w:ascii="Times New Roman" w:hAnsi="Times New Roman" w:cs="Times New Roman"/>
                <w:i/>
              </w:rPr>
              <w:t>8,1</w:t>
            </w:r>
          </w:p>
        </w:tc>
      </w:tr>
      <w:tr w:rsidR="00343D72" w:rsidRPr="00343D72" w14:paraId="5A365ED0" w14:textId="77777777" w:rsidTr="00343D72">
        <w:trPr>
          <w:trHeight w:val="408"/>
          <w:jc w:val="center"/>
        </w:trPr>
        <w:tc>
          <w:tcPr>
            <w:tcW w:w="3077" w:type="pct"/>
            <w:tcBorders>
              <w:top w:val="nil"/>
              <w:left w:val="single" w:sz="4" w:space="0" w:color="auto"/>
              <w:bottom w:val="single" w:sz="4" w:space="0" w:color="auto"/>
              <w:right w:val="single" w:sz="4" w:space="0" w:color="auto"/>
            </w:tcBorders>
            <w:shd w:val="clear" w:color="auto" w:fill="auto"/>
            <w:vAlign w:val="center"/>
            <w:hideMark/>
          </w:tcPr>
          <w:p w14:paraId="2E516503" w14:textId="6D457062" w:rsidR="00343D72" w:rsidRPr="00343D72" w:rsidRDefault="00343D72" w:rsidP="007E06EF">
            <w:pPr>
              <w:rPr>
                <w:rFonts w:ascii="Times New Roman" w:hAnsi="Times New Roman" w:cs="Times New Roman"/>
              </w:rPr>
            </w:pPr>
            <w:r w:rsidRPr="00343D72">
              <w:rPr>
                <w:rFonts w:ascii="Times New Roman" w:hAnsi="Times New Roman" w:cs="Times New Roman"/>
              </w:rPr>
              <w:t>V. Эффек</w:t>
            </w:r>
            <w:r>
              <w:rPr>
                <w:rFonts w:ascii="Times New Roman" w:hAnsi="Times New Roman" w:cs="Times New Roman"/>
              </w:rPr>
              <w:t>тивное государство</w:t>
            </w:r>
            <w:r>
              <w:rPr>
                <w:rFonts w:ascii="Times New Roman" w:hAnsi="Times New Roman" w:cs="Times New Roman"/>
              </w:rPr>
              <w:br/>
              <w:t>(3 программы</w:t>
            </w:r>
            <w:r w:rsidRPr="00343D72">
              <w:rPr>
                <w:rFonts w:ascii="Times New Roman" w:hAnsi="Times New Roman" w:cs="Times New Roman"/>
              </w:rPr>
              <w:t>, без закрытой части</w:t>
            </w:r>
            <w:r>
              <w:rPr>
                <w:rFonts w:ascii="Times New Roman" w:hAnsi="Times New Roman" w:cs="Times New Roman"/>
              </w:rPr>
              <w:t>)</w:t>
            </w:r>
          </w:p>
        </w:tc>
        <w:tc>
          <w:tcPr>
            <w:tcW w:w="1038" w:type="pct"/>
            <w:tcBorders>
              <w:top w:val="nil"/>
              <w:left w:val="nil"/>
              <w:bottom w:val="single" w:sz="4" w:space="0" w:color="auto"/>
              <w:right w:val="single" w:sz="4" w:space="0" w:color="auto"/>
            </w:tcBorders>
            <w:shd w:val="clear" w:color="auto" w:fill="auto"/>
            <w:noWrap/>
            <w:vAlign w:val="center"/>
            <w:hideMark/>
          </w:tcPr>
          <w:p w14:paraId="039CFD09" w14:textId="77777777" w:rsidR="00343D72" w:rsidRPr="00343D72" w:rsidRDefault="00343D72" w:rsidP="007E06EF">
            <w:pPr>
              <w:jc w:val="center"/>
              <w:rPr>
                <w:rFonts w:ascii="Times New Roman" w:hAnsi="Times New Roman" w:cs="Times New Roman"/>
              </w:rPr>
            </w:pPr>
            <w:r w:rsidRPr="00343D72">
              <w:rPr>
                <w:rFonts w:ascii="Times New Roman" w:hAnsi="Times New Roman" w:cs="Times New Roman"/>
              </w:rPr>
              <w:t>1 896 808,8</w:t>
            </w:r>
          </w:p>
        </w:tc>
        <w:tc>
          <w:tcPr>
            <w:tcW w:w="885" w:type="pct"/>
            <w:tcBorders>
              <w:top w:val="nil"/>
              <w:left w:val="nil"/>
              <w:bottom w:val="single" w:sz="4" w:space="0" w:color="auto"/>
              <w:right w:val="single" w:sz="4" w:space="0" w:color="auto"/>
            </w:tcBorders>
            <w:shd w:val="clear" w:color="auto" w:fill="auto"/>
            <w:noWrap/>
            <w:vAlign w:val="center"/>
            <w:hideMark/>
          </w:tcPr>
          <w:p w14:paraId="38A3E6AF" w14:textId="77777777" w:rsidR="00343D72" w:rsidRPr="00343D72" w:rsidRDefault="00343D72" w:rsidP="007E06EF">
            <w:pPr>
              <w:jc w:val="center"/>
              <w:rPr>
                <w:rFonts w:ascii="Times New Roman" w:hAnsi="Times New Roman" w:cs="Times New Roman"/>
              </w:rPr>
            </w:pPr>
            <w:r w:rsidRPr="00343D72">
              <w:rPr>
                <w:rFonts w:ascii="Times New Roman" w:hAnsi="Times New Roman" w:cs="Times New Roman"/>
              </w:rPr>
              <w:t>1 637 881,7</w:t>
            </w:r>
          </w:p>
        </w:tc>
      </w:tr>
      <w:tr w:rsidR="00343D72" w:rsidRPr="00343D72" w14:paraId="023519AD" w14:textId="77777777" w:rsidTr="00343D72">
        <w:trPr>
          <w:trHeight w:val="408"/>
          <w:jc w:val="center"/>
        </w:trPr>
        <w:tc>
          <w:tcPr>
            <w:tcW w:w="3077" w:type="pct"/>
            <w:tcBorders>
              <w:top w:val="nil"/>
              <w:left w:val="single" w:sz="4" w:space="0" w:color="auto"/>
              <w:bottom w:val="single" w:sz="4" w:space="0" w:color="auto"/>
              <w:right w:val="single" w:sz="4" w:space="0" w:color="auto"/>
            </w:tcBorders>
            <w:shd w:val="clear" w:color="auto" w:fill="auto"/>
            <w:vAlign w:val="center"/>
          </w:tcPr>
          <w:p w14:paraId="72E04793" w14:textId="77777777" w:rsidR="00343D72" w:rsidRPr="00343D72" w:rsidRDefault="00343D72" w:rsidP="007E06EF">
            <w:pPr>
              <w:rPr>
                <w:rFonts w:ascii="Times New Roman" w:hAnsi="Times New Roman" w:cs="Times New Roman"/>
              </w:rPr>
            </w:pPr>
            <w:r w:rsidRPr="00343D72">
              <w:rPr>
                <w:rFonts w:ascii="Times New Roman" w:hAnsi="Times New Roman" w:cs="Times New Roman"/>
                <w:i/>
              </w:rPr>
              <w:t>доля в общем объеме расходов на реализацию госпрограмм, %</w:t>
            </w:r>
          </w:p>
        </w:tc>
        <w:tc>
          <w:tcPr>
            <w:tcW w:w="1038" w:type="pct"/>
            <w:tcBorders>
              <w:top w:val="nil"/>
              <w:left w:val="nil"/>
              <w:bottom w:val="single" w:sz="4" w:space="0" w:color="auto"/>
              <w:right w:val="single" w:sz="4" w:space="0" w:color="auto"/>
            </w:tcBorders>
            <w:shd w:val="clear" w:color="auto" w:fill="auto"/>
            <w:noWrap/>
            <w:vAlign w:val="center"/>
          </w:tcPr>
          <w:p w14:paraId="2126C678" w14:textId="77777777" w:rsidR="00343D72" w:rsidRPr="00343D72" w:rsidRDefault="00343D72" w:rsidP="007E06EF">
            <w:pPr>
              <w:jc w:val="center"/>
              <w:rPr>
                <w:rFonts w:ascii="Times New Roman" w:hAnsi="Times New Roman" w:cs="Times New Roman"/>
                <w:i/>
              </w:rPr>
            </w:pPr>
            <w:r w:rsidRPr="00343D72">
              <w:rPr>
                <w:rFonts w:ascii="Times New Roman" w:hAnsi="Times New Roman" w:cs="Times New Roman"/>
                <w:i/>
              </w:rPr>
              <w:t>12,9</w:t>
            </w:r>
          </w:p>
        </w:tc>
        <w:tc>
          <w:tcPr>
            <w:tcW w:w="885" w:type="pct"/>
            <w:tcBorders>
              <w:top w:val="nil"/>
              <w:left w:val="nil"/>
              <w:bottom w:val="single" w:sz="4" w:space="0" w:color="auto"/>
              <w:right w:val="single" w:sz="4" w:space="0" w:color="auto"/>
            </w:tcBorders>
            <w:shd w:val="clear" w:color="auto" w:fill="auto"/>
            <w:noWrap/>
            <w:vAlign w:val="center"/>
          </w:tcPr>
          <w:p w14:paraId="6798AB01" w14:textId="77777777" w:rsidR="00343D72" w:rsidRPr="00343D72" w:rsidRDefault="00343D72" w:rsidP="007E06EF">
            <w:pPr>
              <w:jc w:val="center"/>
              <w:rPr>
                <w:rFonts w:ascii="Times New Roman" w:hAnsi="Times New Roman" w:cs="Times New Roman"/>
                <w:i/>
              </w:rPr>
            </w:pPr>
            <w:r w:rsidRPr="00343D72">
              <w:rPr>
                <w:rFonts w:ascii="Times New Roman" w:hAnsi="Times New Roman" w:cs="Times New Roman"/>
                <w:i/>
              </w:rPr>
              <w:t>11,2</w:t>
            </w:r>
          </w:p>
        </w:tc>
      </w:tr>
      <w:tr w:rsidR="00343D72" w:rsidRPr="00343D72" w14:paraId="24C23E04" w14:textId="77777777" w:rsidTr="00343D72">
        <w:trPr>
          <w:trHeight w:val="612"/>
          <w:jc w:val="center"/>
        </w:trPr>
        <w:tc>
          <w:tcPr>
            <w:tcW w:w="3077" w:type="pct"/>
            <w:tcBorders>
              <w:top w:val="nil"/>
              <w:left w:val="single" w:sz="4" w:space="0" w:color="auto"/>
              <w:bottom w:val="single" w:sz="4" w:space="0" w:color="auto"/>
              <w:right w:val="single" w:sz="4" w:space="0" w:color="auto"/>
            </w:tcBorders>
            <w:shd w:val="clear" w:color="auto" w:fill="auto"/>
            <w:vAlign w:val="center"/>
            <w:hideMark/>
          </w:tcPr>
          <w:p w14:paraId="4A26A2AA" w14:textId="77777777" w:rsidR="00343D72" w:rsidRPr="00343D72" w:rsidRDefault="00343D72" w:rsidP="007E06EF">
            <w:pPr>
              <w:rPr>
                <w:rFonts w:ascii="Times New Roman" w:hAnsi="Times New Roman" w:cs="Times New Roman"/>
              </w:rPr>
            </w:pPr>
            <w:r w:rsidRPr="00343D72">
              <w:rPr>
                <w:rFonts w:ascii="Times New Roman" w:hAnsi="Times New Roman" w:cs="Times New Roman"/>
              </w:rPr>
              <w:t>Расходы на реализацию государственных программ (закрытая часть)</w:t>
            </w:r>
          </w:p>
        </w:tc>
        <w:tc>
          <w:tcPr>
            <w:tcW w:w="1038" w:type="pct"/>
            <w:tcBorders>
              <w:top w:val="nil"/>
              <w:left w:val="nil"/>
              <w:bottom w:val="single" w:sz="4" w:space="0" w:color="auto"/>
              <w:right w:val="single" w:sz="4" w:space="0" w:color="auto"/>
            </w:tcBorders>
            <w:shd w:val="clear" w:color="auto" w:fill="auto"/>
            <w:noWrap/>
            <w:vAlign w:val="center"/>
            <w:hideMark/>
          </w:tcPr>
          <w:p w14:paraId="473B4307" w14:textId="77777777" w:rsidR="00343D72" w:rsidRPr="00343D72" w:rsidRDefault="00343D72" w:rsidP="007E06EF">
            <w:pPr>
              <w:jc w:val="center"/>
              <w:rPr>
                <w:rFonts w:ascii="Times New Roman" w:hAnsi="Times New Roman" w:cs="Times New Roman"/>
              </w:rPr>
            </w:pPr>
            <w:r w:rsidRPr="00343D72">
              <w:rPr>
                <w:rFonts w:ascii="Times New Roman" w:hAnsi="Times New Roman" w:cs="Times New Roman"/>
              </w:rPr>
              <w:t>2 877 672,8</w:t>
            </w:r>
          </w:p>
        </w:tc>
        <w:tc>
          <w:tcPr>
            <w:tcW w:w="885" w:type="pct"/>
            <w:tcBorders>
              <w:top w:val="nil"/>
              <w:left w:val="nil"/>
              <w:bottom w:val="single" w:sz="4" w:space="0" w:color="auto"/>
              <w:right w:val="single" w:sz="4" w:space="0" w:color="auto"/>
            </w:tcBorders>
            <w:shd w:val="clear" w:color="auto" w:fill="auto"/>
            <w:noWrap/>
            <w:vAlign w:val="center"/>
            <w:hideMark/>
          </w:tcPr>
          <w:p w14:paraId="47874A45" w14:textId="77777777" w:rsidR="00343D72" w:rsidRPr="00343D72" w:rsidRDefault="00343D72" w:rsidP="007E06EF">
            <w:pPr>
              <w:jc w:val="center"/>
              <w:rPr>
                <w:rFonts w:ascii="Times New Roman" w:hAnsi="Times New Roman" w:cs="Times New Roman"/>
              </w:rPr>
            </w:pPr>
            <w:r w:rsidRPr="00343D72">
              <w:rPr>
                <w:rFonts w:ascii="Times New Roman" w:hAnsi="Times New Roman" w:cs="Times New Roman"/>
              </w:rPr>
              <w:t>2 690 074,5</w:t>
            </w:r>
          </w:p>
        </w:tc>
      </w:tr>
      <w:tr w:rsidR="00343D72" w:rsidRPr="00343D72" w14:paraId="458762F6" w14:textId="77777777" w:rsidTr="00343D72">
        <w:trPr>
          <w:trHeight w:val="408"/>
          <w:jc w:val="center"/>
        </w:trPr>
        <w:tc>
          <w:tcPr>
            <w:tcW w:w="3077" w:type="pct"/>
            <w:tcBorders>
              <w:top w:val="nil"/>
              <w:left w:val="single" w:sz="4" w:space="0" w:color="auto"/>
              <w:bottom w:val="single" w:sz="4" w:space="0" w:color="auto"/>
              <w:right w:val="single" w:sz="4" w:space="0" w:color="auto"/>
            </w:tcBorders>
            <w:shd w:val="clear" w:color="auto" w:fill="auto"/>
            <w:vAlign w:val="center"/>
          </w:tcPr>
          <w:p w14:paraId="4AD1E164" w14:textId="77777777" w:rsidR="00343D72" w:rsidRPr="00343D72" w:rsidRDefault="00343D72" w:rsidP="007E06EF">
            <w:pPr>
              <w:rPr>
                <w:rFonts w:ascii="Times New Roman" w:hAnsi="Times New Roman" w:cs="Times New Roman"/>
                <w:i/>
              </w:rPr>
            </w:pPr>
            <w:r w:rsidRPr="00343D72">
              <w:rPr>
                <w:rFonts w:ascii="Times New Roman" w:hAnsi="Times New Roman" w:cs="Times New Roman"/>
                <w:i/>
              </w:rPr>
              <w:t>доля в общем объеме расходов на реализацию госпрограмм, %</w:t>
            </w:r>
          </w:p>
        </w:tc>
        <w:tc>
          <w:tcPr>
            <w:tcW w:w="1038" w:type="pct"/>
            <w:tcBorders>
              <w:top w:val="nil"/>
              <w:left w:val="nil"/>
              <w:bottom w:val="single" w:sz="4" w:space="0" w:color="auto"/>
              <w:right w:val="single" w:sz="4" w:space="0" w:color="auto"/>
            </w:tcBorders>
            <w:shd w:val="clear" w:color="auto" w:fill="auto"/>
            <w:noWrap/>
            <w:vAlign w:val="center"/>
          </w:tcPr>
          <w:p w14:paraId="70C08D2C" w14:textId="77777777" w:rsidR="00343D72" w:rsidRPr="00343D72" w:rsidRDefault="00343D72" w:rsidP="007E06EF">
            <w:pPr>
              <w:jc w:val="center"/>
              <w:rPr>
                <w:rFonts w:ascii="Times New Roman" w:hAnsi="Times New Roman" w:cs="Times New Roman"/>
                <w:i/>
              </w:rPr>
            </w:pPr>
            <w:r w:rsidRPr="00343D72">
              <w:rPr>
                <w:rFonts w:ascii="Times New Roman" w:hAnsi="Times New Roman" w:cs="Times New Roman"/>
                <w:i/>
              </w:rPr>
              <w:t>19,7</w:t>
            </w:r>
          </w:p>
        </w:tc>
        <w:tc>
          <w:tcPr>
            <w:tcW w:w="885" w:type="pct"/>
            <w:tcBorders>
              <w:top w:val="nil"/>
              <w:left w:val="nil"/>
              <w:bottom w:val="single" w:sz="4" w:space="0" w:color="auto"/>
              <w:right w:val="single" w:sz="4" w:space="0" w:color="auto"/>
            </w:tcBorders>
            <w:shd w:val="clear" w:color="auto" w:fill="auto"/>
            <w:noWrap/>
            <w:vAlign w:val="center"/>
          </w:tcPr>
          <w:p w14:paraId="25F4B4A4" w14:textId="77777777" w:rsidR="00343D72" w:rsidRPr="00343D72" w:rsidRDefault="00343D72" w:rsidP="007E06EF">
            <w:pPr>
              <w:jc w:val="center"/>
              <w:rPr>
                <w:rFonts w:ascii="Times New Roman" w:hAnsi="Times New Roman" w:cs="Times New Roman"/>
                <w:i/>
              </w:rPr>
            </w:pPr>
            <w:r w:rsidRPr="00343D72">
              <w:rPr>
                <w:rFonts w:ascii="Times New Roman" w:hAnsi="Times New Roman" w:cs="Times New Roman"/>
                <w:i/>
              </w:rPr>
              <w:t>18,5</w:t>
            </w:r>
          </w:p>
        </w:tc>
      </w:tr>
      <w:tr w:rsidR="00343D72" w:rsidRPr="00343D72" w14:paraId="0B684B1A" w14:textId="77777777" w:rsidTr="00343D72">
        <w:trPr>
          <w:trHeight w:val="612"/>
          <w:jc w:val="center"/>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75EC4810" w14:textId="2D3E62BE" w:rsidR="00343D72" w:rsidRPr="00343D72" w:rsidRDefault="00343D72" w:rsidP="007E06EF">
            <w:pPr>
              <w:rPr>
                <w:rFonts w:ascii="Times New Roman" w:hAnsi="Times New Roman" w:cs="Times New Roman"/>
                <w:b/>
                <w:color w:val="000000"/>
              </w:rPr>
            </w:pPr>
            <w:r>
              <w:rPr>
                <w:rFonts w:ascii="Times New Roman" w:hAnsi="Times New Roman" w:cs="Times New Roman"/>
                <w:b/>
              </w:rPr>
              <w:t>Доля программных</w:t>
            </w:r>
            <w:r w:rsidRPr="00343D72">
              <w:rPr>
                <w:rFonts w:ascii="Times New Roman" w:hAnsi="Times New Roman" w:cs="Times New Roman"/>
                <w:b/>
              </w:rPr>
              <w:t xml:space="preserve"> расходов федерального бюджета, %</w:t>
            </w:r>
          </w:p>
        </w:tc>
        <w:tc>
          <w:tcPr>
            <w:tcW w:w="1038" w:type="pct"/>
            <w:tcBorders>
              <w:top w:val="single" w:sz="4" w:space="0" w:color="auto"/>
              <w:left w:val="nil"/>
              <w:bottom w:val="single" w:sz="4" w:space="0" w:color="auto"/>
              <w:right w:val="single" w:sz="4" w:space="0" w:color="auto"/>
            </w:tcBorders>
            <w:shd w:val="clear" w:color="auto" w:fill="auto"/>
            <w:noWrap/>
            <w:vAlign w:val="center"/>
          </w:tcPr>
          <w:p w14:paraId="04957FB5" w14:textId="77777777" w:rsidR="00343D72" w:rsidRPr="00343D72" w:rsidRDefault="00343D72" w:rsidP="007E06EF">
            <w:pPr>
              <w:jc w:val="center"/>
              <w:rPr>
                <w:rFonts w:ascii="Times New Roman" w:hAnsi="Times New Roman" w:cs="Times New Roman"/>
                <w:b/>
                <w:color w:val="000000"/>
              </w:rPr>
            </w:pPr>
            <w:r w:rsidRPr="00343D72">
              <w:rPr>
                <w:rFonts w:ascii="Times New Roman" w:hAnsi="Times New Roman" w:cs="Times New Roman"/>
                <w:b/>
                <w:color w:val="000000"/>
              </w:rPr>
              <w:t>76</w:t>
            </w:r>
          </w:p>
        </w:tc>
        <w:tc>
          <w:tcPr>
            <w:tcW w:w="885" w:type="pct"/>
            <w:tcBorders>
              <w:top w:val="single" w:sz="4" w:space="0" w:color="auto"/>
              <w:left w:val="nil"/>
              <w:bottom w:val="single" w:sz="4" w:space="0" w:color="auto"/>
              <w:right w:val="single" w:sz="4" w:space="0" w:color="auto"/>
            </w:tcBorders>
            <w:shd w:val="clear" w:color="auto" w:fill="auto"/>
            <w:noWrap/>
            <w:vAlign w:val="center"/>
          </w:tcPr>
          <w:p w14:paraId="7650F9D3" w14:textId="77777777" w:rsidR="00343D72" w:rsidRPr="00343D72" w:rsidRDefault="00343D72" w:rsidP="007E06EF">
            <w:pPr>
              <w:jc w:val="center"/>
              <w:rPr>
                <w:rFonts w:ascii="Times New Roman" w:hAnsi="Times New Roman" w:cs="Times New Roman"/>
                <w:b/>
                <w:color w:val="000000"/>
              </w:rPr>
            </w:pPr>
            <w:r w:rsidRPr="00343D72">
              <w:rPr>
                <w:rFonts w:ascii="Times New Roman" w:hAnsi="Times New Roman" w:cs="Times New Roman"/>
                <w:b/>
                <w:color w:val="000000"/>
              </w:rPr>
              <w:t>75</w:t>
            </w:r>
          </w:p>
        </w:tc>
      </w:tr>
    </w:tbl>
    <w:p w14:paraId="3B15EC3A" w14:textId="77777777" w:rsidR="007E06EF" w:rsidRPr="00343D72" w:rsidRDefault="007E06EF" w:rsidP="007E06EF">
      <w:pPr>
        <w:pStyle w:val="af1"/>
        <w:ind w:firstLine="709"/>
        <w:jc w:val="both"/>
        <w:rPr>
          <w:rFonts w:ascii="Times New Roman" w:hAnsi="Times New Roman"/>
          <w:sz w:val="28"/>
          <w:szCs w:val="28"/>
        </w:rPr>
      </w:pPr>
    </w:p>
    <w:p w14:paraId="0D6F4F17" w14:textId="77777777" w:rsidR="00343D72" w:rsidRDefault="007E06EF" w:rsidP="00343D72">
      <w:pPr>
        <w:pStyle w:val="af1"/>
        <w:spacing w:line="360" w:lineRule="auto"/>
        <w:ind w:firstLine="709"/>
        <w:jc w:val="both"/>
        <w:rPr>
          <w:rFonts w:ascii="Times New Roman" w:hAnsi="Times New Roman"/>
          <w:sz w:val="28"/>
          <w:szCs w:val="28"/>
        </w:rPr>
      </w:pPr>
      <w:r w:rsidRPr="00343D72">
        <w:rPr>
          <w:rFonts w:ascii="Times New Roman" w:hAnsi="Times New Roman"/>
          <w:sz w:val="28"/>
          <w:szCs w:val="28"/>
        </w:rPr>
        <w:t>Наибольшую долю расходов в структ</w:t>
      </w:r>
      <w:r w:rsidR="00343D72">
        <w:rPr>
          <w:rFonts w:ascii="Times New Roman" w:hAnsi="Times New Roman"/>
          <w:sz w:val="28"/>
          <w:szCs w:val="28"/>
        </w:rPr>
        <w:t>уре программного бюджета занимаю</w:t>
      </w:r>
      <w:r w:rsidRPr="00343D72">
        <w:rPr>
          <w:rFonts w:ascii="Times New Roman" w:hAnsi="Times New Roman"/>
          <w:sz w:val="28"/>
          <w:szCs w:val="28"/>
        </w:rPr>
        <w:t xml:space="preserve">т </w:t>
      </w:r>
      <w:r w:rsidR="00343D72">
        <w:rPr>
          <w:rFonts w:ascii="Times New Roman" w:hAnsi="Times New Roman"/>
          <w:sz w:val="28"/>
          <w:szCs w:val="28"/>
        </w:rPr>
        <w:t>расходы на финансирование государственных программ Российской Федерации по направлению</w:t>
      </w:r>
      <w:r w:rsidRPr="00343D72">
        <w:rPr>
          <w:rFonts w:ascii="Times New Roman" w:hAnsi="Times New Roman"/>
          <w:sz w:val="28"/>
          <w:szCs w:val="28"/>
        </w:rPr>
        <w:t xml:space="preserve"> «Инновационное развитие и модернизация экономики», причем доля расходов по программам, приходящимся на это направление продолжает увеличиваться. Наименьшая доля приходится на </w:t>
      </w:r>
      <w:r w:rsidR="00343D72">
        <w:rPr>
          <w:rFonts w:ascii="Times New Roman" w:hAnsi="Times New Roman"/>
          <w:sz w:val="28"/>
          <w:szCs w:val="28"/>
        </w:rPr>
        <w:t xml:space="preserve">программные расходы по </w:t>
      </w:r>
      <w:r w:rsidRPr="00343D72">
        <w:rPr>
          <w:rFonts w:ascii="Times New Roman" w:hAnsi="Times New Roman"/>
          <w:sz w:val="28"/>
          <w:szCs w:val="28"/>
        </w:rPr>
        <w:t>направлени</w:t>
      </w:r>
      <w:r w:rsidR="00343D72">
        <w:rPr>
          <w:rFonts w:ascii="Times New Roman" w:hAnsi="Times New Roman"/>
          <w:sz w:val="28"/>
          <w:szCs w:val="28"/>
        </w:rPr>
        <w:t>ю</w:t>
      </w:r>
      <w:r w:rsidRPr="00343D72">
        <w:rPr>
          <w:rFonts w:ascii="Times New Roman" w:hAnsi="Times New Roman"/>
          <w:sz w:val="28"/>
          <w:szCs w:val="28"/>
        </w:rPr>
        <w:t xml:space="preserve"> «Сбалансированное региональное развитие.</w:t>
      </w:r>
    </w:p>
    <w:p w14:paraId="56499FE0" w14:textId="0F7849D4" w:rsidR="008A1A5C" w:rsidRDefault="007E06EF" w:rsidP="008A1A5C">
      <w:pPr>
        <w:pStyle w:val="af1"/>
        <w:spacing w:line="360" w:lineRule="auto"/>
        <w:ind w:firstLine="709"/>
        <w:jc w:val="both"/>
        <w:rPr>
          <w:rFonts w:ascii="Times New Roman" w:hAnsi="Times New Roman"/>
          <w:sz w:val="28"/>
          <w:szCs w:val="28"/>
        </w:rPr>
      </w:pPr>
      <w:r w:rsidRPr="00343D72">
        <w:rPr>
          <w:rFonts w:ascii="Times New Roman" w:hAnsi="Times New Roman"/>
          <w:sz w:val="28"/>
          <w:szCs w:val="28"/>
        </w:rPr>
        <w:lastRenderedPageBreak/>
        <w:t>Влияние бюджета на экономику страны характеризует такой показатель</w:t>
      </w:r>
      <w:r w:rsidR="008A1A5C">
        <w:rPr>
          <w:rFonts w:ascii="Times New Roman" w:hAnsi="Times New Roman"/>
          <w:sz w:val="28"/>
          <w:szCs w:val="28"/>
        </w:rPr>
        <w:t>,</w:t>
      </w:r>
      <w:r w:rsidRPr="00343D72">
        <w:rPr>
          <w:rFonts w:ascii="Times New Roman" w:hAnsi="Times New Roman"/>
          <w:sz w:val="28"/>
          <w:szCs w:val="28"/>
        </w:rPr>
        <w:t xml:space="preserve"> как удельный вес государственн</w:t>
      </w:r>
      <w:r w:rsidR="008A1A5C">
        <w:rPr>
          <w:rFonts w:ascii="Times New Roman" w:hAnsi="Times New Roman"/>
          <w:sz w:val="28"/>
          <w:szCs w:val="28"/>
        </w:rPr>
        <w:t xml:space="preserve">ых </w:t>
      </w:r>
      <w:r w:rsidR="008A1A5C" w:rsidRPr="00343D72">
        <w:rPr>
          <w:rFonts w:ascii="Times New Roman" w:hAnsi="Times New Roman"/>
          <w:sz w:val="28"/>
          <w:szCs w:val="28"/>
        </w:rPr>
        <w:t>расходов</w:t>
      </w:r>
      <w:r w:rsidRPr="00343D72">
        <w:rPr>
          <w:rFonts w:ascii="Times New Roman" w:hAnsi="Times New Roman"/>
          <w:sz w:val="28"/>
          <w:szCs w:val="28"/>
        </w:rPr>
        <w:t xml:space="preserve"> в ВВП. Данные </w:t>
      </w:r>
      <w:r w:rsidR="008A1A5C">
        <w:rPr>
          <w:rFonts w:ascii="Times New Roman" w:hAnsi="Times New Roman"/>
          <w:sz w:val="28"/>
          <w:szCs w:val="28"/>
        </w:rPr>
        <w:t xml:space="preserve">таблицы </w:t>
      </w:r>
      <w:r w:rsidR="00A437A7">
        <w:rPr>
          <w:rFonts w:ascii="Times New Roman" w:hAnsi="Times New Roman"/>
          <w:sz w:val="28"/>
          <w:szCs w:val="28"/>
        </w:rPr>
        <w:t>11</w:t>
      </w:r>
      <w:r w:rsidR="008A1A5C">
        <w:rPr>
          <w:rFonts w:ascii="Times New Roman" w:hAnsi="Times New Roman"/>
          <w:sz w:val="28"/>
          <w:szCs w:val="28"/>
        </w:rPr>
        <w:t xml:space="preserve"> </w:t>
      </w:r>
      <w:r w:rsidRPr="00343D72">
        <w:rPr>
          <w:rFonts w:ascii="Times New Roman" w:hAnsi="Times New Roman"/>
          <w:sz w:val="28"/>
          <w:szCs w:val="28"/>
        </w:rPr>
        <w:t>св</w:t>
      </w:r>
      <w:r w:rsidR="008A1A5C">
        <w:rPr>
          <w:rFonts w:ascii="Times New Roman" w:hAnsi="Times New Roman"/>
          <w:sz w:val="28"/>
          <w:szCs w:val="28"/>
        </w:rPr>
        <w:t>идетельствуют</w:t>
      </w:r>
      <w:r w:rsidRPr="00343D72">
        <w:rPr>
          <w:rFonts w:ascii="Times New Roman" w:hAnsi="Times New Roman"/>
          <w:sz w:val="28"/>
          <w:szCs w:val="28"/>
        </w:rPr>
        <w:t xml:space="preserve">, что по отношению к ВВП расходы федерального бюджета в 2012-2015 гг. оставались стабильными, в 2016 доля расходов в ВВП увеличилась, с 2017 года произошло снижение доли расходов в ВВП и эта тенденция прослеживается и в следующие два года. По данным, заложенным в проекте федерального закона о федеральном бюджете на 2020 год и плановый период 2021-2022 гг., удельный вес расходов </w:t>
      </w:r>
      <w:r w:rsidR="008A1A5C">
        <w:rPr>
          <w:rFonts w:ascii="Times New Roman" w:hAnsi="Times New Roman"/>
          <w:sz w:val="28"/>
          <w:szCs w:val="28"/>
        </w:rPr>
        <w:t>федерального бюджета в 2020 г. возрастает</w:t>
      </w:r>
      <w:r w:rsidRPr="00343D72">
        <w:rPr>
          <w:rFonts w:ascii="Times New Roman" w:hAnsi="Times New Roman"/>
          <w:sz w:val="28"/>
          <w:szCs w:val="28"/>
        </w:rPr>
        <w:t>.</w:t>
      </w:r>
    </w:p>
    <w:p w14:paraId="298555BA" w14:textId="7CA770E0" w:rsidR="007E06EF" w:rsidRPr="004D585B" w:rsidRDefault="00A437A7" w:rsidP="008A1A5C">
      <w:pPr>
        <w:pStyle w:val="af1"/>
        <w:spacing w:line="360" w:lineRule="auto"/>
        <w:ind w:firstLine="709"/>
        <w:jc w:val="both"/>
        <w:rPr>
          <w:rFonts w:ascii="Times New Roman" w:hAnsi="Times New Roman"/>
          <w:sz w:val="28"/>
          <w:szCs w:val="28"/>
        </w:rPr>
      </w:pPr>
      <w:r>
        <w:rPr>
          <w:rFonts w:ascii="Times New Roman" w:hAnsi="Times New Roman"/>
          <w:sz w:val="28"/>
          <w:szCs w:val="28"/>
        </w:rPr>
        <w:t>Таблица 11</w:t>
      </w:r>
      <w:r w:rsidR="008A1A5C">
        <w:rPr>
          <w:rFonts w:ascii="Times New Roman" w:hAnsi="Times New Roman"/>
          <w:sz w:val="28"/>
          <w:szCs w:val="28"/>
        </w:rPr>
        <w:t xml:space="preserve"> – </w:t>
      </w:r>
      <w:r w:rsidR="007E06EF" w:rsidRPr="00343D72">
        <w:rPr>
          <w:rFonts w:ascii="Times New Roman" w:hAnsi="Times New Roman"/>
          <w:sz w:val="28"/>
          <w:szCs w:val="28"/>
        </w:rPr>
        <w:t xml:space="preserve">Доля расходов </w:t>
      </w:r>
      <w:r w:rsidR="008A1A5C">
        <w:rPr>
          <w:rFonts w:ascii="Times New Roman" w:hAnsi="Times New Roman"/>
          <w:sz w:val="28"/>
          <w:szCs w:val="28"/>
        </w:rPr>
        <w:t xml:space="preserve">федерального бюджета в ВВП, </w:t>
      </w:r>
      <w:r w:rsidR="007E06EF" w:rsidRPr="00343D72">
        <w:rPr>
          <w:rFonts w:ascii="Times New Roman" w:hAnsi="Times New Roman"/>
          <w:sz w:val="28"/>
          <w:szCs w:val="28"/>
        </w:rPr>
        <w:t>%</w:t>
      </w:r>
      <w:r w:rsidR="008A1A5C">
        <w:rPr>
          <w:rFonts w:ascii="Times New Roman" w:hAnsi="Times New Roman"/>
          <w:sz w:val="28"/>
          <w:szCs w:val="28"/>
        </w:rPr>
        <w: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984"/>
        <w:gridCol w:w="3604"/>
        <w:gridCol w:w="2344"/>
      </w:tblGrid>
      <w:tr w:rsidR="007E06EF" w:rsidRPr="00343D72" w14:paraId="0F92CD7B" w14:textId="77777777" w:rsidTr="007E06EF">
        <w:tc>
          <w:tcPr>
            <w:tcW w:w="1413" w:type="dxa"/>
          </w:tcPr>
          <w:p w14:paraId="7B3688A6" w14:textId="77777777" w:rsidR="007E06EF" w:rsidRPr="00343D72" w:rsidRDefault="007E06EF" w:rsidP="007E06EF">
            <w:pPr>
              <w:jc w:val="center"/>
              <w:rPr>
                <w:rFonts w:ascii="Times New Roman" w:hAnsi="Times New Roman" w:cs="Times New Roman"/>
                <w:b/>
              </w:rPr>
            </w:pPr>
            <w:r w:rsidRPr="00343D72">
              <w:rPr>
                <w:rFonts w:ascii="Times New Roman" w:hAnsi="Times New Roman" w:cs="Times New Roman"/>
                <w:b/>
              </w:rPr>
              <w:t>Год</w:t>
            </w:r>
          </w:p>
        </w:tc>
        <w:tc>
          <w:tcPr>
            <w:tcW w:w="1984" w:type="dxa"/>
          </w:tcPr>
          <w:p w14:paraId="76253E77" w14:textId="57728B29" w:rsidR="007E06EF" w:rsidRPr="00343D72" w:rsidRDefault="008A1A5C" w:rsidP="007E06EF">
            <w:pPr>
              <w:jc w:val="center"/>
              <w:rPr>
                <w:rFonts w:ascii="Times New Roman" w:hAnsi="Times New Roman" w:cs="Times New Roman"/>
                <w:b/>
              </w:rPr>
            </w:pPr>
            <w:r>
              <w:rPr>
                <w:rFonts w:ascii="Times New Roman" w:hAnsi="Times New Roman" w:cs="Times New Roman"/>
                <w:b/>
              </w:rPr>
              <w:t>ВВП</w:t>
            </w:r>
            <w:r w:rsidR="007E06EF" w:rsidRPr="00343D72">
              <w:rPr>
                <w:rFonts w:ascii="Times New Roman" w:hAnsi="Times New Roman" w:cs="Times New Roman"/>
                <w:b/>
              </w:rPr>
              <w:t xml:space="preserve">, </w:t>
            </w:r>
          </w:p>
          <w:p w14:paraId="0DDA464E" w14:textId="77777777" w:rsidR="007E06EF" w:rsidRPr="00343D72" w:rsidRDefault="007E06EF" w:rsidP="007E06EF">
            <w:pPr>
              <w:jc w:val="center"/>
              <w:rPr>
                <w:rFonts w:ascii="Times New Roman" w:hAnsi="Times New Roman" w:cs="Times New Roman"/>
                <w:b/>
              </w:rPr>
            </w:pPr>
            <w:r w:rsidRPr="00343D72">
              <w:rPr>
                <w:rFonts w:ascii="Times New Roman" w:hAnsi="Times New Roman" w:cs="Times New Roman"/>
                <w:b/>
              </w:rPr>
              <w:t>млрд. руб.</w:t>
            </w:r>
          </w:p>
        </w:tc>
        <w:tc>
          <w:tcPr>
            <w:tcW w:w="3604" w:type="dxa"/>
          </w:tcPr>
          <w:p w14:paraId="09C7E78B" w14:textId="35259ADF" w:rsidR="007E06EF" w:rsidRPr="00343D72" w:rsidRDefault="008A1A5C" w:rsidP="007E06EF">
            <w:pPr>
              <w:jc w:val="center"/>
              <w:rPr>
                <w:rFonts w:ascii="Times New Roman" w:hAnsi="Times New Roman" w:cs="Times New Roman"/>
                <w:b/>
              </w:rPr>
            </w:pPr>
            <w:r>
              <w:rPr>
                <w:rFonts w:ascii="Times New Roman" w:hAnsi="Times New Roman" w:cs="Times New Roman"/>
                <w:b/>
              </w:rPr>
              <w:t xml:space="preserve">Расходы федерального бюджета </w:t>
            </w:r>
            <w:r w:rsidR="007E06EF" w:rsidRPr="00343D72">
              <w:rPr>
                <w:rFonts w:ascii="Times New Roman" w:hAnsi="Times New Roman" w:cs="Times New Roman"/>
                <w:b/>
              </w:rPr>
              <w:t>, млрд. руб.</w:t>
            </w:r>
          </w:p>
        </w:tc>
        <w:tc>
          <w:tcPr>
            <w:tcW w:w="2344" w:type="dxa"/>
          </w:tcPr>
          <w:p w14:paraId="550A84BB" w14:textId="77777777" w:rsidR="007E06EF" w:rsidRPr="00343D72" w:rsidRDefault="007E06EF" w:rsidP="007E06EF">
            <w:pPr>
              <w:jc w:val="center"/>
              <w:rPr>
                <w:rFonts w:ascii="Times New Roman" w:hAnsi="Times New Roman" w:cs="Times New Roman"/>
                <w:b/>
              </w:rPr>
            </w:pPr>
            <w:r w:rsidRPr="00343D72">
              <w:rPr>
                <w:rFonts w:ascii="Times New Roman" w:hAnsi="Times New Roman" w:cs="Times New Roman"/>
                <w:b/>
              </w:rPr>
              <w:t>Доля расходов в ВВП</w:t>
            </w:r>
          </w:p>
        </w:tc>
      </w:tr>
      <w:tr w:rsidR="007E06EF" w:rsidRPr="00343D72" w14:paraId="10D5772C" w14:textId="77777777" w:rsidTr="007E06EF">
        <w:tc>
          <w:tcPr>
            <w:tcW w:w="1413" w:type="dxa"/>
          </w:tcPr>
          <w:p w14:paraId="0DE1AF78"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2012</w:t>
            </w:r>
          </w:p>
        </w:tc>
        <w:tc>
          <w:tcPr>
            <w:tcW w:w="1984" w:type="dxa"/>
          </w:tcPr>
          <w:p w14:paraId="26154285"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68 163,9</w:t>
            </w:r>
          </w:p>
        </w:tc>
        <w:tc>
          <w:tcPr>
            <w:tcW w:w="3604" w:type="dxa"/>
          </w:tcPr>
          <w:p w14:paraId="18A5BD70"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bCs/>
              </w:rPr>
              <w:t>12 895,0</w:t>
            </w:r>
          </w:p>
        </w:tc>
        <w:tc>
          <w:tcPr>
            <w:tcW w:w="2344" w:type="dxa"/>
          </w:tcPr>
          <w:p w14:paraId="2961325A"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18,9</w:t>
            </w:r>
          </w:p>
        </w:tc>
      </w:tr>
      <w:tr w:rsidR="007E06EF" w:rsidRPr="00343D72" w14:paraId="0997E489" w14:textId="77777777" w:rsidTr="007E06EF">
        <w:tc>
          <w:tcPr>
            <w:tcW w:w="1413" w:type="dxa"/>
            <w:tcBorders>
              <w:bottom w:val="single" w:sz="4" w:space="0" w:color="auto"/>
            </w:tcBorders>
          </w:tcPr>
          <w:p w14:paraId="6849899B"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2013</w:t>
            </w:r>
          </w:p>
        </w:tc>
        <w:tc>
          <w:tcPr>
            <w:tcW w:w="1984" w:type="dxa"/>
            <w:tcBorders>
              <w:bottom w:val="single" w:sz="4" w:space="0" w:color="auto"/>
            </w:tcBorders>
          </w:tcPr>
          <w:p w14:paraId="6830E91B"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73 133,9</w:t>
            </w:r>
          </w:p>
        </w:tc>
        <w:tc>
          <w:tcPr>
            <w:tcW w:w="3604" w:type="dxa"/>
            <w:tcBorders>
              <w:bottom w:val="single" w:sz="4" w:space="0" w:color="auto"/>
            </w:tcBorders>
          </w:tcPr>
          <w:p w14:paraId="376B9CEE"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bCs/>
              </w:rPr>
              <w:t>13 342,9</w:t>
            </w:r>
          </w:p>
        </w:tc>
        <w:tc>
          <w:tcPr>
            <w:tcW w:w="2344" w:type="dxa"/>
            <w:tcBorders>
              <w:bottom w:val="single" w:sz="4" w:space="0" w:color="auto"/>
            </w:tcBorders>
          </w:tcPr>
          <w:p w14:paraId="3670346C"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18,2</w:t>
            </w:r>
          </w:p>
        </w:tc>
      </w:tr>
      <w:tr w:rsidR="007E06EF" w:rsidRPr="00343D72" w14:paraId="097C9844" w14:textId="77777777" w:rsidTr="007E06EF">
        <w:tc>
          <w:tcPr>
            <w:tcW w:w="1413" w:type="dxa"/>
            <w:shd w:val="clear" w:color="auto" w:fill="FFFFFF"/>
          </w:tcPr>
          <w:p w14:paraId="23271252"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2014</w:t>
            </w:r>
          </w:p>
        </w:tc>
        <w:tc>
          <w:tcPr>
            <w:tcW w:w="1984" w:type="dxa"/>
            <w:shd w:val="clear" w:color="auto" w:fill="FFFFFF"/>
          </w:tcPr>
          <w:p w14:paraId="2CF69042"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79 200,0</w:t>
            </w:r>
          </w:p>
        </w:tc>
        <w:tc>
          <w:tcPr>
            <w:tcW w:w="3604" w:type="dxa"/>
            <w:shd w:val="clear" w:color="auto" w:fill="FFFFFF"/>
          </w:tcPr>
          <w:p w14:paraId="0A08FDDC"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bCs/>
              </w:rPr>
              <w:t>14 831,6</w:t>
            </w:r>
          </w:p>
        </w:tc>
        <w:tc>
          <w:tcPr>
            <w:tcW w:w="2344" w:type="dxa"/>
            <w:shd w:val="clear" w:color="auto" w:fill="FFFFFF"/>
          </w:tcPr>
          <w:p w14:paraId="15FF9826"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18,7</w:t>
            </w:r>
          </w:p>
        </w:tc>
      </w:tr>
      <w:tr w:rsidR="007E06EF" w:rsidRPr="00343D72" w14:paraId="6566EDED" w14:textId="77777777" w:rsidTr="007E06EF">
        <w:tc>
          <w:tcPr>
            <w:tcW w:w="1413" w:type="dxa"/>
            <w:shd w:val="clear" w:color="auto" w:fill="auto"/>
          </w:tcPr>
          <w:p w14:paraId="0BEA0D7F"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2015</w:t>
            </w:r>
          </w:p>
        </w:tc>
        <w:tc>
          <w:tcPr>
            <w:tcW w:w="1984" w:type="dxa"/>
            <w:shd w:val="clear" w:color="auto" w:fill="auto"/>
          </w:tcPr>
          <w:p w14:paraId="2D147BBB"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83 387,2</w:t>
            </w:r>
          </w:p>
        </w:tc>
        <w:tc>
          <w:tcPr>
            <w:tcW w:w="3604" w:type="dxa"/>
            <w:shd w:val="clear" w:color="auto" w:fill="auto"/>
          </w:tcPr>
          <w:p w14:paraId="05DB906D"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bCs/>
              </w:rPr>
              <w:t>15 620,3</w:t>
            </w:r>
          </w:p>
        </w:tc>
        <w:tc>
          <w:tcPr>
            <w:tcW w:w="2344" w:type="dxa"/>
            <w:shd w:val="clear" w:color="auto" w:fill="auto"/>
          </w:tcPr>
          <w:p w14:paraId="534050C1"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18,7</w:t>
            </w:r>
          </w:p>
        </w:tc>
      </w:tr>
      <w:tr w:rsidR="007E06EF" w:rsidRPr="00343D72" w14:paraId="225AD9F5" w14:textId="77777777" w:rsidTr="007E06EF">
        <w:tc>
          <w:tcPr>
            <w:tcW w:w="1413" w:type="dxa"/>
            <w:shd w:val="clear" w:color="auto" w:fill="FFFFFF" w:themeFill="background1"/>
          </w:tcPr>
          <w:p w14:paraId="38C299EE"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2016</w:t>
            </w:r>
          </w:p>
        </w:tc>
        <w:tc>
          <w:tcPr>
            <w:tcW w:w="1984" w:type="dxa"/>
            <w:shd w:val="clear" w:color="auto" w:fill="FFFFFF" w:themeFill="background1"/>
          </w:tcPr>
          <w:p w14:paraId="1C980A77"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86 148,6</w:t>
            </w:r>
          </w:p>
        </w:tc>
        <w:tc>
          <w:tcPr>
            <w:tcW w:w="3604" w:type="dxa"/>
            <w:shd w:val="clear" w:color="auto" w:fill="FFFFFF" w:themeFill="background1"/>
          </w:tcPr>
          <w:p w14:paraId="0FD64A41"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bCs/>
              </w:rPr>
              <w:t>16 416,4</w:t>
            </w:r>
          </w:p>
        </w:tc>
        <w:tc>
          <w:tcPr>
            <w:tcW w:w="2344" w:type="dxa"/>
            <w:shd w:val="clear" w:color="auto" w:fill="FFFFFF" w:themeFill="background1"/>
          </w:tcPr>
          <w:p w14:paraId="2AEB5CFB"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19,1</w:t>
            </w:r>
          </w:p>
        </w:tc>
      </w:tr>
      <w:tr w:rsidR="007E06EF" w:rsidRPr="00343D72" w14:paraId="05F6E9E2" w14:textId="77777777" w:rsidTr="007E06EF">
        <w:tc>
          <w:tcPr>
            <w:tcW w:w="1413" w:type="dxa"/>
          </w:tcPr>
          <w:p w14:paraId="12685E81"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2017</w:t>
            </w:r>
          </w:p>
        </w:tc>
        <w:tc>
          <w:tcPr>
            <w:tcW w:w="1984" w:type="dxa"/>
          </w:tcPr>
          <w:p w14:paraId="48FE2DD0"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92 037,2</w:t>
            </w:r>
          </w:p>
        </w:tc>
        <w:tc>
          <w:tcPr>
            <w:tcW w:w="3604" w:type="dxa"/>
          </w:tcPr>
          <w:p w14:paraId="5A30722E"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bCs/>
              </w:rPr>
              <w:t>16 420,3</w:t>
            </w:r>
          </w:p>
        </w:tc>
        <w:tc>
          <w:tcPr>
            <w:tcW w:w="2344" w:type="dxa"/>
          </w:tcPr>
          <w:p w14:paraId="0F9944F3"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17,8</w:t>
            </w:r>
          </w:p>
        </w:tc>
      </w:tr>
      <w:tr w:rsidR="007E06EF" w:rsidRPr="00343D72" w14:paraId="35FA7272" w14:textId="77777777" w:rsidTr="007E06EF">
        <w:tc>
          <w:tcPr>
            <w:tcW w:w="1413" w:type="dxa"/>
          </w:tcPr>
          <w:p w14:paraId="6C774124"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2018</w:t>
            </w:r>
          </w:p>
        </w:tc>
        <w:tc>
          <w:tcPr>
            <w:tcW w:w="1984" w:type="dxa"/>
          </w:tcPr>
          <w:p w14:paraId="360AEB34"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shd w:val="clear" w:color="auto" w:fill="FFFFFF"/>
              </w:rPr>
              <w:t>101 164,0</w:t>
            </w:r>
          </w:p>
        </w:tc>
        <w:tc>
          <w:tcPr>
            <w:tcW w:w="3604" w:type="dxa"/>
          </w:tcPr>
          <w:p w14:paraId="5BEDFDBC"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spacing w:val="-4"/>
              </w:rPr>
              <w:t>16 808,9</w:t>
            </w:r>
          </w:p>
        </w:tc>
        <w:tc>
          <w:tcPr>
            <w:tcW w:w="2344" w:type="dxa"/>
          </w:tcPr>
          <w:p w14:paraId="542BF8F3"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16,6</w:t>
            </w:r>
          </w:p>
        </w:tc>
      </w:tr>
      <w:tr w:rsidR="007E06EF" w:rsidRPr="00343D72" w14:paraId="333726E6" w14:textId="77777777" w:rsidTr="007E06EF">
        <w:tc>
          <w:tcPr>
            <w:tcW w:w="1413" w:type="dxa"/>
          </w:tcPr>
          <w:p w14:paraId="64055607"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2019</w:t>
            </w:r>
          </w:p>
        </w:tc>
        <w:tc>
          <w:tcPr>
            <w:tcW w:w="1984" w:type="dxa"/>
          </w:tcPr>
          <w:p w14:paraId="3BC249D9"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109 086,0</w:t>
            </w:r>
          </w:p>
        </w:tc>
        <w:tc>
          <w:tcPr>
            <w:tcW w:w="3604" w:type="dxa"/>
          </w:tcPr>
          <w:p w14:paraId="2797D49D"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18 293,7</w:t>
            </w:r>
          </w:p>
        </w:tc>
        <w:tc>
          <w:tcPr>
            <w:tcW w:w="2344" w:type="dxa"/>
          </w:tcPr>
          <w:p w14:paraId="06C44928"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16,8</w:t>
            </w:r>
          </w:p>
        </w:tc>
      </w:tr>
      <w:tr w:rsidR="007E06EF" w:rsidRPr="00343D72" w14:paraId="6B5928F8" w14:textId="77777777" w:rsidTr="007E06EF">
        <w:tc>
          <w:tcPr>
            <w:tcW w:w="1413" w:type="dxa"/>
          </w:tcPr>
          <w:p w14:paraId="65DC1534"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2020</w:t>
            </w:r>
          </w:p>
        </w:tc>
        <w:tc>
          <w:tcPr>
            <w:tcW w:w="1984" w:type="dxa"/>
          </w:tcPr>
          <w:p w14:paraId="472648F4" w14:textId="77777777" w:rsidR="007E06EF" w:rsidRPr="00343D72" w:rsidRDefault="007E06EF" w:rsidP="007E06EF">
            <w:pPr>
              <w:jc w:val="center"/>
              <w:rPr>
                <w:rFonts w:ascii="Times New Roman" w:hAnsi="Times New Roman" w:cs="Times New Roman"/>
              </w:rPr>
            </w:pPr>
            <w:bookmarkStart w:id="1" w:name="OLE_LINK1"/>
            <w:r w:rsidRPr="00343D72">
              <w:rPr>
                <w:rFonts w:ascii="Times New Roman" w:hAnsi="Times New Roman" w:cs="Times New Roman"/>
              </w:rPr>
              <w:t>112 863</w:t>
            </w:r>
            <w:bookmarkEnd w:id="1"/>
            <w:r w:rsidRPr="00343D72">
              <w:rPr>
                <w:rFonts w:ascii="Times New Roman" w:hAnsi="Times New Roman" w:cs="Times New Roman"/>
              </w:rPr>
              <w:t>,0</w:t>
            </w:r>
          </w:p>
        </w:tc>
        <w:tc>
          <w:tcPr>
            <w:tcW w:w="3604" w:type="dxa"/>
          </w:tcPr>
          <w:p w14:paraId="22C9830C" w14:textId="77777777" w:rsidR="007E06EF" w:rsidRPr="00343D72" w:rsidRDefault="007E06EF" w:rsidP="007E06EF">
            <w:pPr>
              <w:jc w:val="center"/>
              <w:rPr>
                <w:rFonts w:ascii="Times New Roman" w:hAnsi="Times New Roman" w:cs="Times New Roman"/>
              </w:rPr>
            </w:pPr>
            <w:bookmarkStart w:id="2" w:name="OLE_LINK2"/>
            <w:bookmarkStart w:id="3" w:name="OLE_LINK13"/>
            <w:r w:rsidRPr="00343D72">
              <w:rPr>
                <w:rFonts w:ascii="Times New Roman" w:hAnsi="Times New Roman" w:cs="Times New Roman"/>
              </w:rPr>
              <w:t>19 503,3</w:t>
            </w:r>
            <w:bookmarkEnd w:id="2"/>
            <w:bookmarkEnd w:id="3"/>
          </w:p>
        </w:tc>
        <w:tc>
          <w:tcPr>
            <w:tcW w:w="2344" w:type="dxa"/>
          </w:tcPr>
          <w:p w14:paraId="27B52500" w14:textId="77777777" w:rsidR="007E06EF" w:rsidRPr="00343D72" w:rsidRDefault="007E06EF" w:rsidP="007E06EF">
            <w:pPr>
              <w:jc w:val="center"/>
              <w:rPr>
                <w:rFonts w:ascii="Times New Roman" w:hAnsi="Times New Roman" w:cs="Times New Roman"/>
              </w:rPr>
            </w:pPr>
            <w:r w:rsidRPr="00343D72">
              <w:rPr>
                <w:rFonts w:ascii="Times New Roman" w:hAnsi="Times New Roman" w:cs="Times New Roman"/>
              </w:rPr>
              <w:t>17,3</w:t>
            </w:r>
          </w:p>
        </w:tc>
      </w:tr>
    </w:tbl>
    <w:p w14:paraId="26AB702B" w14:textId="4D876E2A" w:rsidR="007E06EF" w:rsidRPr="00343D72" w:rsidRDefault="008A1A5C" w:rsidP="007E06EF">
      <w:pPr>
        <w:rPr>
          <w:rFonts w:ascii="Times New Roman" w:hAnsi="Times New Roman" w:cs="Times New Roman"/>
        </w:rPr>
      </w:pPr>
      <w:r>
        <w:rPr>
          <w:rFonts w:ascii="Times New Roman" w:hAnsi="Times New Roman" w:cs="Times New Roman"/>
        </w:rPr>
        <w:t xml:space="preserve">* </w:t>
      </w:r>
      <w:r w:rsidR="007E06EF" w:rsidRPr="00343D72">
        <w:rPr>
          <w:rFonts w:ascii="Times New Roman" w:hAnsi="Times New Roman" w:cs="Times New Roman"/>
        </w:rPr>
        <w:t>2012-2018 гг. – по данным Федеральной службы государственной статистики (</w:t>
      </w:r>
      <w:hyperlink r:id="rId11" w:history="1">
        <w:r w:rsidR="007E06EF" w:rsidRPr="00343D72">
          <w:rPr>
            <w:rStyle w:val="af5"/>
            <w:rFonts w:ascii="Times New Roman" w:hAnsi="Times New Roman" w:cs="Times New Roman"/>
          </w:rPr>
          <w:t>http://www.gks.ru/wps/wcm/connect/rosstat_main/rosstat/ru/statistics/accounts/#</w:t>
        </w:r>
      </w:hyperlink>
      <w:r w:rsidR="007E06EF" w:rsidRPr="00343D72">
        <w:rPr>
          <w:rFonts w:ascii="Times New Roman" w:hAnsi="Times New Roman" w:cs="Times New Roman"/>
        </w:rPr>
        <w:t>)</w:t>
      </w:r>
    </w:p>
    <w:p w14:paraId="19FADEB1" w14:textId="29441448" w:rsidR="007E06EF" w:rsidRPr="00343D72" w:rsidRDefault="008A1A5C" w:rsidP="007E06EF">
      <w:pPr>
        <w:rPr>
          <w:rFonts w:ascii="Times New Roman" w:hAnsi="Times New Roman" w:cs="Times New Roman"/>
        </w:rPr>
      </w:pPr>
      <w:r>
        <w:rPr>
          <w:rFonts w:ascii="Times New Roman" w:hAnsi="Times New Roman" w:cs="Times New Roman"/>
        </w:rPr>
        <w:t>2019-2020</w:t>
      </w:r>
      <w:r w:rsidR="007E06EF" w:rsidRPr="00343D72">
        <w:rPr>
          <w:rFonts w:ascii="Times New Roman" w:hAnsi="Times New Roman" w:cs="Times New Roman"/>
        </w:rPr>
        <w:t xml:space="preserve"> гг. – по данным федеральных законов о федеральных бюджетах на соответствующий год</w:t>
      </w:r>
    </w:p>
    <w:p w14:paraId="483DE133" w14:textId="77777777" w:rsidR="007E06EF" w:rsidRPr="00343D72" w:rsidRDefault="007E06EF" w:rsidP="007E06EF">
      <w:pPr>
        <w:ind w:firstLine="709"/>
        <w:jc w:val="both"/>
        <w:rPr>
          <w:rFonts w:ascii="Times New Roman" w:hAnsi="Times New Roman" w:cs="Times New Roman"/>
          <w:sz w:val="28"/>
          <w:szCs w:val="28"/>
        </w:rPr>
      </w:pPr>
    </w:p>
    <w:p w14:paraId="08F54483" w14:textId="77777777" w:rsidR="007E06EF" w:rsidRPr="00343D72" w:rsidRDefault="007E06EF" w:rsidP="008A1A5C">
      <w:pPr>
        <w:spacing w:line="360" w:lineRule="auto"/>
        <w:ind w:firstLine="709"/>
        <w:jc w:val="both"/>
        <w:rPr>
          <w:rFonts w:ascii="Times New Roman" w:hAnsi="Times New Roman" w:cs="Times New Roman"/>
          <w:color w:val="000000"/>
          <w:sz w:val="28"/>
          <w:szCs w:val="28"/>
        </w:rPr>
      </w:pPr>
      <w:r w:rsidRPr="0033517A">
        <w:rPr>
          <w:rFonts w:ascii="Times New Roman" w:hAnsi="Times New Roman" w:cs="Times New Roman"/>
          <w:color w:val="000000"/>
          <w:sz w:val="28"/>
          <w:szCs w:val="28"/>
        </w:rPr>
        <w:t>Рост бюджетных расходов положительно влияет на экономику страны и в свою очередь вызывает рост ВВП. Россия по сравнению со странами ОЭСР характеризуется невысоким уровнем государственных расходов относительно масштабов национальной экономики, следовательно, планируемое увеличение расходов федерального бюджета с точки зрения влияния на темпы экономического роста можно оценить положительно</w:t>
      </w:r>
      <w:r w:rsidRPr="00F32FC8">
        <w:rPr>
          <w:rFonts w:ascii="Times New Roman" w:hAnsi="Times New Roman" w:cs="Times New Roman"/>
          <w:color w:val="000000"/>
          <w:sz w:val="28"/>
          <w:szCs w:val="28"/>
          <w:highlight w:val="yellow"/>
        </w:rPr>
        <w:t>.</w:t>
      </w:r>
    </w:p>
    <w:p w14:paraId="57A18F44" w14:textId="77777777" w:rsidR="009E21A6" w:rsidRDefault="009E21A6" w:rsidP="00E918F1">
      <w:pPr>
        <w:spacing w:line="360" w:lineRule="auto"/>
        <w:ind w:firstLine="709"/>
        <w:jc w:val="both"/>
        <w:rPr>
          <w:rFonts w:ascii="Times New Roman" w:hAnsi="Times New Roman" w:cs="Times New Roman"/>
          <w:i/>
          <w:sz w:val="28"/>
          <w:szCs w:val="28"/>
        </w:rPr>
      </w:pPr>
    </w:p>
    <w:p w14:paraId="0A91191C" w14:textId="20FF629C" w:rsidR="004A6502" w:rsidRPr="004A6502" w:rsidRDefault="004A6502" w:rsidP="00E918F1">
      <w:pPr>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Анализ социальных расходов федерального бюджета</w:t>
      </w:r>
    </w:p>
    <w:p w14:paraId="3C4BF01A" w14:textId="77777777" w:rsidR="00E918F1" w:rsidRDefault="00E918F1" w:rsidP="00E918F1">
      <w:pPr>
        <w:spacing w:line="360" w:lineRule="auto"/>
        <w:ind w:firstLine="709"/>
        <w:jc w:val="both"/>
        <w:rPr>
          <w:rFonts w:ascii="Times New Roman" w:hAnsi="Times New Roman" w:cs="Times New Roman"/>
          <w:sz w:val="28"/>
          <w:szCs w:val="28"/>
        </w:rPr>
      </w:pPr>
      <w:r w:rsidRPr="00B61AFE">
        <w:rPr>
          <w:rFonts w:ascii="Times New Roman" w:hAnsi="Times New Roman" w:cs="Times New Roman"/>
          <w:sz w:val="28"/>
          <w:szCs w:val="28"/>
        </w:rPr>
        <w:lastRenderedPageBreak/>
        <w:t>Как и в предыдущие годы</w:t>
      </w:r>
      <w:r>
        <w:rPr>
          <w:rFonts w:ascii="Times New Roman" w:hAnsi="Times New Roman" w:cs="Times New Roman"/>
          <w:sz w:val="28"/>
          <w:szCs w:val="28"/>
        </w:rPr>
        <w:t>, в законопроекте</w:t>
      </w:r>
      <w:r w:rsidRPr="00B61AFE">
        <w:rPr>
          <w:rFonts w:ascii="Times New Roman" w:hAnsi="Times New Roman" w:cs="Times New Roman"/>
          <w:sz w:val="28"/>
          <w:szCs w:val="28"/>
        </w:rPr>
        <w:t xml:space="preserve"> расходы </w:t>
      </w:r>
      <w:r>
        <w:rPr>
          <w:rFonts w:ascii="Times New Roman" w:hAnsi="Times New Roman" w:cs="Times New Roman"/>
          <w:sz w:val="28"/>
          <w:szCs w:val="28"/>
        </w:rPr>
        <w:t xml:space="preserve">федерального бюджета социальной </w:t>
      </w:r>
      <w:r w:rsidRPr="00B61AFE">
        <w:rPr>
          <w:rFonts w:ascii="Times New Roman" w:hAnsi="Times New Roman" w:cs="Times New Roman"/>
          <w:sz w:val="28"/>
          <w:szCs w:val="28"/>
        </w:rPr>
        <w:t>направленности занимают значительный удельный вес в общей сумме расходов</w:t>
      </w:r>
      <w:r>
        <w:rPr>
          <w:rFonts w:ascii="Times New Roman" w:hAnsi="Times New Roman" w:cs="Times New Roman"/>
          <w:sz w:val="28"/>
          <w:szCs w:val="28"/>
        </w:rPr>
        <w:t xml:space="preserve">. </w:t>
      </w:r>
    </w:p>
    <w:p w14:paraId="4C13A352" w14:textId="71811F19" w:rsidR="009A64AA" w:rsidRDefault="00E918F1" w:rsidP="009A64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на реализацию государственных программ исключительно социальной направленности («Развитие здравоохранения», «Развитие образования», «Социальная поддержка граждан», «Доступная среда», «О</w:t>
      </w:r>
      <w:r w:rsidRPr="0026022D">
        <w:rPr>
          <w:rFonts w:ascii="Times New Roman" w:hAnsi="Times New Roman" w:cs="Times New Roman"/>
          <w:sz w:val="28"/>
          <w:szCs w:val="28"/>
        </w:rPr>
        <w:t xml:space="preserve">беспечение доступным и комфортным жильем и </w:t>
      </w:r>
      <w:r>
        <w:rPr>
          <w:rFonts w:ascii="Times New Roman" w:hAnsi="Times New Roman" w:cs="Times New Roman"/>
          <w:sz w:val="28"/>
          <w:szCs w:val="28"/>
        </w:rPr>
        <w:t>коммунальными услугами граждан Р</w:t>
      </w:r>
      <w:r w:rsidRPr="0026022D">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26022D">
        <w:rPr>
          <w:rFonts w:ascii="Times New Roman" w:hAnsi="Times New Roman" w:cs="Times New Roman"/>
          <w:sz w:val="28"/>
          <w:szCs w:val="28"/>
        </w:rPr>
        <w:t>едерации</w:t>
      </w:r>
      <w:r>
        <w:rPr>
          <w:rFonts w:ascii="Times New Roman" w:hAnsi="Times New Roman" w:cs="Times New Roman"/>
          <w:sz w:val="28"/>
          <w:szCs w:val="28"/>
        </w:rPr>
        <w:t>», «Развитие культуры», «Охрана окружающей среды», «Развитие физической культуры и спорта», Развитие пенсионной системы</w:t>
      </w:r>
      <w:r>
        <w:rPr>
          <w:rStyle w:val="a5"/>
          <w:rFonts w:ascii="Times New Roman" w:hAnsi="Times New Roman" w:cs="Times New Roman"/>
        </w:rPr>
        <w:footnoteReference w:id="6"/>
      </w:r>
      <w:r>
        <w:rPr>
          <w:rFonts w:ascii="Times New Roman" w:hAnsi="Times New Roman" w:cs="Times New Roman"/>
          <w:sz w:val="28"/>
          <w:szCs w:val="28"/>
        </w:rPr>
        <w:t>) составляют 32% общей запланированной суммы расходов федерального бюджета на 2020 год</w:t>
      </w:r>
      <w:r w:rsidR="009A64AA">
        <w:rPr>
          <w:rFonts w:ascii="Times New Roman" w:hAnsi="Times New Roman" w:cs="Times New Roman"/>
          <w:sz w:val="28"/>
          <w:szCs w:val="28"/>
        </w:rPr>
        <w:t xml:space="preserve"> (</w:t>
      </w:r>
      <w:r>
        <w:rPr>
          <w:rFonts w:ascii="Times New Roman" w:hAnsi="Times New Roman" w:cs="Times New Roman"/>
          <w:sz w:val="28"/>
          <w:szCs w:val="28"/>
        </w:rPr>
        <w:t>таблиц</w:t>
      </w:r>
      <w:r w:rsidR="009A64AA">
        <w:rPr>
          <w:rFonts w:ascii="Times New Roman" w:hAnsi="Times New Roman" w:cs="Times New Roman"/>
          <w:sz w:val="28"/>
          <w:szCs w:val="28"/>
        </w:rPr>
        <w:t>а</w:t>
      </w:r>
      <w:r>
        <w:rPr>
          <w:rFonts w:ascii="Times New Roman" w:hAnsi="Times New Roman" w:cs="Times New Roman"/>
          <w:sz w:val="28"/>
          <w:szCs w:val="28"/>
        </w:rPr>
        <w:t xml:space="preserve"> </w:t>
      </w:r>
      <w:r w:rsidR="00A437A7">
        <w:rPr>
          <w:rFonts w:ascii="Times New Roman" w:hAnsi="Times New Roman" w:cs="Times New Roman"/>
          <w:sz w:val="28"/>
          <w:szCs w:val="28"/>
        </w:rPr>
        <w:t>12</w:t>
      </w:r>
      <w:r>
        <w:rPr>
          <w:rFonts w:ascii="Times New Roman" w:hAnsi="Times New Roman" w:cs="Times New Roman"/>
          <w:sz w:val="28"/>
          <w:szCs w:val="28"/>
        </w:rPr>
        <w:t xml:space="preserve">). </w:t>
      </w:r>
    </w:p>
    <w:p w14:paraId="65C684A3" w14:textId="7BE04979" w:rsidR="00E918F1" w:rsidRDefault="00A437A7" w:rsidP="009A64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12</w:t>
      </w:r>
      <w:r w:rsidR="00E918F1">
        <w:rPr>
          <w:rFonts w:ascii="Times New Roman" w:hAnsi="Times New Roman" w:cs="Times New Roman"/>
          <w:sz w:val="28"/>
          <w:szCs w:val="28"/>
        </w:rPr>
        <w:t xml:space="preserve"> – Расходы на реализацию государственных программ социальной н</w:t>
      </w:r>
      <w:r w:rsidR="009A64AA">
        <w:rPr>
          <w:rFonts w:ascii="Times New Roman" w:hAnsi="Times New Roman" w:cs="Times New Roman"/>
          <w:sz w:val="28"/>
          <w:szCs w:val="28"/>
        </w:rPr>
        <w:t>аправленности в соответствии с з</w:t>
      </w:r>
      <w:r w:rsidR="00E918F1">
        <w:rPr>
          <w:rFonts w:ascii="Times New Roman" w:hAnsi="Times New Roman" w:cs="Times New Roman"/>
          <w:sz w:val="28"/>
          <w:szCs w:val="28"/>
        </w:rPr>
        <w:t>аконопроектом на 2020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2"/>
        <w:gridCol w:w="1842"/>
        <w:gridCol w:w="2231"/>
      </w:tblGrid>
      <w:tr w:rsidR="00E918F1" w:rsidRPr="00F829E7" w14:paraId="3E808BB0" w14:textId="77777777" w:rsidTr="009A64AA">
        <w:trPr>
          <w:trHeight w:val="300"/>
        </w:trPr>
        <w:tc>
          <w:tcPr>
            <w:tcW w:w="2871" w:type="pct"/>
            <w:shd w:val="clear" w:color="auto" w:fill="auto"/>
            <w:noWrap/>
            <w:hideMark/>
          </w:tcPr>
          <w:p w14:paraId="0BDB4433" w14:textId="77777777" w:rsidR="00E918F1" w:rsidRPr="00F829E7" w:rsidRDefault="00E918F1" w:rsidP="009A64AA">
            <w:pPr>
              <w:jc w:val="center"/>
              <w:rPr>
                <w:rFonts w:ascii="Times New Roman" w:eastAsia="Times New Roman" w:hAnsi="Times New Roman" w:cs="Times New Roman"/>
                <w:color w:val="000000"/>
              </w:rPr>
            </w:pPr>
            <w:r w:rsidRPr="00F829E7">
              <w:rPr>
                <w:rFonts w:ascii="Times New Roman" w:eastAsia="Times New Roman" w:hAnsi="Times New Roman" w:cs="Times New Roman"/>
                <w:color w:val="000000"/>
              </w:rPr>
              <w:t>Государственные программы Российской Федерации</w:t>
            </w:r>
          </w:p>
        </w:tc>
        <w:tc>
          <w:tcPr>
            <w:tcW w:w="963" w:type="pct"/>
            <w:shd w:val="clear" w:color="auto" w:fill="auto"/>
            <w:noWrap/>
            <w:hideMark/>
          </w:tcPr>
          <w:p w14:paraId="75D409FA" w14:textId="77777777" w:rsidR="00E918F1" w:rsidRPr="00F829E7" w:rsidRDefault="00E918F1" w:rsidP="009A64A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F829E7">
              <w:rPr>
                <w:rFonts w:ascii="Times New Roman" w:eastAsia="Times New Roman" w:hAnsi="Times New Roman" w:cs="Times New Roman"/>
                <w:color w:val="000000"/>
              </w:rPr>
              <w:t>оля расходов в % к общей сумме расходов на 2020 год</w:t>
            </w:r>
          </w:p>
        </w:tc>
        <w:tc>
          <w:tcPr>
            <w:tcW w:w="1166" w:type="pct"/>
            <w:shd w:val="clear" w:color="auto" w:fill="auto"/>
            <w:noWrap/>
            <w:hideMark/>
          </w:tcPr>
          <w:p w14:paraId="628FB786" w14:textId="77777777" w:rsidR="00E918F1" w:rsidRPr="00F829E7" w:rsidRDefault="00E918F1" w:rsidP="009A64A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F829E7">
              <w:rPr>
                <w:rFonts w:ascii="Times New Roman" w:eastAsia="Times New Roman" w:hAnsi="Times New Roman" w:cs="Times New Roman"/>
                <w:color w:val="000000"/>
              </w:rPr>
              <w:t>рирост к показателям первого года плано</w:t>
            </w:r>
            <w:r>
              <w:rPr>
                <w:rFonts w:ascii="Times New Roman" w:eastAsia="Times New Roman" w:hAnsi="Times New Roman" w:cs="Times New Roman"/>
                <w:color w:val="000000"/>
              </w:rPr>
              <w:t>во</w:t>
            </w:r>
            <w:r w:rsidRPr="00F829E7">
              <w:rPr>
                <w:rFonts w:ascii="Times New Roman" w:eastAsia="Times New Roman" w:hAnsi="Times New Roman" w:cs="Times New Roman"/>
                <w:color w:val="000000"/>
              </w:rPr>
              <w:t>го периода (2020 год) в соответствии с Законом 459-ФЗ</w:t>
            </w:r>
            <w:r>
              <w:rPr>
                <w:rFonts w:ascii="Times New Roman" w:eastAsia="Times New Roman" w:hAnsi="Times New Roman" w:cs="Times New Roman"/>
                <w:color w:val="000000"/>
              </w:rPr>
              <w:t>, %</w:t>
            </w:r>
          </w:p>
        </w:tc>
      </w:tr>
      <w:tr w:rsidR="00E918F1" w:rsidRPr="00F829E7" w14:paraId="0B3E978C" w14:textId="77777777" w:rsidTr="009A64AA">
        <w:trPr>
          <w:trHeight w:val="411"/>
        </w:trPr>
        <w:tc>
          <w:tcPr>
            <w:tcW w:w="2871" w:type="pct"/>
            <w:shd w:val="clear" w:color="auto" w:fill="auto"/>
            <w:vAlign w:val="center"/>
            <w:hideMark/>
          </w:tcPr>
          <w:p w14:paraId="647BAA04" w14:textId="77777777" w:rsidR="00E918F1" w:rsidRPr="00F829E7" w:rsidRDefault="00E918F1" w:rsidP="009A64AA">
            <w:pPr>
              <w:jc w:val="both"/>
              <w:rPr>
                <w:rFonts w:ascii="Times New Roman" w:eastAsia="Times New Roman" w:hAnsi="Times New Roman" w:cs="Times New Roman"/>
                <w:bCs/>
                <w:color w:val="000000"/>
              </w:rPr>
            </w:pPr>
            <w:r w:rsidRPr="00F829E7">
              <w:rPr>
                <w:rFonts w:ascii="Times New Roman" w:eastAsia="Times New Roman" w:hAnsi="Times New Roman" w:cs="Times New Roman"/>
                <w:bCs/>
                <w:color w:val="000000"/>
              </w:rPr>
              <w:t>"РАЗВИТИЕ ЗДРАВООХРАНЕНИЯ"</w:t>
            </w:r>
          </w:p>
        </w:tc>
        <w:tc>
          <w:tcPr>
            <w:tcW w:w="963" w:type="pct"/>
            <w:shd w:val="clear" w:color="auto" w:fill="auto"/>
            <w:noWrap/>
            <w:vAlign w:val="center"/>
            <w:hideMark/>
          </w:tcPr>
          <w:p w14:paraId="77363570" w14:textId="77777777" w:rsidR="00E918F1" w:rsidRPr="00F829E7" w:rsidRDefault="00E918F1" w:rsidP="009A64AA">
            <w:pPr>
              <w:jc w:val="center"/>
              <w:rPr>
                <w:rFonts w:ascii="Times New Roman" w:eastAsia="Times New Roman" w:hAnsi="Times New Roman" w:cs="Times New Roman"/>
                <w:color w:val="000000"/>
              </w:rPr>
            </w:pPr>
            <w:r w:rsidRPr="00F829E7">
              <w:rPr>
                <w:rFonts w:ascii="Times New Roman" w:eastAsia="Times New Roman" w:hAnsi="Times New Roman" w:cs="Times New Roman"/>
                <w:color w:val="000000"/>
              </w:rPr>
              <w:t>4,3</w:t>
            </w:r>
          </w:p>
        </w:tc>
        <w:tc>
          <w:tcPr>
            <w:tcW w:w="1166" w:type="pct"/>
            <w:shd w:val="clear" w:color="auto" w:fill="auto"/>
            <w:noWrap/>
            <w:vAlign w:val="center"/>
            <w:hideMark/>
          </w:tcPr>
          <w:p w14:paraId="75AD0FA8" w14:textId="77777777" w:rsidR="00E918F1" w:rsidRPr="00F829E7" w:rsidRDefault="00E918F1" w:rsidP="009A64A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829E7">
              <w:rPr>
                <w:rFonts w:ascii="Times New Roman" w:eastAsia="Times New Roman" w:hAnsi="Times New Roman" w:cs="Times New Roman"/>
                <w:color w:val="000000"/>
              </w:rPr>
              <w:t>10,6</w:t>
            </w:r>
          </w:p>
        </w:tc>
      </w:tr>
      <w:tr w:rsidR="00E918F1" w:rsidRPr="00F829E7" w14:paraId="48DDBCD3" w14:textId="77777777" w:rsidTr="009A64AA">
        <w:trPr>
          <w:trHeight w:val="418"/>
        </w:trPr>
        <w:tc>
          <w:tcPr>
            <w:tcW w:w="2871" w:type="pct"/>
            <w:shd w:val="clear" w:color="auto" w:fill="auto"/>
            <w:vAlign w:val="center"/>
            <w:hideMark/>
          </w:tcPr>
          <w:p w14:paraId="7B487E8B" w14:textId="77777777" w:rsidR="00E918F1" w:rsidRPr="00F829E7" w:rsidRDefault="00E918F1" w:rsidP="009A64AA">
            <w:pPr>
              <w:jc w:val="both"/>
              <w:rPr>
                <w:rFonts w:ascii="Times New Roman" w:eastAsia="Times New Roman" w:hAnsi="Times New Roman" w:cs="Times New Roman"/>
                <w:bCs/>
                <w:color w:val="000000"/>
              </w:rPr>
            </w:pPr>
            <w:r w:rsidRPr="00F829E7">
              <w:rPr>
                <w:rFonts w:ascii="Times New Roman" w:eastAsia="Times New Roman" w:hAnsi="Times New Roman" w:cs="Times New Roman"/>
                <w:bCs/>
                <w:color w:val="000000"/>
              </w:rPr>
              <w:t>"РАЗВИТИЕ ОБРАЗОВАНИЯ"</w:t>
            </w:r>
          </w:p>
        </w:tc>
        <w:tc>
          <w:tcPr>
            <w:tcW w:w="963" w:type="pct"/>
            <w:shd w:val="clear" w:color="auto" w:fill="auto"/>
            <w:noWrap/>
            <w:vAlign w:val="center"/>
            <w:hideMark/>
          </w:tcPr>
          <w:p w14:paraId="272B8C8A" w14:textId="77777777" w:rsidR="00E918F1" w:rsidRPr="00F829E7" w:rsidRDefault="00E918F1" w:rsidP="009A64AA">
            <w:pPr>
              <w:jc w:val="center"/>
              <w:rPr>
                <w:rFonts w:ascii="Times New Roman" w:eastAsia="Times New Roman" w:hAnsi="Times New Roman" w:cs="Times New Roman"/>
                <w:color w:val="000000"/>
              </w:rPr>
            </w:pPr>
            <w:r w:rsidRPr="00F829E7">
              <w:rPr>
                <w:rFonts w:ascii="Times New Roman" w:eastAsia="Times New Roman" w:hAnsi="Times New Roman" w:cs="Times New Roman"/>
                <w:color w:val="000000"/>
              </w:rPr>
              <w:t>1,1</w:t>
            </w:r>
          </w:p>
        </w:tc>
        <w:tc>
          <w:tcPr>
            <w:tcW w:w="1166" w:type="pct"/>
            <w:shd w:val="clear" w:color="auto" w:fill="auto"/>
            <w:noWrap/>
            <w:vAlign w:val="center"/>
            <w:hideMark/>
          </w:tcPr>
          <w:p w14:paraId="4CBB4F4B" w14:textId="77777777" w:rsidR="00E918F1" w:rsidRPr="00F829E7" w:rsidRDefault="00E918F1" w:rsidP="009A64A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829E7">
              <w:rPr>
                <w:rFonts w:ascii="Times New Roman" w:eastAsia="Times New Roman" w:hAnsi="Times New Roman" w:cs="Times New Roman"/>
                <w:color w:val="000000"/>
              </w:rPr>
              <w:t>12,9</w:t>
            </w:r>
          </w:p>
        </w:tc>
      </w:tr>
      <w:tr w:rsidR="00E918F1" w:rsidRPr="00F829E7" w14:paraId="22403C59" w14:textId="77777777" w:rsidTr="009A64AA">
        <w:trPr>
          <w:trHeight w:val="423"/>
        </w:trPr>
        <w:tc>
          <w:tcPr>
            <w:tcW w:w="2871" w:type="pct"/>
            <w:shd w:val="clear" w:color="auto" w:fill="auto"/>
            <w:vAlign w:val="center"/>
            <w:hideMark/>
          </w:tcPr>
          <w:p w14:paraId="7DA1B68D" w14:textId="77777777" w:rsidR="00E918F1" w:rsidRPr="00F829E7" w:rsidRDefault="00E918F1" w:rsidP="009A64AA">
            <w:pPr>
              <w:jc w:val="both"/>
              <w:rPr>
                <w:rFonts w:ascii="Times New Roman" w:eastAsia="Times New Roman" w:hAnsi="Times New Roman" w:cs="Times New Roman"/>
                <w:bCs/>
                <w:color w:val="000000"/>
              </w:rPr>
            </w:pPr>
            <w:r w:rsidRPr="00F829E7">
              <w:rPr>
                <w:rFonts w:ascii="Times New Roman" w:eastAsia="Times New Roman" w:hAnsi="Times New Roman" w:cs="Times New Roman"/>
                <w:bCs/>
                <w:color w:val="000000"/>
              </w:rPr>
              <w:t>"СОЦИАЛЬНАЯ ПОДДЕРЖКА ГРАЖДАН"</w:t>
            </w:r>
          </w:p>
        </w:tc>
        <w:tc>
          <w:tcPr>
            <w:tcW w:w="963" w:type="pct"/>
            <w:shd w:val="clear" w:color="auto" w:fill="auto"/>
            <w:noWrap/>
            <w:vAlign w:val="center"/>
            <w:hideMark/>
          </w:tcPr>
          <w:p w14:paraId="3FE53F80" w14:textId="77777777" w:rsidR="00E918F1" w:rsidRPr="00F829E7" w:rsidRDefault="00E918F1" w:rsidP="009A64AA">
            <w:pPr>
              <w:jc w:val="center"/>
              <w:rPr>
                <w:rFonts w:ascii="Times New Roman" w:eastAsia="Times New Roman" w:hAnsi="Times New Roman" w:cs="Times New Roman"/>
                <w:color w:val="000000"/>
              </w:rPr>
            </w:pPr>
            <w:r w:rsidRPr="00F829E7">
              <w:rPr>
                <w:rFonts w:ascii="Times New Roman" w:eastAsia="Times New Roman" w:hAnsi="Times New Roman" w:cs="Times New Roman"/>
                <w:color w:val="000000"/>
              </w:rPr>
              <w:t>7,5</w:t>
            </w:r>
          </w:p>
        </w:tc>
        <w:tc>
          <w:tcPr>
            <w:tcW w:w="1166" w:type="pct"/>
            <w:shd w:val="clear" w:color="auto" w:fill="auto"/>
            <w:noWrap/>
            <w:vAlign w:val="center"/>
            <w:hideMark/>
          </w:tcPr>
          <w:p w14:paraId="58C1EA24" w14:textId="77777777" w:rsidR="00E918F1" w:rsidRPr="00F829E7" w:rsidRDefault="00E918F1" w:rsidP="009A64A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829E7">
              <w:rPr>
                <w:rFonts w:ascii="Times New Roman" w:eastAsia="Times New Roman" w:hAnsi="Times New Roman" w:cs="Times New Roman"/>
                <w:color w:val="000000"/>
              </w:rPr>
              <w:t>3,5</w:t>
            </w:r>
          </w:p>
        </w:tc>
      </w:tr>
      <w:tr w:rsidR="00E918F1" w:rsidRPr="00F829E7" w14:paraId="77748A0B" w14:textId="77777777" w:rsidTr="009A64AA">
        <w:trPr>
          <w:trHeight w:val="401"/>
        </w:trPr>
        <w:tc>
          <w:tcPr>
            <w:tcW w:w="2871" w:type="pct"/>
            <w:shd w:val="clear" w:color="auto" w:fill="auto"/>
            <w:vAlign w:val="center"/>
            <w:hideMark/>
          </w:tcPr>
          <w:p w14:paraId="1557F0EF" w14:textId="77777777" w:rsidR="00E918F1" w:rsidRPr="00F829E7" w:rsidRDefault="00E918F1" w:rsidP="009A64AA">
            <w:pPr>
              <w:jc w:val="both"/>
              <w:rPr>
                <w:rFonts w:ascii="Times New Roman" w:eastAsia="Times New Roman" w:hAnsi="Times New Roman" w:cs="Times New Roman"/>
                <w:bCs/>
                <w:color w:val="000000"/>
              </w:rPr>
            </w:pPr>
            <w:r w:rsidRPr="00F829E7">
              <w:rPr>
                <w:rFonts w:ascii="Times New Roman" w:eastAsia="Times New Roman" w:hAnsi="Times New Roman" w:cs="Times New Roman"/>
                <w:bCs/>
                <w:color w:val="000000"/>
              </w:rPr>
              <w:t>"ДОСТУПНАЯ СРЕДА"</w:t>
            </w:r>
          </w:p>
        </w:tc>
        <w:tc>
          <w:tcPr>
            <w:tcW w:w="963" w:type="pct"/>
            <w:shd w:val="clear" w:color="auto" w:fill="auto"/>
            <w:noWrap/>
            <w:vAlign w:val="center"/>
            <w:hideMark/>
          </w:tcPr>
          <w:p w14:paraId="69C2C90E" w14:textId="77777777" w:rsidR="00E918F1" w:rsidRPr="00F829E7" w:rsidRDefault="00E918F1" w:rsidP="009A64AA">
            <w:pPr>
              <w:jc w:val="center"/>
              <w:rPr>
                <w:rFonts w:ascii="Times New Roman" w:eastAsia="Times New Roman" w:hAnsi="Times New Roman" w:cs="Times New Roman"/>
                <w:color w:val="000000"/>
              </w:rPr>
            </w:pPr>
            <w:r w:rsidRPr="00F829E7">
              <w:rPr>
                <w:rFonts w:ascii="Times New Roman" w:eastAsia="Times New Roman" w:hAnsi="Times New Roman" w:cs="Times New Roman"/>
                <w:color w:val="000000"/>
              </w:rPr>
              <w:t>0,3</w:t>
            </w:r>
          </w:p>
        </w:tc>
        <w:tc>
          <w:tcPr>
            <w:tcW w:w="1166" w:type="pct"/>
            <w:shd w:val="clear" w:color="auto" w:fill="auto"/>
            <w:noWrap/>
            <w:vAlign w:val="center"/>
            <w:hideMark/>
          </w:tcPr>
          <w:p w14:paraId="70A7FBD2" w14:textId="77777777" w:rsidR="00E918F1" w:rsidRPr="00F829E7" w:rsidRDefault="00E918F1" w:rsidP="009A64A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829E7">
              <w:rPr>
                <w:rFonts w:ascii="Times New Roman" w:eastAsia="Times New Roman" w:hAnsi="Times New Roman" w:cs="Times New Roman"/>
                <w:color w:val="000000"/>
              </w:rPr>
              <w:t>8,7</w:t>
            </w:r>
          </w:p>
        </w:tc>
      </w:tr>
      <w:tr w:rsidR="00E918F1" w:rsidRPr="00F829E7" w14:paraId="5CA928D8" w14:textId="77777777" w:rsidTr="009A64AA">
        <w:trPr>
          <w:trHeight w:val="705"/>
        </w:trPr>
        <w:tc>
          <w:tcPr>
            <w:tcW w:w="2871" w:type="pct"/>
            <w:shd w:val="clear" w:color="auto" w:fill="auto"/>
            <w:vAlign w:val="center"/>
            <w:hideMark/>
          </w:tcPr>
          <w:p w14:paraId="4CE0B16B" w14:textId="77777777" w:rsidR="00E918F1" w:rsidRPr="00F829E7" w:rsidRDefault="00E918F1" w:rsidP="009A64AA">
            <w:pPr>
              <w:jc w:val="both"/>
              <w:rPr>
                <w:rFonts w:ascii="Times New Roman" w:eastAsia="Times New Roman" w:hAnsi="Times New Roman" w:cs="Times New Roman"/>
                <w:bCs/>
                <w:color w:val="000000"/>
              </w:rPr>
            </w:pPr>
            <w:r w:rsidRPr="00F829E7">
              <w:rPr>
                <w:rFonts w:ascii="Times New Roman" w:eastAsia="Times New Roman" w:hAnsi="Times New Roman" w:cs="Times New Roman"/>
                <w:bCs/>
                <w:color w:val="000000"/>
              </w:rPr>
              <w:t>"ОБЕСПЕЧЕНИЕ ДОСТУПНЫМ И КОМФОРТНЫМ ЖИЛЬЕМ И КОММУНАЛЬНЫМИ УСЛУГАМИ ГРАЖДАН РОССИЙСКОЙ ФЕДЕРАЦИИ"</w:t>
            </w:r>
          </w:p>
        </w:tc>
        <w:tc>
          <w:tcPr>
            <w:tcW w:w="963" w:type="pct"/>
            <w:shd w:val="clear" w:color="auto" w:fill="auto"/>
            <w:noWrap/>
            <w:vAlign w:val="center"/>
            <w:hideMark/>
          </w:tcPr>
          <w:p w14:paraId="63034596" w14:textId="77777777" w:rsidR="00E918F1" w:rsidRPr="00F829E7" w:rsidRDefault="00E918F1" w:rsidP="009A64AA">
            <w:pPr>
              <w:jc w:val="center"/>
              <w:rPr>
                <w:rFonts w:ascii="Times New Roman" w:eastAsia="Times New Roman" w:hAnsi="Times New Roman" w:cs="Times New Roman"/>
                <w:color w:val="000000"/>
              </w:rPr>
            </w:pPr>
            <w:r w:rsidRPr="00F829E7">
              <w:rPr>
                <w:rFonts w:ascii="Times New Roman" w:eastAsia="Times New Roman" w:hAnsi="Times New Roman" w:cs="Times New Roman"/>
                <w:color w:val="000000"/>
              </w:rPr>
              <w:t>1,1</w:t>
            </w:r>
          </w:p>
        </w:tc>
        <w:tc>
          <w:tcPr>
            <w:tcW w:w="1166" w:type="pct"/>
            <w:shd w:val="clear" w:color="auto" w:fill="auto"/>
            <w:noWrap/>
            <w:vAlign w:val="center"/>
            <w:hideMark/>
          </w:tcPr>
          <w:p w14:paraId="0F918507" w14:textId="77777777" w:rsidR="00E918F1" w:rsidRPr="00F829E7" w:rsidRDefault="00E918F1" w:rsidP="009A64A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829E7">
              <w:rPr>
                <w:rFonts w:ascii="Times New Roman" w:eastAsia="Times New Roman" w:hAnsi="Times New Roman" w:cs="Times New Roman"/>
                <w:color w:val="000000"/>
              </w:rPr>
              <w:t>12,8</w:t>
            </w:r>
          </w:p>
        </w:tc>
      </w:tr>
      <w:tr w:rsidR="00E918F1" w:rsidRPr="00F829E7" w14:paraId="231FBE1F" w14:textId="77777777" w:rsidTr="009A64AA">
        <w:trPr>
          <w:trHeight w:val="579"/>
        </w:trPr>
        <w:tc>
          <w:tcPr>
            <w:tcW w:w="2871" w:type="pct"/>
            <w:shd w:val="clear" w:color="auto" w:fill="auto"/>
            <w:vAlign w:val="center"/>
            <w:hideMark/>
          </w:tcPr>
          <w:p w14:paraId="6090D55C" w14:textId="77777777" w:rsidR="00E918F1" w:rsidRPr="00F829E7" w:rsidRDefault="00E918F1" w:rsidP="009A64AA">
            <w:pPr>
              <w:jc w:val="both"/>
              <w:rPr>
                <w:rFonts w:ascii="Times New Roman" w:eastAsia="Times New Roman" w:hAnsi="Times New Roman" w:cs="Times New Roman"/>
                <w:bCs/>
                <w:color w:val="000000"/>
              </w:rPr>
            </w:pPr>
            <w:r w:rsidRPr="00F829E7">
              <w:rPr>
                <w:rFonts w:ascii="Times New Roman" w:eastAsia="Times New Roman" w:hAnsi="Times New Roman" w:cs="Times New Roman"/>
                <w:bCs/>
                <w:color w:val="000000"/>
              </w:rPr>
              <w:t>"РАЗВИТИЕ КУЛЬТУРЫ"</w:t>
            </w:r>
          </w:p>
        </w:tc>
        <w:tc>
          <w:tcPr>
            <w:tcW w:w="963" w:type="pct"/>
            <w:shd w:val="clear" w:color="auto" w:fill="auto"/>
            <w:noWrap/>
            <w:vAlign w:val="center"/>
            <w:hideMark/>
          </w:tcPr>
          <w:p w14:paraId="2F562408" w14:textId="77777777" w:rsidR="00E918F1" w:rsidRPr="00F829E7" w:rsidRDefault="00E918F1" w:rsidP="009A64AA">
            <w:pPr>
              <w:jc w:val="center"/>
              <w:rPr>
                <w:rFonts w:ascii="Times New Roman" w:eastAsia="Times New Roman" w:hAnsi="Times New Roman" w:cs="Times New Roman"/>
                <w:color w:val="000000"/>
              </w:rPr>
            </w:pPr>
            <w:r w:rsidRPr="00F829E7">
              <w:rPr>
                <w:rFonts w:ascii="Times New Roman" w:eastAsia="Times New Roman" w:hAnsi="Times New Roman" w:cs="Times New Roman"/>
                <w:color w:val="000000"/>
              </w:rPr>
              <w:t>0,7</w:t>
            </w:r>
          </w:p>
        </w:tc>
        <w:tc>
          <w:tcPr>
            <w:tcW w:w="1166" w:type="pct"/>
            <w:shd w:val="clear" w:color="auto" w:fill="auto"/>
            <w:noWrap/>
            <w:vAlign w:val="center"/>
            <w:hideMark/>
          </w:tcPr>
          <w:p w14:paraId="16B1192E" w14:textId="77777777" w:rsidR="00E918F1" w:rsidRPr="00F829E7" w:rsidRDefault="00E918F1" w:rsidP="009A64A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829E7">
              <w:rPr>
                <w:rFonts w:ascii="Times New Roman" w:eastAsia="Times New Roman" w:hAnsi="Times New Roman" w:cs="Times New Roman"/>
                <w:color w:val="000000"/>
              </w:rPr>
              <w:t>12,6</w:t>
            </w:r>
          </w:p>
        </w:tc>
      </w:tr>
      <w:tr w:rsidR="00E918F1" w:rsidRPr="00F829E7" w14:paraId="23DD2448" w14:textId="77777777" w:rsidTr="009A64AA">
        <w:trPr>
          <w:trHeight w:val="417"/>
        </w:trPr>
        <w:tc>
          <w:tcPr>
            <w:tcW w:w="2871" w:type="pct"/>
            <w:shd w:val="clear" w:color="auto" w:fill="auto"/>
            <w:vAlign w:val="center"/>
            <w:hideMark/>
          </w:tcPr>
          <w:p w14:paraId="13CD7EE2" w14:textId="77777777" w:rsidR="00E918F1" w:rsidRPr="00F829E7" w:rsidRDefault="00E918F1" w:rsidP="009A64AA">
            <w:pPr>
              <w:jc w:val="both"/>
              <w:rPr>
                <w:rFonts w:ascii="Times New Roman" w:eastAsia="Times New Roman" w:hAnsi="Times New Roman" w:cs="Times New Roman"/>
                <w:bCs/>
                <w:color w:val="000000"/>
              </w:rPr>
            </w:pPr>
            <w:r w:rsidRPr="00F829E7">
              <w:rPr>
                <w:rFonts w:ascii="Times New Roman" w:eastAsia="Times New Roman" w:hAnsi="Times New Roman" w:cs="Times New Roman"/>
                <w:bCs/>
                <w:color w:val="000000"/>
              </w:rPr>
              <w:t>"ОХРАНА ОКРУЖАЮЩЕЙ СРЕДЫ"</w:t>
            </w:r>
          </w:p>
        </w:tc>
        <w:tc>
          <w:tcPr>
            <w:tcW w:w="963" w:type="pct"/>
            <w:shd w:val="clear" w:color="auto" w:fill="auto"/>
            <w:noWrap/>
            <w:vAlign w:val="center"/>
            <w:hideMark/>
          </w:tcPr>
          <w:p w14:paraId="4D8972DA" w14:textId="77777777" w:rsidR="00E918F1" w:rsidRPr="00F829E7" w:rsidRDefault="00E918F1" w:rsidP="009A64AA">
            <w:pPr>
              <w:jc w:val="center"/>
              <w:rPr>
                <w:rFonts w:ascii="Times New Roman" w:eastAsia="Times New Roman" w:hAnsi="Times New Roman" w:cs="Times New Roman"/>
                <w:color w:val="000000"/>
              </w:rPr>
            </w:pPr>
            <w:r w:rsidRPr="00F829E7">
              <w:rPr>
                <w:rFonts w:ascii="Times New Roman" w:eastAsia="Times New Roman" w:hAnsi="Times New Roman" w:cs="Times New Roman"/>
                <w:color w:val="000000"/>
              </w:rPr>
              <w:t>0,4</w:t>
            </w:r>
          </w:p>
        </w:tc>
        <w:tc>
          <w:tcPr>
            <w:tcW w:w="1166" w:type="pct"/>
            <w:shd w:val="clear" w:color="auto" w:fill="auto"/>
            <w:noWrap/>
            <w:vAlign w:val="center"/>
            <w:hideMark/>
          </w:tcPr>
          <w:p w14:paraId="2D07EB5D" w14:textId="77777777" w:rsidR="00E918F1" w:rsidRPr="00F829E7" w:rsidRDefault="00E918F1" w:rsidP="009A64AA">
            <w:pPr>
              <w:jc w:val="center"/>
              <w:rPr>
                <w:rFonts w:ascii="Times New Roman" w:eastAsia="Times New Roman" w:hAnsi="Times New Roman" w:cs="Times New Roman"/>
                <w:color w:val="000000"/>
              </w:rPr>
            </w:pPr>
            <w:r w:rsidRPr="00F829E7">
              <w:rPr>
                <w:rFonts w:ascii="Times New Roman" w:eastAsia="Times New Roman" w:hAnsi="Times New Roman" w:cs="Times New Roman"/>
                <w:color w:val="000000"/>
              </w:rPr>
              <w:t>-0,3</w:t>
            </w:r>
          </w:p>
        </w:tc>
      </w:tr>
      <w:tr w:rsidR="00E918F1" w:rsidRPr="00F829E7" w14:paraId="46CCEDCB" w14:textId="77777777" w:rsidTr="009A64AA">
        <w:trPr>
          <w:trHeight w:val="551"/>
        </w:trPr>
        <w:tc>
          <w:tcPr>
            <w:tcW w:w="2871" w:type="pct"/>
            <w:shd w:val="clear" w:color="auto" w:fill="auto"/>
            <w:vAlign w:val="center"/>
            <w:hideMark/>
          </w:tcPr>
          <w:p w14:paraId="75C59B4B" w14:textId="77777777" w:rsidR="00E918F1" w:rsidRPr="00F829E7" w:rsidRDefault="00E918F1" w:rsidP="009A64AA">
            <w:pPr>
              <w:jc w:val="both"/>
              <w:rPr>
                <w:rFonts w:ascii="Times New Roman" w:eastAsia="Times New Roman" w:hAnsi="Times New Roman" w:cs="Times New Roman"/>
                <w:bCs/>
                <w:color w:val="000000"/>
              </w:rPr>
            </w:pPr>
            <w:r w:rsidRPr="00F829E7">
              <w:rPr>
                <w:rFonts w:ascii="Times New Roman" w:eastAsia="Times New Roman" w:hAnsi="Times New Roman" w:cs="Times New Roman"/>
                <w:bCs/>
                <w:color w:val="000000"/>
              </w:rPr>
              <w:t>"РАЗВИТИЕ ФИЗИЧЕСКОЙ КУЛЬТУРЫ И СПОРТА"</w:t>
            </w:r>
          </w:p>
        </w:tc>
        <w:tc>
          <w:tcPr>
            <w:tcW w:w="963" w:type="pct"/>
            <w:shd w:val="clear" w:color="auto" w:fill="auto"/>
            <w:noWrap/>
            <w:vAlign w:val="center"/>
            <w:hideMark/>
          </w:tcPr>
          <w:p w14:paraId="38E394D7" w14:textId="77777777" w:rsidR="00E918F1" w:rsidRPr="00F829E7" w:rsidRDefault="00E918F1" w:rsidP="009A64AA">
            <w:pPr>
              <w:jc w:val="center"/>
              <w:rPr>
                <w:rFonts w:ascii="Times New Roman" w:eastAsia="Times New Roman" w:hAnsi="Times New Roman" w:cs="Times New Roman"/>
                <w:color w:val="000000"/>
              </w:rPr>
            </w:pPr>
            <w:r w:rsidRPr="00F829E7">
              <w:rPr>
                <w:rFonts w:ascii="Times New Roman" w:eastAsia="Times New Roman" w:hAnsi="Times New Roman" w:cs="Times New Roman"/>
                <w:color w:val="000000"/>
              </w:rPr>
              <w:t>0,3</w:t>
            </w:r>
          </w:p>
        </w:tc>
        <w:tc>
          <w:tcPr>
            <w:tcW w:w="1166" w:type="pct"/>
            <w:shd w:val="clear" w:color="auto" w:fill="auto"/>
            <w:noWrap/>
            <w:vAlign w:val="center"/>
            <w:hideMark/>
          </w:tcPr>
          <w:p w14:paraId="0DD1DB0B" w14:textId="77777777" w:rsidR="00E918F1" w:rsidRPr="00F829E7" w:rsidRDefault="00E918F1" w:rsidP="009A64A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829E7">
              <w:rPr>
                <w:rFonts w:ascii="Times New Roman" w:eastAsia="Times New Roman" w:hAnsi="Times New Roman" w:cs="Times New Roman"/>
                <w:color w:val="000000"/>
              </w:rPr>
              <w:t>7</w:t>
            </w:r>
          </w:p>
        </w:tc>
      </w:tr>
      <w:tr w:rsidR="00E918F1" w:rsidRPr="00F829E7" w14:paraId="596283AE" w14:textId="77777777" w:rsidTr="009A64AA">
        <w:trPr>
          <w:trHeight w:val="990"/>
        </w:trPr>
        <w:tc>
          <w:tcPr>
            <w:tcW w:w="2871" w:type="pct"/>
            <w:shd w:val="clear" w:color="auto" w:fill="auto"/>
            <w:vAlign w:val="center"/>
            <w:hideMark/>
          </w:tcPr>
          <w:p w14:paraId="3ECB5272" w14:textId="77777777" w:rsidR="00E918F1" w:rsidRPr="00F829E7" w:rsidRDefault="00E918F1" w:rsidP="009A64AA">
            <w:pPr>
              <w:jc w:val="both"/>
              <w:rPr>
                <w:rFonts w:ascii="Times New Roman" w:eastAsia="Times New Roman" w:hAnsi="Times New Roman" w:cs="Times New Roman"/>
                <w:bCs/>
                <w:color w:val="000000"/>
              </w:rPr>
            </w:pPr>
            <w:r w:rsidRPr="00F829E7">
              <w:rPr>
                <w:rFonts w:ascii="Times New Roman" w:eastAsia="Times New Roman" w:hAnsi="Times New Roman" w:cs="Times New Roman"/>
                <w:bCs/>
                <w:color w:val="000000"/>
              </w:rPr>
              <w:t>РАЗВИТИЕ ПЕНСИОННОЙ СИСТЕМЫ РОССИЙСКОЙ ФЕДЕРАЦИИ (не утверждена)</w:t>
            </w:r>
          </w:p>
        </w:tc>
        <w:tc>
          <w:tcPr>
            <w:tcW w:w="963" w:type="pct"/>
            <w:shd w:val="clear" w:color="auto" w:fill="auto"/>
            <w:noWrap/>
            <w:vAlign w:val="center"/>
            <w:hideMark/>
          </w:tcPr>
          <w:p w14:paraId="1926C71E" w14:textId="77777777" w:rsidR="00E918F1" w:rsidRPr="00F829E7" w:rsidRDefault="00E918F1" w:rsidP="009A64AA">
            <w:pPr>
              <w:jc w:val="center"/>
              <w:rPr>
                <w:rFonts w:ascii="Times New Roman" w:eastAsia="Times New Roman" w:hAnsi="Times New Roman" w:cs="Times New Roman"/>
                <w:color w:val="000000"/>
              </w:rPr>
            </w:pPr>
            <w:r w:rsidRPr="00F829E7">
              <w:rPr>
                <w:rFonts w:ascii="Times New Roman" w:eastAsia="Times New Roman" w:hAnsi="Times New Roman" w:cs="Times New Roman"/>
                <w:color w:val="000000"/>
              </w:rPr>
              <w:t>15,9</w:t>
            </w:r>
          </w:p>
        </w:tc>
        <w:tc>
          <w:tcPr>
            <w:tcW w:w="1166" w:type="pct"/>
            <w:shd w:val="clear" w:color="auto" w:fill="auto"/>
            <w:noWrap/>
            <w:vAlign w:val="center"/>
            <w:hideMark/>
          </w:tcPr>
          <w:p w14:paraId="7FB18C5B" w14:textId="77777777" w:rsidR="00E918F1" w:rsidRPr="00F829E7" w:rsidRDefault="00E918F1" w:rsidP="009A64A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829E7">
              <w:rPr>
                <w:rFonts w:ascii="Times New Roman" w:eastAsia="Times New Roman" w:hAnsi="Times New Roman" w:cs="Times New Roman"/>
                <w:color w:val="000000"/>
              </w:rPr>
              <w:t>20,7</w:t>
            </w:r>
          </w:p>
        </w:tc>
      </w:tr>
      <w:tr w:rsidR="00E918F1" w:rsidRPr="00F829E7" w14:paraId="1A7C6C93" w14:textId="77777777" w:rsidTr="009A64AA">
        <w:trPr>
          <w:trHeight w:val="990"/>
        </w:trPr>
        <w:tc>
          <w:tcPr>
            <w:tcW w:w="2871" w:type="pct"/>
            <w:shd w:val="clear" w:color="auto" w:fill="auto"/>
            <w:vAlign w:val="center"/>
          </w:tcPr>
          <w:p w14:paraId="33629788" w14:textId="77777777" w:rsidR="00E918F1" w:rsidRPr="00F829E7" w:rsidRDefault="00E918F1" w:rsidP="009A64AA">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Итого</w:t>
            </w:r>
          </w:p>
        </w:tc>
        <w:tc>
          <w:tcPr>
            <w:tcW w:w="963" w:type="pct"/>
            <w:shd w:val="clear" w:color="auto" w:fill="auto"/>
            <w:noWrap/>
            <w:vAlign w:val="center"/>
          </w:tcPr>
          <w:p w14:paraId="685C16C5" w14:textId="77777777" w:rsidR="00E918F1" w:rsidRPr="00F829E7" w:rsidRDefault="00E918F1" w:rsidP="009A64A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31,7</w:t>
            </w:r>
          </w:p>
        </w:tc>
        <w:tc>
          <w:tcPr>
            <w:tcW w:w="1166" w:type="pct"/>
            <w:shd w:val="clear" w:color="auto" w:fill="auto"/>
            <w:noWrap/>
            <w:vAlign w:val="center"/>
          </w:tcPr>
          <w:p w14:paraId="2FE25FA8" w14:textId="77777777" w:rsidR="00E918F1" w:rsidRDefault="00E918F1" w:rsidP="009A64AA">
            <w:pPr>
              <w:jc w:val="center"/>
              <w:rPr>
                <w:rFonts w:ascii="Times New Roman" w:eastAsia="Times New Roman" w:hAnsi="Times New Roman" w:cs="Times New Roman"/>
                <w:color w:val="000000"/>
              </w:rPr>
            </w:pPr>
          </w:p>
        </w:tc>
      </w:tr>
    </w:tbl>
    <w:p w14:paraId="325E1440" w14:textId="77777777" w:rsidR="00E918F1" w:rsidRPr="009A64AA" w:rsidRDefault="00E918F1" w:rsidP="009A64AA">
      <w:pPr>
        <w:jc w:val="both"/>
        <w:rPr>
          <w:rFonts w:ascii="Times New Roman" w:hAnsi="Times New Roman" w:cs="Times New Roman"/>
        </w:rPr>
      </w:pPr>
      <w:r w:rsidRPr="009A64AA">
        <w:rPr>
          <w:rFonts w:ascii="Times New Roman" w:hAnsi="Times New Roman" w:cs="Times New Roman"/>
          <w:i/>
        </w:rPr>
        <w:t>Источник:</w:t>
      </w:r>
      <w:r w:rsidRPr="009A64AA">
        <w:rPr>
          <w:rFonts w:ascii="Times New Roman" w:hAnsi="Times New Roman" w:cs="Times New Roman"/>
        </w:rPr>
        <w:t xml:space="preserve"> составлено на основе законопроекта и пояснительной записки к законопроекту</w:t>
      </w:r>
    </w:p>
    <w:p w14:paraId="09CEA44E" w14:textId="77777777" w:rsidR="009A64AA" w:rsidRDefault="009A64AA" w:rsidP="00E918F1">
      <w:pPr>
        <w:spacing w:line="360" w:lineRule="auto"/>
        <w:ind w:firstLine="709"/>
        <w:jc w:val="both"/>
        <w:rPr>
          <w:rFonts w:ascii="Times New Roman" w:hAnsi="Times New Roman" w:cs="Times New Roman"/>
          <w:sz w:val="28"/>
          <w:szCs w:val="28"/>
        </w:rPr>
      </w:pPr>
    </w:p>
    <w:p w14:paraId="5E3BB4B6" w14:textId="77777777" w:rsidR="00E918F1" w:rsidRDefault="00E918F1" w:rsidP="00E918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разрезе функциональной классификации расходы федерального бюджета в разрезе разделов 05 «Жилищно-коммунальное хозяйство», 06 «Охрана окружающей среды», 07 «Образование», 08 «Культура, кинематография», 09 «Здравоохранение», 10 «Социальная политика», 11 «Физическая культура и спорт» запланированы в объеме 39% общей суммы расходов федерального бюджета на 2020-2022 годы или около 6% от ВВП.</w:t>
      </w:r>
    </w:p>
    <w:p w14:paraId="0BEEB464" w14:textId="6383D794" w:rsidR="00813259" w:rsidRDefault="00E918F1" w:rsidP="008132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это согласуется с долей аналогичных расходов федерального бюджета в государствах с федеративным устройством с учетом особенностей разграничения расходных обязательств в этих государствах и степенью развития со</w:t>
      </w:r>
      <w:r w:rsidR="00A437A7">
        <w:rPr>
          <w:rFonts w:ascii="Times New Roman" w:hAnsi="Times New Roman" w:cs="Times New Roman"/>
          <w:sz w:val="28"/>
          <w:szCs w:val="28"/>
        </w:rPr>
        <w:t>циального страхования (таблица 13</w:t>
      </w:r>
      <w:r>
        <w:rPr>
          <w:rFonts w:ascii="Times New Roman" w:hAnsi="Times New Roman" w:cs="Times New Roman"/>
          <w:sz w:val="28"/>
          <w:szCs w:val="28"/>
        </w:rPr>
        <w:t>).</w:t>
      </w:r>
    </w:p>
    <w:p w14:paraId="4F30A57A" w14:textId="0EF4DA24" w:rsidR="00E918F1" w:rsidRDefault="00E918F1" w:rsidP="008132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A437A7">
        <w:rPr>
          <w:rFonts w:ascii="Times New Roman" w:hAnsi="Times New Roman" w:cs="Times New Roman"/>
          <w:sz w:val="28"/>
          <w:szCs w:val="28"/>
        </w:rPr>
        <w:t>13</w:t>
      </w:r>
      <w:r>
        <w:rPr>
          <w:rFonts w:ascii="Times New Roman" w:hAnsi="Times New Roman" w:cs="Times New Roman"/>
          <w:sz w:val="28"/>
          <w:szCs w:val="28"/>
        </w:rPr>
        <w:t xml:space="preserve"> – расходы социальной направленности в общей сумме расходов федерального бюджета в отдельных странах</w:t>
      </w:r>
    </w:p>
    <w:tbl>
      <w:tblPr>
        <w:tblW w:w="9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719"/>
        <w:gridCol w:w="1207"/>
        <w:gridCol w:w="1300"/>
        <w:gridCol w:w="1302"/>
        <w:gridCol w:w="1311"/>
        <w:gridCol w:w="1063"/>
      </w:tblGrid>
      <w:tr w:rsidR="00E918F1" w:rsidRPr="00A02CAD" w14:paraId="62ACA93D" w14:textId="77777777" w:rsidTr="009A64AA">
        <w:trPr>
          <w:trHeight w:val="330"/>
        </w:trPr>
        <w:tc>
          <w:tcPr>
            <w:tcW w:w="1984" w:type="dxa"/>
            <w:shd w:val="clear" w:color="auto" w:fill="auto"/>
            <w:vAlign w:val="center"/>
            <w:hideMark/>
          </w:tcPr>
          <w:p w14:paraId="18492C0A" w14:textId="77777777" w:rsidR="00E918F1" w:rsidRPr="00A02CAD" w:rsidRDefault="00E918F1" w:rsidP="009A64AA">
            <w:pPr>
              <w:jc w:val="both"/>
              <w:rPr>
                <w:rFonts w:ascii="Times New Roman" w:eastAsia="Times New Roman" w:hAnsi="Times New Roman" w:cs="Times New Roman"/>
                <w:bCs/>
                <w:color w:val="000000"/>
              </w:rPr>
            </w:pPr>
          </w:p>
        </w:tc>
        <w:tc>
          <w:tcPr>
            <w:tcW w:w="1719" w:type="dxa"/>
            <w:shd w:val="clear" w:color="auto" w:fill="auto"/>
            <w:noWrap/>
            <w:vAlign w:val="bottom"/>
            <w:hideMark/>
          </w:tcPr>
          <w:p w14:paraId="4A2B32A1" w14:textId="77777777" w:rsidR="00E918F1" w:rsidRPr="00A02CAD" w:rsidRDefault="00E918F1" w:rsidP="009A64AA">
            <w:pPr>
              <w:rPr>
                <w:rFonts w:ascii="Times New Roman" w:eastAsia="Times New Roman" w:hAnsi="Times New Roman" w:cs="Times New Roman"/>
                <w:color w:val="000000"/>
              </w:rPr>
            </w:pPr>
            <w:r w:rsidRPr="00A02CAD">
              <w:rPr>
                <w:rFonts w:ascii="Times New Roman" w:eastAsia="Times New Roman" w:hAnsi="Times New Roman" w:cs="Times New Roman"/>
                <w:color w:val="000000"/>
              </w:rPr>
              <w:t>Россия по законопроекту на 2020 год</w:t>
            </w:r>
          </w:p>
        </w:tc>
        <w:tc>
          <w:tcPr>
            <w:tcW w:w="1207" w:type="dxa"/>
            <w:shd w:val="clear" w:color="auto" w:fill="auto"/>
            <w:noWrap/>
            <w:vAlign w:val="bottom"/>
            <w:hideMark/>
          </w:tcPr>
          <w:p w14:paraId="764230C3" w14:textId="77777777" w:rsidR="00E918F1" w:rsidRPr="00A02CAD" w:rsidRDefault="00E918F1" w:rsidP="009A64AA">
            <w:pPr>
              <w:rPr>
                <w:rFonts w:ascii="Times New Roman" w:eastAsia="Times New Roman" w:hAnsi="Times New Roman" w:cs="Times New Roman"/>
                <w:color w:val="000000"/>
              </w:rPr>
            </w:pPr>
            <w:r w:rsidRPr="00A02CAD">
              <w:rPr>
                <w:rFonts w:ascii="Times New Roman" w:eastAsia="Times New Roman" w:hAnsi="Times New Roman" w:cs="Times New Roman"/>
                <w:color w:val="000000"/>
              </w:rPr>
              <w:t>Германия (2016)</w:t>
            </w:r>
          </w:p>
        </w:tc>
        <w:tc>
          <w:tcPr>
            <w:tcW w:w="1300" w:type="dxa"/>
            <w:shd w:val="clear" w:color="auto" w:fill="auto"/>
            <w:noWrap/>
            <w:vAlign w:val="bottom"/>
            <w:hideMark/>
          </w:tcPr>
          <w:p w14:paraId="6455A6B8" w14:textId="77777777" w:rsidR="00E918F1" w:rsidRPr="00A02CAD" w:rsidRDefault="00E918F1" w:rsidP="009A64AA">
            <w:pPr>
              <w:rPr>
                <w:rFonts w:ascii="Times New Roman" w:eastAsia="Times New Roman" w:hAnsi="Times New Roman" w:cs="Times New Roman"/>
                <w:color w:val="000000"/>
              </w:rPr>
            </w:pPr>
            <w:r w:rsidRPr="00A02CAD">
              <w:rPr>
                <w:rFonts w:ascii="Times New Roman" w:eastAsia="Times New Roman" w:hAnsi="Times New Roman" w:cs="Times New Roman"/>
                <w:color w:val="000000"/>
              </w:rPr>
              <w:t>Австралия</w:t>
            </w:r>
            <w:r>
              <w:rPr>
                <w:rFonts w:ascii="Times New Roman" w:eastAsia="Times New Roman" w:hAnsi="Times New Roman" w:cs="Times New Roman"/>
                <w:color w:val="000000"/>
              </w:rPr>
              <w:t xml:space="preserve"> (2016)</w:t>
            </w:r>
          </w:p>
        </w:tc>
        <w:tc>
          <w:tcPr>
            <w:tcW w:w="1302" w:type="dxa"/>
            <w:shd w:val="clear" w:color="auto" w:fill="auto"/>
            <w:noWrap/>
            <w:vAlign w:val="bottom"/>
            <w:hideMark/>
          </w:tcPr>
          <w:p w14:paraId="44E9C0AD" w14:textId="77777777" w:rsidR="00E918F1" w:rsidRPr="00A02CAD" w:rsidRDefault="00E918F1" w:rsidP="009A64AA">
            <w:pPr>
              <w:rPr>
                <w:rFonts w:ascii="Times New Roman" w:eastAsia="Times New Roman" w:hAnsi="Times New Roman" w:cs="Times New Roman"/>
                <w:color w:val="000000"/>
              </w:rPr>
            </w:pPr>
            <w:r w:rsidRPr="00A02CAD">
              <w:rPr>
                <w:rFonts w:ascii="Times New Roman" w:eastAsia="Times New Roman" w:hAnsi="Times New Roman" w:cs="Times New Roman"/>
                <w:color w:val="000000"/>
              </w:rPr>
              <w:t>Бразилия</w:t>
            </w:r>
            <w:r>
              <w:rPr>
                <w:rFonts w:ascii="Times New Roman" w:eastAsia="Times New Roman" w:hAnsi="Times New Roman" w:cs="Times New Roman"/>
                <w:color w:val="000000"/>
              </w:rPr>
              <w:t xml:space="preserve"> (2016)</w:t>
            </w:r>
          </w:p>
        </w:tc>
        <w:tc>
          <w:tcPr>
            <w:tcW w:w="1311" w:type="dxa"/>
            <w:shd w:val="clear" w:color="auto" w:fill="auto"/>
            <w:noWrap/>
            <w:vAlign w:val="bottom"/>
            <w:hideMark/>
          </w:tcPr>
          <w:p w14:paraId="569192E6" w14:textId="77777777" w:rsidR="00E918F1" w:rsidRPr="00A02CAD" w:rsidRDefault="00E918F1" w:rsidP="009A64AA">
            <w:pPr>
              <w:rPr>
                <w:rFonts w:ascii="Times New Roman" w:eastAsia="Times New Roman" w:hAnsi="Times New Roman" w:cs="Times New Roman"/>
                <w:color w:val="000000"/>
              </w:rPr>
            </w:pPr>
            <w:r w:rsidRPr="00A02CAD">
              <w:rPr>
                <w:rFonts w:ascii="Times New Roman" w:eastAsia="Times New Roman" w:hAnsi="Times New Roman" w:cs="Times New Roman"/>
                <w:color w:val="000000"/>
              </w:rPr>
              <w:t>Аргентина</w:t>
            </w:r>
            <w:r>
              <w:rPr>
                <w:rFonts w:ascii="Times New Roman" w:eastAsia="Times New Roman" w:hAnsi="Times New Roman" w:cs="Times New Roman"/>
                <w:color w:val="000000"/>
              </w:rPr>
              <w:t xml:space="preserve"> (2016)</w:t>
            </w:r>
          </w:p>
        </w:tc>
        <w:tc>
          <w:tcPr>
            <w:tcW w:w="1063" w:type="dxa"/>
            <w:shd w:val="clear" w:color="auto" w:fill="auto"/>
            <w:noWrap/>
            <w:vAlign w:val="bottom"/>
            <w:hideMark/>
          </w:tcPr>
          <w:p w14:paraId="29BD6A88" w14:textId="77777777" w:rsidR="00E918F1" w:rsidRPr="00A02CAD" w:rsidRDefault="00E918F1" w:rsidP="009A64AA">
            <w:pPr>
              <w:rPr>
                <w:rFonts w:ascii="Times New Roman" w:eastAsia="Times New Roman" w:hAnsi="Times New Roman" w:cs="Times New Roman"/>
                <w:color w:val="000000"/>
              </w:rPr>
            </w:pPr>
            <w:r w:rsidRPr="00A02CAD">
              <w:rPr>
                <w:rFonts w:ascii="Times New Roman" w:eastAsia="Times New Roman" w:hAnsi="Times New Roman" w:cs="Times New Roman"/>
                <w:color w:val="000000"/>
              </w:rPr>
              <w:t>Китай</w:t>
            </w:r>
            <w:r>
              <w:rPr>
                <w:rFonts w:ascii="Times New Roman" w:eastAsia="Times New Roman" w:hAnsi="Times New Roman" w:cs="Times New Roman"/>
                <w:color w:val="000000"/>
              </w:rPr>
              <w:t xml:space="preserve"> (2016)</w:t>
            </w:r>
          </w:p>
        </w:tc>
      </w:tr>
      <w:tr w:rsidR="00E918F1" w:rsidRPr="00A02CAD" w14:paraId="2DA4AEEB" w14:textId="77777777" w:rsidTr="009A64AA">
        <w:trPr>
          <w:trHeight w:val="330"/>
        </w:trPr>
        <w:tc>
          <w:tcPr>
            <w:tcW w:w="1984" w:type="dxa"/>
            <w:shd w:val="clear" w:color="auto" w:fill="auto"/>
            <w:vAlign w:val="center"/>
            <w:hideMark/>
          </w:tcPr>
          <w:p w14:paraId="14E56E17" w14:textId="77777777" w:rsidR="00E918F1" w:rsidRPr="00A02CAD" w:rsidRDefault="00E918F1" w:rsidP="009A64AA">
            <w:pPr>
              <w:jc w:val="both"/>
              <w:rPr>
                <w:rFonts w:ascii="Times New Roman" w:eastAsia="Times New Roman" w:hAnsi="Times New Roman" w:cs="Times New Roman"/>
                <w:bCs/>
                <w:color w:val="000000"/>
              </w:rPr>
            </w:pPr>
            <w:r w:rsidRPr="00A02CAD">
              <w:rPr>
                <w:rFonts w:ascii="Times New Roman" w:eastAsia="Times New Roman" w:hAnsi="Times New Roman" w:cs="Times New Roman"/>
                <w:bCs/>
                <w:color w:val="000000"/>
              </w:rPr>
              <w:t>Жилищно-коммунальное хозяйство</w:t>
            </w:r>
          </w:p>
        </w:tc>
        <w:tc>
          <w:tcPr>
            <w:tcW w:w="1719" w:type="dxa"/>
            <w:shd w:val="clear" w:color="auto" w:fill="auto"/>
            <w:noWrap/>
            <w:vAlign w:val="bottom"/>
            <w:hideMark/>
          </w:tcPr>
          <w:p w14:paraId="40BD3588"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1,3</w:t>
            </w:r>
          </w:p>
        </w:tc>
        <w:tc>
          <w:tcPr>
            <w:tcW w:w="1207" w:type="dxa"/>
            <w:shd w:val="clear" w:color="auto" w:fill="auto"/>
            <w:noWrap/>
            <w:vAlign w:val="bottom"/>
            <w:hideMark/>
          </w:tcPr>
          <w:p w14:paraId="35BB7FB1"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0,54</w:t>
            </w:r>
          </w:p>
        </w:tc>
        <w:tc>
          <w:tcPr>
            <w:tcW w:w="1300" w:type="dxa"/>
            <w:shd w:val="clear" w:color="auto" w:fill="auto"/>
            <w:noWrap/>
            <w:vAlign w:val="bottom"/>
            <w:hideMark/>
          </w:tcPr>
          <w:p w14:paraId="751E889B"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0,8</w:t>
            </w:r>
          </w:p>
        </w:tc>
        <w:tc>
          <w:tcPr>
            <w:tcW w:w="1302" w:type="dxa"/>
            <w:shd w:val="clear" w:color="auto" w:fill="auto"/>
            <w:noWrap/>
            <w:vAlign w:val="bottom"/>
            <w:hideMark/>
          </w:tcPr>
          <w:p w14:paraId="2F6BA44F"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0,9</w:t>
            </w:r>
          </w:p>
        </w:tc>
        <w:tc>
          <w:tcPr>
            <w:tcW w:w="1311" w:type="dxa"/>
            <w:shd w:val="clear" w:color="auto" w:fill="auto"/>
            <w:noWrap/>
            <w:vAlign w:val="bottom"/>
            <w:hideMark/>
          </w:tcPr>
          <w:p w14:paraId="4F8B4A3B"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2</w:t>
            </w:r>
          </w:p>
        </w:tc>
        <w:tc>
          <w:tcPr>
            <w:tcW w:w="1063" w:type="dxa"/>
            <w:shd w:val="clear" w:color="auto" w:fill="auto"/>
            <w:noWrap/>
            <w:vAlign w:val="bottom"/>
            <w:hideMark/>
          </w:tcPr>
          <w:p w14:paraId="2DABA9FA"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0,2</w:t>
            </w:r>
          </w:p>
        </w:tc>
      </w:tr>
      <w:tr w:rsidR="00E918F1" w:rsidRPr="00A02CAD" w14:paraId="29FFE8E9" w14:textId="77777777" w:rsidTr="009A64AA">
        <w:trPr>
          <w:trHeight w:val="330"/>
        </w:trPr>
        <w:tc>
          <w:tcPr>
            <w:tcW w:w="1984" w:type="dxa"/>
            <w:shd w:val="clear" w:color="auto" w:fill="auto"/>
            <w:vAlign w:val="center"/>
            <w:hideMark/>
          </w:tcPr>
          <w:p w14:paraId="21D731B5" w14:textId="77777777" w:rsidR="00E918F1" w:rsidRPr="00A02CAD" w:rsidRDefault="00E918F1" w:rsidP="009A64AA">
            <w:pPr>
              <w:jc w:val="both"/>
              <w:rPr>
                <w:rFonts w:ascii="Times New Roman" w:eastAsia="Times New Roman" w:hAnsi="Times New Roman" w:cs="Times New Roman"/>
                <w:bCs/>
                <w:color w:val="000000"/>
              </w:rPr>
            </w:pPr>
            <w:r w:rsidRPr="00A02CAD">
              <w:rPr>
                <w:rFonts w:ascii="Times New Roman" w:eastAsia="Times New Roman" w:hAnsi="Times New Roman" w:cs="Times New Roman"/>
                <w:bCs/>
                <w:color w:val="000000"/>
              </w:rPr>
              <w:t>Охрана окружающей среды</w:t>
            </w:r>
          </w:p>
        </w:tc>
        <w:tc>
          <w:tcPr>
            <w:tcW w:w="1719" w:type="dxa"/>
            <w:shd w:val="clear" w:color="auto" w:fill="auto"/>
            <w:noWrap/>
            <w:vAlign w:val="bottom"/>
            <w:hideMark/>
          </w:tcPr>
          <w:p w14:paraId="579AB968"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1,8</w:t>
            </w:r>
          </w:p>
        </w:tc>
        <w:tc>
          <w:tcPr>
            <w:tcW w:w="1207" w:type="dxa"/>
            <w:shd w:val="clear" w:color="auto" w:fill="auto"/>
            <w:noWrap/>
            <w:vAlign w:val="bottom"/>
            <w:hideMark/>
          </w:tcPr>
          <w:p w14:paraId="65C79DA6"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1,6</w:t>
            </w:r>
          </w:p>
        </w:tc>
        <w:tc>
          <w:tcPr>
            <w:tcW w:w="1300" w:type="dxa"/>
            <w:shd w:val="clear" w:color="auto" w:fill="auto"/>
            <w:noWrap/>
            <w:vAlign w:val="bottom"/>
            <w:hideMark/>
          </w:tcPr>
          <w:p w14:paraId="35F7E576"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0,9</w:t>
            </w:r>
          </w:p>
        </w:tc>
        <w:tc>
          <w:tcPr>
            <w:tcW w:w="1302" w:type="dxa"/>
            <w:shd w:val="clear" w:color="auto" w:fill="auto"/>
            <w:noWrap/>
            <w:vAlign w:val="bottom"/>
            <w:hideMark/>
          </w:tcPr>
          <w:p w14:paraId="022AB8E3"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0,3</w:t>
            </w:r>
          </w:p>
        </w:tc>
        <w:tc>
          <w:tcPr>
            <w:tcW w:w="1311" w:type="dxa"/>
            <w:shd w:val="clear" w:color="auto" w:fill="auto"/>
            <w:noWrap/>
            <w:vAlign w:val="bottom"/>
            <w:hideMark/>
          </w:tcPr>
          <w:p w14:paraId="3C0387D9"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0,3</w:t>
            </w:r>
          </w:p>
        </w:tc>
        <w:tc>
          <w:tcPr>
            <w:tcW w:w="1063" w:type="dxa"/>
            <w:shd w:val="clear" w:color="auto" w:fill="auto"/>
            <w:noWrap/>
            <w:vAlign w:val="bottom"/>
            <w:hideMark/>
          </w:tcPr>
          <w:p w14:paraId="6E7F7031"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0,7</w:t>
            </w:r>
          </w:p>
        </w:tc>
      </w:tr>
      <w:tr w:rsidR="00E918F1" w:rsidRPr="00A02CAD" w14:paraId="47911EF4" w14:textId="77777777" w:rsidTr="009A64AA">
        <w:trPr>
          <w:trHeight w:val="330"/>
        </w:trPr>
        <w:tc>
          <w:tcPr>
            <w:tcW w:w="1984" w:type="dxa"/>
            <w:shd w:val="clear" w:color="auto" w:fill="auto"/>
            <w:vAlign w:val="center"/>
            <w:hideMark/>
          </w:tcPr>
          <w:p w14:paraId="5996F5B4" w14:textId="77777777" w:rsidR="00E918F1" w:rsidRPr="00A02CAD" w:rsidRDefault="00E918F1" w:rsidP="009A64AA">
            <w:pPr>
              <w:jc w:val="both"/>
              <w:rPr>
                <w:rFonts w:ascii="Times New Roman" w:eastAsia="Times New Roman" w:hAnsi="Times New Roman" w:cs="Times New Roman"/>
                <w:bCs/>
                <w:color w:val="000000"/>
              </w:rPr>
            </w:pPr>
            <w:r w:rsidRPr="00A02CAD">
              <w:rPr>
                <w:rFonts w:ascii="Times New Roman" w:eastAsia="Times New Roman" w:hAnsi="Times New Roman" w:cs="Times New Roman"/>
                <w:bCs/>
                <w:color w:val="000000"/>
              </w:rPr>
              <w:t>Образование</w:t>
            </w:r>
          </w:p>
        </w:tc>
        <w:tc>
          <w:tcPr>
            <w:tcW w:w="1719" w:type="dxa"/>
            <w:shd w:val="clear" w:color="auto" w:fill="auto"/>
            <w:noWrap/>
            <w:vAlign w:val="bottom"/>
            <w:hideMark/>
          </w:tcPr>
          <w:p w14:paraId="0F5CEA09"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4,5</w:t>
            </w:r>
          </w:p>
        </w:tc>
        <w:tc>
          <w:tcPr>
            <w:tcW w:w="1207" w:type="dxa"/>
            <w:shd w:val="clear" w:color="auto" w:fill="auto"/>
            <w:noWrap/>
            <w:vAlign w:val="bottom"/>
            <w:hideMark/>
          </w:tcPr>
          <w:p w14:paraId="7A8B2778"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2,8</w:t>
            </w:r>
          </w:p>
        </w:tc>
        <w:tc>
          <w:tcPr>
            <w:tcW w:w="1300" w:type="dxa"/>
            <w:shd w:val="clear" w:color="auto" w:fill="auto"/>
            <w:noWrap/>
            <w:vAlign w:val="bottom"/>
            <w:hideMark/>
          </w:tcPr>
          <w:p w14:paraId="47761C62"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11,1</w:t>
            </w:r>
          </w:p>
        </w:tc>
        <w:tc>
          <w:tcPr>
            <w:tcW w:w="1302" w:type="dxa"/>
            <w:shd w:val="clear" w:color="auto" w:fill="auto"/>
            <w:noWrap/>
            <w:vAlign w:val="bottom"/>
            <w:hideMark/>
          </w:tcPr>
          <w:p w14:paraId="192BA3C3"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5,7</w:t>
            </w:r>
          </w:p>
        </w:tc>
        <w:tc>
          <w:tcPr>
            <w:tcW w:w="1311" w:type="dxa"/>
            <w:shd w:val="clear" w:color="auto" w:fill="auto"/>
            <w:noWrap/>
            <w:vAlign w:val="bottom"/>
            <w:hideMark/>
          </w:tcPr>
          <w:p w14:paraId="3A36203F"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6,9</w:t>
            </w:r>
          </w:p>
        </w:tc>
        <w:tc>
          <w:tcPr>
            <w:tcW w:w="1063" w:type="dxa"/>
            <w:shd w:val="clear" w:color="auto" w:fill="auto"/>
            <w:noWrap/>
            <w:vAlign w:val="bottom"/>
            <w:hideMark/>
          </w:tcPr>
          <w:p w14:paraId="497FD166"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4,9</w:t>
            </w:r>
          </w:p>
        </w:tc>
      </w:tr>
      <w:tr w:rsidR="00E918F1" w:rsidRPr="00A02CAD" w14:paraId="3842288D" w14:textId="77777777" w:rsidTr="009A64AA">
        <w:trPr>
          <w:trHeight w:val="330"/>
        </w:trPr>
        <w:tc>
          <w:tcPr>
            <w:tcW w:w="1984" w:type="dxa"/>
            <w:shd w:val="clear" w:color="auto" w:fill="auto"/>
            <w:vAlign w:val="center"/>
            <w:hideMark/>
          </w:tcPr>
          <w:p w14:paraId="255D5BDF" w14:textId="77777777" w:rsidR="00E918F1" w:rsidRPr="00A02CAD" w:rsidRDefault="00E918F1" w:rsidP="009A64AA">
            <w:pPr>
              <w:jc w:val="both"/>
              <w:rPr>
                <w:rFonts w:ascii="Times New Roman" w:eastAsia="Times New Roman" w:hAnsi="Times New Roman" w:cs="Times New Roman"/>
                <w:bCs/>
                <w:color w:val="000000"/>
              </w:rPr>
            </w:pPr>
            <w:r w:rsidRPr="00A02CAD">
              <w:rPr>
                <w:rFonts w:ascii="Times New Roman" w:eastAsia="Times New Roman" w:hAnsi="Times New Roman" w:cs="Times New Roman"/>
                <w:bCs/>
                <w:color w:val="000000"/>
              </w:rPr>
              <w:t>Культура, отдых (включая физкультуру)</w:t>
            </w:r>
          </w:p>
        </w:tc>
        <w:tc>
          <w:tcPr>
            <w:tcW w:w="1719" w:type="dxa"/>
            <w:shd w:val="clear" w:color="auto" w:fill="auto"/>
            <w:noWrap/>
            <w:vAlign w:val="bottom"/>
            <w:hideMark/>
          </w:tcPr>
          <w:p w14:paraId="099A3CB4"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1,1</w:t>
            </w:r>
          </w:p>
        </w:tc>
        <w:tc>
          <w:tcPr>
            <w:tcW w:w="1207" w:type="dxa"/>
            <w:shd w:val="clear" w:color="auto" w:fill="auto"/>
            <w:noWrap/>
            <w:vAlign w:val="bottom"/>
            <w:hideMark/>
          </w:tcPr>
          <w:p w14:paraId="7D176BD3"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0,8</w:t>
            </w:r>
          </w:p>
        </w:tc>
        <w:tc>
          <w:tcPr>
            <w:tcW w:w="1300" w:type="dxa"/>
            <w:shd w:val="clear" w:color="auto" w:fill="auto"/>
            <w:noWrap/>
            <w:vAlign w:val="bottom"/>
            <w:hideMark/>
          </w:tcPr>
          <w:p w14:paraId="069084D4"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0,7</w:t>
            </w:r>
          </w:p>
        </w:tc>
        <w:tc>
          <w:tcPr>
            <w:tcW w:w="1302" w:type="dxa"/>
            <w:shd w:val="clear" w:color="auto" w:fill="auto"/>
            <w:noWrap/>
            <w:vAlign w:val="bottom"/>
            <w:hideMark/>
          </w:tcPr>
          <w:p w14:paraId="71446033"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0,2</w:t>
            </w:r>
          </w:p>
        </w:tc>
        <w:tc>
          <w:tcPr>
            <w:tcW w:w="1311" w:type="dxa"/>
            <w:shd w:val="clear" w:color="auto" w:fill="auto"/>
            <w:noWrap/>
            <w:vAlign w:val="bottom"/>
            <w:hideMark/>
          </w:tcPr>
          <w:p w14:paraId="672B84A7"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0,3</w:t>
            </w:r>
          </w:p>
        </w:tc>
        <w:tc>
          <w:tcPr>
            <w:tcW w:w="1063" w:type="dxa"/>
            <w:shd w:val="clear" w:color="auto" w:fill="auto"/>
            <w:noWrap/>
            <w:vAlign w:val="bottom"/>
            <w:hideMark/>
          </w:tcPr>
          <w:p w14:paraId="0B8CEBE3"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0,8</w:t>
            </w:r>
          </w:p>
        </w:tc>
      </w:tr>
      <w:tr w:rsidR="00E918F1" w:rsidRPr="00A02CAD" w14:paraId="19067C7C" w14:textId="77777777" w:rsidTr="009A64AA">
        <w:trPr>
          <w:trHeight w:val="330"/>
        </w:trPr>
        <w:tc>
          <w:tcPr>
            <w:tcW w:w="1984" w:type="dxa"/>
            <w:shd w:val="clear" w:color="auto" w:fill="auto"/>
            <w:vAlign w:val="center"/>
            <w:hideMark/>
          </w:tcPr>
          <w:p w14:paraId="5D1A6ED4" w14:textId="77777777" w:rsidR="00E918F1" w:rsidRPr="00A02CAD" w:rsidRDefault="00E918F1" w:rsidP="009A64AA">
            <w:pPr>
              <w:jc w:val="both"/>
              <w:rPr>
                <w:rFonts w:ascii="Times New Roman" w:eastAsia="Times New Roman" w:hAnsi="Times New Roman" w:cs="Times New Roman"/>
                <w:bCs/>
                <w:color w:val="000000"/>
              </w:rPr>
            </w:pPr>
            <w:r w:rsidRPr="00A02CAD">
              <w:rPr>
                <w:rFonts w:ascii="Times New Roman" w:eastAsia="Times New Roman" w:hAnsi="Times New Roman" w:cs="Times New Roman"/>
                <w:bCs/>
                <w:color w:val="000000"/>
              </w:rPr>
              <w:t>Здравоохранение</w:t>
            </w:r>
          </w:p>
        </w:tc>
        <w:tc>
          <w:tcPr>
            <w:tcW w:w="1719" w:type="dxa"/>
            <w:shd w:val="clear" w:color="auto" w:fill="auto"/>
            <w:noWrap/>
            <w:vAlign w:val="bottom"/>
            <w:hideMark/>
          </w:tcPr>
          <w:p w14:paraId="5A1AB167"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5</w:t>
            </w:r>
          </w:p>
        </w:tc>
        <w:tc>
          <w:tcPr>
            <w:tcW w:w="1207" w:type="dxa"/>
            <w:shd w:val="clear" w:color="auto" w:fill="auto"/>
            <w:noWrap/>
            <w:vAlign w:val="bottom"/>
            <w:hideMark/>
          </w:tcPr>
          <w:p w14:paraId="4D1495F5"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1,6</w:t>
            </w:r>
          </w:p>
        </w:tc>
        <w:tc>
          <w:tcPr>
            <w:tcW w:w="1300" w:type="dxa"/>
            <w:shd w:val="clear" w:color="auto" w:fill="auto"/>
            <w:noWrap/>
            <w:vAlign w:val="bottom"/>
            <w:hideMark/>
          </w:tcPr>
          <w:p w14:paraId="29C9B42B"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15,3</w:t>
            </w:r>
          </w:p>
        </w:tc>
        <w:tc>
          <w:tcPr>
            <w:tcW w:w="1302" w:type="dxa"/>
            <w:shd w:val="clear" w:color="auto" w:fill="auto"/>
            <w:noWrap/>
            <w:vAlign w:val="bottom"/>
            <w:hideMark/>
          </w:tcPr>
          <w:p w14:paraId="3A119922"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6,8</w:t>
            </w:r>
          </w:p>
        </w:tc>
        <w:tc>
          <w:tcPr>
            <w:tcW w:w="1311" w:type="dxa"/>
            <w:shd w:val="clear" w:color="auto" w:fill="auto"/>
            <w:noWrap/>
            <w:vAlign w:val="bottom"/>
            <w:hideMark/>
          </w:tcPr>
          <w:p w14:paraId="502C7A14"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9,2</w:t>
            </w:r>
          </w:p>
        </w:tc>
        <w:tc>
          <w:tcPr>
            <w:tcW w:w="1063" w:type="dxa"/>
            <w:shd w:val="clear" w:color="auto" w:fill="auto"/>
            <w:noWrap/>
            <w:vAlign w:val="bottom"/>
            <w:hideMark/>
          </w:tcPr>
          <w:p w14:paraId="55542B1B"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0,3</w:t>
            </w:r>
          </w:p>
        </w:tc>
      </w:tr>
      <w:tr w:rsidR="00E918F1" w:rsidRPr="00A02CAD" w14:paraId="033868DD" w14:textId="77777777" w:rsidTr="009A64AA">
        <w:trPr>
          <w:trHeight w:val="330"/>
        </w:trPr>
        <w:tc>
          <w:tcPr>
            <w:tcW w:w="1984" w:type="dxa"/>
            <w:shd w:val="clear" w:color="auto" w:fill="auto"/>
            <w:vAlign w:val="center"/>
            <w:hideMark/>
          </w:tcPr>
          <w:p w14:paraId="28E25413" w14:textId="77777777" w:rsidR="00E918F1" w:rsidRPr="00A02CAD" w:rsidRDefault="00E918F1" w:rsidP="009A64AA">
            <w:pPr>
              <w:jc w:val="both"/>
              <w:rPr>
                <w:rFonts w:ascii="Times New Roman" w:eastAsia="Times New Roman" w:hAnsi="Times New Roman" w:cs="Times New Roman"/>
                <w:bCs/>
                <w:color w:val="000000"/>
              </w:rPr>
            </w:pPr>
            <w:r w:rsidRPr="00A02CAD">
              <w:rPr>
                <w:rFonts w:ascii="Times New Roman" w:eastAsia="Times New Roman" w:hAnsi="Times New Roman" w:cs="Times New Roman"/>
                <w:bCs/>
                <w:color w:val="000000"/>
              </w:rPr>
              <w:t>Социальная политика</w:t>
            </w:r>
          </w:p>
        </w:tc>
        <w:tc>
          <w:tcPr>
            <w:tcW w:w="1719" w:type="dxa"/>
            <w:shd w:val="clear" w:color="auto" w:fill="auto"/>
            <w:noWrap/>
            <w:vAlign w:val="bottom"/>
            <w:hideMark/>
          </w:tcPr>
          <w:p w14:paraId="0DC02B22"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25,6</w:t>
            </w:r>
          </w:p>
        </w:tc>
        <w:tc>
          <w:tcPr>
            <w:tcW w:w="1207" w:type="dxa"/>
            <w:shd w:val="clear" w:color="auto" w:fill="auto"/>
            <w:noWrap/>
            <w:vAlign w:val="bottom"/>
            <w:hideMark/>
          </w:tcPr>
          <w:p w14:paraId="20435CBE"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46,7</w:t>
            </w:r>
          </w:p>
        </w:tc>
        <w:tc>
          <w:tcPr>
            <w:tcW w:w="1300" w:type="dxa"/>
            <w:shd w:val="clear" w:color="auto" w:fill="auto"/>
            <w:noWrap/>
            <w:vAlign w:val="bottom"/>
            <w:hideMark/>
          </w:tcPr>
          <w:p w14:paraId="5349B100"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33,7</w:t>
            </w:r>
          </w:p>
        </w:tc>
        <w:tc>
          <w:tcPr>
            <w:tcW w:w="1302" w:type="dxa"/>
            <w:shd w:val="clear" w:color="auto" w:fill="auto"/>
            <w:noWrap/>
            <w:vAlign w:val="bottom"/>
            <w:hideMark/>
          </w:tcPr>
          <w:p w14:paraId="4D182DE2"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40,1</w:t>
            </w:r>
          </w:p>
        </w:tc>
        <w:tc>
          <w:tcPr>
            <w:tcW w:w="1311" w:type="dxa"/>
            <w:shd w:val="clear" w:color="auto" w:fill="auto"/>
            <w:noWrap/>
            <w:vAlign w:val="bottom"/>
            <w:hideMark/>
          </w:tcPr>
          <w:p w14:paraId="33A50B9F"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7,1</w:t>
            </w:r>
          </w:p>
        </w:tc>
        <w:tc>
          <w:tcPr>
            <w:tcW w:w="1063" w:type="dxa"/>
            <w:shd w:val="clear" w:color="auto" w:fill="auto"/>
            <w:noWrap/>
            <w:vAlign w:val="bottom"/>
            <w:hideMark/>
          </w:tcPr>
          <w:p w14:paraId="5DBBA867" w14:textId="77777777" w:rsidR="00E918F1" w:rsidRPr="00A02CAD" w:rsidRDefault="00E918F1" w:rsidP="009A64AA">
            <w:pPr>
              <w:jc w:val="center"/>
              <w:rPr>
                <w:rFonts w:ascii="Times New Roman" w:eastAsia="Times New Roman" w:hAnsi="Times New Roman" w:cs="Times New Roman"/>
                <w:color w:val="000000"/>
              </w:rPr>
            </w:pPr>
            <w:r w:rsidRPr="00A02CAD">
              <w:rPr>
                <w:rFonts w:ascii="Times New Roman" w:eastAsia="Times New Roman" w:hAnsi="Times New Roman" w:cs="Times New Roman"/>
                <w:color w:val="000000"/>
              </w:rPr>
              <w:t>5,7</w:t>
            </w:r>
          </w:p>
        </w:tc>
      </w:tr>
    </w:tbl>
    <w:p w14:paraId="261B99EA" w14:textId="77777777" w:rsidR="00E918F1" w:rsidRPr="00813259" w:rsidRDefault="00E918F1" w:rsidP="00813259">
      <w:pPr>
        <w:jc w:val="both"/>
        <w:rPr>
          <w:rFonts w:ascii="Times New Roman" w:hAnsi="Times New Roman" w:cs="Times New Roman"/>
        </w:rPr>
      </w:pPr>
      <w:r w:rsidRPr="00813259">
        <w:rPr>
          <w:rFonts w:ascii="Times New Roman" w:hAnsi="Times New Roman" w:cs="Times New Roman"/>
          <w:i/>
        </w:rPr>
        <w:t>Источник:</w:t>
      </w:r>
      <w:r w:rsidRPr="00813259">
        <w:rPr>
          <w:rFonts w:ascii="Times New Roman" w:hAnsi="Times New Roman" w:cs="Times New Roman"/>
        </w:rPr>
        <w:t xml:space="preserve"> составлено на основе законопроекта и данных статистики государственных финансов - http://data.imf.org/?</w:t>
      </w:r>
    </w:p>
    <w:p w14:paraId="1CAA92B3" w14:textId="77777777" w:rsidR="00813259" w:rsidRDefault="00813259" w:rsidP="00E918F1">
      <w:pPr>
        <w:spacing w:line="360" w:lineRule="auto"/>
        <w:ind w:firstLine="709"/>
        <w:jc w:val="both"/>
        <w:rPr>
          <w:rFonts w:ascii="Times New Roman" w:hAnsi="Times New Roman" w:cs="Times New Roman"/>
          <w:sz w:val="28"/>
          <w:szCs w:val="28"/>
        </w:rPr>
      </w:pPr>
    </w:p>
    <w:p w14:paraId="0BEC5F42" w14:textId="77777777" w:rsidR="00E918F1" w:rsidRPr="00012685" w:rsidRDefault="00E918F1" w:rsidP="00E918F1">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разрезе экономической группировки расходы федерального бюджета на социальное обеспечение и иные выплаты населению (ВР 300) невелики и </w:t>
      </w:r>
      <w:r>
        <w:rPr>
          <w:rFonts w:ascii="Times New Roman" w:hAnsi="Times New Roman" w:cs="Times New Roman"/>
          <w:sz w:val="28"/>
          <w:szCs w:val="28"/>
        </w:rPr>
        <w:lastRenderedPageBreak/>
        <w:t>составляют около 6% расходов федерального бюджета или около 1% от ВВП (рисунок 1)</w:t>
      </w:r>
    </w:p>
    <w:p w14:paraId="060F28C4" w14:textId="77777777" w:rsidR="00E918F1" w:rsidRDefault="00E918F1" w:rsidP="00E918F1">
      <w:pPr>
        <w:spacing w:line="360" w:lineRule="auto"/>
        <w:ind w:firstLine="709"/>
        <w:jc w:val="both"/>
        <w:rPr>
          <w:rFonts w:ascii="Times New Roman" w:hAnsi="Times New Roman" w:cs="Times New Roman"/>
          <w:b/>
          <w:sz w:val="28"/>
          <w:szCs w:val="28"/>
        </w:rPr>
      </w:pPr>
    </w:p>
    <w:p w14:paraId="0E9BAD1D" w14:textId="77777777" w:rsidR="00E918F1" w:rsidRDefault="00E918F1" w:rsidP="00E918F1">
      <w:pPr>
        <w:spacing w:line="360" w:lineRule="auto"/>
        <w:ind w:firstLine="709"/>
        <w:jc w:val="both"/>
        <w:rPr>
          <w:rFonts w:ascii="Times New Roman" w:hAnsi="Times New Roman" w:cs="Times New Roman"/>
          <w:b/>
          <w:sz w:val="28"/>
          <w:szCs w:val="28"/>
        </w:rPr>
      </w:pPr>
      <w:r>
        <w:rPr>
          <w:noProof/>
        </w:rPr>
        <w:drawing>
          <wp:inline distT="0" distB="0" distL="0" distR="0" wp14:anchorId="27BA4FB2" wp14:editId="3190158A">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4CF713" w14:textId="77777777" w:rsidR="00E918F1" w:rsidRPr="00813259" w:rsidRDefault="00E918F1" w:rsidP="00E918F1">
      <w:pPr>
        <w:spacing w:line="360" w:lineRule="auto"/>
        <w:ind w:firstLine="709"/>
        <w:jc w:val="center"/>
        <w:rPr>
          <w:rFonts w:ascii="Times New Roman" w:hAnsi="Times New Roman" w:cs="Times New Roman"/>
          <w:sz w:val="28"/>
          <w:szCs w:val="28"/>
        </w:rPr>
      </w:pPr>
      <w:r w:rsidRPr="00813259">
        <w:rPr>
          <w:rFonts w:ascii="Times New Roman" w:hAnsi="Times New Roman" w:cs="Times New Roman"/>
          <w:sz w:val="28"/>
          <w:szCs w:val="28"/>
        </w:rPr>
        <w:t>Рисунок 1 - Доля расходов на социальное обеспечение и иные выплаты населению (ВР 300) в % к ВВП и общей сумме расходов федерального бюджета в соответствии с законопроектом</w:t>
      </w:r>
    </w:p>
    <w:p w14:paraId="56CAA57B" w14:textId="77777777" w:rsidR="00813259" w:rsidRDefault="00813259" w:rsidP="00E918F1">
      <w:pPr>
        <w:spacing w:line="360" w:lineRule="auto"/>
        <w:ind w:firstLine="709"/>
        <w:jc w:val="both"/>
        <w:rPr>
          <w:rFonts w:ascii="Times New Roman" w:hAnsi="Times New Roman" w:cs="Times New Roman"/>
          <w:sz w:val="28"/>
          <w:szCs w:val="28"/>
        </w:rPr>
      </w:pPr>
    </w:p>
    <w:p w14:paraId="00CE42E2" w14:textId="79D2108B" w:rsidR="00E918F1" w:rsidRDefault="00E918F1" w:rsidP="00E918F1">
      <w:pPr>
        <w:spacing w:line="360" w:lineRule="auto"/>
        <w:ind w:firstLine="709"/>
        <w:jc w:val="both"/>
        <w:rPr>
          <w:rFonts w:ascii="Times New Roman" w:hAnsi="Times New Roman" w:cs="Times New Roman"/>
          <w:sz w:val="28"/>
          <w:szCs w:val="28"/>
        </w:rPr>
      </w:pPr>
      <w:r w:rsidRPr="00552569">
        <w:rPr>
          <w:rFonts w:ascii="Times New Roman" w:hAnsi="Times New Roman" w:cs="Times New Roman"/>
          <w:sz w:val="28"/>
          <w:szCs w:val="28"/>
        </w:rPr>
        <w:t>Даже по разделу 10 «Социальная политика»</w:t>
      </w:r>
      <w:r>
        <w:rPr>
          <w:rFonts w:ascii="Times New Roman" w:hAnsi="Times New Roman" w:cs="Times New Roman"/>
          <w:sz w:val="28"/>
          <w:szCs w:val="28"/>
        </w:rPr>
        <w:t xml:space="preserve"> расходы на социальное обеспечение и иные выплаты населению уступаю</w:t>
      </w:r>
      <w:r w:rsidR="00813259">
        <w:rPr>
          <w:rFonts w:ascii="Times New Roman" w:hAnsi="Times New Roman" w:cs="Times New Roman"/>
          <w:sz w:val="28"/>
          <w:szCs w:val="28"/>
        </w:rPr>
        <w:t>т межбюджетным трансфертам (</w:t>
      </w:r>
      <w:r>
        <w:rPr>
          <w:rFonts w:ascii="Times New Roman" w:hAnsi="Times New Roman" w:cs="Times New Roman"/>
          <w:sz w:val="28"/>
          <w:szCs w:val="28"/>
        </w:rPr>
        <w:t>рисунок 2)</w:t>
      </w:r>
    </w:p>
    <w:p w14:paraId="03E88DAE" w14:textId="77777777" w:rsidR="00E918F1" w:rsidRDefault="00E918F1" w:rsidP="00E918F1">
      <w:pPr>
        <w:spacing w:line="360" w:lineRule="auto"/>
        <w:ind w:firstLine="709"/>
        <w:jc w:val="both"/>
        <w:rPr>
          <w:rFonts w:ascii="Times New Roman" w:hAnsi="Times New Roman" w:cs="Times New Roman"/>
          <w:sz w:val="28"/>
          <w:szCs w:val="28"/>
        </w:rPr>
      </w:pPr>
      <w:r>
        <w:rPr>
          <w:noProof/>
        </w:rPr>
        <w:drawing>
          <wp:inline distT="0" distB="0" distL="0" distR="0" wp14:anchorId="7F97251C" wp14:editId="6477A0CA">
            <wp:extent cx="5940425" cy="2809240"/>
            <wp:effectExtent l="0" t="0" r="22225" b="101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8FFAD2" w14:textId="77777777" w:rsidR="00E918F1" w:rsidRPr="00813259" w:rsidRDefault="00E918F1" w:rsidP="00E918F1">
      <w:pPr>
        <w:jc w:val="center"/>
        <w:rPr>
          <w:rFonts w:ascii="Times New Roman" w:hAnsi="Times New Roman" w:cs="Times New Roman"/>
          <w:sz w:val="28"/>
          <w:szCs w:val="28"/>
        </w:rPr>
      </w:pPr>
      <w:r w:rsidRPr="00813259">
        <w:rPr>
          <w:rFonts w:ascii="Times New Roman" w:hAnsi="Times New Roman" w:cs="Times New Roman"/>
          <w:sz w:val="28"/>
          <w:szCs w:val="28"/>
        </w:rPr>
        <w:lastRenderedPageBreak/>
        <w:t>Рисунок 2 -  Структура расходов по разделу 10 «Социальная политика» в разрезе видов расходов (ВР), тыс. рублей</w:t>
      </w:r>
    </w:p>
    <w:p w14:paraId="0AD18EE6" w14:textId="77777777" w:rsidR="00813259" w:rsidRDefault="00813259" w:rsidP="00E918F1">
      <w:pPr>
        <w:spacing w:line="360" w:lineRule="auto"/>
        <w:ind w:firstLine="709"/>
        <w:jc w:val="both"/>
        <w:rPr>
          <w:rFonts w:ascii="Times New Roman" w:hAnsi="Times New Roman" w:cs="Times New Roman"/>
          <w:sz w:val="28"/>
          <w:szCs w:val="28"/>
        </w:rPr>
      </w:pPr>
    </w:p>
    <w:p w14:paraId="38BB2018" w14:textId="4CC0355D" w:rsidR="00813259" w:rsidRDefault="00E918F1" w:rsidP="008132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Небольшая доля расходов на социальное обеспечение в разрезе экономической группировки в целом соответствует мировой практике децентрализации социальных выплат, но доля таких выплат по законопроекту уступает всем из приведе</w:t>
      </w:r>
      <w:r w:rsidR="00A437A7">
        <w:rPr>
          <w:rFonts w:ascii="Times New Roman" w:hAnsi="Times New Roman" w:cs="Times New Roman"/>
          <w:sz w:val="28"/>
          <w:szCs w:val="28"/>
        </w:rPr>
        <w:t>нных здесь государств (таблица 14</w:t>
      </w:r>
      <w:r>
        <w:rPr>
          <w:rFonts w:ascii="Times New Roman" w:hAnsi="Times New Roman" w:cs="Times New Roman"/>
          <w:sz w:val="28"/>
          <w:szCs w:val="28"/>
        </w:rPr>
        <w:t>).</w:t>
      </w:r>
    </w:p>
    <w:p w14:paraId="78DF9F3F" w14:textId="25B46BC9" w:rsidR="00E918F1" w:rsidRDefault="00A437A7" w:rsidP="008132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14</w:t>
      </w:r>
      <w:r w:rsidR="00E918F1" w:rsidRPr="00813259">
        <w:rPr>
          <w:rFonts w:ascii="Times New Roman" w:hAnsi="Times New Roman" w:cs="Times New Roman"/>
          <w:sz w:val="28"/>
          <w:szCs w:val="28"/>
        </w:rPr>
        <w:t xml:space="preserve"> – Доля расходов федерального бюджета на социальные выплаты в соответствии с экономической группировкой в отдельных федеративных государствах, в % к ВВР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8"/>
        <w:gridCol w:w="1392"/>
        <w:gridCol w:w="514"/>
        <w:gridCol w:w="513"/>
        <w:gridCol w:w="429"/>
        <w:gridCol w:w="513"/>
        <w:gridCol w:w="429"/>
        <w:gridCol w:w="427"/>
      </w:tblGrid>
      <w:tr w:rsidR="00E918F1" w:rsidRPr="00FF4FE1" w14:paraId="32D1908D" w14:textId="77777777" w:rsidTr="009A64AA">
        <w:trPr>
          <w:cantSplit/>
          <w:trHeight w:val="1561"/>
        </w:trPr>
        <w:tc>
          <w:tcPr>
            <w:tcW w:w="2795" w:type="pct"/>
            <w:shd w:val="clear" w:color="auto" w:fill="auto"/>
            <w:noWrap/>
            <w:vAlign w:val="bottom"/>
            <w:hideMark/>
          </w:tcPr>
          <w:p w14:paraId="35ED22EE" w14:textId="77777777" w:rsidR="00E918F1" w:rsidRPr="00FF4FE1" w:rsidRDefault="00E918F1" w:rsidP="009A64AA">
            <w:pPr>
              <w:rPr>
                <w:rFonts w:ascii="Times New Roman" w:eastAsia="Times New Roman" w:hAnsi="Times New Roman" w:cs="Times New Roman"/>
                <w:color w:val="000000"/>
              </w:rPr>
            </w:pPr>
          </w:p>
        </w:tc>
        <w:tc>
          <w:tcPr>
            <w:tcW w:w="728" w:type="pct"/>
            <w:shd w:val="clear" w:color="auto" w:fill="auto"/>
            <w:noWrap/>
            <w:textDirection w:val="btLr"/>
            <w:vAlign w:val="bottom"/>
            <w:hideMark/>
          </w:tcPr>
          <w:p w14:paraId="6561E5CA" w14:textId="77777777" w:rsidR="00E918F1" w:rsidRPr="00FF4FE1" w:rsidRDefault="00E918F1" w:rsidP="009A64AA">
            <w:pPr>
              <w:ind w:left="113" w:right="113"/>
              <w:rPr>
                <w:rFonts w:ascii="Times New Roman" w:eastAsia="Times New Roman" w:hAnsi="Times New Roman" w:cs="Times New Roman"/>
                <w:color w:val="000000"/>
              </w:rPr>
            </w:pPr>
            <w:r w:rsidRPr="00FF4FE1">
              <w:rPr>
                <w:rFonts w:ascii="Times New Roman" w:eastAsia="Times New Roman" w:hAnsi="Times New Roman" w:cs="Times New Roman"/>
                <w:color w:val="000000"/>
              </w:rPr>
              <w:t>Россия по законопроекту на 2020 год</w:t>
            </w:r>
          </w:p>
        </w:tc>
        <w:tc>
          <w:tcPr>
            <w:tcW w:w="269" w:type="pct"/>
            <w:shd w:val="clear" w:color="auto" w:fill="auto"/>
            <w:noWrap/>
            <w:textDirection w:val="btLr"/>
            <w:vAlign w:val="bottom"/>
            <w:hideMark/>
          </w:tcPr>
          <w:p w14:paraId="77B974B5" w14:textId="77777777" w:rsidR="00E918F1" w:rsidRPr="00FF4FE1" w:rsidRDefault="00E918F1" w:rsidP="009A64AA">
            <w:pPr>
              <w:ind w:left="113" w:right="113"/>
              <w:rPr>
                <w:rFonts w:ascii="Times New Roman" w:eastAsia="Times New Roman" w:hAnsi="Times New Roman" w:cs="Times New Roman"/>
                <w:color w:val="000000"/>
              </w:rPr>
            </w:pPr>
            <w:r w:rsidRPr="00FF4FE1">
              <w:rPr>
                <w:rFonts w:ascii="Times New Roman" w:eastAsia="Times New Roman" w:hAnsi="Times New Roman" w:cs="Times New Roman"/>
                <w:color w:val="000000"/>
              </w:rPr>
              <w:t>Германия</w:t>
            </w:r>
          </w:p>
        </w:tc>
        <w:tc>
          <w:tcPr>
            <w:tcW w:w="268" w:type="pct"/>
            <w:shd w:val="clear" w:color="auto" w:fill="auto"/>
            <w:noWrap/>
            <w:textDirection w:val="btLr"/>
            <w:vAlign w:val="bottom"/>
            <w:hideMark/>
          </w:tcPr>
          <w:p w14:paraId="20BF4D66" w14:textId="77777777" w:rsidR="00E918F1" w:rsidRPr="00FF4FE1" w:rsidRDefault="00E918F1" w:rsidP="009A64AA">
            <w:pPr>
              <w:ind w:left="113" w:right="113"/>
              <w:rPr>
                <w:rFonts w:ascii="Times New Roman" w:eastAsia="Times New Roman" w:hAnsi="Times New Roman" w:cs="Times New Roman"/>
                <w:color w:val="000000"/>
              </w:rPr>
            </w:pPr>
            <w:r w:rsidRPr="00FF4FE1">
              <w:rPr>
                <w:rFonts w:ascii="Times New Roman" w:eastAsia="Times New Roman" w:hAnsi="Times New Roman" w:cs="Times New Roman"/>
                <w:color w:val="000000"/>
              </w:rPr>
              <w:t>Австралия</w:t>
            </w:r>
          </w:p>
        </w:tc>
        <w:tc>
          <w:tcPr>
            <w:tcW w:w="224" w:type="pct"/>
            <w:shd w:val="clear" w:color="auto" w:fill="auto"/>
            <w:noWrap/>
            <w:textDirection w:val="btLr"/>
            <w:vAlign w:val="bottom"/>
            <w:hideMark/>
          </w:tcPr>
          <w:p w14:paraId="66090F74" w14:textId="77777777" w:rsidR="00E918F1" w:rsidRPr="00FF4FE1" w:rsidRDefault="00E918F1" w:rsidP="009A64AA">
            <w:pPr>
              <w:ind w:left="113" w:right="113"/>
              <w:rPr>
                <w:rFonts w:ascii="Times New Roman" w:eastAsia="Times New Roman" w:hAnsi="Times New Roman" w:cs="Times New Roman"/>
                <w:color w:val="000000"/>
              </w:rPr>
            </w:pPr>
            <w:r w:rsidRPr="00FF4FE1">
              <w:rPr>
                <w:rFonts w:ascii="Times New Roman" w:eastAsia="Times New Roman" w:hAnsi="Times New Roman" w:cs="Times New Roman"/>
                <w:color w:val="000000"/>
              </w:rPr>
              <w:t>Канада</w:t>
            </w:r>
          </w:p>
        </w:tc>
        <w:tc>
          <w:tcPr>
            <w:tcW w:w="268" w:type="pct"/>
            <w:shd w:val="clear" w:color="auto" w:fill="auto"/>
            <w:noWrap/>
            <w:textDirection w:val="btLr"/>
            <w:vAlign w:val="bottom"/>
            <w:hideMark/>
          </w:tcPr>
          <w:p w14:paraId="04A2C756" w14:textId="77777777" w:rsidR="00E918F1" w:rsidRPr="00FF4FE1" w:rsidRDefault="00E918F1" w:rsidP="009A64AA">
            <w:pPr>
              <w:ind w:left="113" w:right="113"/>
              <w:rPr>
                <w:rFonts w:ascii="Times New Roman" w:eastAsia="Times New Roman" w:hAnsi="Times New Roman" w:cs="Times New Roman"/>
                <w:color w:val="000000"/>
              </w:rPr>
            </w:pPr>
            <w:r w:rsidRPr="00FF4FE1">
              <w:rPr>
                <w:rFonts w:ascii="Times New Roman" w:eastAsia="Times New Roman" w:hAnsi="Times New Roman" w:cs="Times New Roman"/>
                <w:color w:val="000000"/>
              </w:rPr>
              <w:t>Бразилия</w:t>
            </w:r>
          </w:p>
        </w:tc>
        <w:tc>
          <w:tcPr>
            <w:tcW w:w="224" w:type="pct"/>
            <w:shd w:val="clear" w:color="auto" w:fill="auto"/>
            <w:noWrap/>
            <w:textDirection w:val="btLr"/>
            <w:vAlign w:val="bottom"/>
            <w:hideMark/>
          </w:tcPr>
          <w:p w14:paraId="73C5DAD2" w14:textId="77777777" w:rsidR="00E918F1" w:rsidRPr="00FF4FE1" w:rsidRDefault="00E918F1" w:rsidP="009A64AA">
            <w:pPr>
              <w:ind w:left="113" w:right="113"/>
              <w:rPr>
                <w:rFonts w:ascii="Times New Roman" w:eastAsia="Times New Roman" w:hAnsi="Times New Roman" w:cs="Times New Roman"/>
                <w:color w:val="000000"/>
              </w:rPr>
            </w:pPr>
            <w:r w:rsidRPr="00FF4FE1">
              <w:rPr>
                <w:rFonts w:ascii="Times New Roman" w:eastAsia="Times New Roman" w:hAnsi="Times New Roman" w:cs="Times New Roman"/>
                <w:color w:val="000000"/>
              </w:rPr>
              <w:t>Аргентина</w:t>
            </w:r>
          </w:p>
        </w:tc>
        <w:tc>
          <w:tcPr>
            <w:tcW w:w="223" w:type="pct"/>
            <w:shd w:val="clear" w:color="auto" w:fill="auto"/>
            <w:noWrap/>
            <w:textDirection w:val="btLr"/>
            <w:vAlign w:val="bottom"/>
            <w:hideMark/>
          </w:tcPr>
          <w:p w14:paraId="0868AD6B" w14:textId="77777777" w:rsidR="00E918F1" w:rsidRPr="00FF4FE1" w:rsidRDefault="00E918F1" w:rsidP="009A64AA">
            <w:pPr>
              <w:ind w:left="113" w:right="113"/>
              <w:rPr>
                <w:rFonts w:ascii="Times New Roman" w:eastAsia="Times New Roman" w:hAnsi="Times New Roman" w:cs="Times New Roman"/>
                <w:color w:val="000000"/>
              </w:rPr>
            </w:pPr>
            <w:r w:rsidRPr="00FF4FE1">
              <w:rPr>
                <w:rFonts w:ascii="Times New Roman" w:eastAsia="Times New Roman" w:hAnsi="Times New Roman" w:cs="Times New Roman"/>
                <w:color w:val="000000"/>
              </w:rPr>
              <w:t>США</w:t>
            </w:r>
          </w:p>
        </w:tc>
      </w:tr>
      <w:tr w:rsidR="00E918F1" w:rsidRPr="00FF4FE1" w14:paraId="2E917929" w14:textId="77777777" w:rsidTr="009A64AA">
        <w:trPr>
          <w:cantSplit/>
          <w:trHeight w:val="1134"/>
        </w:trPr>
        <w:tc>
          <w:tcPr>
            <w:tcW w:w="2795" w:type="pct"/>
            <w:shd w:val="clear" w:color="auto" w:fill="auto"/>
            <w:noWrap/>
            <w:vAlign w:val="bottom"/>
            <w:hideMark/>
          </w:tcPr>
          <w:p w14:paraId="2CA35148" w14:textId="77777777" w:rsidR="00E918F1" w:rsidRPr="00FF4FE1" w:rsidRDefault="00E918F1" w:rsidP="009A64AA">
            <w:pPr>
              <w:rPr>
                <w:rFonts w:ascii="Times New Roman" w:eastAsia="Times New Roman" w:hAnsi="Times New Roman" w:cs="Times New Roman"/>
                <w:color w:val="000000"/>
              </w:rPr>
            </w:pPr>
            <w:r w:rsidRPr="00FF4FE1">
              <w:rPr>
                <w:rFonts w:ascii="Times New Roman" w:eastAsia="Times New Roman" w:hAnsi="Times New Roman" w:cs="Times New Roman"/>
                <w:color w:val="000000"/>
              </w:rPr>
              <w:t>Расходы на социальное обеспечение в соответствии с экономической группировкой</w:t>
            </w:r>
          </w:p>
        </w:tc>
        <w:tc>
          <w:tcPr>
            <w:tcW w:w="728" w:type="pct"/>
            <w:shd w:val="clear" w:color="auto" w:fill="auto"/>
            <w:textDirection w:val="btLr"/>
            <w:vAlign w:val="center"/>
          </w:tcPr>
          <w:p w14:paraId="10720BC1" w14:textId="77777777" w:rsidR="00E918F1" w:rsidRPr="00FF4FE1" w:rsidRDefault="00E918F1" w:rsidP="009A64AA">
            <w:pPr>
              <w:ind w:left="113"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0,9</w:t>
            </w:r>
          </w:p>
        </w:tc>
        <w:tc>
          <w:tcPr>
            <w:tcW w:w="269" w:type="pct"/>
            <w:shd w:val="clear" w:color="auto" w:fill="auto"/>
            <w:noWrap/>
            <w:textDirection w:val="btLr"/>
            <w:vAlign w:val="center"/>
            <w:hideMark/>
          </w:tcPr>
          <w:p w14:paraId="0239A15E" w14:textId="77777777" w:rsidR="00E918F1" w:rsidRPr="00FF4FE1" w:rsidRDefault="00E918F1" w:rsidP="009A64AA">
            <w:pPr>
              <w:ind w:left="113"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268" w:type="pct"/>
            <w:shd w:val="clear" w:color="auto" w:fill="auto"/>
            <w:noWrap/>
            <w:textDirection w:val="btLr"/>
            <w:vAlign w:val="center"/>
            <w:hideMark/>
          </w:tcPr>
          <w:p w14:paraId="77F033BD" w14:textId="77777777" w:rsidR="00E918F1" w:rsidRPr="00FF4FE1" w:rsidRDefault="00E918F1" w:rsidP="009A64AA">
            <w:pPr>
              <w:ind w:left="113" w:right="113"/>
              <w:jc w:val="center"/>
              <w:rPr>
                <w:rFonts w:ascii="Times New Roman" w:eastAsia="Times New Roman" w:hAnsi="Times New Roman" w:cs="Times New Roman"/>
                <w:color w:val="000000"/>
              </w:rPr>
            </w:pPr>
            <w:r w:rsidRPr="00FF4FE1">
              <w:rPr>
                <w:rFonts w:ascii="Times New Roman" w:eastAsia="Times New Roman" w:hAnsi="Times New Roman" w:cs="Times New Roman"/>
                <w:color w:val="000000"/>
              </w:rPr>
              <w:t>10,5</w:t>
            </w:r>
          </w:p>
        </w:tc>
        <w:tc>
          <w:tcPr>
            <w:tcW w:w="224" w:type="pct"/>
            <w:shd w:val="clear" w:color="auto" w:fill="auto"/>
            <w:noWrap/>
            <w:textDirection w:val="btLr"/>
            <w:vAlign w:val="center"/>
            <w:hideMark/>
          </w:tcPr>
          <w:p w14:paraId="54FDDA63" w14:textId="77777777" w:rsidR="00E918F1" w:rsidRPr="00FF4FE1" w:rsidRDefault="00E918F1" w:rsidP="009A64AA">
            <w:pPr>
              <w:ind w:left="113" w:right="113"/>
              <w:jc w:val="center"/>
              <w:rPr>
                <w:rFonts w:ascii="Times New Roman" w:eastAsia="Times New Roman" w:hAnsi="Times New Roman" w:cs="Times New Roman"/>
                <w:color w:val="000000"/>
              </w:rPr>
            </w:pPr>
            <w:r w:rsidRPr="00FF4FE1">
              <w:rPr>
                <w:rFonts w:ascii="Times New Roman" w:eastAsia="Times New Roman" w:hAnsi="Times New Roman" w:cs="Times New Roman"/>
                <w:color w:val="000000"/>
              </w:rPr>
              <w:t>5</w:t>
            </w:r>
            <w:r>
              <w:rPr>
                <w:rFonts w:ascii="Times New Roman" w:eastAsia="Times New Roman" w:hAnsi="Times New Roman" w:cs="Times New Roman"/>
                <w:color w:val="000000"/>
              </w:rPr>
              <w:t>,0</w:t>
            </w:r>
          </w:p>
        </w:tc>
        <w:tc>
          <w:tcPr>
            <w:tcW w:w="268" w:type="pct"/>
            <w:shd w:val="clear" w:color="auto" w:fill="auto"/>
            <w:noWrap/>
            <w:textDirection w:val="btLr"/>
            <w:vAlign w:val="center"/>
            <w:hideMark/>
          </w:tcPr>
          <w:p w14:paraId="29AFFB22" w14:textId="77777777" w:rsidR="00E918F1" w:rsidRPr="00FF4FE1" w:rsidRDefault="00E918F1" w:rsidP="009A64AA">
            <w:pPr>
              <w:ind w:left="113" w:right="113"/>
              <w:jc w:val="center"/>
              <w:rPr>
                <w:rFonts w:ascii="Times New Roman" w:eastAsia="Times New Roman" w:hAnsi="Times New Roman" w:cs="Times New Roman"/>
                <w:color w:val="000000"/>
              </w:rPr>
            </w:pPr>
            <w:r w:rsidRPr="00FF4FE1">
              <w:rPr>
                <w:rFonts w:ascii="Times New Roman" w:eastAsia="Times New Roman" w:hAnsi="Times New Roman" w:cs="Times New Roman"/>
                <w:color w:val="000000"/>
              </w:rPr>
              <w:t>13,9</w:t>
            </w:r>
          </w:p>
        </w:tc>
        <w:tc>
          <w:tcPr>
            <w:tcW w:w="224" w:type="pct"/>
            <w:shd w:val="clear" w:color="auto" w:fill="auto"/>
            <w:noWrap/>
            <w:textDirection w:val="btLr"/>
            <w:vAlign w:val="center"/>
            <w:hideMark/>
          </w:tcPr>
          <w:p w14:paraId="5F4201CB" w14:textId="77777777" w:rsidR="00E918F1" w:rsidRPr="00FF4FE1" w:rsidRDefault="00E918F1" w:rsidP="009A64AA">
            <w:pPr>
              <w:ind w:left="113" w:right="113"/>
              <w:jc w:val="center"/>
              <w:rPr>
                <w:rFonts w:ascii="Times New Roman" w:eastAsia="Times New Roman" w:hAnsi="Times New Roman" w:cs="Times New Roman"/>
                <w:color w:val="000000"/>
              </w:rPr>
            </w:pPr>
            <w:r w:rsidRPr="00FF4FE1">
              <w:rPr>
                <w:rFonts w:ascii="Times New Roman" w:eastAsia="Times New Roman" w:hAnsi="Times New Roman" w:cs="Times New Roman"/>
                <w:color w:val="000000"/>
              </w:rPr>
              <w:t>1,4</w:t>
            </w:r>
          </w:p>
        </w:tc>
        <w:tc>
          <w:tcPr>
            <w:tcW w:w="223" w:type="pct"/>
            <w:shd w:val="clear" w:color="auto" w:fill="auto"/>
            <w:noWrap/>
            <w:textDirection w:val="btLr"/>
            <w:vAlign w:val="center"/>
            <w:hideMark/>
          </w:tcPr>
          <w:p w14:paraId="024BBCAA" w14:textId="77777777" w:rsidR="00E918F1" w:rsidRPr="00FF4FE1" w:rsidRDefault="00E918F1" w:rsidP="009A64AA">
            <w:pPr>
              <w:ind w:left="113" w:right="113"/>
              <w:jc w:val="center"/>
              <w:rPr>
                <w:rFonts w:ascii="Times New Roman" w:eastAsia="Times New Roman" w:hAnsi="Times New Roman" w:cs="Times New Roman"/>
                <w:color w:val="000000"/>
              </w:rPr>
            </w:pPr>
            <w:r w:rsidRPr="00FF4FE1">
              <w:rPr>
                <w:rFonts w:ascii="Times New Roman" w:eastAsia="Times New Roman" w:hAnsi="Times New Roman" w:cs="Times New Roman"/>
                <w:color w:val="000000"/>
              </w:rPr>
              <w:t>2,2</w:t>
            </w:r>
          </w:p>
        </w:tc>
      </w:tr>
    </w:tbl>
    <w:p w14:paraId="1DE1E49A" w14:textId="77777777" w:rsidR="00E918F1" w:rsidRPr="00813259" w:rsidRDefault="00E918F1" w:rsidP="00813259">
      <w:pPr>
        <w:jc w:val="both"/>
        <w:rPr>
          <w:rFonts w:ascii="Times New Roman" w:hAnsi="Times New Roman" w:cs="Times New Roman"/>
        </w:rPr>
      </w:pPr>
      <w:r w:rsidRPr="00813259">
        <w:rPr>
          <w:rFonts w:ascii="Times New Roman" w:hAnsi="Times New Roman" w:cs="Times New Roman"/>
          <w:i/>
        </w:rPr>
        <w:t>Источник:</w:t>
      </w:r>
      <w:r w:rsidRPr="00813259">
        <w:rPr>
          <w:rFonts w:ascii="Times New Roman" w:hAnsi="Times New Roman" w:cs="Times New Roman"/>
        </w:rPr>
        <w:t xml:space="preserve"> составлено на основе законопроекта и данных статистики государственных финансов - http://data.imf.org/?</w:t>
      </w:r>
    </w:p>
    <w:p w14:paraId="7E0BB618" w14:textId="77777777" w:rsidR="00E918F1" w:rsidRDefault="00E918F1" w:rsidP="00E918F1">
      <w:pPr>
        <w:spacing w:line="360" w:lineRule="auto"/>
        <w:ind w:firstLine="709"/>
        <w:jc w:val="both"/>
        <w:rPr>
          <w:rFonts w:ascii="Times New Roman" w:hAnsi="Times New Roman" w:cs="Times New Roman"/>
          <w:sz w:val="28"/>
          <w:szCs w:val="28"/>
        </w:rPr>
      </w:pPr>
    </w:p>
    <w:p w14:paraId="026C022E" w14:textId="134A81F2" w:rsidR="009E21A6" w:rsidRDefault="00E918F1" w:rsidP="007342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w:t>
      </w:r>
      <w:proofErr w:type="gramStart"/>
      <w:r>
        <w:rPr>
          <w:rFonts w:ascii="Times New Roman" w:hAnsi="Times New Roman" w:cs="Times New Roman"/>
          <w:sz w:val="28"/>
          <w:szCs w:val="28"/>
        </w:rPr>
        <w:t>представляется в качестве основной проблем</w:t>
      </w:r>
      <w:r w:rsidR="000B0033">
        <w:rPr>
          <w:rFonts w:ascii="Times New Roman" w:hAnsi="Times New Roman" w:cs="Times New Roman"/>
          <w:sz w:val="28"/>
          <w:szCs w:val="28"/>
        </w:rPr>
        <w:t>ы</w:t>
      </w:r>
      <w:r>
        <w:rPr>
          <w:rFonts w:ascii="Times New Roman" w:hAnsi="Times New Roman" w:cs="Times New Roman"/>
          <w:sz w:val="28"/>
          <w:szCs w:val="28"/>
        </w:rPr>
        <w:t xml:space="preserve"> является</w:t>
      </w:r>
      <w:proofErr w:type="gramEnd"/>
      <w:r>
        <w:rPr>
          <w:rFonts w:ascii="Times New Roman" w:hAnsi="Times New Roman" w:cs="Times New Roman"/>
          <w:sz w:val="28"/>
          <w:szCs w:val="28"/>
        </w:rPr>
        <w:t xml:space="preserve"> </w:t>
      </w:r>
      <w:r w:rsidR="00813259">
        <w:rPr>
          <w:rFonts w:ascii="Times New Roman" w:hAnsi="Times New Roman" w:cs="Times New Roman"/>
          <w:sz w:val="28"/>
          <w:szCs w:val="28"/>
        </w:rPr>
        <w:t xml:space="preserve">не столько </w:t>
      </w:r>
      <w:r>
        <w:rPr>
          <w:rFonts w:ascii="Times New Roman" w:hAnsi="Times New Roman" w:cs="Times New Roman"/>
          <w:sz w:val="28"/>
          <w:szCs w:val="28"/>
        </w:rPr>
        <w:t xml:space="preserve">уровень расходов социальной направленности в составе </w:t>
      </w:r>
      <w:r w:rsidR="000B0033">
        <w:rPr>
          <w:rFonts w:ascii="Times New Roman" w:hAnsi="Times New Roman" w:cs="Times New Roman"/>
          <w:sz w:val="28"/>
          <w:szCs w:val="28"/>
        </w:rPr>
        <w:t xml:space="preserve">бюджетных средств </w:t>
      </w:r>
      <w:r>
        <w:rPr>
          <w:rFonts w:ascii="Times New Roman" w:hAnsi="Times New Roman" w:cs="Times New Roman"/>
          <w:sz w:val="28"/>
          <w:szCs w:val="28"/>
        </w:rPr>
        <w:t xml:space="preserve"> расходов для решения социальных проблем. </w:t>
      </w:r>
      <w:r w:rsidR="007342BB">
        <w:rPr>
          <w:rFonts w:ascii="Times New Roman" w:hAnsi="Times New Roman" w:cs="Times New Roman"/>
          <w:sz w:val="28"/>
          <w:szCs w:val="28"/>
        </w:rPr>
        <w:t>В этой связи представляется целесообразным использовать зарубежный опыт оценки результативности социальных расходов бюджетов, налоговых льгот на основе оценки динамики показателя Джини</w:t>
      </w:r>
      <w:r w:rsidR="007342BB">
        <w:rPr>
          <w:rStyle w:val="a5"/>
          <w:rFonts w:ascii="Times New Roman" w:hAnsi="Times New Roman" w:cs="Times New Roman"/>
        </w:rPr>
        <w:footnoteReference w:id="7"/>
      </w:r>
      <w:r w:rsidR="007342BB">
        <w:rPr>
          <w:rFonts w:ascii="Times New Roman" w:hAnsi="Times New Roman" w:cs="Times New Roman"/>
          <w:sz w:val="28"/>
          <w:szCs w:val="28"/>
        </w:rPr>
        <w:t>.</w:t>
      </w:r>
    </w:p>
    <w:p w14:paraId="65D5D6E2" w14:textId="77777777" w:rsidR="009E21A6" w:rsidRDefault="009E21A6" w:rsidP="009E21A6">
      <w:pPr>
        <w:spacing w:line="360" w:lineRule="auto"/>
        <w:ind w:firstLine="709"/>
        <w:jc w:val="both"/>
        <w:rPr>
          <w:rFonts w:ascii="Times New Roman" w:hAnsi="Times New Roman" w:cs="Times New Roman"/>
          <w:i/>
          <w:sz w:val="28"/>
          <w:szCs w:val="28"/>
        </w:rPr>
      </w:pPr>
    </w:p>
    <w:p w14:paraId="1F6F27AC" w14:textId="7CB92538" w:rsidR="009E21A6" w:rsidRPr="009E21A6" w:rsidRDefault="009E21A6" w:rsidP="009E21A6">
      <w:pPr>
        <w:spacing w:line="360" w:lineRule="auto"/>
        <w:ind w:firstLine="709"/>
        <w:jc w:val="both"/>
        <w:rPr>
          <w:rFonts w:ascii="Times New Roman" w:hAnsi="Times New Roman" w:cs="Times New Roman"/>
          <w:sz w:val="28"/>
          <w:szCs w:val="28"/>
        </w:rPr>
      </w:pPr>
      <w:r w:rsidRPr="009E21A6">
        <w:rPr>
          <w:rFonts w:ascii="Times New Roman" w:hAnsi="Times New Roman" w:cs="Times New Roman"/>
          <w:i/>
          <w:sz w:val="28"/>
          <w:szCs w:val="28"/>
        </w:rPr>
        <w:t>Оценка бюджетных инвестиций</w:t>
      </w:r>
    </w:p>
    <w:p w14:paraId="0651ACD5" w14:textId="41526131" w:rsidR="009E21A6" w:rsidRPr="009E21A6" w:rsidRDefault="009E21A6" w:rsidP="009E21A6">
      <w:pPr>
        <w:spacing w:line="360" w:lineRule="auto"/>
        <w:ind w:firstLine="709"/>
        <w:jc w:val="both"/>
        <w:rPr>
          <w:rFonts w:ascii="Times New Roman" w:hAnsi="Times New Roman" w:cs="Times New Roman"/>
          <w:sz w:val="28"/>
          <w:szCs w:val="28"/>
        </w:rPr>
      </w:pPr>
      <w:r w:rsidRPr="009E21A6">
        <w:rPr>
          <w:rFonts w:ascii="Times New Roman" w:hAnsi="Times New Roman" w:cs="Times New Roman"/>
          <w:sz w:val="28"/>
          <w:szCs w:val="28"/>
        </w:rPr>
        <w:lastRenderedPageBreak/>
        <w:t>В целях обеспечения интенсивного экономического роста необходимо ежегодно вкладывать значительные объемы финансовых ресурсов в основной капитал, наращивая производственную базу и обеспечивая рост реального сектора экономики. Инвестиции выступают важнейшим драйвером экономического роста и развития и способствуют увеличению совокупного спроса на средства производства, создаваемые в государстве. Мультипликационный эффект влияния инвестиций на рост ВВП позволяет даже при небольшом росте инвестиций обеспечить социально-экономическое развитие. В Российской Федерации начиная с 2016 г. имеет место устойчивое повышение объема инвестиций в основной капитал, сопровождающееся ежегодным ростом ВВП, включая прогнозируемый объем ВВП в 2020-20</w:t>
      </w:r>
      <w:r>
        <w:rPr>
          <w:rFonts w:ascii="Times New Roman" w:hAnsi="Times New Roman" w:cs="Times New Roman"/>
          <w:sz w:val="28"/>
          <w:szCs w:val="28"/>
        </w:rPr>
        <w:t>22 г. (</w:t>
      </w:r>
      <w:r w:rsidRPr="009E21A6">
        <w:rPr>
          <w:rFonts w:ascii="Times New Roman" w:hAnsi="Times New Roman" w:cs="Times New Roman"/>
          <w:sz w:val="28"/>
          <w:szCs w:val="28"/>
        </w:rPr>
        <w:t>рис</w:t>
      </w:r>
      <w:r>
        <w:rPr>
          <w:rFonts w:ascii="Times New Roman" w:hAnsi="Times New Roman" w:cs="Times New Roman"/>
          <w:sz w:val="28"/>
          <w:szCs w:val="28"/>
        </w:rPr>
        <w:t>унок 3</w:t>
      </w:r>
      <w:r w:rsidRPr="009E21A6">
        <w:rPr>
          <w:rFonts w:ascii="Times New Roman" w:hAnsi="Times New Roman" w:cs="Times New Roman"/>
          <w:sz w:val="28"/>
          <w:szCs w:val="28"/>
        </w:rPr>
        <w:t>).</w:t>
      </w:r>
    </w:p>
    <w:p w14:paraId="06601577" w14:textId="77777777" w:rsidR="009E21A6" w:rsidRPr="009E21A6" w:rsidRDefault="009E21A6" w:rsidP="009E21A6">
      <w:pPr>
        <w:spacing w:line="360" w:lineRule="auto"/>
        <w:jc w:val="both"/>
        <w:rPr>
          <w:rFonts w:ascii="Times New Roman" w:hAnsi="Times New Roman" w:cs="Times New Roman"/>
          <w:sz w:val="28"/>
          <w:szCs w:val="28"/>
        </w:rPr>
      </w:pPr>
      <w:r w:rsidRPr="009E21A6">
        <w:rPr>
          <w:rFonts w:ascii="Times New Roman" w:hAnsi="Times New Roman" w:cs="Times New Roman"/>
          <w:noProof/>
        </w:rPr>
        <w:drawing>
          <wp:inline distT="0" distB="0" distL="0" distR="0" wp14:anchorId="39B0BD16" wp14:editId="4C52B967">
            <wp:extent cx="6296025" cy="32480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6025" cy="3248025"/>
                    </a:xfrm>
                    <a:prstGeom prst="rect">
                      <a:avLst/>
                    </a:prstGeom>
                    <a:noFill/>
                    <a:ln>
                      <a:noFill/>
                    </a:ln>
                  </pic:spPr>
                </pic:pic>
              </a:graphicData>
            </a:graphic>
          </wp:inline>
        </w:drawing>
      </w:r>
    </w:p>
    <w:p w14:paraId="2F241E8B" w14:textId="17CBD919" w:rsidR="009E21A6" w:rsidRPr="009E21A6" w:rsidRDefault="009E21A6" w:rsidP="009E21A6">
      <w:pPr>
        <w:pStyle w:val="af4"/>
        <w:spacing w:after="0"/>
        <w:ind w:firstLine="709"/>
        <w:jc w:val="center"/>
        <w:rPr>
          <w:rFonts w:ascii="Times New Roman" w:hAnsi="Times New Roman"/>
          <w:b w:val="0"/>
          <w:color w:val="auto"/>
          <w:sz w:val="28"/>
          <w:szCs w:val="28"/>
        </w:rPr>
      </w:pPr>
      <w:r w:rsidRPr="009E21A6">
        <w:rPr>
          <w:rFonts w:ascii="Times New Roman" w:hAnsi="Times New Roman"/>
          <w:b w:val="0"/>
          <w:color w:val="auto"/>
          <w:sz w:val="28"/>
          <w:szCs w:val="28"/>
        </w:rPr>
        <w:t>Рисунок 3 –  Динамика инвестиций в основной капитал и ВВП России в 2013-2022 гг.</w:t>
      </w:r>
    </w:p>
    <w:p w14:paraId="17B489B3" w14:textId="77777777" w:rsidR="009E21A6" w:rsidRPr="009E21A6" w:rsidRDefault="009E21A6" w:rsidP="009E21A6">
      <w:pPr>
        <w:jc w:val="both"/>
        <w:rPr>
          <w:rFonts w:ascii="Times New Roman" w:hAnsi="Times New Roman" w:cs="Times New Roman"/>
        </w:rPr>
      </w:pPr>
      <w:r w:rsidRPr="009E21A6">
        <w:rPr>
          <w:rFonts w:ascii="Times New Roman" w:hAnsi="Times New Roman" w:cs="Times New Roman"/>
        </w:rPr>
        <w:t>Источник: составлено по данным Росстата, данным Федерального закона от 29.11.2018 № 459-ФЗ «О федеральном бюджете на 2019 год и на плановый период 2020 и 2021 годов», данным проекта ФЗ № 802503-7.</w:t>
      </w:r>
    </w:p>
    <w:p w14:paraId="04134B48" w14:textId="77777777" w:rsidR="009E21A6" w:rsidRPr="009E21A6" w:rsidRDefault="009E21A6" w:rsidP="009E21A6">
      <w:pPr>
        <w:spacing w:line="360" w:lineRule="auto"/>
        <w:ind w:firstLine="709"/>
        <w:jc w:val="both"/>
        <w:rPr>
          <w:rFonts w:ascii="Times New Roman" w:hAnsi="Times New Roman" w:cs="Times New Roman"/>
          <w:sz w:val="28"/>
          <w:szCs w:val="28"/>
        </w:rPr>
      </w:pPr>
    </w:p>
    <w:p w14:paraId="733BC5EC" w14:textId="693F6704" w:rsidR="009E21A6" w:rsidRPr="009E21A6" w:rsidRDefault="009E21A6" w:rsidP="009E21A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 данных на рисунке 3</w:t>
      </w:r>
      <w:r w:rsidRPr="009E21A6">
        <w:rPr>
          <w:rFonts w:ascii="Times New Roman" w:hAnsi="Times New Roman" w:cs="Times New Roman"/>
          <w:sz w:val="28"/>
          <w:szCs w:val="28"/>
        </w:rPr>
        <w:t xml:space="preserve"> можно сделать вывод о мультипликаторе внутренних инвестиций</w:t>
      </w:r>
      <w:r>
        <w:rPr>
          <w:rStyle w:val="a5"/>
          <w:rFonts w:ascii="Times New Roman" w:hAnsi="Times New Roman" w:cs="Times New Roman"/>
          <w:sz w:val="28"/>
          <w:szCs w:val="28"/>
        </w:rPr>
        <w:footnoteReference w:id="8"/>
      </w:r>
      <w:r w:rsidRPr="009E21A6">
        <w:rPr>
          <w:rFonts w:ascii="Times New Roman" w:hAnsi="Times New Roman" w:cs="Times New Roman"/>
          <w:sz w:val="28"/>
          <w:szCs w:val="28"/>
        </w:rPr>
        <w:t>. Статистика показывает, что для российской экономики мультипликатор инвестиций в основной капитал в 2016-2022 гг. составляет величину, колеблющуюся в пределах 3-4. Т.е. на каждый дополнительный рубль инвестиций в основной капитал ВВП России отвечает ростом на 3-4 рубля. С этой точки зрения возрастает значимость инвестиций в основной капитал в целях обеспечения форсированного экономического роста России и ее вхождения в пятерку ведущих экономик мира. Такая задача была поставлена в рамках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724D47C" w14:textId="654ED2CE" w:rsidR="009E21A6" w:rsidRPr="009E21A6" w:rsidRDefault="009E21A6" w:rsidP="009E21A6">
      <w:pPr>
        <w:spacing w:line="360" w:lineRule="auto"/>
        <w:ind w:firstLine="709"/>
        <w:jc w:val="both"/>
        <w:rPr>
          <w:rFonts w:ascii="Times New Roman" w:hAnsi="Times New Roman" w:cs="Times New Roman"/>
          <w:sz w:val="28"/>
          <w:szCs w:val="28"/>
        </w:rPr>
      </w:pPr>
      <w:r w:rsidRPr="009E21A6">
        <w:rPr>
          <w:rFonts w:ascii="Times New Roman" w:hAnsi="Times New Roman" w:cs="Times New Roman"/>
          <w:sz w:val="28"/>
          <w:szCs w:val="28"/>
        </w:rPr>
        <w:t xml:space="preserve">На сегодняшний день Россия входит в 15 крупнейших экономик мира, однако </w:t>
      </w:r>
      <w:r>
        <w:rPr>
          <w:rFonts w:ascii="Times New Roman" w:hAnsi="Times New Roman" w:cs="Times New Roman"/>
          <w:sz w:val="28"/>
          <w:szCs w:val="28"/>
        </w:rPr>
        <w:t>далека от первой пятерки (</w:t>
      </w:r>
      <w:r w:rsidRPr="009E21A6">
        <w:rPr>
          <w:rFonts w:ascii="Times New Roman" w:hAnsi="Times New Roman" w:cs="Times New Roman"/>
          <w:sz w:val="28"/>
          <w:szCs w:val="28"/>
        </w:rPr>
        <w:t>рис</w:t>
      </w:r>
      <w:r>
        <w:rPr>
          <w:rFonts w:ascii="Times New Roman" w:hAnsi="Times New Roman" w:cs="Times New Roman"/>
          <w:sz w:val="28"/>
          <w:szCs w:val="28"/>
        </w:rPr>
        <w:t>унок 4</w:t>
      </w:r>
      <w:r w:rsidRPr="009E21A6">
        <w:rPr>
          <w:rFonts w:ascii="Times New Roman" w:hAnsi="Times New Roman" w:cs="Times New Roman"/>
          <w:sz w:val="28"/>
          <w:szCs w:val="28"/>
        </w:rPr>
        <w:t>).</w:t>
      </w:r>
    </w:p>
    <w:p w14:paraId="3AF88CA9" w14:textId="77777777" w:rsidR="009E21A6" w:rsidRPr="009E21A6" w:rsidRDefault="009E21A6" w:rsidP="009E21A6">
      <w:pPr>
        <w:spacing w:line="360" w:lineRule="auto"/>
        <w:jc w:val="both"/>
        <w:rPr>
          <w:rFonts w:ascii="Times New Roman" w:hAnsi="Times New Roman" w:cs="Times New Roman"/>
          <w:sz w:val="28"/>
          <w:szCs w:val="28"/>
        </w:rPr>
      </w:pPr>
      <w:r w:rsidRPr="009E21A6">
        <w:rPr>
          <w:rFonts w:ascii="Times New Roman" w:hAnsi="Times New Roman" w:cs="Times New Roman"/>
          <w:noProof/>
          <w:sz w:val="28"/>
          <w:szCs w:val="28"/>
        </w:rPr>
        <w:drawing>
          <wp:inline distT="0" distB="0" distL="0" distR="0" wp14:anchorId="1C9F780A" wp14:editId="2CCCE662">
            <wp:extent cx="6296660" cy="412432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6660" cy="4124325"/>
                    </a:xfrm>
                    <a:prstGeom prst="rect">
                      <a:avLst/>
                    </a:prstGeom>
                    <a:noFill/>
                  </pic:spPr>
                </pic:pic>
              </a:graphicData>
            </a:graphic>
          </wp:inline>
        </w:drawing>
      </w:r>
    </w:p>
    <w:p w14:paraId="6C3913A5" w14:textId="0DBC36D6" w:rsidR="009E21A6" w:rsidRPr="009E21A6" w:rsidRDefault="009E21A6" w:rsidP="009E21A6">
      <w:pPr>
        <w:pStyle w:val="af4"/>
        <w:spacing w:after="0"/>
        <w:jc w:val="center"/>
        <w:rPr>
          <w:rFonts w:ascii="Times New Roman" w:hAnsi="Times New Roman"/>
          <w:b w:val="0"/>
          <w:color w:val="auto"/>
          <w:sz w:val="28"/>
          <w:szCs w:val="28"/>
        </w:rPr>
      </w:pPr>
      <w:r w:rsidRPr="009E21A6">
        <w:rPr>
          <w:rFonts w:ascii="Times New Roman" w:hAnsi="Times New Roman"/>
          <w:b w:val="0"/>
          <w:color w:val="auto"/>
          <w:sz w:val="28"/>
          <w:szCs w:val="28"/>
        </w:rPr>
        <w:t>Рисунок 4 – Объем ВВП ведущих стран мира в 2018 г., трлн. долл.</w:t>
      </w:r>
    </w:p>
    <w:p w14:paraId="64B3A27E" w14:textId="77777777" w:rsidR="009E21A6" w:rsidRPr="009E21A6" w:rsidRDefault="009E21A6" w:rsidP="009E21A6">
      <w:pPr>
        <w:spacing w:line="360" w:lineRule="auto"/>
        <w:jc w:val="both"/>
        <w:rPr>
          <w:rFonts w:ascii="Times New Roman" w:hAnsi="Times New Roman" w:cs="Times New Roman"/>
          <w:sz w:val="28"/>
          <w:szCs w:val="28"/>
        </w:rPr>
      </w:pPr>
      <w:r w:rsidRPr="009E21A6">
        <w:rPr>
          <w:rFonts w:ascii="Times New Roman" w:hAnsi="Times New Roman" w:cs="Times New Roman"/>
        </w:rPr>
        <w:lastRenderedPageBreak/>
        <w:t>Источник: составлено по данным http://investorschool.ru/rejting-stran-po-vvp-2018</w:t>
      </w:r>
    </w:p>
    <w:p w14:paraId="08907175" w14:textId="77777777" w:rsidR="009E21A6" w:rsidRDefault="009E21A6" w:rsidP="009E21A6">
      <w:pPr>
        <w:spacing w:line="360" w:lineRule="auto"/>
        <w:ind w:firstLine="709"/>
        <w:jc w:val="both"/>
        <w:rPr>
          <w:rFonts w:ascii="Times New Roman" w:hAnsi="Times New Roman" w:cs="Times New Roman"/>
          <w:sz w:val="28"/>
          <w:szCs w:val="28"/>
        </w:rPr>
      </w:pPr>
    </w:p>
    <w:p w14:paraId="5A6D97DC" w14:textId="285D5472" w:rsidR="009E21A6" w:rsidRPr="009E21A6" w:rsidRDefault="009E21A6" w:rsidP="009E21A6">
      <w:pPr>
        <w:spacing w:line="360" w:lineRule="auto"/>
        <w:ind w:firstLine="709"/>
        <w:jc w:val="both"/>
        <w:rPr>
          <w:rFonts w:ascii="Times New Roman" w:hAnsi="Times New Roman" w:cs="Times New Roman"/>
          <w:sz w:val="28"/>
          <w:szCs w:val="28"/>
        </w:rPr>
      </w:pPr>
      <w:r w:rsidRPr="009E21A6">
        <w:rPr>
          <w:rFonts w:ascii="Times New Roman" w:hAnsi="Times New Roman" w:cs="Times New Roman"/>
          <w:sz w:val="28"/>
          <w:szCs w:val="28"/>
        </w:rPr>
        <w:t xml:space="preserve">Обратим внимание, что для достижения уровня ВВП Великобритании, Индии и Франции необходим существенный рост российского внутреннего валового продукта, который невозможен без существенного увеличения инвестиций в основной капитал. Так, в настоящее время прогнозируется прирост ВВП России в 2020-2022 гг. темпами +6-8% в год, что предполагает </w:t>
      </w:r>
      <w:r>
        <w:rPr>
          <w:rFonts w:ascii="Times New Roman" w:hAnsi="Times New Roman" w:cs="Times New Roman"/>
          <w:sz w:val="28"/>
          <w:szCs w:val="28"/>
        </w:rPr>
        <w:t xml:space="preserve">минимальный </w:t>
      </w:r>
      <w:r w:rsidRPr="009E21A6">
        <w:rPr>
          <w:rFonts w:ascii="Times New Roman" w:hAnsi="Times New Roman" w:cs="Times New Roman"/>
          <w:sz w:val="28"/>
          <w:szCs w:val="28"/>
        </w:rPr>
        <w:t>ежегодный прирост инвестиций в основной капитал темпами +2-3%. В то же время для достижения даже имеющегося сегодня уровня стран первой пятерки при таких ежегодных темпах прироста российской экономике понадобится более 10 лет.</w:t>
      </w:r>
    </w:p>
    <w:p w14:paraId="3967B5D4" w14:textId="1F7D6312" w:rsidR="009E21A6" w:rsidRPr="009E21A6" w:rsidRDefault="009E21A6" w:rsidP="009E21A6">
      <w:pPr>
        <w:spacing w:line="360" w:lineRule="auto"/>
        <w:ind w:firstLine="709"/>
        <w:jc w:val="both"/>
        <w:rPr>
          <w:rFonts w:ascii="Times New Roman" w:hAnsi="Times New Roman" w:cs="Times New Roman"/>
          <w:sz w:val="28"/>
          <w:szCs w:val="28"/>
        </w:rPr>
      </w:pPr>
      <w:r w:rsidRPr="009E21A6">
        <w:rPr>
          <w:rFonts w:ascii="Times New Roman" w:hAnsi="Times New Roman" w:cs="Times New Roman"/>
          <w:sz w:val="28"/>
          <w:szCs w:val="28"/>
        </w:rPr>
        <w:t xml:space="preserve">Следовательно, в целях выполнения задачи, поставленной Президентом </w:t>
      </w:r>
      <w:r>
        <w:rPr>
          <w:rFonts w:ascii="Times New Roman" w:hAnsi="Times New Roman" w:cs="Times New Roman"/>
          <w:sz w:val="28"/>
          <w:szCs w:val="28"/>
        </w:rPr>
        <w:t xml:space="preserve">Российской Федерации </w:t>
      </w:r>
      <w:r w:rsidRPr="009E21A6">
        <w:rPr>
          <w:rFonts w:ascii="Times New Roman" w:hAnsi="Times New Roman" w:cs="Times New Roman"/>
          <w:sz w:val="28"/>
          <w:szCs w:val="28"/>
        </w:rPr>
        <w:t>к 2024 году необходим темп прироста инвестиций в основной капитал России в размере хотя бы +4-6% в год. Возникает обоснованное сомнение о возможности поиска и нахождения требуемых инвестиционных ресурсов. В условиях экономических санкций доступ к рынкам капитала многих зарубежных стран ограничен, как и приток иностранного капитала на российский рынок. Таким образом, России необходимо искать дополнительные внутренние инвестиционные ресурсы, к которым вполне могут быть отнесены бюджетные ассигнования.</w:t>
      </w:r>
    </w:p>
    <w:p w14:paraId="5AB756DD" w14:textId="5A11C959" w:rsidR="009E21A6" w:rsidRPr="009E21A6" w:rsidRDefault="009E21A6" w:rsidP="009E21A6">
      <w:pPr>
        <w:spacing w:line="360" w:lineRule="auto"/>
        <w:ind w:firstLine="709"/>
        <w:jc w:val="both"/>
        <w:rPr>
          <w:rFonts w:ascii="Times New Roman" w:hAnsi="Times New Roman" w:cs="Times New Roman"/>
          <w:sz w:val="28"/>
          <w:szCs w:val="28"/>
        </w:rPr>
      </w:pPr>
      <w:r w:rsidRPr="009E21A6">
        <w:rPr>
          <w:rFonts w:ascii="Times New Roman" w:hAnsi="Times New Roman" w:cs="Times New Roman"/>
          <w:sz w:val="28"/>
          <w:szCs w:val="28"/>
        </w:rPr>
        <w:t>В целом, в 2020-2022 гг., согласно проекту ФЗ № 802503-7, предусмотрен существенный</w:t>
      </w:r>
      <w:r w:rsidR="004E647F">
        <w:rPr>
          <w:rFonts w:ascii="Times New Roman" w:hAnsi="Times New Roman" w:cs="Times New Roman"/>
          <w:sz w:val="28"/>
          <w:szCs w:val="28"/>
        </w:rPr>
        <w:t xml:space="preserve"> рост бюджетных инвестиций (</w:t>
      </w:r>
      <w:r w:rsidRPr="009E21A6">
        <w:rPr>
          <w:rFonts w:ascii="Times New Roman" w:hAnsi="Times New Roman" w:cs="Times New Roman"/>
          <w:sz w:val="28"/>
          <w:szCs w:val="28"/>
        </w:rPr>
        <w:t>рис</w:t>
      </w:r>
      <w:r w:rsidR="004E647F">
        <w:rPr>
          <w:rFonts w:ascii="Times New Roman" w:hAnsi="Times New Roman" w:cs="Times New Roman"/>
          <w:sz w:val="28"/>
          <w:szCs w:val="28"/>
        </w:rPr>
        <w:t>унок 5</w:t>
      </w:r>
      <w:r w:rsidRPr="009E21A6">
        <w:rPr>
          <w:rFonts w:ascii="Times New Roman" w:hAnsi="Times New Roman" w:cs="Times New Roman"/>
          <w:sz w:val="28"/>
          <w:szCs w:val="28"/>
        </w:rPr>
        <w:t>).</w:t>
      </w:r>
    </w:p>
    <w:p w14:paraId="468C35C0" w14:textId="77777777" w:rsidR="009E21A6" w:rsidRPr="009E21A6" w:rsidRDefault="009E21A6" w:rsidP="009E21A6">
      <w:pPr>
        <w:spacing w:line="360" w:lineRule="auto"/>
        <w:jc w:val="both"/>
        <w:rPr>
          <w:rFonts w:ascii="Times New Roman" w:hAnsi="Times New Roman" w:cs="Times New Roman"/>
          <w:sz w:val="28"/>
          <w:szCs w:val="28"/>
        </w:rPr>
      </w:pPr>
      <w:r w:rsidRPr="009E21A6">
        <w:rPr>
          <w:rFonts w:ascii="Times New Roman" w:hAnsi="Times New Roman" w:cs="Times New Roman"/>
          <w:noProof/>
          <w:sz w:val="28"/>
          <w:szCs w:val="28"/>
        </w:rPr>
        <w:lastRenderedPageBreak/>
        <w:drawing>
          <wp:inline distT="0" distB="0" distL="0" distR="0" wp14:anchorId="4BAF13C5" wp14:editId="16964210">
            <wp:extent cx="6327140" cy="3155315"/>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27140" cy="3155315"/>
                    </a:xfrm>
                    <a:prstGeom prst="rect">
                      <a:avLst/>
                    </a:prstGeom>
                    <a:noFill/>
                  </pic:spPr>
                </pic:pic>
              </a:graphicData>
            </a:graphic>
          </wp:inline>
        </w:drawing>
      </w:r>
    </w:p>
    <w:p w14:paraId="0BF6DBF2" w14:textId="6BD3A5CF" w:rsidR="009E21A6" w:rsidRPr="004E647F" w:rsidRDefault="009E21A6" w:rsidP="004E647F">
      <w:pPr>
        <w:pStyle w:val="af4"/>
        <w:spacing w:after="0"/>
        <w:jc w:val="center"/>
        <w:rPr>
          <w:rFonts w:ascii="Times New Roman" w:hAnsi="Times New Roman"/>
          <w:b w:val="0"/>
          <w:color w:val="auto"/>
          <w:sz w:val="28"/>
          <w:szCs w:val="28"/>
        </w:rPr>
      </w:pPr>
      <w:r w:rsidRPr="004E647F">
        <w:rPr>
          <w:rFonts w:ascii="Times New Roman" w:hAnsi="Times New Roman"/>
          <w:b w:val="0"/>
          <w:color w:val="auto"/>
          <w:sz w:val="28"/>
          <w:szCs w:val="28"/>
        </w:rPr>
        <w:t>Рис</w:t>
      </w:r>
      <w:r w:rsidR="004E647F" w:rsidRPr="004E647F">
        <w:rPr>
          <w:rFonts w:ascii="Times New Roman" w:hAnsi="Times New Roman"/>
          <w:b w:val="0"/>
          <w:color w:val="auto"/>
          <w:sz w:val="28"/>
          <w:szCs w:val="28"/>
        </w:rPr>
        <w:t xml:space="preserve">унок 5 – </w:t>
      </w:r>
      <w:r w:rsidRPr="004E647F">
        <w:rPr>
          <w:rFonts w:ascii="Times New Roman" w:hAnsi="Times New Roman"/>
          <w:b w:val="0"/>
          <w:color w:val="auto"/>
          <w:sz w:val="28"/>
          <w:szCs w:val="28"/>
        </w:rPr>
        <w:t xml:space="preserve"> Динамика объема бюджетных ассигнований федерального бюджета на осуществление бюджетных инвестиций в 2013-2022 гг.</w:t>
      </w:r>
    </w:p>
    <w:p w14:paraId="18609A8C" w14:textId="77777777" w:rsidR="009E21A6" w:rsidRPr="009E21A6" w:rsidRDefault="009E21A6" w:rsidP="009E21A6">
      <w:pPr>
        <w:jc w:val="both"/>
        <w:rPr>
          <w:rFonts w:ascii="Times New Roman" w:hAnsi="Times New Roman" w:cs="Times New Roman"/>
        </w:rPr>
      </w:pPr>
      <w:r w:rsidRPr="009E21A6">
        <w:rPr>
          <w:rFonts w:ascii="Times New Roman" w:hAnsi="Times New Roman" w:cs="Times New Roman"/>
          <w:i/>
        </w:rPr>
        <w:t xml:space="preserve">Источник: </w:t>
      </w:r>
      <w:r w:rsidRPr="009E21A6">
        <w:rPr>
          <w:rFonts w:ascii="Times New Roman" w:hAnsi="Times New Roman" w:cs="Times New Roman"/>
        </w:rPr>
        <w:t>составлено по данным Росстата, данным Федерального закона от 29.11.2018 № 459-ФЗ «О федеральном бюджете на 2019 год и на плановый период 2020 и 2021 годов», данным проекта ФЗ № 802503-7.</w:t>
      </w:r>
    </w:p>
    <w:p w14:paraId="4D15B936" w14:textId="77777777" w:rsidR="009E21A6" w:rsidRPr="009E21A6" w:rsidRDefault="009E21A6" w:rsidP="009E21A6">
      <w:pPr>
        <w:spacing w:line="360" w:lineRule="auto"/>
        <w:ind w:firstLine="709"/>
        <w:jc w:val="both"/>
        <w:rPr>
          <w:rFonts w:ascii="Times New Roman" w:hAnsi="Times New Roman" w:cs="Times New Roman"/>
          <w:sz w:val="28"/>
          <w:szCs w:val="28"/>
        </w:rPr>
      </w:pPr>
    </w:p>
    <w:p w14:paraId="556F29FA" w14:textId="77777777" w:rsidR="009E21A6" w:rsidRPr="009E21A6" w:rsidRDefault="009E21A6" w:rsidP="009E21A6">
      <w:pPr>
        <w:spacing w:line="360" w:lineRule="auto"/>
        <w:ind w:firstLine="709"/>
        <w:jc w:val="both"/>
        <w:rPr>
          <w:rFonts w:ascii="Times New Roman" w:hAnsi="Times New Roman" w:cs="Times New Roman"/>
          <w:sz w:val="28"/>
          <w:szCs w:val="28"/>
        </w:rPr>
      </w:pPr>
      <w:r w:rsidRPr="009E21A6">
        <w:rPr>
          <w:rFonts w:ascii="Times New Roman" w:hAnsi="Times New Roman" w:cs="Times New Roman"/>
          <w:sz w:val="28"/>
          <w:szCs w:val="28"/>
        </w:rPr>
        <w:t>Так, в 2020 г. запланирован прирост ассигнований федерального бюджета на предоставление бюджетных инвестиций в размере +9% от уровня 2019 г. Аналогичные темпы прироста в 2021 и 2022 гг. составляют соответственно 8% и 14%, что намного превосходит темпы прироста общих инвестиций в российскую экономику. Более того, объем бюджетных инвестиций в 2021 и 2022 гг. превосходит даже докризисный показатель 2013-2014 гг.</w:t>
      </w:r>
    </w:p>
    <w:p w14:paraId="24AA4219" w14:textId="74EF41FD" w:rsidR="009E21A6" w:rsidRPr="009E21A6" w:rsidRDefault="009E21A6" w:rsidP="009E21A6">
      <w:pPr>
        <w:spacing w:line="360" w:lineRule="auto"/>
        <w:ind w:firstLine="709"/>
        <w:jc w:val="both"/>
        <w:rPr>
          <w:rFonts w:ascii="Times New Roman" w:hAnsi="Times New Roman" w:cs="Times New Roman"/>
          <w:sz w:val="28"/>
          <w:szCs w:val="28"/>
        </w:rPr>
      </w:pPr>
      <w:r w:rsidRPr="009E21A6">
        <w:rPr>
          <w:rFonts w:ascii="Times New Roman" w:hAnsi="Times New Roman" w:cs="Times New Roman"/>
          <w:sz w:val="28"/>
          <w:szCs w:val="28"/>
        </w:rPr>
        <w:t>По структуре бюджетных инвестиций в 2018-2022 гг. преобладают государственные учреждения и г</w:t>
      </w:r>
      <w:r w:rsidR="004E647F">
        <w:rPr>
          <w:rFonts w:ascii="Times New Roman" w:hAnsi="Times New Roman" w:cs="Times New Roman"/>
          <w:sz w:val="28"/>
          <w:szCs w:val="28"/>
        </w:rPr>
        <w:t>осударственные предприятия (</w:t>
      </w:r>
      <w:r w:rsidRPr="009E21A6">
        <w:rPr>
          <w:rFonts w:ascii="Times New Roman" w:hAnsi="Times New Roman" w:cs="Times New Roman"/>
          <w:sz w:val="28"/>
          <w:szCs w:val="28"/>
        </w:rPr>
        <w:t>рис</w:t>
      </w:r>
      <w:r w:rsidR="004E647F">
        <w:rPr>
          <w:rFonts w:ascii="Times New Roman" w:hAnsi="Times New Roman" w:cs="Times New Roman"/>
          <w:sz w:val="28"/>
          <w:szCs w:val="28"/>
        </w:rPr>
        <w:t>унок 6</w:t>
      </w:r>
      <w:r w:rsidRPr="009E21A6">
        <w:rPr>
          <w:rFonts w:ascii="Times New Roman" w:hAnsi="Times New Roman" w:cs="Times New Roman"/>
          <w:sz w:val="28"/>
          <w:szCs w:val="28"/>
        </w:rPr>
        <w:t>).</w:t>
      </w:r>
    </w:p>
    <w:p w14:paraId="32B69099" w14:textId="77777777" w:rsidR="009E21A6" w:rsidRPr="009E21A6" w:rsidRDefault="009E21A6" w:rsidP="009E21A6">
      <w:pPr>
        <w:spacing w:line="360" w:lineRule="auto"/>
        <w:jc w:val="both"/>
        <w:rPr>
          <w:rFonts w:ascii="Times New Roman" w:hAnsi="Times New Roman" w:cs="Times New Roman"/>
          <w:sz w:val="28"/>
          <w:szCs w:val="28"/>
        </w:rPr>
      </w:pPr>
      <w:r w:rsidRPr="009E21A6">
        <w:rPr>
          <w:rFonts w:ascii="Times New Roman" w:hAnsi="Times New Roman" w:cs="Times New Roman"/>
          <w:noProof/>
          <w:sz w:val="28"/>
          <w:szCs w:val="28"/>
        </w:rPr>
        <w:lastRenderedPageBreak/>
        <w:drawing>
          <wp:inline distT="0" distB="0" distL="0" distR="0" wp14:anchorId="1D711CF5" wp14:editId="17709EE0">
            <wp:extent cx="6362700" cy="4090035"/>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62700" cy="4090035"/>
                    </a:xfrm>
                    <a:prstGeom prst="rect">
                      <a:avLst/>
                    </a:prstGeom>
                    <a:noFill/>
                  </pic:spPr>
                </pic:pic>
              </a:graphicData>
            </a:graphic>
          </wp:inline>
        </w:drawing>
      </w:r>
    </w:p>
    <w:p w14:paraId="20D61D6B" w14:textId="1D294CAD" w:rsidR="009E21A6" w:rsidRPr="004E647F" w:rsidRDefault="009E21A6" w:rsidP="009E21A6">
      <w:pPr>
        <w:pStyle w:val="af4"/>
        <w:spacing w:after="0"/>
        <w:jc w:val="center"/>
        <w:rPr>
          <w:rFonts w:ascii="Times New Roman" w:hAnsi="Times New Roman"/>
          <w:b w:val="0"/>
          <w:color w:val="auto"/>
          <w:sz w:val="28"/>
          <w:szCs w:val="28"/>
        </w:rPr>
      </w:pPr>
      <w:r w:rsidRPr="004E647F">
        <w:rPr>
          <w:rFonts w:ascii="Times New Roman" w:hAnsi="Times New Roman"/>
          <w:b w:val="0"/>
          <w:color w:val="auto"/>
          <w:sz w:val="28"/>
          <w:szCs w:val="28"/>
        </w:rPr>
        <w:t>Рис</w:t>
      </w:r>
      <w:r w:rsidR="004E647F" w:rsidRPr="004E647F">
        <w:rPr>
          <w:rFonts w:ascii="Times New Roman" w:hAnsi="Times New Roman"/>
          <w:b w:val="0"/>
          <w:color w:val="auto"/>
          <w:sz w:val="28"/>
          <w:szCs w:val="28"/>
        </w:rPr>
        <w:t xml:space="preserve">унок 6 – </w:t>
      </w:r>
      <w:r w:rsidRPr="004E647F">
        <w:rPr>
          <w:rFonts w:ascii="Times New Roman" w:hAnsi="Times New Roman"/>
          <w:b w:val="0"/>
          <w:color w:val="auto"/>
          <w:sz w:val="28"/>
          <w:szCs w:val="28"/>
        </w:rPr>
        <w:t>Структура бюджетных инвестиций федерального бюджета по типам организаций-получателей</w:t>
      </w:r>
    </w:p>
    <w:p w14:paraId="5133518F" w14:textId="77777777" w:rsidR="009E21A6" w:rsidRPr="009E21A6" w:rsidRDefault="009E21A6" w:rsidP="009E21A6">
      <w:pPr>
        <w:jc w:val="both"/>
        <w:rPr>
          <w:rFonts w:ascii="Times New Roman" w:hAnsi="Times New Roman" w:cs="Times New Roman"/>
        </w:rPr>
      </w:pPr>
      <w:r w:rsidRPr="009E21A6">
        <w:rPr>
          <w:rFonts w:ascii="Times New Roman" w:hAnsi="Times New Roman" w:cs="Times New Roman"/>
          <w:i/>
        </w:rPr>
        <w:t xml:space="preserve">Источник: </w:t>
      </w:r>
      <w:r w:rsidRPr="009E21A6">
        <w:rPr>
          <w:rFonts w:ascii="Times New Roman" w:hAnsi="Times New Roman" w:cs="Times New Roman"/>
        </w:rPr>
        <w:t>составлено по данным Федерального закона от 05.12.2017 № 362-ФЗ "О федеральном бюджете на 2018 год и на плановый период 2019 и 2020 годов", данным Федерального закона от 29.11.2018 № 459-ФЗ «О федеральном бюджете на 2019 год и на плановый период 2020 и 2021 годов», данным проекта ФЗ № 802503-7.</w:t>
      </w:r>
    </w:p>
    <w:p w14:paraId="38CCC3ED" w14:textId="77777777" w:rsidR="009E21A6" w:rsidRPr="009E21A6" w:rsidRDefault="009E21A6" w:rsidP="009E21A6">
      <w:pPr>
        <w:spacing w:line="360" w:lineRule="auto"/>
        <w:ind w:firstLine="709"/>
        <w:jc w:val="both"/>
        <w:rPr>
          <w:rFonts w:ascii="Times New Roman" w:hAnsi="Times New Roman" w:cs="Times New Roman"/>
          <w:sz w:val="28"/>
          <w:szCs w:val="28"/>
        </w:rPr>
      </w:pPr>
    </w:p>
    <w:p w14:paraId="228520EF" w14:textId="2E55A124" w:rsidR="009E21A6" w:rsidRPr="009E21A6" w:rsidRDefault="009E21A6" w:rsidP="009E21A6">
      <w:pPr>
        <w:spacing w:line="360" w:lineRule="auto"/>
        <w:ind w:firstLine="709"/>
        <w:jc w:val="both"/>
        <w:rPr>
          <w:rFonts w:ascii="Times New Roman" w:hAnsi="Times New Roman" w:cs="Times New Roman"/>
          <w:sz w:val="28"/>
          <w:szCs w:val="28"/>
        </w:rPr>
      </w:pPr>
      <w:r w:rsidRPr="009E21A6">
        <w:rPr>
          <w:rFonts w:ascii="Times New Roman" w:hAnsi="Times New Roman" w:cs="Times New Roman"/>
          <w:sz w:val="28"/>
          <w:szCs w:val="28"/>
        </w:rPr>
        <w:t>Диаграмма на р</w:t>
      </w:r>
      <w:r w:rsidR="004E647F">
        <w:rPr>
          <w:rFonts w:ascii="Times New Roman" w:hAnsi="Times New Roman" w:cs="Times New Roman"/>
          <w:sz w:val="28"/>
          <w:szCs w:val="28"/>
        </w:rPr>
        <w:t xml:space="preserve">исунке 6 </w:t>
      </w:r>
      <w:r w:rsidRPr="009E21A6">
        <w:rPr>
          <w:rFonts w:ascii="Times New Roman" w:hAnsi="Times New Roman" w:cs="Times New Roman"/>
          <w:sz w:val="28"/>
          <w:szCs w:val="28"/>
        </w:rPr>
        <w:t xml:space="preserve">свидетельствует, что </w:t>
      </w:r>
      <w:r w:rsidR="004E647F">
        <w:rPr>
          <w:rFonts w:ascii="Times New Roman" w:hAnsi="Times New Roman" w:cs="Times New Roman"/>
          <w:sz w:val="28"/>
          <w:szCs w:val="28"/>
        </w:rPr>
        <w:t>о</w:t>
      </w:r>
      <w:r w:rsidRPr="009E21A6">
        <w:rPr>
          <w:rFonts w:ascii="Times New Roman" w:hAnsi="Times New Roman" w:cs="Times New Roman"/>
          <w:sz w:val="28"/>
          <w:szCs w:val="28"/>
        </w:rPr>
        <w:t>сновная же доля бюджетных инвестиций федерального бюджета приходится на государственные учреждения и государственные унитарные предприятия. При этом значительная доля добавленной стоимости, образующей рост ВВП страны, как правило, образуется в негосударственном секторе, т.е. коммерческих организациях, не являющихся государственными унитарными предприятиями</w:t>
      </w:r>
      <w:r w:rsidR="004E647F">
        <w:rPr>
          <w:rFonts w:ascii="Times New Roman" w:hAnsi="Times New Roman" w:cs="Times New Roman"/>
          <w:sz w:val="28"/>
          <w:szCs w:val="28"/>
        </w:rPr>
        <w:t>,</w:t>
      </w:r>
      <w:r w:rsidRPr="009E21A6">
        <w:rPr>
          <w:rFonts w:ascii="Times New Roman" w:hAnsi="Times New Roman" w:cs="Times New Roman"/>
          <w:sz w:val="28"/>
          <w:szCs w:val="28"/>
        </w:rPr>
        <w:t xml:space="preserve"> – это, в первую очередь, крупные акционерные общества.</w:t>
      </w:r>
    </w:p>
    <w:p w14:paraId="684D2F63" w14:textId="77777777" w:rsidR="009E21A6" w:rsidRPr="009E21A6" w:rsidRDefault="009E21A6" w:rsidP="009E21A6">
      <w:pPr>
        <w:spacing w:line="360" w:lineRule="auto"/>
        <w:ind w:firstLine="709"/>
        <w:jc w:val="both"/>
        <w:rPr>
          <w:rFonts w:ascii="Times New Roman" w:hAnsi="Times New Roman" w:cs="Times New Roman"/>
          <w:sz w:val="28"/>
          <w:szCs w:val="28"/>
        </w:rPr>
      </w:pPr>
      <w:r w:rsidRPr="009E21A6">
        <w:rPr>
          <w:rFonts w:ascii="Times New Roman" w:hAnsi="Times New Roman" w:cs="Times New Roman"/>
          <w:sz w:val="28"/>
          <w:szCs w:val="28"/>
        </w:rPr>
        <w:t xml:space="preserve">Отсутствие масштабных бюджетных вложений в капиталы крупнейших производственных акционерных обществ, с одной стороны, не приводит к утрате контроля над деятельностью этих обществ со стороны частных владельцев ценных бумаг, в том числе миноритарных частных </w:t>
      </w:r>
      <w:r w:rsidRPr="009E21A6">
        <w:rPr>
          <w:rFonts w:ascii="Times New Roman" w:hAnsi="Times New Roman" w:cs="Times New Roman"/>
          <w:sz w:val="28"/>
          <w:szCs w:val="28"/>
        </w:rPr>
        <w:lastRenderedPageBreak/>
        <w:t>акционеров. С этой точки зрения можно говорить об отсутствии в России масштабной экономической национализации производственных предприятий и сохранении их под контролем частных собственников, что во многих случаях дает более эффективное управление производственным процессом на таких предприятиях.</w:t>
      </w:r>
    </w:p>
    <w:p w14:paraId="741FDC80" w14:textId="77777777" w:rsidR="009E21A6" w:rsidRPr="0033517A" w:rsidRDefault="009E21A6" w:rsidP="009E21A6">
      <w:pPr>
        <w:spacing w:line="360" w:lineRule="auto"/>
        <w:ind w:firstLine="709"/>
        <w:jc w:val="both"/>
        <w:rPr>
          <w:rFonts w:ascii="Times New Roman" w:hAnsi="Times New Roman" w:cs="Times New Roman"/>
          <w:sz w:val="28"/>
          <w:szCs w:val="28"/>
        </w:rPr>
      </w:pPr>
      <w:r w:rsidRPr="009E21A6">
        <w:rPr>
          <w:rFonts w:ascii="Times New Roman" w:hAnsi="Times New Roman" w:cs="Times New Roman"/>
          <w:sz w:val="28"/>
          <w:szCs w:val="28"/>
        </w:rPr>
        <w:t xml:space="preserve">Однако в то же время именно акционерные общества в большинстве случаев в условиях санкций имеют затруднения к доступу значительного денежного капитала для осуществления масштабных вложений в расширение производства. Средства населения, как правило, вложены в более ликвидные банковские депозиты или </w:t>
      </w:r>
      <w:proofErr w:type="spellStart"/>
      <w:r w:rsidRPr="009E21A6">
        <w:rPr>
          <w:rFonts w:ascii="Times New Roman" w:hAnsi="Times New Roman" w:cs="Times New Roman"/>
          <w:sz w:val="28"/>
          <w:szCs w:val="28"/>
        </w:rPr>
        <w:t>низкорисковые</w:t>
      </w:r>
      <w:proofErr w:type="spellEnd"/>
      <w:r w:rsidRPr="009E21A6">
        <w:rPr>
          <w:rFonts w:ascii="Times New Roman" w:hAnsi="Times New Roman" w:cs="Times New Roman"/>
          <w:sz w:val="28"/>
          <w:szCs w:val="28"/>
        </w:rPr>
        <w:t xml:space="preserve"> государственные ценные бумаги, а банковские кредиты для крупных акционерных обществ в условиях </w:t>
      </w:r>
      <w:r w:rsidRPr="0033517A">
        <w:rPr>
          <w:rFonts w:ascii="Times New Roman" w:hAnsi="Times New Roman" w:cs="Times New Roman"/>
          <w:sz w:val="28"/>
          <w:szCs w:val="28"/>
        </w:rPr>
        <w:t>ограниченного доступа на внешние рынки удорожаются, что приводит к сокращению их нормы прибыли и, как следствие, к сокращению капитальных вложений в новые средства производства.</w:t>
      </w:r>
    </w:p>
    <w:p w14:paraId="055B1E27" w14:textId="43CE1D2F" w:rsidR="009E21A6" w:rsidRPr="009E21A6" w:rsidRDefault="009E21A6" w:rsidP="009E21A6">
      <w:pPr>
        <w:spacing w:line="360" w:lineRule="auto"/>
        <w:ind w:firstLine="709"/>
        <w:jc w:val="both"/>
        <w:rPr>
          <w:rFonts w:ascii="Times New Roman" w:hAnsi="Times New Roman" w:cs="Times New Roman"/>
          <w:sz w:val="28"/>
          <w:szCs w:val="28"/>
        </w:rPr>
      </w:pPr>
      <w:r w:rsidRPr="0033517A">
        <w:rPr>
          <w:rFonts w:ascii="Times New Roman" w:hAnsi="Times New Roman" w:cs="Times New Roman"/>
          <w:sz w:val="28"/>
          <w:szCs w:val="28"/>
        </w:rPr>
        <w:t xml:space="preserve">В этой связи планируемый в 2020-2022 гг. рост бюджетных инвестиций из федерального бюджета организациям, не являющимся государственными учреждениями и предприятиями, до объема 120 млрд. руб. следует признать вполне целесообразным. Также положительным следует считать, что большинство этих дополнительных бюджетных инвестиций коммерческим организациям предполагается направить именно в капитальное строительство, а не просто </w:t>
      </w:r>
      <w:r w:rsidR="004E647F" w:rsidRPr="0033517A">
        <w:rPr>
          <w:rFonts w:ascii="Times New Roman" w:hAnsi="Times New Roman" w:cs="Times New Roman"/>
          <w:sz w:val="28"/>
          <w:szCs w:val="28"/>
        </w:rPr>
        <w:t>как портфельные инвестиции (</w:t>
      </w:r>
      <w:r w:rsidRPr="0033517A">
        <w:rPr>
          <w:rFonts w:ascii="Times New Roman" w:hAnsi="Times New Roman" w:cs="Times New Roman"/>
          <w:sz w:val="28"/>
          <w:szCs w:val="28"/>
        </w:rPr>
        <w:t>рис</w:t>
      </w:r>
      <w:r w:rsidR="004E647F" w:rsidRPr="0033517A">
        <w:rPr>
          <w:rFonts w:ascii="Times New Roman" w:hAnsi="Times New Roman" w:cs="Times New Roman"/>
          <w:sz w:val="28"/>
          <w:szCs w:val="28"/>
        </w:rPr>
        <w:t>унок 7</w:t>
      </w:r>
      <w:r w:rsidRPr="0033517A">
        <w:rPr>
          <w:rFonts w:ascii="Times New Roman" w:hAnsi="Times New Roman" w:cs="Times New Roman"/>
          <w:sz w:val="28"/>
          <w:szCs w:val="28"/>
        </w:rPr>
        <w:t>).</w:t>
      </w:r>
    </w:p>
    <w:p w14:paraId="13A07731" w14:textId="77777777" w:rsidR="009E21A6" w:rsidRPr="009E21A6" w:rsidRDefault="009E21A6" w:rsidP="009E21A6">
      <w:pPr>
        <w:spacing w:line="360" w:lineRule="auto"/>
        <w:ind w:firstLine="709"/>
        <w:jc w:val="both"/>
        <w:rPr>
          <w:rFonts w:ascii="Times New Roman" w:hAnsi="Times New Roman" w:cs="Times New Roman"/>
          <w:sz w:val="28"/>
          <w:szCs w:val="28"/>
        </w:rPr>
      </w:pPr>
    </w:p>
    <w:p w14:paraId="0E094F0C" w14:textId="77777777" w:rsidR="009E21A6" w:rsidRPr="009E21A6" w:rsidRDefault="009E21A6" w:rsidP="009E21A6">
      <w:pPr>
        <w:spacing w:line="360" w:lineRule="auto"/>
        <w:jc w:val="both"/>
        <w:rPr>
          <w:rFonts w:ascii="Times New Roman" w:hAnsi="Times New Roman" w:cs="Times New Roman"/>
          <w:sz w:val="28"/>
          <w:szCs w:val="28"/>
        </w:rPr>
      </w:pPr>
      <w:r w:rsidRPr="009E21A6">
        <w:rPr>
          <w:rFonts w:ascii="Times New Roman" w:hAnsi="Times New Roman" w:cs="Times New Roman"/>
          <w:noProof/>
          <w:sz w:val="28"/>
          <w:szCs w:val="28"/>
        </w:rPr>
        <w:lastRenderedPageBreak/>
        <w:drawing>
          <wp:inline distT="0" distB="0" distL="0" distR="0" wp14:anchorId="568BAFDF" wp14:editId="47E6D634">
            <wp:extent cx="6261735" cy="3985895"/>
            <wp:effectExtent l="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1735" cy="3985895"/>
                    </a:xfrm>
                    <a:prstGeom prst="rect">
                      <a:avLst/>
                    </a:prstGeom>
                    <a:noFill/>
                  </pic:spPr>
                </pic:pic>
              </a:graphicData>
            </a:graphic>
          </wp:inline>
        </w:drawing>
      </w:r>
    </w:p>
    <w:p w14:paraId="162A3456" w14:textId="339D9ED0" w:rsidR="009E21A6" w:rsidRPr="004E647F" w:rsidRDefault="009E21A6" w:rsidP="009E21A6">
      <w:pPr>
        <w:pStyle w:val="af4"/>
        <w:spacing w:after="0"/>
        <w:jc w:val="center"/>
        <w:rPr>
          <w:rFonts w:ascii="Times New Roman" w:hAnsi="Times New Roman"/>
          <w:b w:val="0"/>
          <w:color w:val="auto"/>
          <w:sz w:val="28"/>
          <w:szCs w:val="28"/>
        </w:rPr>
      </w:pPr>
      <w:r w:rsidRPr="004E647F">
        <w:rPr>
          <w:rFonts w:ascii="Times New Roman" w:hAnsi="Times New Roman"/>
          <w:b w:val="0"/>
          <w:color w:val="auto"/>
          <w:sz w:val="28"/>
          <w:szCs w:val="28"/>
        </w:rPr>
        <w:t>Рис</w:t>
      </w:r>
      <w:r w:rsidR="004E647F" w:rsidRPr="004E647F">
        <w:rPr>
          <w:rFonts w:ascii="Times New Roman" w:hAnsi="Times New Roman"/>
          <w:b w:val="0"/>
          <w:color w:val="auto"/>
          <w:sz w:val="28"/>
          <w:szCs w:val="28"/>
        </w:rPr>
        <w:t>унок 7 –</w:t>
      </w:r>
      <w:r w:rsidRPr="004E647F">
        <w:rPr>
          <w:rFonts w:ascii="Times New Roman" w:hAnsi="Times New Roman"/>
          <w:b w:val="0"/>
          <w:color w:val="auto"/>
          <w:sz w:val="28"/>
          <w:szCs w:val="28"/>
        </w:rPr>
        <w:t xml:space="preserve"> Структура бюджетных инвестиций федерального бюджета коммерческим организациям по типу инвестиций</w:t>
      </w:r>
    </w:p>
    <w:p w14:paraId="6C268AD3" w14:textId="77777777" w:rsidR="009E21A6" w:rsidRPr="009E21A6" w:rsidRDefault="009E21A6" w:rsidP="009E21A6">
      <w:pPr>
        <w:jc w:val="both"/>
        <w:rPr>
          <w:rFonts w:ascii="Times New Roman" w:hAnsi="Times New Roman" w:cs="Times New Roman"/>
        </w:rPr>
      </w:pPr>
      <w:r w:rsidRPr="009E21A6">
        <w:rPr>
          <w:rFonts w:ascii="Times New Roman" w:hAnsi="Times New Roman" w:cs="Times New Roman"/>
          <w:i/>
        </w:rPr>
        <w:t xml:space="preserve">Источник: </w:t>
      </w:r>
      <w:r w:rsidRPr="009E21A6">
        <w:rPr>
          <w:rFonts w:ascii="Times New Roman" w:hAnsi="Times New Roman" w:cs="Times New Roman"/>
        </w:rPr>
        <w:t>составлено по данным Федерального закона от 05.12.2017 № 362-ФЗ "О федеральном бюджете на 2018 год и на плановый период 2019 и 2020 годов", данным Федерального закона от 29.11.2018 № 459-ФЗ «О федеральном бюджете на 2019 год и на плановый период 2020 и 2021 годов», данным проекта ФЗ № 802503-7.</w:t>
      </w:r>
    </w:p>
    <w:p w14:paraId="1DA8BAB7" w14:textId="77777777" w:rsidR="009E21A6" w:rsidRPr="009E21A6" w:rsidRDefault="009E21A6" w:rsidP="009E21A6">
      <w:pPr>
        <w:spacing w:line="360" w:lineRule="auto"/>
        <w:ind w:firstLine="709"/>
        <w:jc w:val="both"/>
        <w:rPr>
          <w:rFonts w:ascii="Times New Roman" w:hAnsi="Times New Roman" w:cs="Times New Roman"/>
          <w:sz w:val="28"/>
          <w:szCs w:val="28"/>
        </w:rPr>
      </w:pPr>
    </w:p>
    <w:p w14:paraId="6D0FADE8" w14:textId="77777777" w:rsidR="009E21A6" w:rsidRPr="009E21A6" w:rsidRDefault="009E21A6" w:rsidP="009E21A6">
      <w:pPr>
        <w:spacing w:line="360" w:lineRule="auto"/>
        <w:ind w:firstLine="709"/>
        <w:jc w:val="both"/>
        <w:rPr>
          <w:rFonts w:ascii="Times New Roman" w:hAnsi="Times New Roman" w:cs="Times New Roman"/>
          <w:sz w:val="28"/>
          <w:szCs w:val="28"/>
        </w:rPr>
      </w:pPr>
      <w:r w:rsidRPr="009E21A6">
        <w:rPr>
          <w:rFonts w:ascii="Times New Roman" w:hAnsi="Times New Roman" w:cs="Times New Roman"/>
          <w:sz w:val="28"/>
          <w:szCs w:val="28"/>
        </w:rPr>
        <w:t>Соотношение между прямыми и портфельными бюджетными инвестициями федерального бюджета к 2022 г. предполагается на уровне 70% / 30%, в то время как еще в 2018 г. аналогичное соотношение имело уровень 25% / 75%. Отметим</w:t>
      </w:r>
      <w:r w:rsidRPr="003D5FA9">
        <w:rPr>
          <w:rFonts w:ascii="Times New Roman" w:hAnsi="Times New Roman" w:cs="Times New Roman"/>
          <w:sz w:val="28"/>
          <w:szCs w:val="28"/>
        </w:rPr>
        <w:t>, что для экономического развития страны именно прямые инвестиции имеют первоочередное значение, поскольку направляются непосредственно в объекты капитального строительства, а не остаются в форме денежного капитала.</w:t>
      </w:r>
    </w:p>
    <w:p w14:paraId="0D8F9CAA" w14:textId="77620897" w:rsidR="009E21A6" w:rsidRPr="009E21A6" w:rsidRDefault="009E21A6" w:rsidP="009E21A6">
      <w:pPr>
        <w:spacing w:line="360" w:lineRule="auto"/>
        <w:ind w:firstLine="709"/>
        <w:jc w:val="both"/>
        <w:rPr>
          <w:rFonts w:ascii="Times New Roman" w:hAnsi="Times New Roman" w:cs="Times New Roman"/>
          <w:sz w:val="28"/>
          <w:szCs w:val="28"/>
        </w:rPr>
      </w:pPr>
      <w:r w:rsidRPr="009E21A6">
        <w:rPr>
          <w:rFonts w:ascii="Times New Roman" w:hAnsi="Times New Roman" w:cs="Times New Roman"/>
          <w:sz w:val="28"/>
          <w:szCs w:val="28"/>
        </w:rPr>
        <w:t xml:space="preserve">Прямые бюджетные инвестиции федерального бюджета направляются преимущественно на строительство железных дорог, модернизацию железнодорожной инфраструктуры, обновление железнодорожных составов, а по форме представляют собой взнос в уставный капитал АО «Российские </w:t>
      </w:r>
      <w:r w:rsidRPr="009E21A6">
        <w:rPr>
          <w:rFonts w:ascii="Times New Roman" w:hAnsi="Times New Roman" w:cs="Times New Roman"/>
          <w:sz w:val="28"/>
          <w:szCs w:val="28"/>
        </w:rPr>
        <w:lastRenderedPageBreak/>
        <w:t>железные дороги». Данная группа прямых инвестиций составляет более 85% общего объема прямых инвес</w:t>
      </w:r>
      <w:r w:rsidR="004E647F">
        <w:rPr>
          <w:rFonts w:ascii="Times New Roman" w:hAnsi="Times New Roman" w:cs="Times New Roman"/>
          <w:sz w:val="28"/>
          <w:szCs w:val="28"/>
        </w:rPr>
        <w:t>тиций федерального бюджета (</w:t>
      </w:r>
      <w:r w:rsidRPr="009E21A6">
        <w:rPr>
          <w:rFonts w:ascii="Times New Roman" w:hAnsi="Times New Roman" w:cs="Times New Roman"/>
          <w:sz w:val="28"/>
          <w:szCs w:val="28"/>
        </w:rPr>
        <w:t>рис</w:t>
      </w:r>
      <w:r w:rsidR="004E647F">
        <w:rPr>
          <w:rFonts w:ascii="Times New Roman" w:hAnsi="Times New Roman" w:cs="Times New Roman"/>
          <w:sz w:val="28"/>
          <w:szCs w:val="28"/>
        </w:rPr>
        <w:t>унок 8</w:t>
      </w:r>
      <w:r w:rsidRPr="009E21A6">
        <w:rPr>
          <w:rFonts w:ascii="Times New Roman" w:hAnsi="Times New Roman" w:cs="Times New Roman"/>
          <w:sz w:val="28"/>
          <w:szCs w:val="28"/>
        </w:rPr>
        <w:t>).</w:t>
      </w:r>
    </w:p>
    <w:p w14:paraId="5979D124" w14:textId="77777777" w:rsidR="009E21A6" w:rsidRPr="009E21A6" w:rsidRDefault="009E21A6" w:rsidP="009E21A6">
      <w:pPr>
        <w:spacing w:line="360" w:lineRule="auto"/>
        <w:jc w:val="both"/>
        <w:rPr>
          <w:rFonts w:ascii="Times New Roman" w:hAnsi="Times New Roman" w:cs="Times New Roman"/>
          <w:sz w:val="28"/>
          <w:szCs w:val="28"/>
        </w:rPr>
      </w:pPr>
      <w:r w:rsidRPr="009E21A6">
        <w:rPr>
          <w:rFonts w:ascii="Times New Roman" w:hAnsi="Times New Roman" w:cs="Times New Roman"/>
          <w:noProof/>
          <w:sz w:val="28"/>
          <w:szCs w:val="28"/>
        </w:rPr>
        <w:drawing>
          <wp:inline distT="0" distB="0" distL="0" distR="0" wp14:anchorId="7DB45AB5" wp14:editId="0B08DF72">
            <wp:extent cx="6212205" cy="3688715"/>
            <wp:effectExtent l="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2205" cy="3688715"/>
                    </a:xfrm>
                    <a:prstGeom prst="rect">
                      <a:avLst/>
                    </a:prstGeom>
                    <a:noFill/>
                  </pic:spPr>
                </pic:pic>
              </a:graphicData>
            </a:graphic>
          </wp:inline>
        </w:drawing>
      </w:r>
    </w:p>
    <w:p w14:paraId="31593270" w14:textId="4D53D4F7" w:rsidR="009E21A6" w:rsidRPr="004E647F" w:rsidRDefault="009E21A6" w:rsidP="009E21A6">
      <w:pPr>
        <w:pStyle w:val="af4"/>
        <w:spacing w:after="0"/>
        <w:jc w:val="center"/>
        <w:rPr>
          <w:rFonts w:ascii="Times New Roman" w:hAnsi="Times New Roman"/>
          <w:b w:val="0"/>
          <w:color w:val="auto"/>
          <w:sz w:val="28"/>
          <w:szCs w:val="28"/>
        </w:rPr>
      </w:pPr>
      <w:r w:rsidRPr="004E647F">
        <w:rPr>
          <w:rFonts w:ascii="Times New Roman" w:hAnsi="Times New Roman"/>
          <w:b w:val="0"/>
          <w:color w:val="auto"/>
          <w:sz w:val="28"/>
          <w:szCs w:val="28"/>
        </w:rPr>
        <w:t>Рис</w:t>
      </w:r>
      <w:r w:rsidR="004E647F" w:rsidRPr="004E647F">
        <w:rPr>
          <w:rFonts w:ascii="Times New Roman" w:hAnsi="Times New Roman"/>
          <w:b w:val="0"/>
          <w:color w:val="auto"/>
          <w:sz w:val="28"/>
          <w:szCs w:val="28"/>
        </w:rPr>
        <w:t xml:space="preserve">унок 8 – </w:t>
      </w:r>
      <w:r w:rsidRPr="004E647F">
        <w:rPr>
          <w:rFonts w:ascii="Times New Roman" w:hAnsi="Times New Roman"/>
          <w:b w:val="0"/>
          <w:color w:val="auto"/>
          <w:sz w:val="28"/>
          <w:szCs w:val="28"/>
        </w:rPr>
        <w:t>Структура прямых бюджетных инвестиций федерального бюджета коммерческим организациям</w:t>
      </w:r>
    </w:p>
    <w:p w14:paraId="45F0BCCB" w14:textId="77777777" w:rsidR="009E21A6" w:rsidRPr="009E21A6" w:rsidRDefault="009E21A6" w:rsidP="009E21A6">
      <w:pPr>
        <w:jc w:val="both"/>
        <w:rPr>
          <w:rFonts w:ascii="Times New Roman" w:hAnsi="Times New Roman" w:cs="Times New Roman"/>
        </w:rPr>
      </w:pPr>
      <w:r w:rsidRPr="009E21A6">
        <w:rPr>
          <w:rFonts w:ascii="Times New Roman" w:hAnsi="Times New Roman" w:cs="Times New Roman"/>
        </w:rPr>
        <w:t>Источник: составлено по данным проекта ФЗ № 802503-7.</w:t>
      </w:r>
    </w:p>
    <w:p w14:paraId="3F8783E0" w14:textId="77777777" w:rsidR="009E21A6" w:rsidRPr="009E21A6" w:rsidRDefault="009E21A6" w:rsidP="009E21A6">
      <w:pPr>
        <w:jc w:val="both"/>
        <w:rPr>
          <w:rFonts w:ascii="Times New Roman" w:hAnsi="Times New Roman" w:cs="Times New Roman"/>
        </w:rPr>
      </w:pPr>
    </w:p>
    <w:p w14:paraId="4CDAF0D5" w14:textId="4EE3734D" w:rsidR="009E21A6" w:rsidRPr="009E21A6" w:rsidRDefault="009E21A6" w:rsidP="009E21A6">
      <w:pPr>
        <w:spacing w:line="360" w:lineRule="auto"/>
        <w:ind w:firstLine="709"/>
        <w:jc w:val="both"/>
        <w:rPr>
          <w:rFonts w:ascii="Times New Roman" w:hAnsi="Times New Roman" w:cs="Times New Roman"/>
          <w:sz w:val="28"/>
          <w:szCs w:val="28"/>
        </w:rPr>
      </w:pPr>
      <w:r w:rsidRPr="009E21A6">
        <w:rPr>
          <w:rFonts w:ascii="Times New Roman" w:hAnsi="Times New Roman" w:cs="Times New Roman"/>
          <w:sz w:val="28"/>
          <w:szCs w:val="28"/>
        </w:rPr>
        <w:t>Отметим, что обновление сети железных дорог полностью соответствует цели 9.1 устойчивого развития Организаци</w:t>
      </w:r>
      <w:r w:rsidR="00A85ED1">
        <w:rPr>
          <w:rFonts w:ascii="Times New Roman" w:hAnsi="Times New Roman" w:cs="Times New Roman"/>
          <w:sz w:val="28"/>
          <w:szCs w:val="28"/>
        </w:rPr>
        <w:t>и</w:t>
      </w:r>
      <w:r w:rsidRPr="009E21A6">
        <w:rPr>
          <w:rFonts w:ascii="Times New Roman" w:hAnsi="Times New Roman" w:cs="Times New Roman"/>
          <w:sz w:val="28"/>
          <w:szCs w:val="28"/>
        </w:rPr>
        <w:t xml:space="preserve"> Объединенных Наций, в которой предлагается развивать качественную, надежную, устойчивую и стойкую инфраструктуру, включая региональную и трансграничную инфраструктуру, в целях поддержки экономического развития и благополучия людей, уделяя особое внимание обеспечению недорогого и равноправного доступа для всех.</w:t>
      </w:r>
    </w:p>
    <w:p w14:paraId="0655E7A9" w14:textId="6F035EC1" w:rsidR="009E21A6" w:rsidRPr="009E21A6" w:rsidRDefault="009E21A6" w:rsidP="009E21A6">
      <w:pPr>
        <w:spacing w:line="360" w:lineRule="auto"/>
        <w:ind w:firstLine="709"/>
        <w:jc w:val="both"/>
        <w:rPr>
          <w:rFonts w:ascii="Times New Roman" w:hAnsi="Times New Roman" w:cs="Times New Roman"/>
        </w:rPr>
      </w:pPr>
      <w:r w:rsidRPr="009E21A6">
        <w:rPr>
          <w:rFonts w:ascii="Times New Roman" w:hAnsi="Times New Roman" w:cs="Times New Roman"/>
          <w:sz w:val="28"/>
          <w:szCs w:val="28"/>
        </w:rPr>
        <w:t>Среди портфельных инвестиций федерального бюджета преобладают инвестиции в рамках государственной программы Российской Федерации «Развитие авиационной промышленности на 2013 - 2025 годы» (рис</w:t>
      </w:r>
      <w:r w:rsidR="004E647F">
        <w:rPr>
          <w:rFonts w:ascii="Times New Roman" w:hAnsi="Times New Roman" w:cs="Times New Roman"/>
          <w:sz w:val="28"/>
          <w:szCs w:val="28"/>
        </w:rPr>
        <w:t>унок 9</w:t>
      </w:r>
      <w:r w:rsidRPr="009E21A6">
        <w:rPr>
          <w:rFonts w:ascii="Times New Roman" w:hAnsi="Times New Roman" w:cs="Times New Roman"/>
          <w:sz w:val="28"/>
          <w:szCs w:val="28"/>
        </w:rPr>
        <w:t>), в рамках которой предполагаются следующие основные виды инвестиций:</w:t>
      </w:r>
      <w:r w:rsidRPr="009E21A6">
        <w:rPr>
          <w:rFonts w:ascii="Times New Roman" w:hAnsi="Times New Roman" w:cs="Times New Roman"/>
        </w:rPr>
        <w:t xml:space="preserve"> </w:t>
      </w:r>
    </w:p>
    <w:p w14:paraId="28A4EE6D" w14:textId="77777777" w:rsidR="009E21A6" w:rsidRPr="009E21A6" w:rsidRDefault="009E21A6" w:rsidP="009E21A6">
      <w:pPr>
        <w:spacing w:line="360" w:lineRule="auto"/>
        <w:ind w:firstLine="709"/>
        <w:jc w:val="both"/>
        <w:rPr>
          <w:rFonts w:ascii="Times New Roman" w:hAnsi="Times New Roman" w:cs="Times New Roman"/>
          <w:sz w:val="28"/>
          <w:szCs w:val="28"/>
        </w:rPr>
      </w:pPr>
      <w:r w:rsidRPr="009E21A6">
        <w:rPr>
          <w:rFonts w:ascii="Times New Roman" w:hAnsi="Times New Roman" w:cs="Times New Roman"/>
        </w:rPr>
        <w:lastRenderedPageBreak/>
        <w:t xml:space="preserve">- </w:t>
      </w:r>
      <w:r w:rsidRPr="009E21A6">
        <w:rPr>
          <w:rFonts w:ascii="Times New Roman" w:hAnsi="Times New Roman" w:cs="Times New Roman"/>
          <w:sz w:val="28"/>
          <w:szCs w:val="28"/>
        </w:rPr>
        <w:t>взнос в уставный капитал акционерного общества «Объединенная двигателестроительная корпорация», на финансирование затрат по разработке и созданию перспективного двигателя ПД-35;</w:t>
      </w:r>
    </w:p>
    <w:p w14:paraId="5A5B8FA2" w14:textId="3DD50CDD" w:rsidR="009E21A6" w:rsidRPr="009E21A6" w:rsidRDefault="009E21A6" w:rsidP="009E21A6">
      <w:pPr>
        <w:spacing w:line="360" w:lineRule="auto"/>
        <w:ind w:firstLine="709"/>
        <w:jc w:val="both"/>
        <w:rPr>
          <w:rFonts w:ascii="Times New Roman" w:hAnsi="Times New Roman" w:cs="Times New Roman"/>
          <w:sz w:val="28"/>
          <w:szCs w:val="28"/>
        </w:rPr>
      </w:pPr>
      <w:r w:rsidRPr="009E21A6">
        <w:rPr>
          <w:rFonts w:ascii="Times New Roman" w:hAnsi="Times New Roman" w:cs="Times New Roman"/>
          <w:sz w:val="28"/>
          <w:szCs w:val="28"/>
        </w:rPr>
        <w:t xml:space="preserve">- взнос в уставный капитал публичного акционерного общества </w:t>
      </w:r>
      <w:r w:rsidR="004E647F">
        <w:rPr>
          <w:rFonts w:ascii="Times New Roman" w:hAnsi="Times New Roman" w:cs="Times New Roman"/>
          <w:sz w:val="28"/>
          <w:szCs w:val="28"/>
        </w:rPr>
        <w:t>«</w:t>
      </w:r>
      <w:r w:rsidRPr="009E21A6">
        <w:rPr>
          <w:rFonts w:ascii="Times New Roman" w:hAnsi="Times New Roman" w:cs="Times New Roman"/>
          <w:sz w:val="28"/>
          <w:szCs w:val="28"/>
        </w:rPr>
        <w:t>Объединенная авиастроительная корпорация</w:t>
      </w:r>
      <w:r w:rsidR="004E647F">
        <w:rPr>
          <w:rFonts w:ascii="Times New Roman" w:hAnsi="Times New Roman" w:cs="Times New Roman"/>
          <w:sz w:val="28"/>
          <w:szCs w:val="28"/>
        </w:rPr>
        <w:t>»</w:t>
      </w:r>
      <w:r w:rsidRPr="009E21A6">
        <w:rPr>
          <w:rFonts w:ascii="Times New Roman" w:hAnsi="Times New Roman" w:cs="Times New Roman"/>
          <w:sz w:val="28"/>
          <w:szCs w:val="28"/>
        </w:rPr>
        <w:t xml:space="preserve">, г. Москва, в том числе для осуществления последующих взносов в уставные капиталы дочерних обществ, на финансовое обеспечение затрат в рамках реализации проекта по созданию широкофюзеляжного </w:t>
      </w:r>
      <w:proofErr w:type="spellStart"/>
      <w:r w:rsidRPr="009E21A6">
        <w:rPr>
          <w:rFonts w:ascii="Times New Roman" w:hAnsi="Times New Roman" w:cs="Times New Roman"/>
          <w:sz w:val="28"/>
          <w:szCs w:val="28"/>
        </w:rPr>
        <w:t>дальнемагистрального</w:t>
      </w:r>
      <w:proofErr w:type="spellEnd"/>
      <w:r w:rsidRPr="009E21A6">
        <w:rPr>
          <w:rFonts w:ascii="Times New Roman" w:hAnsi="Times New Roman" w:cs="Times New Roman"/>
          <w:sz w:val="28"/>
          <w:szCs w:val="28"/>
        </w:rPr>
        <w:t xml:space="preserve"> самолета.</w:t>
      </w:r>
    </w:p>
    <w:p w14:paraId="05A210FF" w14:textId="77777777" w:rsidR="009E21A6" w:rsidRPr="009E21A6" w:rsidRDefault="009E21A6" w:rsidP="009E21A6">
      <w:pPr>
        <w:spacing w:line="360" w:lineRule="auto"/>
        <w:ind w:firstLine="709"/>
        <w:jc w:val="both"/>
        <w:rPr>
          <w:rFonts w:ascii="Times New Roman" w:hAnsi="Times New Roman" w:cs="Times New Roman"/>
          <w:sz w:val="28"/>
          <w:szCs w:val="28"/>
        </w:rPr>
      </w:pPr>
    </w:p>
    <w:p w14:paraId="3572C3A1" w14:textId="77777777" w:rsidR="009E21A6" w:rsidRPr="009E21A6" w:rsidRDefault="009E21A6" w:rsidP="009E21A6">
      <w:pPr>
        <w:spacing w:line="360" w:lineRule="auto"/>
        <w:jc w:val="both"/>
        <w:rPr>
          <w:rFonts w:ascii="Times New Roman" w:hAnsi="Times New Roman" w:cs="Times New Roman"/>
          <w:sz w:val="28"/>
          <w:szCs w:val="28"/>
        </w:rPr>
      </w:pPr>
      <w:r w:rsidRPr="009E21A6">
        <w:rPr>
          <w:rFonts w:ascii="Times New Roman" w:hAnsi="Times New Roman" w:cs="Times New Roman"/>
          <w:noProof/>
          <w:sz w:val="28"/>
          <w:szCs w:val="28"/>
        </w:rPr>
        <w:drawing>
          <wp:inline distT="0" distB="0" distL="0" distR="0" wp14:anchorId="6E70DE78" wp14:editId="7B139B6D">
            <wp:extent cx="6224270" cy="3724910"/>
            <wp:effectExtent l="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24270" cy="3724910"/>
                    </a:xfrm>
                    <a:prstGeom prst="rect">
                      <a:avLst/>
                    </a:prstGeom>
                    <a:noFill/>
                  </pic:spPr>
                </pic:pic>
              </a:graphicData>
            </a:graphic>
          </wp:inline>
        </w:drawing>
      </w:r>
    </w:p>
    <w:p w14:paraId="0EC7CBC9" w14:textId="697383D4" w:rsidR="009E21A6" w:rsidRPr="004E647F" w:rsidRDefault="009E21A6" w:rsidP="009E21A6">
      <w:pPr>
        <w:pStyle w:val="af4"/>
        <w:spacing w:after="0"/>
        <w:jc w:val="center"/>
        <w:rPr>
          <w:rFonts w:ascii="Times New Roman" w:hAnsi="Times New Roman"/>
          <w:b w:val="0"/>
          <w:color w:val="auto"/>
          <w:sz w:val="28"/>
          <w:szCs w:val="28"/>
        </w:rPr>
      </w:pPr>
      <w:r w:rsidRPr="004E647F">
        <w:rPr>
          <w:rFonts w:ascii="Times New Roman" w:hAnsi="Times New Roman"/>
          <w:b w:val="0"/>
          <w:color w:val="auto"/>
          <w:sz w:val="28"/>
          <w:szCs w:val="28"/>
        </w:rPr>
        <w:t>Рис</w:t>
      </w:r>
      <w:r w:rsidR="004E647F" w:rsidRPr="004E647F">
        <w:rPr>
          <w:rFonts w:ascii="Times New Roman" w:hAnsi="Times New Roman"/>
          <w:b w:val="0"/>
          <w:color w:val="auto"/>
          <w:sz w:val="28"/>
          <w:szCs w:val="28"/>
        </w:rPr>
        <w:t xml:space="preserve">унок 9 – </w:t>
      </w:r>
      <w:r w:rsidRPr="004E647F">
        <w:rPr>
          <w:rFonts w:ascii="Times New Roman" w:hAnsi="Times New Roman"/>
          <w:b w:val="0"/>
          <w:color w:val="auto"/>
          <w:sz w:val="28"/>
          <w:szCs w:val="28"/>
        </w:rPr>
        <w:t xml:space="preserve">Структура портфельных бюджетных инвестиций федерального бюджета </w:t>
      </w:r>
    </w:p>
    <w:p w14:paraId="21E19EC2" w14:textId="77777777" w:rsidR="009E21A6" w:rsidRPr="009E21A6" w:rsidRDefault="009E21A6" w:rsidP="009E21A6">
      <w:pPr>
        <w:jc w:val="both"/>
        <w:rPr>
          <w:rFonts w:ascii="Times New Roman" w:hAnsi="Times New Roman" w:cs="Times New Roman"/>
        </w:rPr>
      </w:pPr>
      <w:r w:rsidRPr="009E21A6">
        <w:rPr>
          <w:rFonts w:ascii="Times New Roman" w:hAnsi="Times New Roman" w:cs="Times New Roman"/>
        </w:rPr>
        <w:t>Источник: составлено по данным проекта ФЗ № 802503-7.</w:t>
      </w:r>
    </w:p>
    <w:p w14:paraId="67944FEA" w14:textId="77777777" w:rsidR="009E21A6" w:rsidRPr="009E21A6" w:rsidRDefault="009E21A6" w:rsidP="009E21A6">
      <w:pPr>
        <w:spacing w:line="360" w:lineRule="auto"/>
        <w:ind w:firstLine="709"/>
        <w:jc w:val="both"/>
        <w:rPr>
          <w:rFonts w:ascii="Times New Roman" w:hAnsi="Times New Roman" w:cs="Times New Roman"/>
          <w:sz w:val="28"/>
          <w:szCs w:val="28"/>
        </w:rPr>
      </w:pPr>
    </w:p>
    <w:p w14:paraId="54C48C8C" w14:textId="77777777" w:rsidR="00A85ED1" w:rsidRDefault="004E647F" w:rsidP="00A85ED1">
      <w:pPr>
        <w:spacing w:line="360" w:lineRule="auto"/>
        <w:ind w:firstLine="709"/>
        <w:jc w:val="both"/>
        <w:rPr>
          <w:rFonts w:ascii="Times New Roman" w:hAnsi="Times New Roman" w:cs="Times New Roman"/>
          <w:sz w:val="28"/>
          <w:szCs w:val="28"/>
        </w:rPr>
      </w:pPr>
      <w:r w:rsidRPr="0033517A">
        <w:rPr>
          <w:rFonts w:ascii="Times New Roman" w:hAnsi="Times New Roman" w:cs="Times New Roman"/>
          <w:sz w:val="28"/>
          <w:szCs w:val="28"/>
        </w:rPr>
        <w:t>Результаты проведенного анализа позволяют сделать вывод о целесообразности у</w:t>
      </w:r>
      <w:r w:rsidR="009E21A6" w:rsidRPr="0033517A">
        <w:rPr>
          <w:rFonts w:ascii="Times New Roman" w:hAnsi="Times New Roman" w:cs="Times New Roman"/>
          <w:sz w:val="28"/>
          <w:szCs w:val="28"/>
        </w:rPr>
        <w:t>велич</w:t>
      </w:r>
      <w:r w:rsidRPr="0033517A">
        <w:rPr>
          <w:rFonts w:ascii="Times New Roman" w:hAnsi="Times New Roman" w:cs="Times New Roman"/>
          <w:sz w:val="28"/>
          <w:szCs w:val="28"/>
        </w:rPr>
        <w:t>ен</w:t>
      </w:r>
      <w:r w:rsidR="009E21A6" w:rsidRPr="0033517A">
        <w:rPr>
          <w:rFonts w:ascii="Times New Roman" w:hAnsi="Times New Roman" w:cs="Times New Roman"/>
          <w:sz w:val="28"/>
          <w:szCs w:val="28"/>
        </w:rPr>
        <w:t>и</w:t>
      </w:r>
      <w:r w:rsidRPr="0033517A">
        <w:rPr>
          <w:rFonts w:ascii="Times New Roman" w:hAnsi="Times New Roman" w:cs="Times New Roman"/>
          <w:sz w:val="28"/>
          <w:szCs w:val="28"/>
        </w:rPr>
        <w:t>я</w:t>
      </w:r>
      <w:r w:rsidR="009E21A6" w:rsidRPr="0033517A">
        <w:rPr>
          <w:rFonts w:ascii="Times New Roman" w:hAnsi="Times New Roman" w:cs="Times New Roman"/>
          <w:sz w:val="28"/>
          <w:szCs w:val="28"/>
        </w:rPr>
        <w:t xml:space="preserve"> объем</w:t>
      </w:r>
      <w:r w:rsidRPr="0033517A">
        <w:rPr>
          <w:rFonts w:ascii="Times New Roman" w:hAnsi="Times New Roman" w:cs="Times New Roman"/>
          <w:sz w:val="28"/>
          <w:szCs w:val="28"/>
        </w:rPr>
        <w:t>ов</w:t>
      </w:r>
      <w:r w:rsidR="009E21A6" w:rsidRPr="0033517A">
        <w:rPr>
          <w:rFonts w:ascii="Times New Roman" w:hAnsi="Times New Roman" w:cs="Times New Roman"/>
          <w:sz w:val="28"/>
          <w:szCs w:val="28"/>
        </w:rPr>
        <w:t xml:space="preserve"> и дол</w:t>
      </w:r>
      <w:r w:rsidRPr="0033517A">
        <w:rPr>
          <w:rFonts w:ascii="Times New Roman" w:hAnsi="Times New Roman" w:cs="Times New Roman"/>
          <w:sz w:val="28"/>
          <w:szCs w:val="28"/>
        </w:rPr>
        <w:t>и</w:t>
      </w:r>
      <w:r w:rsidR="009E21A6" w:rsidRPr="0033517A">
        <w:rPr>
          <w:rFonts w:ascii="Times New Roman" w:hAnsi="Times New Roman" w:cs="Times New Roman"/>
          <w:sz w:val="28"/>
          <w:szCs w:val="28"/>
        </w:rPr>
        <w:t xml:space="preserve"> бюджетных инвестиций федерального бюджета, направляемых организациям, осуществляющим капитальные вложения в расширение производства, модернизацию инфраструктуры, создание новых полезных моделей и промышленных </w:t>
      </w:r>
      <w:r w:rsidR="009E21A6" w:rsidRPr="0033517A">
        <w:rPr>
          <w:rFonts w:ascii="Times New Roman" w:hAnsi="Times New Roman" w:cs="Times New Roman"/>
          <w:sz w:val="28"/>
          <w:szCs w:val="28"/>
        </w:rPr>
        <w:lastRenderedPageBreak/>
        <w:t>образцов</w:t>
      </w:r>
      <w:r w:rsidRPr="0033517A">
        <w:rPr>
          <w:rFonts w:ascii="Times New Roman" w:hAnsi="Times New Roman" w:cs="Times New Roman"/>
          <w:sz w:val="28"/>
          <w:szCs w:val="28"/>
        </w:rPr>
        <w:t>;  с</w:t>
      </w:r>
      <w:r w:rsidR="009E21A6" w:rsidRPr="0033517A">
        <w:rPr>
          <w:rFonts w:ascii="Times New Roman" w:hAnsi="Times New Roman" w:cs="Times New Roman"/>
          <w:sz w:val="28"/>
          <w:szCs w:val="28"/>
        </w:rPr>
        <w:t>охран</w:t>
      </w:r>
      <w:r w:rsidRPr="0033517A">
        <w:rPr>
          <w:rFonts w:ascii="Times New Roman" w:hAnsi="Times New Roman" w:cs="Times New Roman"/>
          <w:sz w:val="28"/>
          <w:szCs w:val="28"/>
        </w:rPr>
        <w:t>ен</w:t>
      </w:r>
      <w:r w:rsidR="009E21A6" w:rsidRPr="0033517A">
        <w:rPr>
          <w:rFonts w:ascii="Times New Roman" w:hAnsi="Times New Roman" w:cs="Times New Roman"/>
          <w:sz w:val="28"/>
          <w:szCs w:val="28"/>
        </w:rPr>
        <w:t>и</w:t>
      </w:r>
      <w:r w:rsidRPr="0033517A">
        <w:rPr>
          <w:rFonts w:ascii="Times New Roman" w:hAnsi="Times New Roman" w:cs="Times New Roman"/>
          <w:sz w:val="28"/>
          <w:szCs w:val="28"/>
        </w:rPr>
        <w:t>я</w:t>
      </w:r>
      <w:r w:rsidR="009E21A6" w:rsidRPr="0033517A">
        <w:rPr>
          <w:rFonts w:ascii="Times New Roman" w:hAnsi="Times New Roman" w:cs="Times New Roman"/>
          <w:sz w:val="28"/>
          <w:szCs w:val="28"/>
        </w:rPr>
        <w:t xml:space="preserve"> преобладающ</w:t>
      </w:r>
      <w:r w:rsidRPr="0033517A">
        <w:rPr>
          <w:rFonts w:ascii="Times New Roman" w:hAnsi="Times New Roman" w:cs="Times New Roman"/>
          <w:sz w:val="28"/>
          <w:szCs w:val="28"/>
        </w:rPr>
        <w:t>ей</w:t>
      </w:r>
      <w:r w:rsidR="009E21A6" w:rsidRPr="0033517A">
        <w:rPr>
          <w:rFonts w:ascii="Times New Roman" w:hAnsi="Times New Roman" w:cs="Times New Roman"/>
          <w:sz w:val="28"/>
          <w:szCs w:val="28"/>
        </w:rPr>
        <w:t xml:space="preserve"> дол</w:t>
      </w:r>
      <w:r w:rsidRPr="0033517A">
        <w:rPr>
          <w:rFonts w:ascii="Times New Roman" w:hAnsi="Times New Roman" w:cs="Times New Roman"/>
          <w:sz w:val="28"/>
          <w:szCs w:val="28"/>
        </w:rPr>
        <w:t>и</w:t>
      </w:r>
      <w:r w:rsidR="009E21A6" w:rsidRPr="0033517A">
        <w:rPr>
          <w:rFonts w:ascii="Times New Roman" w:hAnsi="Times New Roman" w:cs="Times New Roman"/>
          <w:sz w:val="28"/>
          <w:szCs w:val="28"/>
        </w:rPr>
        <w:t xml:space="preserve"> прямых бюджетных инвестиций в капитальное строительство новых технологичес</w:t>
      </w:r>
      <w:r w:rsidRPr="0033517A">
        <w:rPr>
          <w:rFonts w:ascii="Times New Roman" w:hAnsi="Times New Roman" w:cs="Times New Roman"/>
          <w:sz w:val="28"/>
          <w:szCs w:val="28"/>
        </w:rPr>
        <w:t xml:space="preserve">ких и инфраструктурных объектов; осуществления </w:t>
      </w:r>
      <w:r w:rsidR="009E21A6" w:rsidRPr="0033517A">
        <w:rPr>
          <w:rFonts w:ascii="Times New Roman" w:hAnsi="Times New Roman" w:cs="Times New Roman"/>
          <w:sz w:val="28"/>
          <w:szCs w:val="28"/>
        </w:rPr>
        <w:t>портфельны</w:t>
      </w:r>
      <w:r w:rsidRPr="0033517A">
        <w:rPr>
          <w:rFonts w:ascii="Times New Roman" w:hAnsi="Times New Roman" w:cs="Times New Roman"/>
          <w:sz w:val="28"/>
          <w:szCs w:val="28"/>
        </w:rPr>
        <w:t>х</w:t>
      </w:r>
      <w:r w:rsidR="009E21A6" w:rsidRPr="0033517A">
        <w:rPr>
          <w:rFonts w:ascii="Times New Roman" w:hAnsi="Times New Roman" w:cs="Times New Roman"/>
          <w:sz w:val="28"/>
          <w:szCs w:val="28"/>
        </w:rPr>
        <w:t xml:space="preserve"> инвестици</w:t>
      </w:r>
      <w:r w:rsidRPr="0033517A">
        <w:rPr>
          <w:rFonts w:ascii="Times New Roman" w:hAnsi="Times New Roman" w:cs="Times New Roman"/>
          <w:sz w:val="28"/>
          <w:szCs w:val="28"/>
        </w:rPr>
        <w:t>й</w:t>
      </w:r>
      <w:r w:rsidR="009E21A6" w:rsidRPr="0033517A">
        <w:rPr>
          <w:rFonts w:ascii="Times New Roman" w:hAnsi="Times New Roman" w:cs="Times New Roman"/>
          <w:sz w:val="28"/>
          <w:szCs w:val="28"/>
        </w:rPr>
        <w:t xml:space="preserve"> в качестве взносов в уставные капиталы организаций, проводящих последовательную модернизацию.</w:t>
      </w:r>
    </w:p>
    <w:p w14:paraId="1D8E470D" w14:textId="77777777" w:rsidR="00A85ED1" w:rsidRDefault="00A85ED1" w:rsidP="00A85ED1">
      <w:pPr>
        <w:spacing w:line="360" w:lineRule="auto"/>
        <w:ind w:firstLine="709"/>
        <w:jc w:val="both"/>
        <w:rPr>
          <w:rFonts w:ascii="Times New Roman" w:hAnsi="Times New Roman" w:cs="Times New Roman"/>
          <w:sz w:val="28"/>
          <w:szCs w:val="28"/>
        </w:rPr>
      </w:pPr>
    </w:p>
    <w:p w14:paraId="65D2EF9B" w14:textId="764873D1" w:rsidR="0098049A" w:rsidRPr="00A85ED1" w:rsidRDefault="0098049A" w:rsidP="00A85ED1">
      <w:pPr>
        <w:spacing w:line="360" w:lineRule="auto"/>
        <w:ind w:firstLine="709"/>
        <w:jc w:val="both"/>
        <w:rPr>
          <w:rFonts w:ascii="Times New Roman" w:hAnsi="Times New Roman" w:cs="Times New Roman"/>
          <w:sz w:val="28"/>
          <w:szCs w:val="28"/>
        </w:rPr>
      </w:pPr>
      <w:r w:rsidRPr="00A85ED1">
        <w:rPr>
          <w:rFonts w:ascii="Times New Roman" w:hAnsi="Times New Roman" w:cs="Times New Roman"/>
          <w:i/>
          <w:sz w:val="28"/>
          <w:szCs w:val="28"/>
        </w:rPr>
        <w:t>Анализ расходов федерального бюджета на научно-исследовательские и опытно-конструкторские разработки</w:t>
      </w:r>
    </w:p>
    <w:p w14:paraId="683EE8B8" w14:textId="48A02894" w:rsidR="0098049A" w:rsidRPr="00A85ED1" w:rsidRDefault="0098049A" w:rsidP="0098049A">
      <w:pPr>
        <w:spacing w:line="360" w:lineRule="auto"/>
        <w:ind w:firstLine="709"/>
        <w:jc w:val="both"/>
        <w:rPr>
          <w:rFonts w:ascii="Times New Roman" w:hAnsi="Times New Roman" w:cs="Times New Roman"/>
          <w:sz w:val="28"/>
          <w:szCs w:val="28"/>
        </w:rPr>
      </w:pPr>
      <w:r w:rsidRPr="00A85ED1">
        <w:rPr>
          <w:rFonts w:ascii="Times New Roman" w:hAnsi="Times New Roman" w:cs="Times New Roman"/>
          <w:sz w:val="28"/>
          <w:szCs w:val="28"/>
        </w:rPr>
        <w:t xml:space="preserve">В рамках </w:t>
      </w:r>
      <w:r w:rsidR="00A85ED1">
        <w:rPr>
          <w:rFonts w:ascii="Times New Roman" w:hAnsi="Times New Roman" w:cs="Times New Roman"/>
          <w:sz w:val="28"/>
          <w:szCs w:val="28"/>
        </w:rPr>
        <w:t xml:space="preserve">ЦУР </w:t>
      </w:r>
      <w:r w:rsidRPr="00A85ED1">
        <w:rPr>
          <w:rFonts w:ascii="Times New Roman" w:hAnsi="Times New Roman" w:cs="Times New Roman"/>
          <w:sz w:val="28"/>
          <w:szCs w:val="28"/>
        </w:rPr>
        <w:t>ООН сформулирована цель по созданию стойкой инфраструктуры, содействию всеохватной и устойчивой индустриализации и инновациям. В рамках данной цели решается задача по активизации научных исследований, наращиванию технологического потенциала промышленных секторов во всех странах, особенно развивающихся странах, в том числе путем стимулирования к 2030 году инновационной деятельности и значительного увеличения числа работников в сфере НИОКР в расчете на 1 млн. человек, а также государственных и частных расходов на НИОКР.</w:t>
      </w:r>
    </w:p>
    <w:p w14:paraId="5072CBC3" w14:textId="17FD8C37" w:rsidR="0098049A" w:rsidRPr="00A85ED1" w:rsidRDefault="0098049A" w:rsidP="0098049A">
      <w:pPr>
        <w:spacing w:line="360" w:lineRule="auto"/>
        <w:ind w:firstLine="709"/>
        <w:jc w:val="both"/>
        <w:rPr>
          <w:rFonts w:ascii="Times New Roman" w:hAnsi="Times New Roman" w:cs="Times New Roman"/>
          <w:sz w:val="28"/>
          <w:szCs w:val="28"/>
        </w:rPr>
      </w:pPr>
      <w:r w:rsidRPr="00A85ED1">
        <w:rPr>
          <w:rFonts w:ascii="Times New Roman" w:hAnsi="Times New Roman" w:cs="Times New Roman"/>
          <w:sz w:val="28"/>
          <w:szCs w:val="28"/>
        </w:rPr>
        <w:t xml:space="preserve">Реализация задач по развитию НИОКР в России во многом определяется достаточностью вложения финансовых ресурсов в НИОКР, в том числе за счет средств федерального бюджета. В целях оценки соответствия проекта федерального закона о федеральном бюджете на 2020 год и плановый период 2021 и 2022 годов </w:t>
      </w:r>
      <w:r w:rsidR="00CE66F0">
        <w:rPr>
          <w:rFonts w:ascii="Times New Roman" w:hAnsi="Times New Roman" w:cs="Times New Roman"/>
          <w:sz w:val="28"/>
          <w:szCs w:val="28"/>
        </w:rPr>
        <w:t xml:space="preserve">ЦУР </w:t>
      </w:r>
      <w:r w:rsidRPr="00A85ED1">
        <w:rPr>
          <w:rFonts w:ascii="Times New Roman" w:hAnsi="Times New Roman" w:cs="Times New Roman"/>
          <w:sz w:val="28"/>
          <w:szCs w:val="28"/>
        </w:rPr>
        <w:t>ООН в области НИОКР целесообразно проанализировать ряд целевых индикаторов, к которым относятся:</w:t>
      </w:r>
    </w:p>
    <w:p w14:paraId="5EFFC76A" w14:textId="77777777" w:rsidR="0098049A" w:rsidRPr="00A85ED1" w:rsidRDefault="0098049A" w:rsidP="0098049A">
      <w:pPr>
        <w:numPr>
          <w:ilvl w:val="0"/>
          <w:numId w:val="3"/>
        </w:numPr>
        <w:spacing w:line="360" w:lineRule="auto"/>
        <w:ind w:left="0" w:firstLine="720"/>
        <w:jc w:val="both"/>
        <w:rPr>
          <w:rFonts w:ascii="Times New Roman" w:hAnsi="Times New Roman" w:cs="Times New Roman"/>
          <w:sz w:val="28"/>
          <w:szCs w:val="28"/>
        </w:rPr>
      </w:pPr>
      <w:r w:rsidRPr="00A85ED1">
        <w:rPr>
          <w:rFonts w:ascii="Times New Roman" w:hAnsi="Times New Roman" w:cs="Times New Roman"/>
          <w:sz w:val="28"/>
          <w:szCs w:val="28"/>
        </w:rPr>
        <w:t>Объем внутренних затрат на НИОКР (в абсолютном выражении).</w:t>
      </w:r>
    </w:p>
    <w:p w14:paraId="1592039A" w14:textId="77777777" w:rsidR="0098049A" w:rsidRPr="00A85ED1" w:rsidRDefault="0098049A" w:rsidP="0098049A">
      <w:pPr>
        <w:numPr>
          <w:ilvl w:val="0"/>
          <w:numId w:val="3"/>
        </w:numPr>
        <w:spacing w:line="360" w:lineRule="auto"/>
        <w:ind w:left="0" w:firstLine="720"/>
        <w:jc w:val="both"/>
        <w:rPr>
          <w:rFonts w:ascii="Times New Roman" w:hAnsi="Times New Roman" w:cs="Times New Roman"/>
          <w:sz w:val="28"/>
          <w:szCs w:val="28"/>
        </w:rPr>
      </w:pPr>
      <w:r w:rsidRPr="00A85ED1">
        <w:rPr>
          <w:rFonts w:ascii="Times New Roman" w:hAnsi="Times New Roman" w:cs="Times New Roman"/>
          <w:sz w:val="28"/>
          <w:szCs w:val="28"/>
        </w:rPr>
        <w:t>Динамика внутренних затрат и бюджетных ассигнований на финансирование НИОКР.</w:t>
      </w:r>
    </w:p>
    <w:p w14:paraId="1DA0F979" w14:textId="77777777" w:rsidR="0098049A" w:rsidRPr="00A85ED1" w:rsidRDefault="0098049A" w:rsidP="0098049A">
      <w:pPr>
        <w:numPr>
          <w:ilvl w:val="0"/>
          <w:numId w:val="3"/>
        </w:numPr>
        <w:spacing w:line="360" w:lineRule="auto"/>
        <w:ind w:left="0" w:firstLine="720"/>
        <w:jc w:val="both"/>
        <w:rPr>
          <w:rFonts w:ascii="Times New Roman" w:hAnsi="Times New Roman" w:cs="Times New Roman"/>
          <w:sz w:val="28"/>
          <w:szCs w:val="28"/>
        </w:rPr>
      </w:pPr>
      <w:r w:rsidRPr="00A85ED1">
        <w:rPr>
          <w:rFonts w:ascii="Times New Roman" w:hAnsi="Times New Roman" w:cs="Times New Roman"/>
          <w:sz w:val="28"/>
          <w:szCs w:val="28"/>
        </w:rPr>
        <w:t>Доля внутренних затрат на НИОКР в процентах к ВВП.</w:t>
      </w:r>
    </w:p>
    <w:p w14:paraId="438F5838" w14:textId="77777777" w:rsidR="0098049A" w:rsidRPr="00A85ED1" w:rsidRDefault="0098049A" w:rsidP="0098049A">
      <w:pPr>
        <w:spacing w:line="360" w:lineRule="auto"/>
        <w:ind w:firstLine="709"/>
        <w:jc w:val="both"/>
        <w:rPr>
          <w:rFonts w:ascii="Times New Roman" w:hAnsi="Times New Roman" w:cs="Times New Roman"/>
          <w:sz w:val="28"/>
          <w:szCs w:val="28"/>
        </w:rPr>
      </w:pPr>
      <w:r w:rsidRPr="00A85ED1">
        <w:rPr>
          <w:rFonts w:ascii="Times New Roman" w:hAnsi="Times New Roman" w:cs="Times New Roman"/>
          <w:sz w:val="28"/>
          <w:szCs w:val="28"/>
        </w:rPr>
        <w:t>4) Доля программного финансирования научных исследований в общем объеме бюджетных ассигнований на НИОКР.</w:t>
      </w:r>
    </w:p>
    <w:p w14:paraId="6D383E33" w14:textId="1D670E38" w:rsidR="0098049A" w:rsidRPr="00A85ED1" w:rsidRDefault="0098049A" w:rsidP="0098049A">
      <w:pPr>
        <w:spacing w:line="360" w:lineRule="auto"/>
        <w:ind w:firstLine="720"/>
        <w:jc w:val="both"/>
        <w:rPr>
          <w:rFonts w:ascii="Times New Roman" w:hAnsi="Times New Roman" w:cs="Times New Roman"/>
          <w:sz w:val="28"/>
          <w:szCs w:val="28"/>
        </w:rPr>
      </w:pPr>
      <w:r w:rsidRPr="00A85ED1">
        <w:rPr>
          <w:rFonts w:ascii="Times New Roman" w:hAnsi="Times New Roman" w:cs="Times New Roman"/>
          <w:sz w:val="28"/>
          <w:szCs w:val="28"/>
        </w:rPr>
        <w:lastRenderedPageBreak/>
        <w:t xml:space="preserve">В настоящее время по объемам внутренних затрат на НИОКР Россия входит в десятку ведущих технологически развитых стран мира и занимает </w:t>
      </w:r>
      <w:r w:rsidR="00CE66F0">
        <w:rPr>
          <w:rFonts w:ascii="Times New Roman" w:hAnsi="Times New Roman" w:cs="Times New Roman"/>
          <w:sz w:val="28"/>
          <w:szCs w:val="28"/>
        </w:rPr>
        <w:t>10 место среди стран мира (</w:t>
      </w:r>
      <w:r w:rsidRPr="00A85ED1">
        <w:rPr>
          <w:rFonts w:ascii="Times New Roman" w:hAnsi="Times New Roman" w:cs="Times New Roman"/>
          <w:sz w:val="28"/>
          <w:szCs w:val="28"/>
        </w:rPr>
        <w:t>рис</w:t>
      </w:r>
      <w:r w:rsidR="00CE66F0">
        <w:rPr>
          <w:rFonts w:ascii="Times New Roman" w:hAnsi="Times New Roman" w:cs="Times New Roman"/>
          <w:sz w:val="28"/>
          <w:szCs w:val="28"/>
        </w:rPr>
        <w:t xml:space="preserve">унок </w:t>
      </w:r>
      <w:r w:rsidRPr="00A85ED1">
        <w:rPr>
          <w:rFonts w:ascii="Times New Roman" w:hAnsi="Times New Roman" w:cs="Times New Roman"/>
          <w:sz w:val="28"/>
          <w:szCs w:val="28"/>
        </w:rPr>
        <w:t>1</w:t>
      </w:r>
      <w:r w:rsidR="00CE66F0">
        <w:rPr>
          <w:rFonts w:ascii="Times New Roman" w:hAnsi="Times New Roman" w:cs="Times New Roman"/>
          <w:sz w:val="28"/>
          <w:szCs w:val="28"/>
        </w:rPr>
        <w:t>0</w:t>
      </w:r>
      <w:r w:rsidRPr="00A85ED1">
        <w:rPr>
          <w:rFonts w:ascii="Times New Roman" w:hAnsi="Times New Roman" w:cs="Times New Roman"/>
          <w:sz w:val="28"/>
          <w:szCs w:val="28"/>
        </w:rPr>
        <w:t>). В 2017 году Россия также входила в десятку и занимала 9 место. Однако отставание России по объему внутреннего финансирования НИОКР в 2018 году от мировых технологических лидеров – США, Китая, Японии, Германии, Южной Кореи – остается критически большим:</w:t>
      </w:r>
    </w:p>
    <w:p w14:paraId="21B70CE9" w14:textId="77777777" w:rsidR="0098049A" w:rsidRPr="00A85ED1" w:rsidRDefault="0098049A" w:rsidP="0098049A">
      <w:pPr>
        <w:spacing w:line="360" w:lineRule="auto"/>
        <w:ind w:firstLine="720"/>
        <w:jc w:val="both"/>
        <w:rPr>
          <w:rFonts w:ascii="Times New Roman" w:hAnsi="Times New Roman" w:cs="Times New Roman"/>
          <w:sz w:val="28"/>
          <w:szCs w:val="28"/>
        </w:rPr>
      </w:pPr>
      <w:r w:rsidRPr="00A85ED1">
        <w:rPr>
          <w:rFonts w:ascii="Times New Roman" w:hAnsi="Times New Roman" w:cs="Times New Roman"/>
          <w:sz w:val="28"/>
          <w:szCs w:val="28"/>
        </w:rPr>
        <w:t>- от США: в 33 раза (в 2017 г. – в 26 раз);</w:t>
      </w:r>
    </w:p>
    <w:p w14:paraId="06770D28" w14:textId="77777777" w:rsidR="0098049A" w:rsidRPr="00A85ED1" w:rsidRDefault="0098049A" w:rsidP="0098049A">
      <w:pPr>
        <w:spacing w:line="360" w:lineRule="auto"/>
        <w:ind w:firstLine="720"/>
        <w:jc w:val="both"/>
        <w:rPr>
          <w:rFonts w:ascii="Times New Roman" w:hAnsi="Times New Roman" w:cs="Times New Roman"/>
          <w:sz w:val="28"/>
          <w:szCs w:val="28"/>
        </w:rPr>
      </w:pPr>
      <w:r w:rsidRPr="00A85ED1">
        <w:rPr>
          <w:rFonts w:ascii="Times New Roman" w:hAnsi="Times New Roman" w:cs="Times New Roman"/>
          <w:sz w:val="28"/>
          <w:szCs w:val="28"/>
        </w:rPr>
        <w:t>- от Китая: в 16 раз (в 2017 г. – в 12 раз);</w:t>
      </w:r>
    </w:p>
    <w:p w14:paraId="20406816" w14:textId="77777777" w:rsidR="0098049A" w:rsidRPr="00A85ED1" w:rsidRDefault="0098049A" w:rsidP="0098049A">
      <w:pPr>
        <w:spacing w:line="360" w:lineRule="auto"/>
        <w:ind w:firstLine="720"/>
        <w:jc w:val="both"/>
        <w:rPr>
          <w:rFonts w:ascii="Times New Roman" w:hAnsi="Times New Roman" w:cs="Times New Roman"/>
          <w:sz w:val="28"/>
          <w:szCs w:val="28"/>
        </w:rPr>
      </w:pPr>
      <w:r w:rsidRPr="00A85ED1">
        <w:rPr>
          <w:rFonts w:ascii="Times New Roman" w:hAnsi="Times New Roman" w:cs="Times New Roman"/>
          <w:sz w:val="28"/>
          <w:szCs w:val="28"/>
        </w:rPr>
        <w:t>- от Японии: в 10 раз (в 2017 г. – в 7 раз);</w:t>
      </w:r>
    </w:p>
    <w:p w14:paraId="61E5E271" w14:textId="77777777" w:rsidR="0098049A" w:rsidRPr="00A85ED1" w:rsidRDefault="0098049A" w:rsidP="0098049A">
      <w:pPr>
        <w:spacing w:line="360" w:lineRule="auto"/>
        <w:ind w:firstLine="720"/>
        <w:jc w:val="both"/>
        <w:rPr>
          <w:rFonts w:ascii="Times New Roman" w:hAnsi="Times New Roman" w:cs="Times New Roman"/>
          <w:sz w:val="28"/>
          <w:szCs w:val="28"/>
        </w:rPr>
      </w:pPr>
      <w:r w:rsidRPr="00A85ED1">
        <w:rPr>
          <w:rFonts w:ascii="Times New Roman" w:hAnsi="Times New Roman" w:cs="Times New Roman"/>
          <w:sz w:val="28"/>
          <w:szCs w:val="28"/>
        </w:rPr>
        <w:t>- от Германии: в 6,5 раз (в 2017 г. – в 5 раз);</w:t>
      </w:r>
    </w:p>
    <w:p w14:paraId="4B2CE9B5" w14:textId="77777777" w:rsidR="0098049A" w:rsidRPr="00A85ED1" w:rsidRDefault="0098049A" w:rsidP="0098049A">
      <w:pPr>
        <w:spacing w:line="360" w:lineRule="auto"/>
        <w:ind w:firstLine="720"/>
        <w:jc w:val="both"/>
        <w:rPr>
          <w:rFonts w:ascii="Times New Roman" w:hAnsi="Times New Roman" w:cs="Times New Roman"/>
          <w:sz w:val="28"/>
          <w:szCs w:val="28"/>
        </w:rPr>
      </w:pPr>
      <w:r w:rsidRPr="00A85ED1">
        <w:rPr>
          <w:rFonts w:ascii="Times New Roman" w:hAnsi="Times New Roman" w:cs="Times New Roman"/>
          <w:sz w:val="28"/>
          <w:szCs w:val="28"/>
        </w:rPr>
        <w:t>- от Южной Кореи: в 4 раза (в 2017 г. – в 3 раза).</w:t>
      </w:r>
    </w:p>
    <w:p w14:paraId="150EAABC" w14:textId="77777777" w:rsidR="0098049A" w:rsidRPr="00A85ED1" w:rsidRDefault="0098049A" w:rsidP="0098049A">
      <w:pPr>
        <w:spacing w:line="360" w:lineRule="auto"/>
        <w:jc w:val="both"/>
        <w:rPr>
          <w:rFonts w:ascii="Times New Roman" w:hAnsi="Times New Roman" w:cs="Times New Roman"/>
          <w:sz w:val="28"/>
          <w:szCs w:val="28"/>
        </w:rPr>
      </w:pPr>
      <w:r w:rsidRPr="00A85ED1">
        <w:rPr>
          <w:rFonts w:ascii="Times New Roman" w:hAnsi="Times New Roman" w:cs="Times New Roman"/>
          <w:noProof/>
        </w:rPr>
        <w:drawing>
          <wp:inline distT="0" distB="0" distL="0" distR="0" wp14:anchorId="3EB62239" wp14:editId="6C4BCB5B">
            <wp:extent cx="6296025" cy="3667125"/>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6025" cy="3667125"/>
                    </a:xfrm>
                    <a:prstGeom prst="rect">
                      <a:avLst/>
                    </a:prstGeom>
                    <a:noFill/>
                    <a:ln>
                      <a:noFill/>
                    </a:ln>
                  </pic:spPr>
                </pic:pic>
              </a:graphicData>
            </a:graphic>
          </wp:inline>
        </w:drawing>
      </w:r>
    </w:p>
    <w:p w14:paraId="6EB8A9F0" w14:textId="05A764B1" w:rsidR="0098049A" w:rsidRPr="00CE66F0" w:rsidRDefault="00CE66F0" w:rsidP="0098049A">
      <w:pPr>
        <w:pStyle w:val="af4"/>
        <w:spacing w:after="0"/>
        <w:jc w:val="center"/>
        <w:rPr>
          <w:rFonts w:ascii="Times New Roman" w:hAnsi="Times New Roman"/>
          <w:b w:val="0"/>
          <w:color w:val="auto"/>
          <w:sz w:val="28"/>
          <w:szCs w:val="28"/>
        </w:rPr>
      </w:pPr>
      <w:r w:rsidRPr="00CE66F0">
        <w:rPr>
          <w:rFonts w:ascii="Times New Roman" w:hAnsi="Times New Roman"/>
          <w:b w:val="0"/>
          <w:color w:val="auto"/>
          <w:sz w:val="28"/>
          <w:szCs w:val="28"/>
        </w:rPr>
        <w:t>Рисунок</w:t>
      </w:r>
      <w:r w:rsidR="0098049A" w:rsidRPr="00CE66F0">
        <w:rPr>
          <w:rFonts w:ascii="Times New Roman" w:hAnsi="Times New Roman"/>
          <w:b w:val="0"/>
          <w:color w:val="auto"/>
          <w:sz w:val="28"/>
          <w:szCs w:val="28"/>
        </w:rPr>
        <w:t xml:space="preserve"> 1</w:t>
      </w:r>
      <w:r w:rsidRPr="00CE66F0">
        <w:rPr>
          <w:rFonts w:ascii="Times New Roman" w:hAnsi="Times New Roman"/>
          <w:b w:val="0"/>
          <w:color w:val="auto"/>
          <w:sz w:val="28"/>
          <w:szCs w:val="28"/>
        </w:rPr>
        <w:t xml:space="preserve">0 – </w:t>
      </w:r>
      <w:r w:rsidR="0098049A" w:rsidRPr="00CE66F0">
        <w:rPr>
          <w:rFonts w:ascii="Times New Roman" w:hAnsi="Times New Roman"/>
          <w:b w:val="0"/>
          <w:color w:val="auto"/>
          <w:sz w:val="28"/>
          <w:szCs w:val="28"/>
        </w:rPr>
        <w:t xml:space="preserve"> Объемы внутреннего финансирования НИОКР 10 ведущих стран мира</w:t>
      </w:r>
    </w:p>
    <w:p w14:paraId="3D5C4C81" w14:textId="77777777" w:rsidR="0098049A" w:rsidRPr="00A85ED1" w:rsidRDefault="0098049A" w:rsidP="0098049A">
      <w:pPr>
        <w:jc w:val="both"/>
        <w:rPr>
          <w:rFonts w:ascii="Times New Roman" w:hAnsi="Times New Roman" w:cs="Times New Roman"/>
        </w:rPr>
      </w:pPr>
      <w:r w:rsidRPr="00A85ED1">
        <w:rPr>
          <w:rFonts w:ascii="Times New Roman" w:hAnsi="Times New Roman" w:cs="Times New Roman"/>
          <w:i/>
        </w:rPr>
        <w:t xml:space="preserve">Источник: </w:t>
      </w:r>
      <w:r w:rsidRPr="00A85ED1">
        <w:rPr>
          <w:rFonts w:ascii="Times New Roman" w:hAnsi="Times New Roman" w:cs="Times New Roman"/>
        </w:rPr>
        <w:t>составлено по данным статистической службы Европейского союза (</w:t>
      </w:r>
      <w:proofErr w:type="spellStart"/>
      <w:r w:rsidRPr="00A85ED1">
        <w:rPr>
          <w:rFonts w:ascii="Times New Roman" w:hAnsi="Times New Roman" w:cs="Times New Roman"/>
        </w:rPr>
        <w:t>Евростата</w:t>
      </w:r>
      <w:proofErr w:type="spellEnd"/>
      <w:r w:rsidRPr="00A85ED1">
        <w:rPr>
          <w:rFonts w:ascii="Times New Roman" w:hAnsi="Times New Roman" w:cs="Times New Roman"/>
        </w:rPr>
        <w:t>)</w:t>
      </w:r>
    </w:p>
    <w:p w14:paraId="18EFD57F" w14:textId="77777777" w:rsidR="0098049A" w:rsidRPr="00A85ED1" w:rsidRDefault="0098049A" w:rsidP="0098049A">
      <w:pPr>
        <w:spacing w:line="360" w:lineRule="auto"/>
        <w:ind w:firstLine="709"/>
        <w:jc w:val="both"/>
        <w:rPr>
          <w:rFonts w:ascii="Times New Roman" w:hAnsi="Times New Roman" w:cs="Times New Roman"/>
          <w:sz w:val="28"/>
          <w:szCs w:val="28"/>
        </w:rPr>
      </w:pPr>
    </w:p>
    <w:p w14:paraId="43DE1A71" w14:textId="77777777" w:rsidR="0098049A" w:rsidRPr="00A85ED1" w:rsidRDefault="0098049A" w:rsidP="0098049A">
      <w:pPr>
        <w:spacing w:line="360" w:lineRule="auto"/>
        <w:ind w:firstLine="709"/>
        <w:jc w:val="both"/>
        <w:rPr>
          <w:rFonts w:ascii="Times New Roman" w:hAnsi="Times New Roman" w:cs="Times New Roman"/>
          <w:sz w:val="28"/>
          <w:szCs w:val="28"/>
        </w:rPr>
      </w:pPr>
      <w:r w:rsidRPr="00A85ED1">
        <w:rPr>
          <w:rFonts w:ascii="Times New Roman" w:hAnsi="Times New Roman" w:cs="Times New Roman"/>
          <w:sz w:val="28"/>
          <w:szCs w:val="28"/>
        </w:rPr>
        <w:t xml:space="preserve">Стоит отметить, что не только абсолютная величина внутренних затрат на НИОКР имеет значение, но и их доля в ВВП страны. Данный показатель, </w:t>
      </w:r>
      <w:r w:rsidRPr="00A85ED1">
        <w:rPr>
          <w:rFonts w:ascii="Times New Roman" w:hAnsi="Times New Roman" w:cs="Times New Roman"/>
          <w:sz w:val="28"/>
          <w:szCs w:val="28"/>
        </w:rPr>
        <w:lastRenderedPageBreak/>
        <w:t>именуемый также интенсивностью финансирования научных исследований, отражает, какую долю создаваемой стоимости благ государство ежегодно готово вкладывать в самый прогрессивный вид инвестиций – научные исследования. Именно вложения в научные исследования в долгосрочной перспективе обеспечивает сменяемость фаз длинных экономических циклов (циклов Н.Д. Кондратьева) и переход к фазе долгого интенсивного подъема.</w:t>
      </w:r>
    </w:p>
    <w:p w14:paraId="3AA92875" w14:textId="5A102A1A" w:rsidR="0098049A" w:rsidRPr="00A85ED1" w:rsidRDefault="0098049A" w:rsidP="0098049A">
      <w:pPr>
        <w:spacing w:line="360" w:lineRule="auto"/>
        <w:ind w:firstLine="709"/>
        <w:jc w:val="both"/>
        <w:rPr>
          <w:rFonts w:ascii="Times New Roman" w:hAnsi="Times New Roman" w:cs="Times New Roman"/>
          <w:sz w:val="28"/>
          <w:szCs w:val="28"/>
        </w:rPr>
      </w:pPr>
      <w:r w:rsidRPr="00A85ED1">
        <w:rPr>
          <w:rFonts w:ascii="Times New Roman" w:hAnsi="Times New Roman" w:cs="Times New Roman"/>
          <w:sz w:val="28"/>
          <w:szCs w:val="28"/>
        </w:rPr>
        <w:t>По размеру интенсивности финансирования научных исследований безоговорочное первое место принадлежит Южной Корее, которая вкладывает ежегод</w:t>
      </w:r>
      <w:r w:rsidR="00CE66F0">
        <w:rPr>
          <w:rFonts w:ascii="Times New Roman" w:hAnsi="Times New Roman" w:cs="Times New Roman"/>
          <w:sz w:val="28"/>
          <w:szCs w:val="28"/>
        </w:rPr>
        <w:t>но 4,5% своего ВВП в НИОКР (</w:t>
      </w:r>
      <w:r w:rsidRPr="00A85ED1">
        <w:rPr>
          <w:rFonts w:ascii="Times New Roman" w:hAnsi="Times New Roman" w:cs="Times New Roman"/>
          <w:sz w:val="28"/>
          <w:szCs w:val="28"/>
        </w:rPr>
        <w:t>рис</w:t>
      </w:r>
      <w:r w:rsidR="00CE66F0">
        <w:rPr>
          <w:rFonts w:ascii="Times New Roman" w:hAnsi="Times New Roman" w:cs="Times New Roman"/>
          <w:sz w:val="28"/>
          <w:szCs w:val="28"/>
        </w:rPr>
        <w:t>унок 11</w:t>
      </w:r>
      <w:r w:rsidRPr="00A85ED1">
        <w:rPr>
          <w:rFonts w:ascii="Times New Roman" w:hAnsi="Times New Roman" w:cs="Times New Roman"/>
          <w:sz w:val="28"/>
          <w:szCs w:val="28"/>
        </w:rPr>
        <w:t>).</w:t>
      </w:r>
    </w:p>
    <w:p w14:paraId="0681EE51" w14:textId="77777777" w:rsidR="0098049A" w:rsidRPr="00A85ED1" w:rsidRDefault="0098049A" w:rsidP="0098049A">
      <w:pPr>
        <w:spacing w:line="360" w:lineRule="auto"/>
        <w:jc w:val="both"/>
        <w:rPr>
          <w:rFonts w:ascii="Times New Roman" w:hAnsi="Times New Roman" w:cs="Times New Roman"/>
          <w:sz w:val="28"/>
          <w:szCs w:val="28"/>
        </w:rPr>
      </w:pPr>
      <w:r w:rsidRPr="00A85ED1">
        <w:rPr>
          <w:rFonts w:ascii="Times New Roman" w:hAnsi="Times New Roman" w:cs="Times New Roman"/>
          <w:noProof/>
        </w:rPr>
        <w:drawing>
          <wp:inline distT="0" distB="0" distL="0" distR="0" wp14:anchorId="32C55C6B" wp14:editId="5877402C">
            <wp:extent cx="6296025" cy="3667125"/>
            <wp:effectExtent l="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96025" cy="3667125"/>
                    </a:xfrm>
                    <a:prstGeom prst="rect">
                      <a:avLst/>
                    </a:prstGeom>
                    <a:noFill/>
                    <a:ln>
                      <a:noFill/>
                    </a:ln>
                  </pic:spPr>
                </pic:pic>
              </a:graphicData>
            </a:graphic>
          </wp:inline>
        </w:drawing>
      </w:r>
    </w:p>
    <w:p w14:paraId="41A05CC9" w14:textId="5352677C" w:rsidR="0098049A" w:rsidRPr="00CE66F0" w:rsidRDefault="0098049A" w:rsidP="0098049A">
      <w:pPr>
        <w:pStyle w:val="af4"/>
        <w:spacing w:after="0"/>
        <w:jc w:val="center"/>
        <w:rPr>
          <w:rFonts w:ascii="Times New Roman" w:hAnsi="Times New Roman"/>
          <w:b w:val="0"/>
          <w:color w:val="auto"/>
          <w:sz w:val="28"/>
          <w:szCs w:val="28"/>
        </w:rPr>
      </w:pPr>
      <w:r w:rsidRPr="00CE66F0">
        <w:rPr>
          <w:rFonts w:ascii="Times New Roman" w:hAnsi="Times New Roman"/>
          <w:b w:val="0"/>
          <w:color w:val="auto"/>
          <w:sz w:val="28"/>
          <w:szCs w:val="28"/>
        </w:rPr>
        <w:t>Рис</w:t>
      </w:r>
      <w:r w:rsidR="00CE66F0" w:rsidRPr="00CE66F0">
        <w:rPr>
          <w:rFonts w:ascii="Times New Roman" w:hAnsi="Times New Roman"/>
          <w:b w:val="0"/>
          <w:color w:val="auto"/>
          <w:sz w:val="28"/>
          <w:szCs w:val="28"/>
        </w:rPr>
        <w:t xml:space="preserve">унок 11 – </w:t>
      </w:r>
      <w:r w:rsidRPr="00CE66F0">
        <w:rPr>
          <w:rFonts w:ascii="Times New Roman" w:hAnsi="Times New Roman"/>
          <w:b w:val="0"/>
          <w:color w:val="auto"/>
          <w:sz w:val="28"/>
          <w:szCs w:val="28"/>
        </w:rPr>
        <w:t xml:space="preserve"> Доля внутреннего финансирования НИОКР ведущих стран мира (в процентах к ВВП)</w:t>
      </w:r>
    </w:p>
    <w:p w14:paraId="4014702C" w14:textId="77777777" w:rsidR="0098049A" w:rsidRPr="00A85ED1" w:rsidRDefault="0098049A" w:rsidP="0098049A">
      <w:pPr>
        <w:jc w:val="both"/>
        <w:rPr>
          <w:rFonts w:ascii="Times New Roman" w:hAnsi="Times New Roman" w:cs="Times New Roman"/>
        </w:rPr>
      </w:pPr>
      <w:r w:rsidRPr="00A85ED1">
        <w:rPr>
          <w:rFonts w:ascii="Times New Roman" w:hAnsi="Times New Roman" w:cs="Times New Roman"/>
          <w:i/>
        </w:rPr>
        <w:t xml:space="preserve">Источник: </w:t>
      </w:r>
      <w:r w:rsidRPr="00A85ED1">
        <w:rPr>
          <w:rFonts w:ascii="Times New Roman" w:hAnsi="Times New Roman" w:cs="Times New Roman"/>
        </w:rPr>
        <w:t>составлено по данным статистической службы Европейского союза (</w:t>
      </w:r>
      <w:proofErr w:type="spellStart"/>
      <w:r w:rsidRPr="00A85ED1">
        <w:rPr>
          <w:rFonts w:ascii="Times New Roman" w:hAnsi="Times New Roman" w:cs="Times New Roman"/>
        </w:rPr>
        <w:t>Евростата</w:t>
      </w:r>
      <w:proofErr w:type="spellEnd"/>
      <w:r w:rsidRPr="00A85ED1">
        <w:rPr>
          <w:rFonts w:ascii="Times New Roman" w:hAnsi="Times New Roman" w:cs="Times New Roman"/>
        </w:rPr>
        <w:t>)</w:t>
      </w:r>
    </w:p>
    <w:p w14:paraId="6B202A10" w14:textId="77777777" w:rsidR="0098049A" w:rsidRPr="00A85ED1" w:rsidRDefault="0098049A" w:rsidP="0098049A">
      <w:pPr>
        <w:spacing w:line="360" w:lineRule="auto"/>
        <w:ind w:firstLine="709"/>
        <w:jc w:val="both"/>
        <w:rPr>
          <w:rFonts w:ascii="Times New Roman" w:hAnsi="Times New Roman" w:cs="Times New Roman"/>
          <w:sz w:val="28"/>
          <w:szCs w:val="28"/>
        </w:rPr>
      </w:pPr>
    </w:p>
    <w:p w14:paraId="4BFA9F19" w14:textId="77777777" w:rsidR="0098049A" w:rsidRPr="00A85ED1" w:rsidRDefault="0098049A" w:rsidP="0098049A">
      <w:pPr>
        <w:spacing w:line="360" w:lineRule="auto"/>
        <w:ind w:firstLine="709"/>
        <w:jc w:val="both"/>
        <w:rPr>
          <w:rFonts w:ascii="Times New Roman" w:hAnsi="Times New Roman" w:cs="Times New Roman"/>
          <w:sz w:val="28"/>
          <w:szCs w:val="28"/>
        </w:rPr>
      </w:pPr>
      <w:r w:rsidRPr="00A85ED1">
        <w:rPr>
          <w:rFonts w:ascii="Times New Roman" w:hAnsi="Times New Roman" w:cs="Times New Roman"/>
          <w:sz w:val="28"/>
          <w:szCs w:val="28"/>
        </w:rPr>
        <w:t xml:space="preserve">Доля внутренних затрат на НИОКР к ВВП России в 2018 году составляла 1,12%, что значительно ниже уровня развитых стран. Среди развивающихся стран мира лидером интенсивности внутреннего финансирования НИОКР является Китай, который ежегодно вкладывает в НИОКР 2,8% своего ВВП. Но учитывая больший размер ВВП Китая, по </w:t>
      </w:r>
      <w:r w:rsidRPr="00A85ED1">
        <w:rPr>
          <w:rFonts w:ascii="Times New Roman" w:hAnsi="Times New Roman" w:cs="Times New Roman"/>
          <w:sz w:val="28"/>
          <w:szCs w:val="28"/>
        </w:rPr>
        <w:lastRenderedPageBreak/>
        <w:t>сравнению с ВВП России, можно констатировать серьезное отставание России от Китая в части финансирования НИОКР. Среди развивающихся стран по интенсивности финансирования НИОКР Россию также опережают Словения (2,0% ВВП на НИОКР), Эстония (1,3% ВВП на НИОКР), Португалия (1,3% ВВП на НИОКР) и Венгрия (1,2% ВВП на НИОКР).</w:t>
      </w:r>
    </w:p>
    <w:p w14:paraId="68B66283" w14:textId="357BC793" w:rsidR="0098049A" w:rsidRPr="00A85ED1" w:rsidRDefault="0098049A" w:rsidP="0098049A">
      <w:pPr>
        <w:spacing w:line="360" w:lineRule="auto"/>
        <w:ind w:firstLine="709"/>
        <w:jc w:val="both"/>
        <w:rPr>
          <w:rFonts w:ascii="Times New Roman" w:hAnsi="Times New Roman" w:cs="Times New Roman"/>
          <w:sz w:val="28"/>
          <w:szCs w:val="28"/>
        </w:rPr>
      </w:pPr>
      <w:r w:rsidRPr="00A85ED1">
        <w:rPr>
          <w:rFonts w:ascii="Times New Roman" w:hAnsi="Times New Roman" w:cs="Times New Roman"/>
          <w:sz w:val="28"/>
          <w:szCs w:val="28"/>
        </w:rPr>
        <w:t>Тенденция интенсивности внутреннего фин</w:t>
      </w:r>
      <w:r w:rsidR="00CE66F0">
        <w:rPr>
          <w:rFonts w:ascii="Times New Roman" w:hAnsi="Times New Roman" w:cs="Times New Roman"/>
          <w:sz w:val="28"/>
          <w:szCs w:val="28"/>
        </w:rPr>
        <w:t>ансирования НИОКР в России (</w:t>
      </w:r>
      <w:r w:rsidRPr="00A85ED1">
        <w:rPr>
          <w:rFonts w:ascii="Times New Roman" w:hAnsi="Times New Roman" w:cs="Times New Roman"/>
          <w:sz w:val="28"/>
          <w:szCs w:val="28"/>
        </w:rPr>
        <w:t>рис</w:t>
      </w:r>
      <w:r w:rsidR="00CE66F0">
        <w:rPr>
          <w:rFonts w:ascii="Times New Roman" w:hAnsi="Times New Roman" w:cs="Times New Roman"/>
          <w:sz w:val="28"/>
          <w:szCs w:val="28"/>
        </w:rPr>
        <w:t>унок 12</w:t>
      </w:r>
      <w:r w:rsidRPr="00A85ED1">
        <w:rPr>
          <w:rFonts w:ascii="Times New Roman" w:hAnsi="Times New Roman" w:cs="Times New Roman"/>
          <w:sz w:val="28"/>
          <w:szCs w:val="28"/>
        </w:rPr>
        <w:t>) также свидетельствует о снижении акцента российской научной и бюджетной политики на данном показателе.</w:t>
      </w:r>
    </w:p>
    <w:p w14:paraId="37EE3307" w14:textId="77777777" w:rsidR="0098049A" w:rsidRPr="00A85ED1" w:rsidRDefault="0098049A" w:rsidP="0098049A">
      <w:pPr>
        <w:spacing w:line="360" w:lineRule="auto"/>
        <w:jc w:val="both"/>
        <w:rPr>
          <w:rFonts w:ascii="Times New Roman" w:hAnsi="Times New Roman" w:cs="Times New Roman"/>
          <w:sz w:val="28"/>
          <w:szCs w:val="28"/>
        </w:rPr>
      </w:pPr>
      <w:r w:rsidRPr="00A85ED1">
        <w:rPr>
          <w:rFonts w:ascii="Times New Roman" w:hAnsi="Times New Roman" w:cs="Times New Roman"/>
          <w:noProof/>
        </w:rPr>
        <w:drawing>
          <wp:inline distT="0" distB="0" distL="0" distR="0" wp14:anchorId="71E5C6E0" wp14:editId="170B78FD">
            <wp:extent cx="6296025" cy="3105150"/>
            <wp:effectExtent l="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96025" cy="3105150"/>
                    </a:xfrm>
                    <a:prstGeom prst="rect">
                      <a:avLst/>
                    </a:prstGeom>
                    <a:noFill/>
                    <a:ln>
                      <a:noFill/>
                    </a:ln>
                  </pic:spPr>
                </pic:pic>
              </a:graphicData>
            </a:graphic>
          </wp:inline>
        </w:drawing>
      </w:r>
    </w:p>
    <w:p w14:paraId="48285B8D" w14:textId="4C83CD98" w:rsidR="0098049A" w:rsidRPr="00CE66F0" w:rsidRDefault="0098049A" w:rsidP="0098049A">
      <w:pPr>
        <w:pStyle w:val="af4"/>
        <w:spacing w:after="0"/>
        <w:jc w:val="center"/>
        <w:rPr>
          <w:rFonts w:ascii="Times New Roman" w:hAnsi="Times New Roman"/>
          <w:b w:val="0"/>
          <w:color w:val="auto"/>
          <w:sz w:val="28"/>
          <w:szCs w:val="28"/>
        </w:rPr>
      </w:pPr>
      <w:r w:rsidRPr="00CE66F0">
        <w:rPr>
          <w:rFonts w:ascii="Times New Roman" w:hAnsi="Times New Roman"/>
          <w:b w:val="0"/>
          <w:color w:val="auto"/>
          <w:sz w:val="28"/>
          <w:szCs w:val="28"/>
        </w:rPr>
        <w:t>Рис</w:t>
      </w:r>
      <w:r w:rsidR="00CE66F0" w:rsidRPr="00CE66F0">
        <w:rPr>
          <w:rFonts w:ascii="Times New Roman" w:hAnsi="Times New Roman"/>
          <w:b w:val="0"/>
          <w:color w:val="auto"/>
          <w:sz w:val="28"/>
          <w:szCs w:val="28"/>
        </w:rPr>
        <w:t xml:space="preserve">унок 12 – </w:t>
      </w:r>
      <w:r w:rsidRPr="00CE66F0">
        <w:rPr>
          <w:rFonts w:ascii="Times New Roman" w:hAnsi="Times New Roman"/>
          <w:b w:val="0"/>
          <w:color w:val="auto"/>
          <w:sz w:val="28"/>
          <w:szCs w:val="28"/>
        </w:rPr>
        <w:t>Динамика доли внутренних затрат на НИОКР в России в процентах к ВВП</w:t>
      </w:r>
    </w:p>
    <w:p w14:paraId="4F4CF90D" w14:textId="77777777" w:rsidR="0098049A" w:rsidRPr="00A85ED1" w:rsidRDefault="0098049A" w:rsidP="0098049A">
      <w:pPr>
        <w:jc w:val="both"/>
        <w:rPr>
          <w:rFonts w:ascii="Times New Roman" w:hAnsi="Times New Roman" w:cs="Times New Roman"/>
        </w:rPr>
      </w:pPr>
      <w:r w:rsidRPr="00A85ED1">
        <w:rPr>
          <w:rFonts w:ascii="Times New Roman" w:hAnsi="Times New Roman" w:cs="Times New Roman"/>
        </w:rPr>
        <w:t>Источник: составлено по данным статистической службы Европейского союза (</w:t>
      </w:r>
      <w:proofErr w:type="spellStart"/>
      <w:r w:rsidRPr="00A85ED1">
        <w:rPr>
          <w:rFonts w:ascii="Times New Roman" w:hAnsi="Times New Roman" w:cs="Times New Roman"/>
        </w:rPr>
        <w:t>Евростата</w:t>
      </w:r>
      <w:proofErr w:type="spellEnd"/>
      <w:r w:rsidRPr="00A85ED1">
        <w:rPr>
          <w:rFonts w:ascii="Times New Roman" w:hAnsi="Times New Roman" w:cs="Times New Roman"/>
        </w:rPr>
        <w:t>), данным Росстата, данным Федерального закона от 29.11.2018 № 459-ФЗ «О федеральном бюджете на 2019 год и на плановый период 2020 и 2021 годов», данным проекта ФЗ № 802503-7.</w:t>
      </w:r>
    </w:p>
    <w:p w14:paraId="77730D8B" w14:textId="77777777" w:rsidR="00CE66F0" w:rsidRDefault="00CE66F0" w:rsidP="0098049A">
      <w:pPr>
        <w:spacing w:line="360" w:lineRule="auto"/>
        <w:ind w:firstLine="709"/>
        <w:jc w:val="both"/>
        <w:rPr>
          <w:rFonts w:ascii="Times New Roman" w:hAnsi="Times New Roman" w:cs="Times New Roman"/>
          <w:sz w:val="28"/>
          <w:szCs w:val="28"/>
        </w:rPr>
      </w:pPr>
    </w:p>
    <w:p w14:paraId="56FB56D7" w14:textId="77777777" w:rsidR="0098049A" w:rsidRPr="00A85ED1" w:rsidRDefault="0098049A" w:rsidP="0098049A">
      <w:pPr>
        <w:spacing w:line="360" w:lineRule="auto"/>
        <w:ind w:firstLine="709"/>
        <w:jc w:val="both"/>
        <w:rPr>
          <w:rFonts w:ascii="Times New Roman" w:hAnsi="Times New Roman" w:cs="Times New Roman"/>
          <w:sz w:val="28"/>
          <w:szCs w:val="28"/>
        </w:rPr>
      </w:pPr>
      <w:r w:rsidRPr="00A85ED1">
        <w:rPr>
          <w:rFonts w:ascii="Times New Roman" w:hAnsi="Times New Roman" w:cs="Times New Roman"/>
          <w:sz w:val="28"/>
          <w:szCs w:val="28"/>
        </w:rPr>
        <w:t xml:space="preserve">Отметим, что целевой индикатор доли внутренних затрат на НИОКР в процентах к ВВП обозначен и в ряде стратегических документов России в области регулирования НИОКР, в том числе в Указе Президента Российской Федерации от 07.05.2012 № 599 «О мерах по реализации государственной политики в области образования и науки» - увеличение уже к 2015 году внутренних затрат на исследования и разработки до 1,77 процента </w:t>
      </w:r>
      <w:r w:rsidRPr="00A85ED1">
        <w:rPr>
          <w:rFonts w:ascii="Times New Roman" w:hAnsi="Times New Roman" w:cs="Times New Roman"/>
          <w:sz w:val="28"/>
          <w:szCs w:val="28"/>
        </w:rPr>
        <w:lastRenderedPageBreak/>
        <w:t>внутреннего валового продукта. Также Стратегия инновационного развития Российской Федерации на период до 2020 года предусматривает</w:t>
      </w:r>
      <w:r w:rsidRPr="00A85ED1">
        <w:rPr>
          <w:rFonts w:ascii="Times New Roman" w:hAnsi="Times New Roman" w:cs="Times New Roman"/>
        </w:rPr>
        <w:t xml:space="preserve"> </w:t>
      </w:r>
      <w:r w:rsidRPr="00A85ED1">
        <w:rPr>
          <w:rFonts w:ascii="Times New Roman" w:hAnsi="Times New Roman" w:cs="Times New Roman"/>
          <w:sz w:val="28"/>
          <w:szCs w:val="28"/>
        </w:rPr>
        <w:t>повышение внутренних затрат на исследования и разработки до 2,5-3 процентов валового внутреннего продукта к 2020 году, из них больше половины - за счет частного сектора. Таким образом, по индикатору интенсивности внутреннего финансирования НИОКР Россия не только отстает от развитых и развивающихся стран, но и не достигает целевого уровня внутренних стратегических документов.</w:t>
      </w:r>
    </w:p>
    <w:p w14:paraId="033F5E43" w14:textId="41828936" w:rsidR="0098049A" w:rsidRPr="00A85ED1" w:rsidRDefault="0098049A" w:rsidP="0098049A">
      <w:pPr>
        <w:spacing w:line="360" w:lineRule="auto"/>
        <w:ind w:firstLine="709"/>
        <w:jc w:val="both"/>
        <w:rPr>
          <w:rFonts w:ascii="Times New Roman" w:hAnsi="Times New Roman" w:cs="Times New Roman"/>
          <w:sz w:val="28"/>
          <w:szCs w:val="28"/>
        </w:rPr>
      </w:pPr>
      <w:r w:rsidRPr="00A85ED1">
        <w:rPr>
          <w:rFonts w:ascii="Times New Roman" w:hAnsi="Times New Roman" w:cs="Times New Roman"/>
          <w:sz w:val="28"/>
          <w:szCs w:val="28"/>
        </w:rPr>
        <w:t>Рассмотрим теперь динамику внутренних затрат и бюджетных ассигнований на финансирование НИОКР в сравне</w:t>
      </w:r>
      <w:r w:rsidR="00CE66F0">
        <w:rPr>
          <w:rFonts w:ascii="Times New Roman" w:hAnsi="Times New Roman" w:cs="Times New Roman"/>
          <w:sz w:val="28"/>
          <w:szCs w:val="28"/>
        </w:rPr>
        <w:t>нии с динамикой ВВП России (</w:t>
      </w:r>
      <w:r w:rsidRPr="00A85ED1">
        <w:rPr>
          <w:rFonts w:ascii="Times New Roman" w:hAnsi="Times New Roman" w:cs="Times New Roman"/>
          <w:sz w:val="28"/>
          <w:szCs w:val="28"/>
        </w:rPr>
        <w:t>рис</w:t>
      </w:r>
      <w:r w:rsidR="00CE66F0">
        <w:rPr>
          <w:rFonts w:ascii="Times New Roman" w:hAnsi="Times New Roman" w:cs="Times New Roman"/>
          <w:sz w:val="28"/>
          <w:szCs w:val="28"/>
        </w:rPr>
        <w:t>унок 13</w:t>
      </w:r>
      <w:r w:rsidRPr="00A85ED1">
        <w:rPr>
          <w:rFonts w:ascii="Times New Roman" w:hAnsi="Times New Roman" w:cs="Times New Roman"/>
          <w:sz w:val="28"/>
          <w:szCs w:val="28"/>
        </w:rPr>
        <w:t>).</w:t>
      </w:r>
    </w:p>
    <w:p w14:paraId="310FCFE3" w14:textId="77777777" w:rsidR="0098049A" w:rsidRPr="00A85ED1" w:rsidRDefault="0098049A" w:rsidP="0098049A">
      <w:pPr>
        <w:spacing w:line="360" w:lineRule="auto"/>
        <w:jc w:val="both"/>
        <w:rPr>
          <w:rFonts w:ascii="Times New Roman" w:hAnsi="Times New Roman" w:cs="Times New Roman"/>
          <w:sz w:val="28"/>
          <w:szCs w:val="28"/>
        </w:rPr>
      </w:pPr>
      <w:r w:rsidRPr="00A85ED1">
        <w:rPr>
          <w:rFonts w:ascii="Times New Roman" w:hAnsi="Times New Roman" w:cs="Times New Roman"/>
          <w:noProof/>
        </w:rPr>
        <w:drawing>
          <wp:inline distT="0" distB="0" distL="0" distR="0" wp14:anchorId="2E2D2DE5" wp14:editId="16467592">
            <wp:extent cx="6296025" cy="3048000"/>
            <wp:effectExtent l="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96025" cy="3048000"/>
                    </a:xfrm>
                    <a:prstGeom prst="rect">
                      <a:avLst/>
                    </a:prstGeom>
                    <a:noFill/>
                    <a:ln>
                      <a:noFill/>
                    </a:ln>
                  </pic:spPr>
                </pic:pic>
              </a:graphicData>
            </a:graphic>
          </wp:inline>
        </w:drawing>
      </w:r>
    </w:p>
    <w:p w14:paraId="46A6FD00" w14:textId="405D3F9B" w:rsidR="0098049A" w:rsidRPr="00CE66F0" w:rsidRDefault="0098049A" w:rsidP="0098049A">
      <w:pPr>
        <w:pStyle w:val="af4"/>
        <w:spacing w:after="0"/>
        <w:jc w:val="center"/>
        <w:rPr>
          <w:rFonts w:ascii="Times New Roman" w:hAnsi="Times New Roman"/>
          <w:b w:val="0"/>
          <w:color w:val="auto"/>
          <w:sz w:val="28"/>
          <w:szCs w:val="28"/>
        </w:rPr>
      </w:pPr>
      <w:r w:rsidRPr="00CE66F0">
        <w:rPr>
          <w:rFonts w:ascii="Times New Roman" w:hAnsi="Times New Roman"/>
          <w:b w:val="0"/>
          <w:color w:val="auto"/>
          <w:sz w:val="28"/>
          <w:szCs w:val="28"/>
        </w:rPr>
        <w:t>Рис</w:t>
      </w:r>
      <w:r w:rsidR="00CE66F0" w:rsidRPr="00CE66F0">
        <w:rPr>
          <w:rFonts w:ascii="Times New Roman" w:hAnsi="Times New Roman"/>
          <w:b w:val="0"/>
          <w:color w:val="auto"/>
          <w:sz w:val="28"/>
          <w:szCs w:val="28"/>
        </w:rPr>
        <w:t xml:space="preserve">унок 13 – </w:t>
      </w:r>
      <w:r w:rsidRPr="00CE66F0">
        <w:rPr>
          <w:rFonts w:ascii="Times New Roman" w:hAnsi="Times New Roman"/>
          <w:b w:val="0"/>
          <w:color w:val="auto"/>
          <w:sz w:val="28"/>
          <w:szCs w:val="28"/>
        </w:rPr>
        <w:t>Динамика внутренних затрат на НИОКР, бюджетных ассигнований федерального бюджета на НИОКР и объема ВВП России</w:t>
      </w:r>
    </w:p>
    <w:p w14:paraId="0F44C910" w14:textId="77777777" w:rsidR="0098049A" w:rsidRPr="00A85ED1" w:rsidRDefault="0098049A" w:rsidP="0098049A">
      <w:pPr>
        <w:jc w:val="both"/>
        <w:rPr>
          <w:rFonts w:ascii="Times New Roman" w:hAnsi="Times New Roman" w:cs="Times New Roman"/>
        </w:rPr>
      </w:pPr>
      <w:r w:rsidRPr="00A85ED1">
        <w:rPr>
          <w:rFonts w:ascii="Times New Roman" w:hAnsi="Times New Roman" w:cs="Times New Roman"/>
        </w:rPr>
        <w:t>Источник: составлено по данным Росстата, данным Федерального закона от 29.11.2018 № 459-ФЗ «О федеральном бюджете на 2019 год и на плановый период 2020 и 2021 годов», данным проекта ФЗ № 802503-7.</w:t>
      </w:r>
    </w:p>
    <w:p w14:paraId="5CE2190B" w14:textId="77777777" w:rsidR="0098049A" w:rsidRPr="00A85ED1" w:rsidRDefault="0098049A" w:rsidP="0098049A">
      <w:pPr>
        <w:spacing w:line="360" w:lineRule="auto"/>
        <w:ind w:firstLine="709"/>
        <w:jc w:val="both"/>
        <w:rPr>
          <w:rFonts w:ascii="Times New Roman" w:hAnsi="Times New Roman" w:cs="Times New Roman"/>
          <w:sz w:val="28"/>
          <w:szCs w:val="28"/>
        </w:rPr>
      </w:pPr>
    </w:p>
    <w:p w14:paraId="68E7979B" w14:textId="617E1F98" w:rsidR="0098049A" w:rsidRPr="00A85ED1" w:rsidRDefault="0098049A" w:rsidP="0098049A">
      <w:pPr>
        <w:spacing w:line="360" w:lineRule="auto"/>
        <w:ind w:firstLine="709"/>
        <w:jc w:val="both"/>
        <w:rPr>
          <w:rFonts w:ascii="Times New Roman" w:hAnsi="Times New Roman" w:cs="Times New Roman"/>
          <w:sz w:val="28"/>
          <w:szCs w:val="28"/>
        </w:rPr>
      </w:pPr>
      <w:r w:rsidRPr="00A85ED1">
        <w:rPr>
          <w:rFonts w:ascii="Times New Roman" w:hAnsi="Times New Roman" w:cs="Times New Roman"/>
          <w:sz w:val="28"/>
          <w:szCs w:val="28"/>
        </w:rPr>
        <w:t>Из графика на рис</w:t>
      </w:r>
      <w:r w:rsidR="00CE66F0">
        <w:rPr>
          <w:rFonts w:ascii="Times New Roman" w:hAnsi="Times New Roman" w:cs="Times New Roman"/>
          <w:sz w:val="28"/>
          <w:szCs w:val="28"/>
        </w:rPr>
        <w:t>унке 13</w:t>
      </w:r>
      <w:r w:rsidRPr="00A85ED1">
        <w:rPr>
          <w:rFonts w:ascii="Times New Roman" w:hAnsi="Times New Roman" w:cs="Times New Roman"/>
          <w:sz w:val="28"/>
          <w:szCs w:val="28"/>
        </w:rPr>
        <w:t xml:space="preserve"> наглядно видно, что прогнозируемые темпы роста ВВП России в 2020-2022 гг. (согласно проекту ФЗ № 802503-7) значительно превышают темпы роста внутренних затрат и бюджетных ассигнований федерального бюджета на НИОКР, что означает ярко </w:t>
      </w:r>
      <w:r w:rsidRPr="00A85ED1">
        <w:rPr>
          <w:rFonts w:ascii="Times New Roman" w:hAnsi="Times New Roman" w:cs="Times New Roman"/>
          <w:sz w:val="28"/>
          <w:szCs w:val="28"/>
        </w:rPr>
        <w:lastRenderedPageBreak/>
        <w:t xml:space="preserve">выраженный экстенсивный характер предполагаемого экономического роста. Экстенсивный рост достигается путем расширения имеющейся ресурсной базы страны (в случае России – ресурсной базы 4-го технологического, «нефтяного» уклада). Однако у такого типа роста есть существенный изъян – в случае технологического отставания страны от мировых конкурентов каждая дополнительная единица ресурса будет со временем приносить все меньше прибавочной стоимости до полного исчерпания ресурсов либо до их безнадежного морального устаревания. </w:t>
      </w:r>
    </w:p>
    <w:p w14:paraId="17B002A2" w14:textId="77777777" w:rsidR="0098049A" w:rsidRPr="00A85ED1" w:rsidRDefault="0098049A" w:rsidP="0098049A">
      <w:pPr>
        <w:spacing w:line="360" w:lineRule="auto"/>
        <w:ind w:firstLine="709"/>
        <w:jc w:val="both"/>
        <w:rPr>
          <w:rFonts w:ascii="Times New Roman" w:hAnsi="Times New Roman" w:cs="Times New Roman"/>
          <w:sz w:val="28"/>
          <w:szCs w:val="28"/>
        </w:rPr>
      </w:pPr>
      <w:r w:rsidRPr="00A85ED1">
        <w:rPr>
          <w:rFonts w:ascii="Times New Roman" w:hAnsi="Times New Roman" w:cs="Times New Roman"/>
          <w:sz w:val="28"/>
          <w:szCs w:val="28"/>
        </w:rPr>
        <w:t>Таким образом, экстенсивный рост может рассматриваться лишь как временная мера, пока у страны есть господствующее технологическое преимущество над конкурентами. В случае же технологического отставания (у мировых лидеров в настоящее время активно развивается 6-й, «</w:t>
      </w:r>
      <w:proofErr w:type="spellStart"/>
      <w:r w:rsidRPr="00A85ED1">
        <w:rPr>
          <w:rFonts w:ascii="Times New Roman" w:hAnsi="Times New Roman" w:cs="Times New Roman"/>
          <w:sz w:val="28"/>
          <w:szCs w:val="28"/>
        </w:rPr>
        <w:t>нанотехнологический</w:t>
      </w:r>
      <w:proofErr w:type="spellEnd"/>
      <w:r w:rsidRPr="00A85ED1">
        <w:rPr>
          <w:rFonts w:ascii="Times New Roman" w:hAnsi="Times New Roman" w:cs="Times New Roman"/>
          <w:sz w:val="28"/>
          <w:szCs w:val="28"/>
        </w:rPr>
        <w:t xml:space="preserve">» уклад) России необходимо делать акцент именно на интенсивный экономический рост, обеспеченный максимальным внедрением новых технологий в производственный процесс и опережающим ростом бюджетных ассигнований в НИОКР. </w:t>
      </w:r>
    </w:p>
    <w:p w14:paraId="5661B4DA" w14:textId="6141B757" w:rsidR="0098049A" w:rsidRPr="00A85ED1" w:rsidRDefault="0098049A" w:rsidP="0098049A">
      <w:pPr>
        <w:spacing w:line="360" w:lineRule="auto"/>
        <w:ind w:firstLine="709"/>
        <w:jc w:val="both"/>
        <w:rPr>
          <w:rFonts w:ascii="Times New Roman" w:hAnsi="Times New Roman" w:cs="Times New Roman"/>
          <w:sz w:val="28"/>
          <w:szCs w:val="28"/>
        </w:rPr>
      </w:pPr>
      <w:r w:rsidRPr="00A85ED1">
        <w:rPr>
          <w:rFonts w:ascii="Times New Roman" w:hAnsi="Times New Roman" w:cs="Times New Roman"/>
          <w:sz w:val="28"/>
          <w:szCs w:val="28"/>
        </w:rPr>
        <w:t>Речь идет в первую очередь именно о бюджетных ассигнованиях, поскольку за счет них, как правило, финансируются фундаментальные и прикладные научные исследования, в то время как за счет внебюджетных источников происходит финансирование опытно-конструкторских разработок. Что касается динамики расходов федерального бюджета на фундаментальные научные исследования, то она, в целом, положительная, и к 2022 г. предполагается достигнуть уровня программного финансирования фундамента</w:t>
      </w:r>
      <w:r w:rsidR="00CE66F0">
        <w:rPr>
          <w:rFonts w:ascii="Times New Roman" w:hAnsi="Times New Roman" w:cs="Times New Roman"/>
          <w:sz w:val="28"/>
          <w:szCs w:val="28"/>
        </w:rPr>
        <w:t>льных НИР в 250 млрд. руб. (</w:t>
      </w:r>
      <w:r w:rsidRPr="00A85ED1">
        <w:rPr>
          <w:rFonts w:ascii="Times New Roman" w:hAnsi="Times New Roman" w:cs="Times New Roman"/>
          <w:sz w:val="28"/>
          <w:szCs w:val="28"/>
        </w:rPr>
        <w:t>рис</w:t>
      </w:r>
      <w:r w:rsidR="00CE66F0">
        <w:rPr>
          <w:rFonts w:ascii="Times New Roman" w:hAnsi="Times New Roman" w:cs="Times New Roman"/>
          <w:sz w:val="28"/>
          <w:szCs w:val="28"/>
        </w:rPr>
        <w:t>унок 14</w:t>
      </w:r>
      <w:r w:rsidRPr="00A85ED1">
        <w:rPr>
          <w:rFonts w:ascii="Times New Roman" w:hAnsi="Times New Roman" w:cs="Times New Roman"/>
          <w:sz w:val="28"/>
          <w:szCs w:val="28"/>
        </w:rPr>
        <w:t>).</w:t>
      </w:r>
    </w:p>
    <w:p w14:paraId="7D63EB47" w14:textId="77777777" w:rsidR="0098049A" w:rsidRPr="00A85ED1" w:rsidRDefault="0098049A" w:rsidP="0098049A">
      <w:pPr>
        <w:spacing w:line="360" w:lineRule="auto"/>
        <w:jc w:val="both"/>
        <w:rPr>
          <w:rFonts w:ascii="Times New Roman" w:hAnsi="Times New Roman" w:cs="Times New Roman"/>
          <w:szCs w:val="28"/>
        </w:rPr>
      </w:pPr>
      <w:r w:rsidRPr="00A85ED1">
        <w:rPr>
          <w:rFonts w:ascii="Times New Roman" w:hAnsi="Times New Roman" w:cs="Times New Roman"/>
          <w:noProof/>
        </w:rPr>
        <w:lastRenderedPageBreak/>
        <w:drawing>
          <wp:inline distT="0" distB="0" distL="0" distR="0" wp14:anchorId="2819318A" wp14:editId="698E4A41">
            <wp:extent cx="6296025" cy="4105275"/>
            <wp:effectExtent l="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96025" cy="4105275"/>
                    </a:xfrm>
                    <a:prstGeom prst="rect">
                      <a:avLst/>
                    </a:prstGeom>
                    <a:noFill/>
                    <a:ln>
                      <a:noFill/>
                    </a:ln>
                  </pic:spPr>
                </pic:pic>
              </a:graphicData>
            </a:graphic>
          </wp:inline>
        </w:drawing>
      </w:r>
    </w:p>
    <w:p w14:paraId="7D460C0F" w14:textId="25C2CAC3" w:rsidR="0098049A" w:rsidRPr="00CE66F0" w:rsidRDefault="0098049A" w:rsidP="0098049A">
      <w:pPr>
        <w:pStyle w:val="af4"/>
        <w:spacing w:after="0"/>
        <w:jc w:val="center"/>
        <w:rPr>
          <w:rFonts w:ascii="Times New Roman" w:hAnsi="Times New Roman"/>
          <w:b w:val="0"/>
          <w:color w:val="auto"/>
          <w:sz w:val="28"/>
          <w:szCs w:val="28"/>
        </w:rPr>
      </w:pPr>
      <w:r w:rsidRPr="00CE66F0">
        <w:rPr>
          <w:rFonts w:ascii="Times New Roman" w:hAnsi="Times New Roman"/>
          <w:b w:val="0"/>
          <w:color w:val="auto"/>
          <w:sz w:val="28"/>
          <w:szCs w:val="28"/>
        </w:rPr>
        <w:t>Рис</w:t>
      </w:r>
      <w:r w:rsidR="00CE66F0" w:rsidRPr="00CE66F0">
        <w:rPr>
          <w:rFonts w:ascii="Times New Roman" w:hAnsi="Times New Roman"/>
          <w:b w:val="0"/>
          <w:color w:val="auto"/>
          <w:sz w:val="28"/>
          <w:szCs w:val="28"/>
        </w:rPr>
        <w:t xml:space="preserve">унок 14 – </w:t>
      </w:r>
      <w:r w:rsidRPr="00CE66F0">
        <w:rPr>
          <w:rFonts w:ascii="Times New Roman" w:hAnsi="Times New Roman"/>
          <w:b w:val="0"/>
          <w:color w:val="auto"/>
          <w:sz w:val="28"/>
          <w:szCs w:val="28"/>
        </w:rPr>
        <w:t xml:space="preserve"> Объемы расходов федерального бюджета на фундаментальные научные исследования, в том числе в рамках государственных программ, в 2019-2022 гг.</w:t>
      </w:r>
    </w:p>
    <w:p w14:paraId="034992AA" w14:textId="77777777" w:rsidR="0098049A" w:rsidRPr="00A85ED1" w:rsidRDefault="0098049A" w:rsidP="0098049A">
      <w:pPr>
        <w:jc w:val="both"/>
        <w:rPr>
          <w:rFonts w:ascii="Times New Roman" w:hAnsi="Times New Roman" w:cs="Times New Roman"/>
        </w:rPr>
      </w:pPr>
      <w:r w:rsidRPr="00CE66F0">
        <w:rPr>
          <w:rFonts w:ascii="Times New Roman" w:hAnsi="Times New Roman" w:cs="Times New Roman"/>
          <w:i/>
        </w:rPr>
        <w:t>Источник</w:t>
      </w:r>
      <w:r w:rsidRPr="00A85ED1">
        <w:rPr>
          <w:rFonts w:ascii="Times New Roman" w:hAnsi="Times New Roman" w:cs="Times New Roman"/>
        </w:rPr>
        <w:t>: составлено по данным Федерального закона от 29.11.2018 № 459-ФЗ «О федеральном бюджете на 2019 год и на плановый период 2020 и 2021 годов», данным проекта ФЗ № 802503-7.</w:t>
      </w:r>
    </w:p>
    <w:p w14:paraId="388C36EF" w14:textId="77777777" w:rsidR="0098049A" w:rsidRPr="00A85ED1" w:rsidRDefault="0098049A" w:rsidP="0098049A">
      <w:pPr>
        <w:spacing w:line="360" w:lineRule="auto"/>
        <w:ind w:firstLine="709"/>
        <w:jc w:val="both"/>
        <w:rPr>
          <w:rFonts w:ascii="Times New Roman" w:hAnsi="Times New Roman" w:cs="Times New Roman"/>
          <w:sz w:val="28"/>
          <w:szCs w:val="28"/>
        </w:rPr>
      </w:pPr>
    </w:p>
    <w:p w14:paraId="76244AFC" w14:textId="77777777" w:rsidR="0098049A" w:rsidRPr="00A85ED1" w:rsidRDefault="0098049A" w:rsidP="0098049A">
      <w:pPr>
        <w:spacing w:line="360" w:lineRule="auto"/>
        <w:ind w:firstLine="709"/>
        <w:jc w:val="both"/>
        <w:rPr>
          <w:rFonts w:ascii="Times New Roman" w:hAnsi="Times New Roman" w:cs="Times New Roman"/>
          <w:sz w:val="28"/>
          <w:szCs w:val="28"/>
        </w:rPr>
      </w:pPr>
      <w:r w:rsidRPr="00A85ED1">
        <w:rPr>
          <w:rFonts w:ascii="Times New Roman" w:hAnsi="Times New Roman" w:cs="Times New Roman"/>
          <w:sz w:val="28"/>
          <w:szCs w:val="28"/>
        </w:rPr>
        <w:t>Сопоставляя расходы федерального бюджета на фундаментальные научные исследования и внутренние затраты на НИОКР в России, можно сделать вывод, что приблизительно 20% внутренних затрат на НИОКР приходится на финансирование фундаментальных НИР, что является оптимальным показателем. Кроме того, рост расходов федерального бюджета на фундаментальные научные исследования позволяет осуществить прорывные научные разработки для нового технологического уклада.</w:t>
      </w:r>
    </w:p>
    <w:p w14:paraId="695DA66C" w14:textId="66791692" w:rsidR="0098049A" w:rsidRPr="00A85ED1" w:rsidRDefault="0098049A" w:rsidP="0098049A">
      <w:pPr>
        <w:spacing w:line="360" w:lineRule="auto"/>
        <w:ind w:firstLine="709"/>
        <w:jc w:val="both"/>
        <w:rPr>
          <w:rFonts w:ascii="Times New Roman" w:hAnsi="Times New Roman" w:cs="Times New Roman"/>
          <w:sz w:val="28"/>
          <w:szCs w:val="28"/>
        </w:rPr>
      </w:pPr>
      <w:r w:rsidRPr="00A85ED1">
        <w:rPr>
          <w:rFonts w:ascii="Times New Roman" w:hAnsi="Times New Roman" w:cs="Times New Roman"/>
          <w:sz w:val="28"/>
          <w:szCs w:val="28"/>
        </w:rPr>
        <w:t>Однако не менее важными остаются и расходы на прикладные научные исследования, финансирование которых к 2022</w:t>
      </w:r>
      <w:r w:rsidR="00CE66F0">
        <w:rPr>
          <w:rFonts w:ascii="Times New Roman" w:hAnsi="Times New Roman" w:cs="Times New Roman"/>
          <w:sz w:val="28"/>
          <w:szCs w:val="28"/>
        </w:rPr>
        <w:t xml:space="preserve"> году, напротив, снижается (</w:t>
      </w:r>
      <w:r w:rsidRPr="00A85ED1">
        <w:rPr>
          <w:rFonts w:ascii="Times New Roman" w:hAnsi="Times New Roman" w:cs="Times New Roman"/>
          <w:sz w:val="28"/>
          <w:szCs w:val="28"/>
        </w:rPr>
        <w:t>рис</w:t>
      </w:r>
      <w:r w:rsidR="00CE66F0">
        <w:rPr>
          <w:rFonts w:ascii="Times New Roman" w:hAnsi="Times New Roman" w:cs="Times New Roman"/>
          <w:sz w:val="28"/>
          <w:szCs w:val="28"/>
        </w:rPr>
        <w:t>унок 15</w:t>
      </w:r>
      <w:r w:rsidRPr="00A85ED1">
        <w:rPr>
          <w:rFonts w:ascii="Times New Roman" w:hAnsi="Times New Roman" w:cs="Times New Roman"/>
          <w:sz w:val="28"/>
          <w:szCs w:val="28"/>
        </w:rPr>
        <w:t>).</w:t>
      </w:r>
    </w:p>
    <w:p w14:paraId="48C66742" w14:textId="77777777" w:rsidR="0098049A" w:rsidRPr="00A85ED1" w:rsidRDefault="0098049A" w:rsidP="0098049A">
      <w:pPr>
        <w:spacing w:line="360" w:lineRule="auto"/>
        <w:jc w:val="both"/>
        <w:rPr>
          <w:rFonts w:ascii="Times New Roman" w:hAnsi="Times New Roman" w:cs="Times New Roman"/>
          <w:sz w:val="28"/>
          <w:szCs w:val="28"/>
        </w:rPr>
      </w:pPr>
      <w:r w:rsidRPr="00A85ED1">
        <w:rPr>
          <w:rFonts w:ascii="Times New Roman" w:hAnsi="Times New Roman" w:cs="Times New Roman"/>
          <w:noProof/>
        </w:rPr>
        <w:lastRenderedPageBreak/>
        <w:drawing>
          <wp:inline distT="0" distB="0" distL="0" distR="0" wp14:anchorId="12C398A0" wp14:editId="74C2F303">
            <wp:extent cx="6296025" cy="3476625"/>
            <wp:effectExtent l="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96025" cy="3476625"/>
                    </a:xfrm>
                    <a:prstGeom prst="rect">
                      <a:avLst/>
                    </a:prstGeom>
                    <a:noFill/>
                    <a:ln>
                      <a:noFill/>
                    </a:ln>
                  </pic:spPr>
                </pic:pic>
              </a:graphicData>
            </a:graphic>
          </wp:inline>
        </w:drawing>
      </w:r>
    </w:p>
    <w:p w14:paraId="0F8197F8" w14:textId="77777777" w:rsidR="00CE66F0" w:rsidRDefault="0098049A" w:rsidP="0098049A">
      <w:pPr>
        <w:pStyle w:val="af4"/>
        <w:spacing w:after="0"/>
        <w:jc w:val="center"/>
        <w:rPr>
          <w:rFonts w:ascii="Times New Roman" w:hAnsi="Times New Roman"/>
          <w:b w:val="0"/>
          <w:color w:val="auto"/>
          <w:sz w:val="28"/>
          <w:szCs w:val="28"/>
        </w:rPr>
      </w:pPr>
      <w:r w:rsidRPr="00CE66F0">
        <w:rPr>
          <w:rFonts w:ascii="Times New Roman" w:hAnsi="Times New Roman"/>
          <w:b w:val="0"/>
          <w:color w:val="auto"/>
          <w:sz w:val="28"/>
          <w:szCs w:val="28"/>
        </w:rPr>
        <w:t>Рис</w:t>
      </w:r>
      <w:r w:rsidR="00CE66F0" w:rsidRPr="00CE66F0">
        <w:rPr>
          <w:rFonts w:ascii="Times New Roman" w:hAnsi="Times New Roman"/>
          <w:b w:val="0"/>
          <w:color w:val="auto"/>
          <w:sz w:val="28"/>
          <w:szCs w:val="28"/>
        </w:rPr>
        <w:t xml:space="preserve">унок 15 – </w:t>
      </w:r>
      <w:r w:rsidRPr="00CE66F0">
        <w:rPr>
          <w:rFonts w:ascii="Times New Roman" w:hAnsi="Times New Roman"/>
          <w:b w:val="0"/>
          <w:color w:val="auto"/>
          <w:sz w:val="28"/>
          <w:szCs w:val="28"/>
        </w:rPr>
        <w:t xml:space="preserve">Объемы расходов федерального бюджета прикладные научные исследования, в том числе в рамках государственных программ, в </w:t>
      </w:r>
    </w:p>
    <w:p w14:paraId="7E7429A3" w14:textId="79AFB45F" w:rsidR="0098049A" w:rsidRPr="00CE66F0" w:rsidRDefault="0098049A" w:rsidP="0098049A">
      <w:pPr>
        <w:pStyle w:val="af4"/>
        <w:spacing w:after="0"/>
        <w:jc w:val="center"/>
        <w:rPr>
          <w:rFonts w:ascii="Times New Roman" w:hAnsi="Times New Roman"/>
          <w:b w:val="0"/>
          <w:color w:val="auto"/>
          <w:sz w:val="28"/>
          <w:szCs w:val="28"/>
        </w:rPr>
      </w:pPr>
      <w:r w:rsidRPr="00CE66F0">
        <w:rPr>
          <w:rFonts w:ascii="Times New Roman" w:hAnsi="Times New Roman"/>
          <w:b w:val="0"/>
          <w:color w:val="auto"/>
          <w:sz w:val="28"/>
          <w:szCs w:val="28"/>
        </w:rPr>
        <w:t>2019-2022 гг.</w:t>
      </w:r>
    </w:p>
    <w:p w14:paraId="496E4A2D" w14:textId="77777777" w:rsidR="0098049A" w:rsidRPr="00A85ED1" w:rsidRDefault="0098049A" w:rsidP="0098049A">
      <w:pPr>
        <w:jc w:val="both"/>
        <w:rPr>
          <w:rFonts w:ascii="Times New Roman" w:hAnsi="Times New Roman" w:cs="Times New Roman"/>
        </w:rPr>
      </w:pPr>
      <w:r w:rsidRPr="00A85ED1">
        <w:rPr>
          <w:rFonts w:ascii="Times New Roman" w:hAnsi="Times New Roman" w:cs="Times New Roman"/>
        </w:rPr>
        <w:t>Источник: составлено по данным Федерального закона от 29.11.2018 № 459-ФЗ «О федеральном бюджете на 2019 год и на плановый период 2020 и 2021 годов», данным проекта ФЗ № 802503-7.</w:t>
      </w:r>
    </w:p>
    <w:p w14:paraId="272072D8" w14:textId="77777777" w:rsidR="0098049A" w:rsidRPr="00A85ED1" w:rsidRDefault="0098049A" w:rsidP="0098049A">
      <w:pPr>
        <w:spacing w:line="360" w:lineRule="auto"/>
        <w:ind w:firstLine="709"/>
        <w:jc w:val="both"/>
        <w:rPr>
          <w:rFonts w:ascii="Times New Roman" w:hAnsi="Times New Roman" w:cs="Times New Roman"/>
          <w:sz w:val="28"/>
          <w:szCs w:val="28"/>
        </w:rPr>
      </w:pPr>
    </w:p>
    <w:p w14:paraId="22E2A1C9" w14:textId="77777777" w:rsidR="0098049A" w:rsidRPr="0033517A" w:rsidRDefault="0098049A" w:rsidP="0098049A">
      <w:pPr>
        <w:spacing w:line="360" w:lineRule="auto"/>
        <w:ind w:firstLine="709"/>
        <w:jc w:val="both"/>
        <w:rPr>
          <w:rFonts w:ascii="Times New Roman" w:hAnsi="Times New Roman" w:cs="Times New Roman"/>
          <w:sz w:val="28"/>
          <w:szCs w:val="28"/>
        </w:rPr>
      </w:pPr>
      <w:r w:rsidRPr="00A85ED1">
        <w:rPr>
          <w:rFonts w:ascii="Times New Roman" w:hAnsi="Times New Roman" w:cs="Times New Roman"/>
          <w:sz w:val="28"/>
          <w:szCs w:val="28"/>
        </w:rPr>
        <w:t xml:space="preserve">Прикладные научные исследования имеют огромное значение для научно-технологического развития страны, поскольку являются связующим звеном между фундаментальными НИР и опытно-конструкторскими (промышленными) разработками. Несмотря на разницу подходов отдельных стран к источникам финансирования прикладных НИР (в Японии и Южной Корее преобладают внебюджетные источники, в Китае – бюджетные ассигнования), методология ОЭСР предполагает непрерывность финансирования фундаментальных и прикладных исследований в рамках одной группы </w:t>
      </w:r>
      <w:r w:rsidRPr="0033517A">
        <w:rPr>
          <w:rFonts w:ascii="Times New Roman" w:hAnsi="Times New Roman" w:cs="Times New Roman"/>
          <w:sz w:val="28"/>
          <w:szCs w:val="28"/>
        </w:rPr>
        <w:t>источников финансирования, т.е. в случае России таким источником должны быть ассигнования федерального бюджета. С этой точки зрения динамика расходов федерального бюджета на прикладные научные исследования в 2019-2022 гг. может быть признана не соответствующей целям опережающего технологического развития.</w:t>
      </w:r>
    </w:p>
    <w:p w14:paraId="5AD13BBA" w14:textId="76F4DCEA" w:rsidR="0098049A" w:rsidRPr="0033517A" w:rsidRDefault="00CE66F0" w:rsidP="00CE66F0">
      <w:pPr>
        <w:spacing w:line="360" w:lineRule="auto"/>
        <w:ind w:firstLine="709"/>
        <w:jc w:val="both"/>
        <w:rPr>
          <w:rFonts w:ascii="Times New Roman" w:hAnsi="Times New Roman" w:cs="Times New Roman"/>
          <w:sz w:val="28"/>
          <w:szCs w:val="28"/>
        </w:rPr>
      </w:pPr>
      <w:r w:rsidRPr="0033517A">
        <w:rPr>
          <w:rFonts w:ascii="Times New Roman" w:hAnsi="Times New Roman" w:cs="Times New Roman"/>
          <w:sz w:val="28"/>
          <w:szCs w:val="28"/>
        </w:rPr>
        <w:lastRenderedPageBreak/>
        <w:t>В этой связи необходимо у</w:t>
      </w:r>
      <w:r w:rsidR="0098049A" w:rsidRPr="0033517A">
        <w:rPr>
          <w:rFonts w:ascii="Times New Roman" w:hAnsi="Times New Roman" w:cs="Times New Roman"/>
          <w:sz w:val="28"/>
          <w:szCs w:val="28"/>
        </w:rPr>
        <w:t>величи</w:t>
      </w:r>
      <w:r w:rsidRPr="0033517A">
        <w:rPr>
          <w:rFonts w:ascii="Times New Roman" w:hAnsi="Times New Roman" w:cs="Times New Roman"/>
          <w:sz w:val="28"/>
          <w:szCs w:val="28"/>
        </w:rPr>
        <w:t>ва</w:t>
      </w:r>
      <w:r w:rsidR="0098049A" w:rsidRPr="0033517A">
        <w:rPr>
          <w:rFonts w:ascii="Times New Roman" w:hAnsi="Times New Roman" w:cs="Times New Roman"/>
          <w:sz w:val="28"/>
          <w:szCs w:val="28"/>
        </w:rPr>
        <w:t>ть объем расходов федерального бюджета на прикладные научные исследования соответственно прогнозируемым темпам роста ВВП в 2020-2022 гг.</w:t>
      </w:r>
      <w:r w:rsidRPr="0033517A">
        <w:rPr>
          <w:rFonts w:ascii="Times New Roman" w:hAnsi="Times New Roman" w:cs="Times New Roman"/>
          <w:sz w:val="28"/>
          <w:szCs w:val="28"/>
        </w:rPr>
        <w:t xml:space="preserve"> и д</w:t>
      </w:r>
      <w:r w:rsidR="0098049A" w:rsidRPr="0033517A">
        <w:rPr>
          <w:rFonts w:ascii="Times New Roman" w:hAnsi="Times New Roman" w:cs="Times New Roman"/>
          <w:sz w:val="28"/>
          <w:szCs w:val="28"/>
        </w:rPr>
        <w:t>овести к 2022 г. показатель интенсивности внутренних затрат на НИОКР (доля внутренних затрат на НИОКР к ВВП) до уровня  1,5% с дальнейшей перспективой выхода на уровень 1,7%-2%, обозначенный в Указе Президента Российской Федерации от 07.05.2012 № 599 «О мерах по реализации государственной политики в области образования и науки».</w:t>
      </w:r>
      <w:r w:rsidRPr="0033517A">
        <w:rPr>
          <w:rFonts w:ascii="Times New Roman" w:hAnsi="Times New Roman" w:cs="Times New Roman"/>
          <w:sz w:val="28"/>
          <w:szCs w:val="28"/>
        </w:rPr>
        <w:t xml:space="preserve"> </w:t>
      </w:r>
      <w:r w:rsidR="0098049A" w:rsidRPr="0033517A">
        <w:rPr>
          <w:rFonts w:ascii="Times New Roman" w:hAnsi="Times New Roman" w:cs="Times New Roman"/>
          <w:sz w:val="28"/>
          <w:szCs w:val="28"/>
        </w:rPr>
        <w:t>С</w:t>
      </w:r>
      <w:r w:rsidRPr="0033517A">
        <w:rPr>
          <w:rFonts w:ascii="Times New Roman" w:hAnsi="Times New Roman" w:cs="Times New Roman"/>
          <w:sz w:val="28"/>
          <w:szCs w:val="28"/>
        </w:rPr>
        <w:t>ледует с</w:t>
      </w:r>
      <w:r w:rsidR="0098049A" w:rsidRPr="0033517A">
        <w:rPr>
          <w:rFonts w:ascii="Times New Roman" w:hAnsi="Times New Roman" w:cs="Times New Roman"/>
          <w:sz w:val="28"/>
          <w:szCs w:val="28"/>
        </w:rPr>
        <w:t>охранить преобладающую долю программного финансирования научных исследований за счет средств федерального бюджета, качественно и количественно расширив перечень мероприятий государственной программы 47 «Научно-технологическое развитие Российской Федерации» с адекватным увеличением расходов на финансирование данной государственной программы.</w:t>
      </w:r>
    </w:p>
    <w:p w14:paraId="2C9B4078" w14:textId="77777777" w:rsidR="00322135" w:rsidRPr="0033517A" w:rsidRDefault="00322135" w:rsidP="00E1515B">
      <w:pPr>
        <w:autoSpaceDE w:val="0"/>
        <w:autoSpaceDN w:val="0"/>
        <w:adjustRightInd w:val="0"/>
        <w:spacing w:line="360" w:lineRule="auto"/>
        <w:ind w:firstLine="709"/>
        <w:jc w:val="both"/>
        <w:rPr>
          <w:sz w:val="28"/>
          <w:szCs w:val="28"/>
        </w:rPr>
      </w:pPr>
    </w:p>
    <w:p w14:paraId="7D331F95" w14:textId="6FC4BAAF" w:rsidR="004A6502" w:rsidRPr="0033517A" w:rsidRDefault="00EB2204" w:rsidP="00E1515B">
      <w:pPr>
        <w:autoSpaceDE w:val="0"/>
        <w:autoSpaceDN w:val="0"/>
        <w:adjustRightInd w:val="0"/>
        <w:spacing w:line="360" w:lineRule="auto"/>
        <w:ind w:firstLine="709"/>
        <w:jc w:val="both"/>
        <w:rPr>
          <w:rFonts w:ascii="Times New Roman" w:hAnsi="Times New Roman" w:cs="Times New Roman"/>
          <w:i/>
          <w:sz w:val="28"/>
          <w:szCs w:val="28"/>
          <w:lang w:eastAsia="en-US"/>
        </w:rPr>
      </w:pPr>
      <w:r w:rsidRPr="0033517A">
        <w:rPr>
          <w:rFonts w:ascii="Times New Roman" w:hAnsi="Times New Roman" w:cs="Times New Roman"/>
          <w:i/>
          <w:sz w:val="28"/>
          <w:szCs w:val="28"/>
          <w:lang w:eastAsia="en-US"/>
        </w:rPr>
        <w:t>Характеристика межбюджетных трансфертов</w:t>
      </w:r>
    </w:p>
    <w:p w14:paraId="5E906A87" w14:textId="0CD403A2" w:rsidR="004A6502" w:rsidRPr="00D91A2A" w:rsidRDefault="004A6502" w:rsidP="004A6502">
      <w:pPr>
        <w:spacing w:line="360" w:lineRule="auto"/>
        <w:ind w:firstLine="709"/>
        <w:jc w:val="both"/>
        <w:rPr>
          <w:rFonts w:ascii="Times New Roman" w:hAnsi="Times New Roman" w:cs="Times New Roman"/>
          <w:sz w:val="28"/>
          <w:szCs w:val="28"/>
        </w:rPr>
      </w:pPr>
      <w:r w:rsidRPr="0033517A">
        <w:rPr>
          <w:rFonts w:ascii="Times New Roman" w:hAnsi="Times New Roman" w:cs="Times New Roman"/>
          <w:sz w:val="28"/>
          <w:szCs w:val="28"/>
        </w:rPr>
        <w:t>В проекте Федерального закона «О федеральном бюджете на 2020 год и плановый период 2021 и 2022 годов» предусмотрен рост общего объема межбюджетных трансфе</w:t>
      </w:r>
      <w:r w:rsidRPr="00D91A2A">
        <w:rPr>
          <w:rFonts w:ascii="Times New Roman" w:hAnsi="Times New Roman" w:cs="Times New Roman"/>
          <w:sz w:val="28"/>
          <w:szCs w:val="28"/>
        </w:rPr>
        <w:t xml:space="preserve">ртов по сравнению с показателями, утвержденными в рамках Федерального закона от </w:t>
      </w:r>
      <w:r>
        <w:rPr>
          <w:rFonts w:ascii="Times New Roman" w:hAnsi="Times New Roman" w:cs="Times New Roman"/>
          <w:sz w:val="28"/>
          <w:szCs w:val="28"/>
        </w:rPr>
        <w:t>29</w:t>
      </w:r>
      <w:r w:rsidRPr="00D91A2A">
        <w:rPr>
          <w:rFonts w:ascii="Times New Roman" w:hAnsi="Times New Roman" w:cs="Times New Roman"/>
          <w:sz w:val="28"/>
          <w:szCs w:val="28"/>
        </w:rPr>
        <w:t>.1</w:t>
      </w:r>
      <w:r>
        <w:rPr>
          <w:rFonts w:ascii="Times New Roman" w:hAnsi="Times New Roman" w:cs="Times New Roman"/>
          <w:sz w:val="28"/>
          <w:szCs w:val="28"/>
        </w:rPr>
        <w:t>1</w:t>
      </w:r>
      <w:r w:rsidRPr="00D91A2A">
        <w:rPr>
          <w:rFonts w:ascii="Times New Roman" w:hAnsi="Times New Roman" w:cs="Times New Roman"/>
          <w:sz w:val="28"/>
          <w:szCs w:val="28"/>
        </w:rPr>
        <w:t>.201</w:t>
      </w:r>
      <w:r>
        <w:rPr>
          <w:rFonts w:ascii="Times New Roman" w:hAnsi="Times New Roman" w:cs="Times New Roman"/>
          <w:sz w:val="28"/>
          <w:szCs w:val="28"/>
        </w:rPr>
        <w:t>8</w:t>
      </w:r>
      <w:r w:rsidRPr="00D91A2A">
        <w:rPr>
          <w:rFonts w:ascii="Times New Roman" w:hAnsi="Times New Roman" w:cs="Times New Roman"/>
          <w:sz w:val="28"/>
          <w:szCs w:val="28"/>
        </w:rPr>
        <w:t xml:space="preserve"> №</w:t>
      </w:r>
      <w:r>
        <w:rPr>
          <w:rFonts w:ascii="Times New Roman" w:hAnsi="Times New Roman" w:cs="Times New Roman"/>
          <w:sz w:val="28"/>
          <w:szCs w:val="28"/>
        </w:rPr>
        <w:t>459</w:t>
      </w:r>
      <w:r w:rsidRPr="00D91A2A">
        <w:rPr>
          <w:rFonts w:ascii="Times New Roman" w:hAnsi="Times New Roman" w:cs="Times New Roman"/>
          <w:sz w:val="28"/>
          <w:szCs w:val="28"/>
        </w:rPr>
        <w:t>-ФЗ «О федеральном бюджете на 201</w:t>
      </w:r>
      <w:r>
        <w:rPr>
          <w:rFonts w:ascii="Times New Roman" w:hAnsi="Times New Roman" w:cs="Times New Roman"/>
          <w:sz w:val="28"/>
          <w:szCs w:val="28"/>
        </w:rPr>
        <w:t>9</w:t>
      </w:r>
      <w:r w:rsidRPr="00D91A2A">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20</w:t>
      </w:r>
      <w:r w:rsidRPr="00D91A2A">
        <w:rPr>
          <w:rFonts w:ascii="Times New Roman" w:hAnsi="Times New Roman" w:cs="Times New Roman"/>
          <w:sz w:val="28"/>
          <w:szCs w:val="28"/>
        </w:rPr>
        <w:t xml:space="preserve"> и 202</w:t>
      </w:r>
      <w:r>
        <w:rPr>
          <w:rFonts w:ascii="Times New Roman" w:hAnsi="Times New Roman" w:cs="Times New Roman"/>
          <w:sz w:val="28"/>
          <w:szCs w:val="28"/>
        </w:rPr>
        <w:t>1</w:t>
      </w:r>
      <w:r w:rsidRPr="00D91A2A">
        <w:rPr>
          <w:rFonts w:ascii="Times New Roman" w:hAnsi="Times New Roman" w:cs="Times New Roman"/>
          <w:sz w:val="28"/>
          <w:szCs w:val="28"/>
        </w:rPr>
        <w:t xml:space="preserve"> годов»: в 20</w:t>
      </w:r>
      <w:r>
        <w:rPr>
          <w:rFonts w:ascii="Times New Roman" w:hAnsi="Times New Roman" w:cs="Times New Roman"/>
          <w:sz w:val="28"/>
          <w:szCs w:val="28"/>
        </w:rPr>
        <w:t>20</w:t>
      </w:r>
      <w:r w:rsidRPr="00D91A2A">
        <w:rPr>
          <w:rFonts w:ascii="Times New Roman" w:hAnsi="Times New Roman" w:cs="Times New Roman"/>
          <w:sz w:val="28"/>
          <w:szCs w:val="28"/>
        </w:rPr>
        <w:t xml:space="preserve"> году – на </w:t>
      </w:r>
      <w:r>
        <w:rPr>
          <w:rFonts w:ascii="Times New Roman" w:hAnsi="Times New Roman" w:cs="Times New Roman"/>
          <w:sz w:val="28"/>
          <w:szCs w:val="28"/>
        </w:rPr>
        <w:t>232</w:t>
      </w:r>
      <w:r w:rsidRPr="00D91A2A">
        <w:rPr>
          <w:rFonts w:ascii="Times New Roman" w:hAnsi="Times New Roman" w:cs="Times New Roman"/>
          <w:sz w:val="28"/>
          <w:szCs w:val="28"/>
        </w:rPr>
        <w:t>,</w:t>
      </w:r>
      <w:r>
        <w:rPr>
          <w:rFonts w:ascii="Times New Roman" w:hAnsi="Times New Roman" w:cs="Times New Roman"/>
          <w:sz w:val="28"/>
          <w:szCs w:val="28"/>
        </w:rPr>
        <w:t>7</w:t>
      </w:r>
      <w:r w:rsidRPr="00D91A2A">
        <w:rPr>
          <w:rFonts w:ascii="Times New Roman" w:hAnsi="Times New Roman" w:cs="Times New Roman"/>
          <w:sz w:val="28"/>
          <w:szCs w:val="28"/>
        </w:rPr>
        <w:t xml:space="preserve"> млрд руб.</w:t>
      </w:r>
      <w:r>
        <w:rPr>
          <w:rFonts w:ascii="Times New Roman" w:hAnsi="Times New Roman" w:cs="Times New Roman"/>
          <w:sz w:val="28"/>
          <w:szCs w:val="28"/>
        </w:rPr>
        <w:t>, из них на реализацию национальных проектов 102,1 млрд руб.</w:t>
      </w:r>
      <w:r w:rsidRPr="00D91A2A">
        <w:rPr>
          <w:rFonts w:ascii="Times New Roman" w:hAnsi="Times New Roman" w:cs="Times New Roman"/>
          <w:sz w:val="28"/>
          <w:szCs w:val="28"/>
        </w:rPr>
        <w:t xml:space="preserve"> (в т.ч. субсидий на </w:t>
      </w:r>
      <w:r>
        <w:rPr>
          <w:rFonts w:ascii="Times New Roman" w:hAnsi="Times New Roman" w:cs="Times New Roman"/>
          <w:sz w:val="28"/>
          <w:szCs w:val="28"/>
        </w:rPr>
        <w:t>92</w:t>
      </w:r>
      <w:r w:rsidRPr="00D91A2A">
        <w:rPr>
          <w:rFonts w:ascii="Times New Roman" w:hAnsi="Times New Roman" w:cs="Times New Roman"/>
          <w:sz w:val="28"/>
          <w:szCs w:val="28"/>
        </w:rPr>
        <w:t>,</w:t>
      </w:r>
      <w:r>
        <w:rPr>
          <w:rFonts w:ascii="Times New Roman" w:hAnsi="Times New Roman" w:cs="Times New Roman"/>
          <w:sz w:val="28"/>
          <w:szCs w:val="28"/>
        </w:rPr>
        <w:t>3</w:t>
      </w:r>
      <w:r w:rsidRPr="00D91A2A">
        <w:rPr>
          <w:rFonts w:ascii="Times New Roman" w:hAnsi="Times New Roman" w:cs="Times New Roman"/>
          <w:sz w:val="28"/>
          <w:szCs w:val="28"/>
        </w:rPr>
        <w:t xml:space="preserve"> млрд руб.</w:t>
      </w:r>
      <w:r>
        <w:rPr>
          <w:rFonts w:ascii="Times New Roman" w:hAnsi="Times New Roman" w:cs="Times New Roman"/>
          <w:sz w:val="28"/>
          <w:szCs w:val="28"/>
        </w:rPr>
        <w:t>, из них на реализацию национальных проектов 26,4 млрд руб.</w:t>
      </w:r>
      <w:r w:rsidRPr="00D91A2A">
        <w:rPr>
          <w:rFonts w:ascii="Times New Roman" w:hAnsi="Times New Roman" w:cs="Times New Roman"/>
          <w:sz w:val="28"/>
          <w:szCs w:val="28"/>
        </w:rPr>
        <w:t>), в 202</w:t>
      </w:r>
      <w:r>
        <w:rPr>
          <w:rFonts w:ascii="Times New Roman" w:hAnsi="Times New Roman" w:cs="Times New Roman"/>
          <w:sz w:val="28"/>
          <w:szCs w:val="28"/>
        </w:rPr>
        <w:t>1</w:t>
      </w:r>
      <w:r w:rsidRPr="00D91A2A">
        <w:rPr>
          <w:rFonts w:ascii="Times New Roman" w:hAnsi="Times New Roman" w:cs="Times New Roman"/>
          <w:sz w:val="28"/>
          <w:szCs w:val="28"/>
        </w:rPr>
        <w:t xml:space="preserve"> году – на </w:t>
      </w:r>
      <w:r>
        <w:rPr>
          <w:rFonts w:ascii="Times New Roman" w:hAnsi="Times New Roman" w:cs="Times New Roman"/>
          <w:sz w:val="28"/>
          <w:szCs w:val="28"/>
        </w:rPr>
        <w:t>297</w:t>
      </w:r>
      <w:r w:rsidRPr="00D91A2A">
        <w:rPr>
          <w:rFonts w:ascii="Times New Roman" w:hAnsi="Times New Roman" w:cs="Times New Roman"/>
          <w:sz w:val="28"/>
          <w:szCs w:val="28"/>
        </w:rPr>
        <w:t>,</w:t>
      </w:r>
      <w:r>
        <w:rPr>
          <w:rFonts w:ascii="Times New Roman" w:hAnsi="Times New Roman" w:cs="Times New Roman"/>
          <w:sz w:val="28"/>
          <w:szCs w:val="28"/>
        </w:rPr>
        <w:t>8</w:t>
      </w:r>
      <w:r w:rsidRPr="00D91A2A">
        <w:rPr>
          <w:rFonts w:ascii="Times New Roman" w:hAnsi="Times New Roman" w:cs="Times New Roman"/>
          <w:sz w:val="28"/>
          <w:szCs w:val="28"/>
        </w:rPr>
        <w:t xml:space="preserve"> млрд</w:t>
      </w:r>
      <w:r>
        <w:rPr>
          <w:rFonts w:ascii="Times New Roman" w:hAnsi="Times New Roman" w:cs="Times New Roman"/>
          <w:sz w:val="28"/>
          <w:szCs w:val="28"/>
        </w:rPr>
        <w:t xml:space="preserve"> руб., из них на реализацию национальных проектов 101,7 млрд руб.</w:t>
      </w:r>
      <w:r w:rsidRPr="00D91A2A">
        <w:rPr>
          <w:rFonts w:ascii="Times New Roman" w:hAnsi="Times New Roman" w:cs="Times New Roman"/>
          <w:sz w:val="28"/>
          <w:szCs w:val="28"/>
        </w:rPr>
        <w:t xml:space="preserve"> (в т.ч. субсидий на </w:t>
      </w:r>
      <w:r>
        <w:rPr>
          <w:rFonts w:ascii="Times New Roman" w:hAnsi="Times New Roman" w:cs="Times New Roman"/>
          <w:sz w:val="28"/>
          <w:szCs w:val="28"/>
        </w:rPr>
        <w:t>149</w:t>
      </w:r>
      <w:r w:rsidRPr="00D91A2A">
        <w:rPr>
          <w:rFonts w:ascii="Times New Roman" w:hAnsi="Times New Roman" w:cs="Times New Roman"/>
          <w:sz w:val="28"/>
          <w:szCs w:val="28"/>
        </w:rPr>
        <w:t>,</w:t>
      </w:r>
      <w:r>
        <w:rPr>
          <w:rFonts w:ascii="Times New Roman" w:hAnsi="Times New Roman" w:cs="Times New Roman"/>
          <w:sz w:val="28"/>
          <w:szCs w:val="28"/>
        </w:rPr>
        <w:t>7</w:t>
      </w:r>
      <w:r w:rsidRPr="00D91A2A">
        <w:rPr>
          <w:rFonts w:ascii="Times New Roman" w:hAnsi="Times New Roman" w:cs="Times New Roman"/>
          <w:sz w:val="28"/>
          <w:szCs w:val="28"/>
        </w:rPr>
        <w:t xml:space="preserve"> </w:t>
      </w:r>
      <w:r>
        <w:rPr>
          <w:rFonts w:ascii="Times New Roman" w:hAnsi="Times New Roman" w:cs="Times New Roman"/>
          <w:sz w:val="28"/>
          <w:szCs w:val="28"/>
        </w:rPr>
        <w:t>млрд</w:t>
      </w:r>
      <w:r w:rsidRPr="00D91A2A">
        <w:rPr>
          <w:rFonts w:ascii="Times New Roman" w:hAnsi="Times New Roman" w:cs="Times New Roman"/>
          <w:sz w:val="28"/>
          <w:szCs w:val="28"/>
        </w:rPr>
        <w:t xml:space="preserve"> руб.</w:t>
      </w:r>
      <w:r>
        <w:rPr>
          <w:rFonts w:ascii="Times New Roman" w:hAnsi="Times New Roman" w:cs="Times New Roman"/>
          <w:sz w:val="28"/>
          <w:szCs w:val="28"/>
        </w:rPr>
        <w:t>,</w:t>
      </w:r>
      <w:r w:rsidRPr="007941A1">
        <w:rPr>
          <w:rFonts w:ascii="Times New Roman" w:hAnsi="Times New Roman" w:cs="Times New Roman"/>
          <w:sz w:val="28"/>
          <w:szCs w:val="28"/>
        </w:rPr>
        <w:t xml:space="preserve"> </w:t>
      </w:r>
      <w:r>
        <w:rPr>
          <w:rFonts w:ascii="Times New Roman" w:hAnsi="Times New Roman" w:cs="Times New Roman"/>
          <w:sz w:val="28"/>
          <w:szCs w:val="28"/>
        </w:rPr>
        <w:t>из них на реализацию национальных проектов 24,8 млрд руб.).</w:t>
      </w:r>
      <w:r w:rsidRPr="00D91A2A">
        <w:rPr>
          <w:rFonts w:ascii="Times New Roman" w:hAnsi="Times New Roman" w:cs="Times New Roman"/>
          <w:sz w:val="28"/>
          <w:szCs w:val="28"/>
        </w:rPr>
        <w:t xml:space="preserve"> </w:t>
      </w:r>
      <w:r>
        <w:rPr>
          <w:rFonts w:ascii="Times New Roman" w:hAnsi="Times New Roman" w:cs="Times New Roman"/>
          <w:sz w:val="28"/>
          <w:szCs w:val="28"/>
        </w:rPr>
        <w:t xml:space="preserve">При этом для субсидий, направленных на реализацию национальных проектов, предусмотрено установление более высокого уровня софинансирования из федерального бюджета (до 99%). </w:t>
      </w:r>
      <w:r w:rsidRPr="00D91A2A">
        <w:rPr>
          <w:rFonts w:ascii="Times New Roman" w:hAnsi="Times New Roman" w:cs="Times New Roman"/>
          <w:sz w:val="28"/>
          <w:szCs w:val="28"/>
        </w:rPr>
        <w:t xml:space="preserve">Увеличение объемов финансового обеспечения реализации приоритетных национальных проектов </w:t>
      </w:r>
      <w:r w:rsidRPr="00D91A2A">
        <w:rPr>
          <w:rFonts w:ascii="Times New Roman" w:hAnsi="Times New Roman" w:cs="Times New Roman"/>
          <w:sz w:val="28"/>
          <w:szCs w:val="28"/>
        </w:rPr>
        <w:lastRenderedPageBreak/>
        <w:t xml:space="preserve">за </w:t>
      </w:r>
      <w:r>
        <w:rPr>
          <w:rFonts w:ascii="Times New Roman" w:hAnsi="Times New Roman" w:cs="Times New Roman"/>
          <w:sz w:val="28"/>
          <w:szCs w:val="28"/>
        </w:rPr>
        <w:t>с</w:t>
      </w:r>
      <w:r w:rsidRPr="00D91A2A">
        <w:rPr>
          <w:rFonts w:ascii="Times New Roman" w:hAnsi="Times New Roman" w:cs="Times New Roman"/>
          <w:sz w:val="28"/>
          <w:szCs w:val="28"/>
        </w:rPr>
        <w:t xml:space="preserve">чет средств, поступающих в бюджеты субъектов Российской Федерации из федерального бюджета, можно оценить положительно, поскольку это расходное обязательство Российской Федерации; кроме того, использование предоставленных средств на соответствующие цели может позволить регионам увеличить </w:t>
      </w:r>
      <w:r>
        <w:rPr>
          <w:rFonts w:ascii="Times New Roman" w:hAnsi="Times New Roman" w:cs="Times New Roman"/>
          <w:sz w:val="28"/>
          <w:szCs w:val="28"/>
        </w:rPr>
        <w:t>в перспективе объемы валового регионального продукта за счет развития о</w:t>
      </w:r>
      <w:r w:rsidRPr="00D91A2A">
        <w:rPr>
          <w:rFonts w:ascii="Times New Roman" w:hAnsi="Times New Roman" w:cs="Times New Roman"/>
          <w:sz w:val="28"/>
          <w:szCs w:val="28"/>
        </w:rPr>
        <w:t>тдельных отраслей.</w:t>
      </w:r>
    </w:p>
    <w:p w14:paraId="6553A57E" w14:textId="3C9C1A8B" w:rsidR="004A6502" w:rsidRDefault="004A6502" w:rsidP="004A6502">
      <w:pPr>
        <w:spacing w:line="360" w:lineRule="auto"/>
        <w:ind w:firstLine="709"/>
        <w:jc w:val="both"/>
        <w:rPr>
          <w:rFonts w:ascii="Times New Roman" w:hAnsi="Times New Roman" w:cs="Times New Roman"/>
          <w:color w:val="000000"/>
          <w:sz w:val="28"/>
          <w:szCs w:val="28"/>
        </w:rPr>
      </w:pPr>
      <w:r w:rsidRPr="00D91A2A">
        <w:rPr>
          <w:rFonts w:ascii="Times New Roman" w:hAnsi="Times New Roman" w:cs="Times New Roman"/>
          <w:color w:val="000000"/>
          <w:sz w:val="28"/>
          <w:szCs w:val="28"/>
        </w:rPr>
        <w:t xml:space="preserve">В законопроекте предусматривается также увеличение объема дотаций на выравнивание бюджетной обеспеченности субъектов Российской Федерации по сравнению с объемами, утвержденными </w:t>
      </w:r>
      <w:r w:rsidRPr="00D91A2A">
        <w:rPr>
          <w:rFonts w:ascii="Times New Roman" w:hAnsi="Times New Roman" w:cs="Times New Roman"/>
          <w:sz w:val="28"/>
          <w:szCs w:val="28"/>
        </w:rPr>
        <w:t>Федеральным законом</w:t>
      </w:r>
      <w:r w:rsidRPr="00D62438">
        <w:rPr>
          <w:rFonts w:ascii="Times New Roman" w:hAnsi="Times New Roman" w:cs="Times New Roman"/>
          <w:sz w:val="28"/>
          <w:szCs w:val="28"/>
        </w:rPr>
        <w:t xml:space="preserve"> </w:t>
      </w:r>
      <w:r w:rsidRPr="00D91A2A">
        <w:rPr>
          <w:rFonts w:ascii="Times New Roman" w:hAnsi="Times New Roman" w:cs="Times New Roman"/>
          <w:sz w:val="28"/>
          <w:szCs w:val="28"/>
        </w:rPr>
        <w:t xml:space="preserve">от </w:t>
      </w:r>
      <w:r>
        <w:rPr>
          <w:rFonts w:ascii="Times New Roman" w:hAnsi="Times New Roman" w:cs="Times New Roman"/>
          <w:sz w:val="28"/>
          <w:szCs w:val="28"/>
        </w:rPr>
        <w:t>29</w:t>
      </w:r>
      <w:r w:rsidRPr="00D91A2A">
        <w:rPr>
          <w:rFonts w:ascii="Times New Roman" w:hAnsi="Times New Roman" w:cs="Times New Roman"/>
          <w:sz w:val="28"/>
          <w:szCs w:val="28"/>
        </w:rPr>
        <w:t>.1</w:t>
      </w:r>
      <w:r>
        <w:rPr>
          <w:rFonts w:ascii="Times New Roman" w:hAnsi="Times New Roman" w:cs="Times New Roman"/>
          <w:sz w:val="28"/>
          <w:szCs w:val="28"/>
        </w:rPr>
        <w:t>1</w:t>
      </w:r>
      <w:r w:rsidRPr="00D91A2A">
        <w:rPr>
          <w:rFonts w:ascii="Times New Roman" w:hAnsi="Times New Roman" w:cs="Times New Roman"/>
          <w:sz w:val="28"/>
          <w:szCs w:val="28"/>
        </w:rPr>
        <w:t>.201</w:t>
      </w:r>
      <w:r>
        <w:rPr>
          <w:rFonts w:ascii="Times New Roman" w:hAnsi="Times New Roman" w:cs="Times New Roman"/>
          <w:sz w:val="28"/>
          <w:szCs w:val="28"/>
        </w:rPr>
        <w:t>8</w:t>
      </w:r>
      <w:r w:rsidRPr="00D91A2A">
        <w:rPr>
          <w:rFonts w:ascii="Times New Roman" w:hAnsi="Times New Roman" w:cs="Times New Roman"/>
          <w:sz w:val="28"/>
          <w:szCs w:val="28"/>
        </w:rPr>
        <w:t xml:space="preserve"> №</w:t>
      </w:r>
      <w:r>
        <w:rPr>
          <w:rFonts w:ascii="Times New Roman" w:hAnsi="Times New Roman" w:cs="Times New Roman"/>
          <w:sz w:val="28"/>
          <w:szCs w:val="28"/>
        </w:rPr>
        <w:t>459</w:t>
      </w:r>
      <w:r w:rsidRPr="00D91A2A">
        <w:rPr>
          <w:rFonts w:ascii="Times New Roman" w:hAnsi="Times New Roman" w:cs="Times New Roman"/>
          <w:sz w:val="28"/>
          <w:szCs w:val="28"/>
        </w:rPr>
        <w:t>-ФЗ «О федеральном бюджете на 201</w:t>
      </w:r>
      <w:r>
        <w:rPr>
          <w:rFonts w:ascii="Times New Roman" w:hAnsi="Times New Roman" w:cs="Times New Roman"/>
          <w:sz w:val="28"/>
          <w:szCs w:val="28"/>
        </w:rPr>
        <w:t>9</w:t>
      </w:r>
      <w:r w:rsidRPr="00D91A2A">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20</w:t>
      </w:r>
      <w:r w:rsidRPr="00D91A2A">
        <w:rPr>
          <w:rFonts w:ascii="Times New Roman" w:hAnsi="Times New Roman" w:cs="Times New Roman"/>
          <w:sz w:val="28"/>
          <w:szCs w:val="28"/>
        </w:rPr>
        <w:t xml:space="preserve"> и 202</w:t>
      </w:r>
      <w:r>
        <w:rPr>
          <w:rFonts w:ascii="Times New Roman" w:hAnsi="Times New Roman" w:cs="Times New Roman"/>
          <w:sz w:val="28"/>
          <w:szCs w:val="28"/>
        </w:rPr>
        <w:t>1</w:t>
      </w:r>
      <w:r w:rsidRPr="00D91A2A">
        <w:rPr>
          <w:rFonts w:ascii="Times New Roman" w:hAnsi="Times New Roman" w:cs="Times New Roman"/>
          <w:sz w:val="28"/>
          <w:szCs w:val="28"/>
        </w:rPr>
        <w:t xml:space="preserve"> годов»: </w:t>
      </w:r>
      <w:r w:rsidRPr="00D91A2A">
        <w:rPr>
          <w:rFonts w:ascii="Times New Roman" w:hAnsi="Times New Roman" w:cs="Times New Roman"/>
          <w:color w:val="000000"/>
          <w:sz w:val="28"/>
          <w:szCs w:val="28"/>
        </w:rPr>
        <w:t>в 20</w:t>
      </w:r>
      <w:r>
        <w:rPr>
          <w:rFonts w:ascii="Times New Roman" w:hAnsi="Times New Roman" w:cs="Times New Roman"/>
          <w:color w:val="000000"/>
          <w:sz w:val="28"/>
          <w:szCs w:val="28"/>
        </w:rPr>
        <w:t>20</w:t>
      </w:r>
      <w:r w:rsidRPr="00D91A2A">
        <w:rPr>
          <w:rFonts w:ascii="Times New Roman" w:hAnsi="Times New Roman" w:cs="Times New Roman"/>
          <w:color w:val="000000"/>
          <w:sz w:val="28"/>
          <w:szCs w:val="28"/>
        </w:rPr>
        <w:t xml:space="preserve"> году </w:t>
      </w:r>
      <w:r w:rsidRPr="00D91A2A">
        <w:rPr>
          <w:rFonts w:ascii="Times New Roman" w:hAnsi="Times New Roman" w:cs="Times New Roman"/>
          <w:sz w:val="28"/>
          <w:szCs w:val="28"/>
        </w:rPr>
        <w:t>–</w:t>
      </w:r>
      <w:r>
        <w:rPr>
          <w:rFonts w:ascii="Times New Roman" w:hAnsi="Times New Roman" w:cs="Times New Roman"/>
          <w:sz w:val="28"/>
          <w:szCs w:val="28"/>
        </w:rPr>
        <w:t xml:space="preserve"> </w:t>
      </w:r>
      <w:r w:rsidRPr="00D91A2A">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57</w:t>
      </w:r>
      <w:r w:rsidRPr="00D91A2A">
        <w:rPr>
          <w:rFonts w:ascii="Times New Roman" w:hAnsi="Times New Roman" w:cs="Times New Roman"/>
          <w:color w:val="000000"/>
          <w:sz w:val="28"/>
          <w:szCs w:val="28"/>
        </w:rPr>
        <w:t>,0 млрд руб.</w:t>
      </w:r>
      <w:r>
        <w:rPr>
          <w:rFonts w:ascii="Times New Roman" w:hAnsi="Times New Roman" w:cs="Times New Roman"/>
          <w:color w:val="000000"/>
          <w:sz w:val="28"/>
          <w:szCs w:val="28"/>
        </w:rPr>
        <w:t>,</w:t>
      </w:r>
      <w:r w:rsidRPr="00D91A2A">
        <w:rPr>
          <w:rFonts w:ascii="Times New Roman" w:hAnsi="Times New Roman" w:cs="Times New Roman"/>
          <w:color w:val="000000"/>
          <w:sz w:val="28"/>
          <w:szCs w:val="28"/>
        </w:rPr>
        <w:t xml:space="preserve"> в 202</w:t>
      </w:r>
      <w:r>
        <w:rPr>
          <w:rFonts w:ascii="Times New Roman" w:hAnsi="Times New Roman" w:cs="Times New Roman"/>
          <w:color w:val="000000"/>
          <w:sz w:val="28"/>
          <w:szCs w:val="28"/>
        </w:rPr>
        <w:t>1</w:t>
      </w:r>
      <w:r w:rsidRPr="00D91A2A">
        <w:rPr>
          <w:rFonts w:ascii="Times New Roman" w:hAnsi="Times New Roman" w:cs="Times New Roman"/>
          <w:color w:val="000000"/>
          <w:sz w:val="28"/>
          <w:szCs w:val="28"/>
        </w:rPr>
        <w:t xml:space="preserve"> году</w:t>
      </w:r>
      <w:r>
        <w:rPr>
          <w:rFonts w:ascii="Times New Roman" w:hAnsi="Times New Roman" w:cs="Times New Roman"/>
          <w:color w:val="000000"/>
          <w:sz w:val="28"/>
          <w:szCs w:val="28"/>
        </w:rPr>
        <w:t xml:space="preserve"> </w:t>
      </w:r>
      <w:r w:rsidRPr="00D91A2A">
        <w:rPr>
          <w:rFonts w:ascii="Times New Roman" w:hAnsi="Times New Roman" w:cs="Times New Roman"/>
          <w:sz w:val="28"/>
          <w:szCs w:val="28"/>
        </w:rPr>
        <w:t>–</w:t>
      </w:r>
      <w:r w:rsidRPr="00D91A2A">
        <w:rPr>
          <w:rFonts w:ascii="Times New Roman" w:hAnsi="Times New Roman" w:cs="Times New Roman"/>
          <w:color w:val="000000"/>
          <w:sz w:val="28"/>
          <w:szCs w:val="28"/>
        </w:rPr>
        <w:t xml:space="preserve"> на </w:t>
      </w:r>
      <w:r>
        <w:rPr>
          <w:rFonts w:ascii="Times New Roman" w:hAnsi="Times New Roman" w:cs="Times New Roman"/>
          <w:color w:val="000000"/>
          <w:sz w:val="28"/>
          <w:szCs w:val="28"/>
        </w:rPr>
        <w:t>45</w:t>
      </w:r>
      <w:r w:rsidRPr="00D91A2A">
        <w:rPr>
          <w:rFonts w:ascii="Times New Roman" w:hAnsi="Times New Roman" w:cs="Times New Roman"/>
          <w:color w:val="000000"/>
          <w:sz w:val="28"/>
          <w:szCs w:val="28"/>
        </w:rPr>
        <w:t>,</w:t>
      </w:r>
      <w:r>
        <w:rPr>
          <w:rFonts w:ascii="Times New Roman" w:hAnsi="Times New Roman" w:cs="Times New Roman"/>
          <w:color w:val="000000"/>
          <w:sz w:val="28"/>
          <w:szCs w:val="28"/>
        </w:rPr>
        <w:t>9</w:t>
      </w:r>
      <w:r w:rsidRPr="00D91A2A">
        <w:rPr>
          <w:rFonts w:ascii="Times New Roman" w:hAnsi="Times New Roman" w:cs="Times New Roman"/>
          <w:color w:val="000000"/>
          <w:sz w:val="28"/>
          <w:szCs w:val="28"/>
        </w:rPr>
        <w:t xml:space="preserve"> млрд руб.</w:t>
      </w:r>
      <w:r>
        <w:rPr>
          <w:rFonts w:ascii="Times New Roman" w:hAnsi="Times New Roman" w:cs="Times New Roman"/>
          <w:color w:val="000000"/>
          <w:sz w:val="28"/>
          <w:szCs w:val="28"/>
        </w:rPr>
        <w:t xml:space="preserve">; при этом </w:t>
      </w:r>
      <w:r w:rsidRPr="00D91A2A">
        <w:rPr>
          <w:rFonts w:ascii="Times New Roman" w:hAnsi="Times New Roman" w:cs="Times New Roman"/>
          <w:color w:val="000000"/>
          <w:sz w:val="28"/>
          <w:szCs w:val="28"/>
        </w:rPr>
        <w:t>в 202</w:t>
      </w:r>
      <w:r>
        <w:rPr>
          <w:rFonts w:ascii="Times New Roman" w:hAnsi="Times New Roman" w:cs="Times New Roman"/>
          <w:color w:val="000000"/>
          <w:sz w:val="28"/>
          <w:szCs w:val="28"/>
        </w:rPr>
        <w:t>2</w:t>
      </w:r>
      <w:r w:rsidRPr="00D91A2A">
        <w:rPr>
          <w:rFonts w:ascii="Times New Roman" w:hAnsi="Times New Roman" w:cs="Times New Roman"/>
          <w:color w:val="000000"/>
          <w:sz w:val="28"/>
          <w:szCs w:val="28"/>
        </w:rPr>
        <w:t xml:space="preserve"> году </w:t>
      </w:r>
      <w:r>
        <w:rPr>
          <w:rFonts w:ascii="Times New Roman" w:hAnsi="Times New Roman" w:cs="Times New Roman"/>
          <w:color w:val="000000"/>
          <w:sz w:val="28"/>
          <w:szCs w:val="28"/>
        </w:rPr>
        <w:t xml:space="preserve">запланирован рост </w:t>
      </w:r>
      <w:r w:rsidRPr="00D91A2A">
        <w:rPr>
          <w:rFonts w:ascii="Times New Roman" w:hAnsi="Times New Roman" w:cs="Times New Roman"/>
          <w:color w:val="000000"/>
          <w:sz w:val="28"/>
          <w:szCs w:val="28"/>
        </w:rPr>
        <w:t>на 1</w:t>
      </w:r>
      <w:r>
        <w:rPr>
          <w:rFonts w:ascii="Times New Roman" w:hAnsi="Times New Roman" w:cs="Times New Roman"/>
          <w:color w:val="000000"/>
          <w:sz w:val="28"/>
          <w:szCs w:val="28"/>
        </w:rPr>
        <w:t>2</w:t>
      </w:r>
      <w:r w:rsidRPr="00D91A2A">
        <w:rPr>
          <w:rFonts w:ascii="Times New Roman" w:hAnsi="Times New Roman" w:cs="Times New Roman"/>
          <w:color w:val="000000"/>
          <w:sz w:val="28"/>
          <w:szCs w:val="28"/>
        </w:rPr>
        <w:t>,9 млрд руб. по сравнению с объемами, предусмотренными з</w:t>
      </w:r>
      <w:r>
        <w:rPr>
          <w:rFonts w:ascii="Times New Roman" w:hAnsi="Times New Roman" w:cs="Times New Roman"/>
          <w:color w:val="000000"/>
          <w:sz w:val="28"/>
          <w:szCs w:val="28"/>
        </w:rPr>
        <w:t>аконопроектом на 2021</w:t>
      </w:r>
      <w:r w:rsidRPr="00D91A2A">
        <w:rPr>
          <w:rFonts w:ascii="Times New Roman" w:hAnsi="Times New Roman" w:cs="Times New Roman"/>
          <w:color w:val="000000"/>
          <w:sz w:val="28"/>
          <w:szCs w:val="28"/>
        </w:rPr>
        <w:t xml:space="preserve"> год</w:t>
      </w:r>
      <w:r>
        <w:rPr>
          <w:rFonts w:ascii="Times New Roman" w:hAnsi="Times New Roman" w:cs="Times New Roman"/>
          <w:color w:val="000000"/>
          <w:sz w:val="28"/>
          <w:szCs w:val="28"/>
        </w:rPr>
        <w:t>.</w:t>
      </w:r>
    </w:p>
    <w:p w14:paraId="5500B48E" w14:textId="77777777" w:rsidR="004A6502" w:rsidRPr="00D91A2A" w:rsidRDefault="004A6502" w:rsidP="004A650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результатов распределения дотаций </w:t>
      </w:r>
      <w:r w:rsidRPr="00D91A2A">
        <w:rPr>
          <w:rFonts w:ascii="Times New Roman" w:hAnsi="Times New Roman" w:cs="Times New Roman"/>
          <w:color w:val="000000"/>
          <w:sz w:val="28"/>
          <w:szCs w:val="28"/>
        </w:rPr>
        <w:t xml:space="preserve">на выравнивание бюджетной обеспеченности субъектов Российской Федерации </w:t>
      </w:r>
      <w:r>
        <w:rPr>
          <w:rFonts w:ascii="Times New Roman" w:hAnsi="Times New Roman" w:cs="Times New Roman"/>
          <w:sz w:val="28"/>
          <w:szCs w:val="28"/>
        </w:rPr>
        <w:t>на 2019-2021 годы, представленный на сайте Министерства финансов Российской Федерации, позволяет соотнести данные по объемам предоставления дотаций на выравнивание бюджетной обеспеченности с показателями уровня бюджетной обеспеченности субъектов Российской Федерации. При этом, с</w:t>
      </w:r>
      <w:r w:rsidRPr="00D91A2A">
        <w:rPr>
          <w:rFonts w:ascii="Times New Roman" w:hAnsi="Times New Roman" w:cs="Times New Roman"/>
          <w:sz w:val="28"/>
          <w:szCs w:val="28"/>
        </w:rPr>
        <w:t xml:space="preserve">ледует отметить, что в составе документов, </w:t>
      </w:r>
      <w:r>
        <w:rPr>
          <w:rFonts w:ascii="Times New Roman" w:hAnsi="Times New Roman" w:cs="Times New Roman"/>
          <w:sz w:val="28"/>
          <w:szCs w:val="28"/>
        </w:rPr>
        <w:t xml:space="preserve">направляемых </w:t>
      </w:r>
      <w:r w:rsidRPr="00D91A2A">
        <w:rPr>
          <w:rFonts w:ascii="Times New Roman" w:hAnsi="Times New Roman" w:cs="Times New Roman"/>
          <w:sz w:val="28"/>
          <w:szCs w:val="28"/>
        </w:rPr>
        <w:t xml:space="preserve">одновременно с проектом Федерального закона «О федеральном бюджете </w:t>
      </w:r>
      <w:r>
        <w:rPr>
          <w:rFonts w:ascii="Times New Roman" w:hAnsi="Times New Roman" w:cs="Times New Roman"/>
          <w:sz w:val="28"/>
          <w:szCs w:val="28"/>
        </w:rPr>
        <w:t>на 2012</w:t>
      </w:r>
      <w:r w:rsidRPr="00D91A2A">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Pr="00D91A2A">
        <w:rPr>
          <w:rFonts w:ascii="Times New Roman" w:hAnsi="Times New Roman" w:cs="Times New Roman"/>
          <w:sz w:val="28"/>
          <w:szCs w:val="28"/>
        </w:rPr>
        <w:t xml:space="preserve"> и 202</w:t>
      </w:r>
      <w:r>
        <w:rPr>
          <w:rFonts w:ascii="Times New Roman" w:hAnsi="Times New Roman" w:cs="Times New Roman"/>
          <w:sz w:val="28"/>
          <w:szCs w:val="28"/>
        </w:rPr>
        <w:t>2</w:t>
      </w:r>
      <w:r w:rsidRPr="00D91A2A">
        <w:rPr>
          <w:rFonts w:ascii="Times New Roman" w:hAnsi="Times New Roman" w:cs="Times New Roman"/>
          <w:sz w:val="28"/>
          <w:szCs w:val="28"/>
        </w:rPr>
        <w:t xml:space="preserve"> годов»</w:t>
      </w:r>
      <w:r>
        <w:rPr>
          <w:rFonts w:ascii="Times New Roman" w:hAnsi="Times New Roman" w:cs="Times New Roman"/>
          <w:sz w:val="28"/>
          <w:szCs w:val="28"/>
        </w:rPr>
        <w:t>,</w:t>
      </w:r>
      <w:r w:rsidRPr="00D91A2A">
        <w:rPr>
          <w:rFonts w:ascii="Times New Roman" w:hAnsi="Times New Roman" w:cs="Times New Roman"/>
          <w:sz w:val="28"/>
          <w:szCs w:val="28"/>
        </w:rPr>
        <w:t xml:space="preserve"> отсутству</w:t>
      </w:r>
      <w:r>
        <w:rPr>
          <w:rFonts w:ascii="Times New Roman" w:hAnsi="Times New Roman" w:cs="Times New Roman"/>
          <w:sz w:val="28"/>
          <w:szCs w:val="28"/>
        </w:rPr>
        <w:t>е</w:t>
      </w:r>
      <w:r w:rsidRPr="00D91A2A">
        <w:rPr>
          <w:rFonts w:ascii="Times New Roman" w:hAnsi="Times New Roman" w:cs="Times New Roman"/>
          <w:sz w:val="28"/>
          <w:szCs w:val="28"/>
        </w:rPr>
        <w:t>т расчет распределения</w:t>
      </w:r>
      <w:r>
        <w:rPr>
          <w:rFonts w:ascii="Times New Roman" w:hAnsi="Times New Roman" w:cs="Times New Roman"/>
          <w:sz w:val="28"/>
          <w:szCs w:val="28"/>
        </w:rPr>
        <w:t xml:space="preserve"> дотаций на выравнивание бюджетной обеспеченности субъектов Российской Федерации, соответственно нет информации об уровне бюджетной обеспеченности субъектов Российской Федерации на 2022 год. Имеющиеся данные по распределению дотаций на выравнивание бюджетной обеспеченности позволяют сделать вывод о том, что несмотря на увеличение их объемов бюджетная обеспеченность ряда субъектов Российской Федерации снижается. Так, за период 2019-2021 годов снижается уровень </w:t>
      </w:r>
      <w:r>
        <w:rPr>
          <w:rFonts w:ascii="Times New Roman" w:hAnsi="Times New Roman" w:cs="Times New Roman"/>
          <w:sz w:val="28"/>
          <w:szCs w:val="28"/>
        </w:rPr>
        <w:lastRenderedPageBreak/>
        <w:t xml:space="preserve">бюджетной обеспеченности отдельных субъектов Российской Федерации: Тульской области </w:t>
      </w:r>
      <w:r w:rsidRPr="00D91A2A">
        <w:rPr>
          <w:rFonts w:ascii="Times New Roman" w:hAnsi="Times New Roman" w:cs="Times New Roman"/>
          <w:sz w:val="28"/>
          <w:szCs w:val="28"/>
        </w:rPr>
        <w:t>–</w:t>
      </w:r>
      <w:r>
        <w:rPr>
          <w:rFonts w:ascii="Times New Roman" w:hAnsi="Times New Roman" w:cs="Times New Roman"/>
          <w:sz w:val="28"/>
          <w:szCs w:val="28"/>
        </w:rPr>
        <w:t xml:space="preserve"> с 0,939 до 0,934, Удмуртской Республики </w:t>
      </w:r>
      <w:r w:rsidRPr="00D91A2A">
        <w:rPr>
          <w:rFonts w:ascii="Times New Roman" w:hAnsi="Times New Roman" w:cs="Times New Roman"/>
          <w:sz w:val="28"/>
          <w:szCs w:val="28"/>
        </w:rPr>
        <w:t>–</w:t>
      </w:r>
      <w:r>
        <w:rPr>
          <w:rFonts w:ascii="Times New Roman" w:hAnsi="Times New Roman" w:cs="Times New Roman"/>
          <w:sz w:val="28"/>
          <w:szCs w:val="28"/>
        </w:rPr>
        <w:t xml:space="preserve"> с 0,775 до 0,772, Пермского края </w:t>
      </w:r>
      <w:r w:rsidRPr="00D91A2A">
        <w:rPr>
          <w:rFonts w:ascii="Times New Roman" w:hAnsi="Times New Roman" w:cs="Times New Roman"/>
          <w:sz w:val="28"/>
          <w:szCs w:val="28"/>
        </w:rPr>
        <w:t>–</w:t>
      </w:r>
      <w:r>
        <w:rPr>
          <w:rFonts w:ascii="Times New Roman" w:hAnsi="Times New Roman" w:cs="Times New Roman"/>
          <w:sz w:val="28"/>
          <w:szCs w:val="28"/>
        </w:rPr>
        <w:t xml:space="preserve"> с 0,924 до 0,919, Ульяновской области </w:t>
      </w:r>
      <w:r w:rsidRPr="00D91A2A">
        <w:rPr>
          <w:rFonts w:ascii="Times New Roman" w:hAnsi="Times New Roman" w:cs="Times New Roman"/>
          <w:sz w:val="28"/>
          <w:szCs w:val="28"/>
        </w:rPr>
        <w:t>–</w:t>
      </w:r>
      <w:r>
        <w:rPr>
          <w:rFonts w:ascii="Times New Roman" w:hAnsi="Times New Roman" w:cs="Times New Roman"/>
          <w:sz w:val="28"/>
          <w:szCs w:val="28"/>
        </w:rPr>
        <w:t xml:space="preserve"> с 0,804 до 0,799, Красноярского края </w:t>
      </w:r>
      <w:r w:rsidRPr="00D91A2A">
        <w:rPr>
          <w:rFonts w:ascii="Times New Roman" w:hAnsi="Times New Roman" w:cs="Times New Roman"/>
          <w:sz w:val="28"/>
          <w:szCs w:val="28"/>
        </w:rPr>
        <w:t>–</w:t>
      </w:r>
      <w:r>
        <w:rPr>
          <w:rFonts w:ascii="Times New Roman" w:hAnsi="Times New Roman" w:cs="Times New Roman"/>
          <w:sz w:val="28"/>
          <w:szCs w:val="28"/>
        </w:rPr>
        <w:t xml:space="preserve"> с 0,970 до 0,963, Омской области </w:t>
      </w:r>
      <w:r w:rsidRPr="00D91A2A">
        <w:rPr>
          <w:rFonts w:ascii="Times New Roman" w:hAnsi="Times New Roman" w:cs="Times New Roman"/>
          <w:sz w:val="28"/>
          <w:szCs w:val="28"/>
        </w:rPr>
        <w:t>–</w:t>
      </w:r>
      <w:r>
        <w:rPr>
          <w:rFonts w:ascii="Times New Roman" w:hAnsi="Times New Roman" w:cs="Times New Roman"/>
          <w:sz w:val="28"/>
          <w:szCs w:val="28"/>
        </w:rPr>
        <w:t xml:space="preserve"> с 0,673 до 0,669, Республики Саха </w:t>
      </w:r>
      <w:r w:rsidRPr="00D91A2A">
        <w:rPr>
          <w:rFonts w:ascii="Times New Roman" w:hAnsi="Times New Roman" w:cs="Times New Roman"/>
          <w:sz w:val="28"/>
          <w:szCs w:val="28"/>
        </w:rPr>
        <w:t>–</w:t>
      </w:r>
      <w:r>
        <w:rPr>
          <w:rFonts w:ascii="Times New Roman" w:hAnsi="Times New Roman" w:cs="Times New Roman"/>
          <w:sz w:val="28"/>
          <w:szCs w:val="28"/>
        </w:rPr>
        <w:t xml:space="preserve"> с 0,510 до 0,499, Магаданской области </w:t>
      </w:r>
      <w:r w:rsidRPr="00D91A2A">
        <w:rPr>
          <w:rFonts w:ascii="Times New Roman" w:hAnsi="Times New Roman" w:cs="Times New Roman"/>
          <w:sz w:val="28"/>
          <w:szCs w:val="28"/>
        </w:rPr>
        <w:t>–</w:t>
      </w:r>
      <w:r>
        <w:rPr>
          <w:rFonts w:ascii="Times New Roman" w:hAnsi="Times New Roman" w:cs="Times New Roman"/>
          <w:sz w:val="28"/>
          <w:szCs w:val="28"/>
        </w:rPr>
        <w:t xml:space="preserve"> с 0,600 до 0,590, Чукотского автономного округа </w:t>
      </w:r>
      <w:r w:rsidRPr="00D91A2A">
        <w:rPr>
          <w:rFonts w:ascii="Times New Roman" w:hAnsi="Times New Roman" w:cs="Times New Roman"/>
          <w:sz w:val="28"/>
          <w:szCs w:val="28"/>
        </w:rPr>
        <w:t>–</w:t>
      </w:r>
      <w:r>
        <w:rPr>
          <w:rFonts w:ascii="Times New Roman" w:hAnsi="Times New Roman" w:cs="Times New Roman"/>
          <w:sz w:val="28"/>
          <w:szCs w:val="28"/>
        </w:rPr>
        <w:t xml:space="preserve"> с 0,370 до 0,360. Это свидетельствует о том, что применительно к данным субъектам Российской Федерации не обеспечивается достижение цели 10 в области устойчивого развития </w:t>
      </w:r>
      <w:r w:rsidRPr="00D91A2A">
        <w:rPr>
          <w:rFonts w:ascii="Times New Roman" w:hAnsi="Times New Roman" w:cs="Times New Roman"/>
          <w:sz w:val="28"/>
          <w:szCs w:val="28"/>
        </w:rPr>
        <w:t>–</w:t>
      </w:r>
      <w:r>
        <w:rPr>
          <w:rFonts w:ascii="Times New Roman" w:hAnsi="Times New Roman" w:cs="Times New Roman"/>
          <w:sz w:val="28"/>
          <w:szCs w:val="28"/>
        </w:rPr>
        <w:t xml:space="preserve"> уменьшение неравенства.</w:t>
      </w:r>
    </w:p>
    <w:p w14:paraId="171B8700" w14:textId="7BBCD60D" w:rsidR="004A6502" w:rsidRPr="00D91A2A" w:rsidRDefault="004A6502" w:rsidP="004A650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D91A2A">
        <w:rPr>
          <w:rFonts w:ascii="Times New Roman" w:hAnsi="Times New Roman" w:cs="Times New Roman"/>
          <w:sz w:val="28"/>
          <w:szCs w:val="28"/>
        </w:rPr>
        <w:t>з общего объема межбюджетных трансфертов</w:t>
      </w:r>
      <w:r>
        <w:rPr>
          <w:rFonts w:ascii="Times New Roman" w:hAnsi="Times New Roman" w:cs="Times New Roman"/>
          <w:sz w:val="28"/>
          <w:szCs w:val="28"/>
        </w:rPr>
        <w:t xml:space="preserve">, предусмотренных бюджетам субъектов Российской Федерации и бюджету города Байконура (приложение 32), распределено между бюджетами соответствующих субъектов Российской Федерации и бюджетом города Байконур согласно законопроекту (приложение 34) менее 50% (таблица </w:t>
      </w:r>
      <w:r w:rsidRPr="00640C8F">
        <w:rPr>
          <w:rFonts w:ascii="Times New Roman" w:hAnsi="Times New Roman" w:cs="Times New Roman"/>
          <w:sz w:val="28"/>
          <w:szCs w:val="28"/>
        </w:rPr>
        <w:t>1</w:t>
      </w:r>
      <w:r w:rsidR="00A437A7">
        <w:rPr>
          <w:rFonts w:ascii="Times New Roman" w:hAnsi="Times New Roman" w:cs="Times New Roman"/>
          <w:sz w:val="28"/>
          <w:szCs w:val="28"/>
        </w:rPr>
        <w:t>5</w:t>
      </w:r>
      <w:r>
        <w:rPr>
          <w:rFonts w:ascii="Times New Roman" w:hAnsi="Times New Roman" w:cs="Times New Roman"/>
          <w:sz w:val="28"/>
          <w:szCs w:val="28"/>
        </w:rPr>
        <w:t>), в том числе отсутствует распределение дотаций на выравнивание бюджетной обеспеченности субъектов Российской Федерации.</w:t>
      </w:r>
    </w:p>
    <w:p w14:paraId="1616D58E" w14:textId="1F9BE717" w:rsidR="004A6502" w:rsidRPr="005418BE" w:rsidRDefault="004A6502" w:rsidP="004A6502">
      <w:pPr>
        <w:spacing w:line="360" w:lineRule="auto"/>
        <w:ind w:firstLine="709"/>
        <w:jc w:val="both"/>
        <w:rPr>
          <w:rFonts w:ascii="Times New Roman" w:hAnsi="Times New Roman" w:cs="Times New Roman"/>
          <w:sz w:val="28"/>
          <w:szCs w:val="28"/>
        </w:rPr>
      </w:pPr>
      <w:r w:rsidRPr="00640C8F">
        <w:rPr>
          <w:rFonts w:ascii="Times New Roman" w:hAnsi="Times New Roman" w:cs="Times New Roman"/>
          <w:sz w:val="28"/>
          <w:szCs w:val="28"/>
        </w:rPr>
        <w:t>Таблица 1</w:t>
      </w:r>
      <w:r w:rsidR="006C5FDD">
        <w:rPr>
          <w:rFonts w:ascii="Times New Roman" w:hAnsi="Times New Roman" w:cs="Times New Roman"/>
          <w:sz w:val="28"/>
          <w:szCs w:val="28"/>
        </w:rPr>
        <w:t>5</w:t>
      </w:r>
      <w:r w:rsidR="00640C8F">
        <w:rPr>
          <w:rFonts w:ascii="Times New Roman" w:hAnsi="Times New Roman" w:cs="Times New Roman"/>
          <w:sz w:val="28"/>
          <w:szCs w:val="28"/>
        </w:rPr>
        <w:t xml:space="preserve"> –</w:t>
      </w:r>
      <w:r w:rsidRPr="005418BE">
        <w:rPr>
          <w:rFonts w:ascii="Times New Roman" w:hAnsi="Times New Roman" w:cs="Times New Roman"/>
          <w:sz w:val="28"/>
          <w:szCs w:val="28"/>
        </w:rPr>
        <w:t xml:space="preserve">Доля межбюджетных трансфертов бюджетам </w:t>
      </w:r>
      <w:r>
        <w:rPr>
          <w:rFonts w:ascii="Times New Roman" w:hAnsi="Times New Roman" w:cs="Times New Roman"/>
          <w:sz w:val="28"/>
          <w:szCs w:val="28"/>
        </w:rPr>
        <w:t>субъектов Российской Федерации и бюджету города Байконура</w:t>
      </w:r>
      <w:r w:rsidRPr="005418BE">
        <w:rPr>
          <w:rFonts w:ascii="Times New Roman" w:hAnsi="Times New Roman" w:cs="Times New Roman"/>
          <w:sz w:val="28"/>
          <w:szCs w:val="28"/>
        </w:rPr>
        <w:t xml:space="preserve">, </w:t>
      </w:r>
      <w:r>
        <w:rPr>
          <w:rFonts w:ascii="Times New Roman" w:hAnsi="Times New Roman" w:cs="Times New Roman"/>
          <w:sz w:val="28"/>
          <w:szCs w:val="28"/>
        </w:rPr>
        <w:t>распределенных законопроектом</w:t>
      </w:r>
    </w:p>
    <w:tbl>
      <w:tblPr>
        <w:tblStyle w:val="af3"/>
        <w:tblW w:w="9351" w:type="dxa"/>
        <w:tblLook w:val="04A0" w:firstRow="1" w:lastRow="0" w:firstColumn="1" w:lastColumn="0" w:noHBand="0" w:noVBand="1"/>
      </w:tblPr>
      <w:tblGrid>
        <w:gridCol w:w="5098"/>
        <w:gridCol w:w="1418"/>
        <w:gridCol w:w="1417"/>
        <w:gridCol w:w="1418"/>
      </w:tblGrid>
      <w:tr w:rsidR="004A6502" w:rsidRPr="00620B5D" w14:paraId="10406323" w14:textId="77777777" w:rsidTr="009E21A6">
        <w:tc>
          <w:tcPr>
            <w:tcW w:w="5098" w:type="dxa"/>
          </w:tcPr>
          <w:p w14:paraId="050B782A" w14:textId="77777777" w:rsidR="004A6502" w:rsidRPr="00620B5D" w:rsidRDefault="004A6502" w:rsidP="009E21A6">
            <w:pPr>
              <w:jc w:val="center"/>
              <w:rPr>
                <w:rFonts w:ascii="Times New Roman" w:hAnsi="Times New Roman" w:cs="Times New Roman"/>
                <w:sz w:val="28"/>
                <w:szCs w:val="28"/>
              </w:rPr>
            </w:pPr>
            <w:r w:rsidRPr="00620B5D">
              <w:rPr>
                <w:rFonts w:ascii="Times New Roman" w:hAnsi="Times New Roman" w:cs="Times New Roman"/>
                <w:sz w:val="28"/>
                <w:szCs w:val="28"/>
              </w:rPr>
              <w:t>Показатели</w:t>
            </w:r>
          </w:p>
        </w:tc>
        <w:tc>
          <w:tcPr>
            <w:tcW w:w="1418" w:type="dxa"/>
          </w:tcPr>
          <w:p w14:paraId="240D92FD" w14:textId="77777777" w:rsidR="004A6502" w:rsidRPr="00620B5D" w:rsidRDefault="004A6502" w:rsidP="009E21A6">
            <w:pPr>
              <w:jc w:val="center"/>
              <w:rPr>
                <w:rFonts w:ascii="Times New Roman" w:hAnsi="Times New Roman" w:cs="Times New Roman"/>
                <w:sz w:val="28"/>
                <w:szCs w:val="28"/>
              </w:rPr>
            </w:pPr>
            <w:r w:rsidRPr="00620B5D">
              <w:rPr>
                <w:rFonts w:ascii="Times New Roman" w:hAnsi="Times New Roman" w:cs="Times New Roman"/>
                <w:sz w:val="28"/>
                <w:szCs w:val="28"/>
              </w:rPr>
              <w:t>2020</w:t>
            </w:r>
          </w:p>
        </w:tc>
        <w:tc>
          <w:tcPr>
            <w:tcW w:w="1417" w:type="dxa"/>
          </w:tcPr>
          <w:p w14:paraId="37CCC270" w14:textId="77777777" w:rsidR="004A6502" w:rsidRPr="00620B5D" w:rsidRDefault="004A6502" w:rsidP="009E21A6">
            <w:pPr>
              <w:jc w:val="center"/>
              <w:rPr>
                <w:rFonts w:ascii="Times New Roman" w:hAnsi="Times New Roman" w:cs="Times New Roman"/>
                <w:sz w:val="28"/>
                <w:szCs w:val="28"/>
              </w:rPr>
            </w:pPr>
            <w:r w:rsidRPr="00620B5D">
              <w:rPr>
                <w:rFonts w:ascii="Times New Roman" w:hAnsi="Times New Roman" w:cs="Times New Roman"/>
                <w:sz w:val="28"/>
                <w:szCs w:val="28"/>
              </w:rPr>
              <w:t>2021</w:t>
            </w:r>
          </w:p>
        </w:tc>
        <w:tc>
          <w:tcPr>
            <w:tcW w:w="1418" w:type="dxa"/>
          </w:tcPr>
          <w:p w14:paraId="454C03F3" w14:textId="77777777" w:rsidR="004A6502" w:rsidRPr="00620B5D" w:rsidRDefault="004A6502" w:rsidP="009E21A6">
            <w:pPr>
              <w:jc w:val="center"/>
              <w:rPr>
                <w:rFonts w:ascii="Times New Roman" w:hAnsi="Times New Roman" w:cs="Times New Roman"/>
                <w:sz w:val="28"/>
                <w:szCs w:val="28"/>
              </w:rPr>
            </w:pPr>
            <w:r w:rsidRPr="00620B5D">
              <w:rPr>
                <w:rFonts w:ascii="Times New Roman" w:hAnsi="Times New Roman" w:cs="Times New Roman"/>
                <w:sz w:val="28"/>
                <w:szCs w:val="28"/>
              </w:rPr>
              <w:t>2022</w:t>
            </w:r>
          </w:p>
        </w:tc>
      </w:tr>
      <w:tr w:rsidR="004A6502" w:rsidRPr="00620B5D" w14:paraId="7AFC4EC4" w14:textId="77777777" w:rsidTr="009E21A6">
        <w:tc>
          <w:tcPr>
            <w:tcW w:w="5098" w:type="dxa"/>
          </w:tcPr>
          <w:p w14:paraId="1127F1BC" w14:textId="77777777" w:rsidR="004A6502" w:rsidRPr="00620B5D" w:rsidRDefault="004A6502" w:rsidP="009E21A6">
            <w:pPr>
              <w:jc w:val="both"/>
              <w:rPr>
                <w:rFonts w:ascii="Times New Roman" w:hAnsi="Times New Roman" w:cs="Times New Roman"/>
                <w:sz w:val="28"/>
                <w:szCs w:val="28"/>
              </w:rPr>
            </w:pPr>
            <w:r w:rsidRPr="00620B5D">
              <w:rPr>
                <w:rFonts w:ascii="Times New Roman" w:hAnsi="Times New Roman" w:cs="Times New Roman"/>
                <w:sz w:val="28"/>
                <w:szCs w:val="28"/>
              </w:rPr>
              <w:t>Общий объем межбюджетных трансфертов, предоставляемых из федерального бюджета</w:t>
            </w:r>
            <w:r>
              <w:rPr>
                <w:rFonts w:ascii="Times New Roman" w:hAnsi="Times New Roman" w:cs="Times New Roman"/>
                <w:sz w:val="28"/>
                <w:szCs w:val="28"/>
              </w:rPr>
              <w:t>, млрд</w:t>
            </w:r>
            <w:r w:rsidRPr="00620B5D">
              <w:rPr>
                <w:rFonts w:ascii="Times New Roman" w:hAnsi="Times New Roman" w:cs="Times New Roman"/>
                <w:sz w:val="28"/>
                <w:szCs w:val="28"/>
              </w:rPr>
              <w:t>. руб.</w:t>
            </w:r>
          </w:p>
        </w:tc>
        <w:tc>
          <w:tcPr>
            <w:tcW w:w="1418" w:type="dxa"/>
          </w:tcPr>
          <w:p w14:paraId="44717FBB" w14:textId="77777777" w:rsidR="004A6502" w:rsidRPr="00620B5D" w:rsidRDefault="004A6502" w:rsidP="009E21A6">
            <w:pPr>
              <w:jc w:val="center"/>
              <w:rPr>
                <w:rFonts w:ascii="Times New Roman" w:hAnsi="Times New Roman" w:cs="Times New Roman"/>
                <w:sz w:val="28"/>
                <w:szCs w:val="28"/>
              </w:rPr>
            </w:pPr>
            <w:r w:rsidRPr="00620B5D">
              <w:rPr>
                <w:rFonts w:ascii="Times New Roman" w:hAnsi="Times New Roman" w:cs="Times New Roman"/>
                <w:sz w:val="28"/>
                <w:szCs w:val="28"/>
              </w:rPr>
              <w:t>2 552,4</w:t>
            </w:r>
          </w:p>
        </w:tc>
        <w:tc>
          <w:tcPr>
            <w:tcW w:w="1417" w:type="dxa"/>
          </w:tcPr>
          <w:p w14:paraId="513DF8E2" w14:textId="77777777" w:rsidR="004A6502" w:rsidRPr="00620B5D" w:rsidRDefault="004A6502" w:rsidP="009E21A6">
            <w:pPr>
              <w:jc w:val="center"/>
              <w:rPr>
                <w:rFonts w:ascii="Times New Roman" w:hAnsi="Times New Roman" w:cs="Times New Roman"/>
                <w:sz w:val="28"/>
                <w:szCs w:val="28"/>
              </w:rPr>
            </w:pPr>
            <w:r w:rsidRPr="00620B5D">
              <w:rPr>
                <w:rFonts w:ascii="Times New Roman" w:hAnsi="Times New Roman" w:cs="Times New Roman"/>
                <w:sz w:val="28"/>
                <w:szCs w:val="28"/>
              </w:rPr>
              <w:t>2 566,4</w:t>
            </w:r>
          </w:p>
        </w:tc>
        <w:tc>
          <w:tcPr>
            <w:tcW w:w="1418" w:type="dxa"/>
          </w:tcPr>
          <w:p w14:paraId="5181C8AC" w14:textId="77777777" w:rsidR="004A6502" w:rsidRPr="00620B5D" w:rsidRDefault="004A6502" w:rsidP="009E21A6">
            <w:pPr>
              <w:jc w:val="center"/>
              <w:rPr>
                <w:rFonts w:ascii="Times New Roman" w:hAnsi="Times New Roman" w:cs="Times New Roman"/>
                <w:sz w:val="28"/>
                <w:szCs w:val="28"/>
              </w:rPr>
            </w:pPr>
            <w:r w:rsidRPr="00620B5D">
              <w:rPr>
                <w:rFonts w:ascii="Times New Roman" w:hAnsi="Times New Roman" w:cs="Times New Roman"/>
                <w:sz w:val="28"/>
                <w:szCs w:val="28"/>
              </w:rPr>
              <w:t>2482,9</w:t>
            </w:r>
          </w:p>
        </w:tc>
      </w:tr>
      <w:tr w:rsidR="004A6502" w:rsidRPr="00620B5D" w14:paraId="0BCC57E0" w14:textId="77777777" w:rsidTr="009E21A6">
        <w:tc>
          <w:tcPr>
            <w:tcW w:w="5098" w:type="dxa"/>
          </w:tcPr>
          <w:p w14:paraId="3C669EB4" w14:textId="77777777" w:rsidR="004A6502" w:rsidRPr="00620B5D" w:rsidRDefault="004A6502" w:rsidP="009E21A6">
            <w:pPr>
              <w:jc w:val="both"/>
              <w:rPr>
                <w:rFonts w:ascii="Times New Roman" w:hAnsi="Times New Roman" w:cs="Times New Roman"/>
                <w:sz w:val="28"/>
                <w:szCs w:val="28"/>
              </w:rPr>
            </w:pPr>
            <w:r w:rsidRPr="00620B5D">
              <w:rPr>
                <w:rFonts w:ascii="Times New Roman" w:hAnsi="Times New Roman" w:cs="Times New Roman"/>
                <w:sz w:val="28"/>
                <w:szCs w:val="28"/>
              </w:rPr>
              <w:t>Объем распределенных межбюджетных трансфертов, млрд. руб.</w:t>
            </w:r>
          </w:p>
        </w:tc>
        <w:tc>
          <w:tcPr>
            <w:tcW w:w="1418" w:type="dxa"/>
          </w:tcPr>
          <w:p w14:paraId="47E32FA3" w14:textId="77777777" w:rsidR="004A6502" w:rsidRPr="00620B5D" w:rsidRDefault="004A6502" w:rsidP="009E21A6">
            <w:pPr>
              <w:jc w:val="center"/>
              <w:rPr>
                <w:rFonts w:ascii="Times New Roman" w:hAnsi="Times New Roman" w:cs="Times New Roman"/>
                <w:sz w:val="28"/>
                <w:szCs w:val="28"/>
              </w:rPr>
            </w:pPr>
            <w:r>
              <w:rPr>
                <w:rFonts w:ascii="Times New Roman" w:hAnsi="Times New Roman" w:cs="Times New Roman"/>
                <w:sz w:val="28"/>
                <w:szCs w:val="28"/>
              </w:rPr>
              <w:t>1 258,5</w:t>
            </w:r>
          </w:p>
        </w:tc>
        <w:tc>
          <w:tcPr>
            <w:tcW w:w="1417" w:type="dxa"/>
          </w:tcPr>
          <w:p w14:paraId="71A76EA8" w14:textId="77777777" w:rsidR="004A6502" w:rsidRPr="00620B5D" w:rsidRDefault="004A6502" w:rsidP="009E21A6">
            <w:pPr>
              <w:jc w:val="center"/>
              <w:rPr>
                <w:rFonts w:ascii="Times New Roman" w:hAnsi="Times New Roman" w:cs="Times New Roman"/>
                <w:sz w:val="28"/>
                <w:szCs w:val="28"/>
              </w:rPr>
            </w:pPr>
            <w:r>
              <w:rPr>
                <w:rFonts w:ascii="Times New Roman" w:hAnsi="Times New Roman" w:cs="Times New Roman"/>
                <w:sz w:val="28"/>
                <w:szCs w:val="28"/>
              </w:rPr>
              <w:t>1 178,0</w:t>
            </w:r>
          </w:p>
        </w:tc>
        <w:tc>
          <w:tcPr>
            <w:tcW w:w="1418" w:type="dxa"/>
          </w:tcPr>
          <w:p w14:paraId="3F4D1932" w14:textId="77777777" w:rsidR="004A6502" w:rsidRPr="00620B5D" w:rsidRDefault="004A6502" w:rsidP="009E21A6">
            <w:pPr>
              <w:jc w:val="center"/>
              <w:rPr>
                <w:rFonts w:ascii="Times New Roman" w:hAnsi="Times New Roman" w:cs="Times New Roman"/>
                <w:sz w:val="28"/>
                <w:szCs w:val="28"/>
              </w:rPr>
            </w:pPr>
            <w:r>
              <w:rPr>
                <w:rFonts w:ascii="Times New Roman" w:hAnsi="Times New Roman" w:cs="Times New Roman"/>
                <w:sz w:val="28"/>
                <w:szCs w:val="28"/>
              </w:rPr>
              <w:t>1 092,3</w:t>
            </w:r>
          </w:p>
        </w:tc>
      </w:tr>
      <w:tr w:rsidR="004A6502" w:rsidRPr="00620B5D" w14:paraId="00B1E751" w14:textId="77777777" w:rsidTr="009E21A6">
        <w:tc>
          <w:tcPr>
            <w:tcW w:w="5098" w:type="dxa"/>
          </w:tcPr>
          <w:p w14:paraId="3953F581" w14:textId="77777777" w:rsidR="004A6502" w:rsidRPr="00620B5D" w:rsidRDefault="004A6502" w:rsidP="009E21A6">
            <w:pPr>
              <w:jc w:val="both"/>
              <w:rPr>
                <w:rFonts w:ascii="Times New Roman" w:hAnsi="Times New Roman" w:cs="Times New Roman"/>
                <w:sz w:val="28"/>
                <w:szCs w:val="28"/>
              </w:rPr>
            </w:pPr>
            <w:r w:rsidRPr="00620B5D">
              <w:rPr>
                <w:rFonts w:ascii="Times New Roman" w:hAnsi="Times New Roman" w:cs="Times New Roman"/>
                <w:sz w:val="28"/>
                <w:szCs w:val="28"/>
              </w:rPr>
              <w:t>Доля распределенных межбюджетных трансфертов</w:t>
            </w:r>
            <w:r>
              <w:rPr>
                <w:rFonts w:ascii="Times New Roman" w:hAnsi="Times New Roman" w:cs="Times New Roman"/>
                <w:sz w:val="28"/>
                <w:szCs w:val="28"/>
              </w:rPr>
              <w:t xml:space="preserve"> в общем объеме межбюджетных трансфертов</w:t>
            </w:r>
            <w:r w:rsidRPr="00620B5D">
              <w:rPr>
                <w:rFonts w:ascii="Times New Roman" w:hAnsi="Times New Roman" w:cs="Times New Roman"/>
                <w:sz w:val="28"/>
                <w:szCs w:val="28"/>
              </w:rPr>
              <w:t>, %</w:t>
            </w:r>
          </w:p>
        </w:tc>
        <w:tc>
          <w:tcPr>
            <w:tcW w:w="1418" w:type="dxa"/>
          </w:tcPr>
          <w:p w14:paraId="64FE3A7D" w14:textId="77777777" w:rsidR="004A6502" w:rsidRPr="00620B5D" w:rsidRDefault="004A6502" w:rsidP="009E21A6">
            <w:pPr>
              <w:jc w:val="center"/>
              <w:rPr>
                <w:rFonts w:ascii="Times New Roman" w:hAnsi="Times New Roman" w:cs="Times New Roman"/>
                <w:sz w:val="28"/>
                <w:szCs w:val="28"/>
              </w:rPr>
            </w:pPr>
            <w:r w:rsidRPr="00620B5D">
              <w:rPr>
                <w:rFonts w:ascii="Times New Roman" w:hAnsi="Times New Roman" w:cs="Times New Roman"/>
                <w:sz w:val="28"/>
                <w:szCs w:val="28"/>
              </w:rPr>
              <w:t>49</w:t>
            </w:r>
            <w:r>
              <w:rPr>
                <w:rFonts w:ascii="Times New Roman" w:hAnsi="Times New Roman" w:cs="Times New Roman"/>
                <w:sz w:val="28"/>
                <w:szCs w:val="28"/>
              </w:rPr>
              <w:t>,3</w:t>
            </w:r>
          </w:p>
        </w:tc>
        <w:tc>
          <w:tcPr>
            <w:tcW w:w="1417" w:type="dxa"/>
          </w:tcPr>
          <w:p w14:paraId="0816CB71" w14:textId="77777777" w:rsidR="004A6502" w:rsidRPr="00620B5D" w:rsidRDefault="004A6502" w:rsidP="009E21A6">
            <w:pPr>
              <w:jc w:val="center"/>
              <w:rPr>
                <w:rFonts w:ascii="Times New Roman" w:hAnsi="Times New Roman" w:cs="Times New Roman"/>
                <w:sz w:val="28"/>
                <w:szCs w:val="28"/>
              </w:rPr>
            </w:pPr>
            <w:r>
              <w:rPr>
                <w:rFonts w:ascii="Times New Roman" w:hAnsi="Times New Roman" w:cs="Times New Roman"/>
                <w:sz w:val="28"/>
                <w:szCs w:val="28"/>
              </w:rPr>
              <w:t>45,9</w:t>
            </w:r>
          </w:p>
        </w:tc>
        <w:tc>
          <w:tcPr>
            <w:tcW w:w="1418" w:type="dxa"/>
          </w:tcPr>
          <w:p w14:paraId="6D877574" w14:textId="77777777" w:rsidR="004A6502" w:rsidRPr="00620B5D" w:rsidRDefault="004A6502" w:rsidP="009E21A6">
            <w:pPr>
              <w:jc w:val="center"/>
              <w:rPr>
                <w:rFonts w:ascii="Times New Roman" w:hAnsi="Times New Roman" w:cs="Times New Roman"/>
                <w:sz w:val="28"/>
                <w:szCs w:val="28"/>
              </w:rPr>
            </w:pPr>
            <w:r>
              <w:rPr>
                <w:rFonts w:ascii="Times New Roman" w:hAnsi="Times New Roman" w:cs="Times New Roman"/>
                <w:sz w:val="28"/>
                <w:szCs w:val="28"/>
              </w:rPr>
              <w:t>44,0</w:t>
            </w:r>
          </w:p>
        </w:tc>
      </w:tr>
    </w:tbl>
    <w:p w14:paraId="4403D1C9" w14:textId="77777777" w:rsidR="004A6502" w:rsidRPr="00620B5D" w:rsidRDefault="004A6502" w:rsidP="004A6502">
      <w:pPr>
        <w:tabs>
          <w:tab w:val="left" w:pos="3660"/>
        </w:tabs>
        <w:spacing w:line="360" w:lineRule="auto"/>
        <w:ind w:firstLine="709"/>
        <w:jc w:val="both"/>
        <w:rPr>
          <w:rFonts w:ascii="Times New Roman" w:hAnsi="Times New Roman" w:cs="Times New Roman"/>
          <w:sz w:val="28"/>
          <w:szCs w:val="28"/>
        </w:rPr>
      </w:pPr>
    </w:p>
    <w:p w14:paraId="6193F12C" w14:textId="77777777" w:rsidR="004A6502" w:rsidRPr="00D91A2A" w:rsidRDefault="004A6502" w:rsidP="004A6502">
      <w:pPr>
        <w:pStyle w:val="ac"/>
        <w:spacing w:line="360" w:lineRule="auto"/>
        <w:ind w:left="0" w:firstLine="709"/>
        <w:contextualSpacing w:val="0"/>
        <w:jc w:val="both"/>
        <w:rPr>
          <w:szCs w:val="28"/>
        </w:rPr>
      </w:pPr>
      <w:r w:rsidRPr="00D91A2A">
        <w:rPr>
          <w:szCs w:val="28"/>
        </w:rPr>
        <w:t>Из приведенных данных следует, что поставленн</w:t>
      </w:r>
      <w:r>
        <w:rPr>
          <w:szCs w:val="28"/>
        </w:rPr>
        <w:t>ая</w:t>
      </w:r>
      <w:r w:rsidRPr="00D91A2A">
        <w:rPr>
          <w:szCs w:val="28"/>
        </w:rPr>
        <w:t xml:space="preserve"> </w:t>
      </w:r>
      <w:r>
        <w:rPr>
          <w:szCs w:val="28"/>
        </w:rPr>
        <w:t xml:space="preserve">еще </w:t>
      </w:r>
      <w:r w:rsidRPr="00D91A2A">
        <w:rPr>
          <w:szCs w:val="28"/>
        </w:rPr>
        <w:t>в Основных направлениях бюджетной, налоговой и таможенно-тарифной политики на 2019 год и на плановый период 2020 и 2021 годов задач</w:t>
      </w:r>
      <w:r>
        <w:rPr>
          <w:szCs w:val="28"/>
        </w:rPr>
        <w:t>а</w:t>
      </w:r>
      <w:r w:rsidRPr="00D91A2A">
        <w:rPr>
          <w:szCs w:val="28"/>
        </w:rPr>
        <w:t xml:space="preserve"> распределения </w:t>
      </w:r>
      <w:r w:rsidRPr="00D91A2A">
        <w:rPr>
          <w:szCs w:val="28"/>
        </w:rPr>
        <w:lastRenderedPageBreak/>
        <w:t>федеральным законом о бюджете на очередной финансовый год всех субсидий и максимального количества иных межбюджетных трансфертов, обеспечени</w:t>
      </w:r>
      <w:r>
        <w:rPr>
          <w:szCs w:val="28"/>
        </w:rPr>
        <w:t>я</w:t>
      </w:r>
      <w:r w:rsidRPr="00D91A2A">
        <w:rPr>
          <w:szCs w:val="28"/>
        </w:rPr>
        <w:t xml:space="preserve"> роста количества распределенных субсидий и иных межбюджетных трансфертов на плановый период</w:t>
      </w:r>
      <w:r>
        <w:rPr>
          <w:szCs w:val="28"/>
        </w:rPr>
        <w:t xml:space="preserve">, а также определенная </w:t>
      </w:r>
      <w:r w:rsidRPr="00D91A2A">
        <w:rPr>
          <w:szCs w:val="28"/>
        </w:rPr>
        <w:t>Основны</w:t>
      </w:r>
      <w:r>
        <w:rPr>
          <w:szCs w:val="28"/>
        </w:rPr>
        <w:t>ми</w:t>
      </w:r>
      <w:r w:rsidRPr="00D91A2A">
        <w:rPr>
          <w:szCs w:val="28"/>
        </w:rPr>
        <w:t xml:space="preserve"> направления</w:t>
      </w:r>
      <w:r>
        <w:rPr>
          <w:szCs w:val="28"/>
        </w:rPr>
        <w:t>ми</w:t>
      </w:r>
      <w:r w:rsidRPr="00D91A2A">
        <w:rPr>
          <w:szCs w:val="28"/>
        </w:rPr>
        <w:t xml:space="preserve"> бюджетной, налоговой и таможенно-тарифной политики на 20</w:t>
      </w:r>
      <w:r>
        <w:rPr>
          <w:szCs w:val="28"/>
        </w:rPr>
        <w:t>20</w:t>
      </w:r>
      <w:r w:rsidRPr="00D91A2A">
        <w:rPr>
          <w:szCs w:val="28"/>
        </w:rPr>
        <w:t xml:space="preserve"> год и на плановый период 202</w:t>
      </w:r>
      <w:r>
        <w:rPr>
          <w:szCs w:val="28"/>
        </w:rPr>
        <w:t>1</w:t>
      </w:r>
      <w:r w:rsidRPr="00D91A2A">
        <w:rPr>
          <w:szCs w:val="28"/>
        </w:rPr>
        <w:t xml:space="preserve"> и 202</w:t>
      </w:r>
      <w:r>
        <w:rPr>
          <w:szCs w:val="28"/>
        </w:rPr>
        <w:t>2</w:t>
      </w:r>
      <w:r w:rsidRPr="00D91A2A">
        <w:rPr>
          <w:szCs w:val="28"/>
        </w:rPr>
        <w:t xml:space="preserve"> годов </w:t>
      </w:r>
      <w:r>
        <w:rPr>
          <w:szCs w:val="28"/>
        </w:rPr>
        <w:t>задача</w:t>
      </w:r>
      <w:r w:rsidRPr="00C33EED">
        <w:rPr>
          <w:szCs w:val="28"/>
        </w:rPr>
        <w:t xml:space="preserve"> расширения «горизонтов» планирования путем распределения межбюджетных трансфертов на трехлетний период решается</w:t>
      </w:r>
      <w:r>
        <w:rPr>
          <w:szCs w:val="28"/>
        </w:rPr>
        <w:t xml:space="preserve"> не в полном</w:t>
      </w:r>
      <w:r w:rsidRPr="00D91A2A">
        <w:rPr>
          <w:szCs w:val="28"/>
        </w:rPr>
        <w:t xml:space="preserve"> </w:t>
      </w:r>
      <w:r>
        <w:rPr>
          <w:szCs w:val="28"/>
        </w:rPr>
        <w:t>объеме.</w:t>
      </w:r>
      <w:r w:rsidRPr="00D91A2A">
        <w:rPr>
          <w:szCs w:val="28"/>
        </w:rPr>
        <w:t xml:space="preserve"> </w:t>
      </w:r>
      <w:r>
        <w:rPr>
          <w:szCs w:val="28"/>
        </w:rPr>
        <w:t>Э</w:t>
      </w:r>
      <w:r w:rsidRPr="00D91A2A">
        <w:rPr>
          <w:szCs w:val="28"/>
        </w:rPr>
        <w:t xml:space="preserve">то в свою очередь не способствует созданию условий, обеспечивающих </w:t>
      </w:r>
      <w:r>
        <w:rPr>
          <w:szCs w:val="28"/>
        </w:rPr>
        <w:t>повышение прозрачности и предсказуемости планирования межбюджетных трансфертов, в том числе направленных на реализацию национальных проектов и государственных программ, как одной из задач государственной политики, поставленной в Концепции повышения эффективности бюджетных расходов в 2019-2024 годах, утвержденной Распоряжением Правительства Российской Федерации от 31.01.2019 № 117-р. Кроме того, распределение значительного объема межбюджетных трансфертов в течение финансового года может приводить к образованию неиспользованных остатков бюджетных ассигнований.</w:t>
      </w:r>
    </w:p>
    <w:p w14:paraId="2D4F843A" w14:textId="77777777" w:rsidR="004A6502" w:rsidRDefault="004A6502" w:rsidP="00E1515B">
      <w:pPr>
        <w:autoSpaceDE w:val="0"/>
        <w:autoSpaceDN w:val="0"/>
        <w:adjustRightInd w:val="0"/>
        <w:spacing w:line="360" w:lineRule="auto"/>
        <w:ind w:firstLine="709"/>
        <w:jc w:val="both"/>
        <w:rPr>
          <w:rFonts w:ascii="Times New Roman" w:hAnsi="Times New Roman" w:cs="Times New Roman"/>
          <w:sz w:val="28"/>
          <w:szCs w:val="28"/>
          <w:lang w:eastAsia="en-US"/>
        </w:rPr>
      </w:pPr>
    </w:p>
    <w:p w14:paraId="797F3B0F" w14:textId="5DF2D9CC" w:rsidR="00A4236E" w:rsidRPr="006C5FDD" w:rsidRDefault="00A4236E" w:rsidP="006C5FDD">
      <w:pPr>
        <w:autoSpaceDE w:val="0"/>
        <w:autoSpaceDN w:val="0"/>
        <w:adjustRightInd w:val="0"/>
        <w:spacing w:line="360" w:lineRule="auto"/>
        <w:ind w:firstLine="709"/>
        <w:jc w:val="center"/>
        <w:rPr>
          <w:rFonts w:ascii="Times New Roman" w:hAnsi="Times New Roman" w:cs="Times New Roman"/>
          <w:b/>
          <w:sz w:val="28"/>
          <w:szCs w:val="28"/>
          <w:lang w:eastAsia="en-US"/>
        </w:rPr>
      </w:pPr>
      <w:r w:rsidRPr="006C5FDD">
        <w:rPr>
          <w:rFonts w:ascii="Times New Roman" w:hAnsi="Times New Roman" w:cs="Times New Roman"/>
          <w:b/>
          <w:sz w:val="28"/>
          <w:szCs w:val="28"/>
          <w:lang w:eastAsia="en-US"/>
        </w:rPr>
        <w:t>Оценка динамики государственного долга Российской Федерации</w:t>
      </w:r>
    </w:p>
    <w:p w14:paraId="3AFD2849" w14:textId="77777777" w:rsidR="006C5FDD" w:rsidRDefault="006C5FDD" w:rsidP="005D17D0">
      <w:pPr>
        <w:spacing w:line="360" w:lineRule="auto"/>
        <w:ind w:firstLine="709"/>
        <w:jc w:val="both"/>
        <w:rPr>
          <w:rFonts w:ascii="Times New Roman" w:hAnsi="Times New Roman" w:cs="Times New Roman"/>
          <w:sz w:val="28"/>
          <w:szCs w:val="28"/>
        </w:rPr>
      </w:pPr>
    </w:p>
    <w:p w14:paraId="4428DC68" w14:textId="77777777" w:rsidR="005D17D0" w:rsidRPr="00D12ACD" w:rsidRDefault="005D17D0" w:rsidP="005D17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Источники финансирования дефицита федерального бюджета сформированы в соответствии со ст. 94 Бюджетного кодекса Российской Федерации. Объем предусмотренных законопроектом источников финансирования дефицита бюджета (приложение 40) составляет 876051</w:t>
      </w:r>
      <w:r w:rsidRPr="00D12ACD">
        <w:rPr>
          <w:rFonts w:ascii="Times New Roman" w:hAnsi="Times New Roman" w:cs="Times New Roman"/>
          <w:sz w:val="28"/>
          <w:szCs w:val="28"/>
        </w:rPr>
        <w:t>722,0</w:t>
      </w:r>
      <w:r>
        <w:rPr>
          <w:rFonts w:ascii="Times New Roman" w:hAnsi="Times New Roman" w:cs="Times New Roman"/>
          <w:sz w:val="28"/>
          <w:szCs w:val="28"/>
        </w:rPr>
        <w:t xml:space="preserve"> тыс. руб. и соответствует прогнозируемому объему профицита за соответствующий период. </w:t>
      </w:r>
    </w:p>
    <w:p w14:paraId="39BDDF36" w14:textId="7C7716D5" w:rsidR="005D17D0" w:rsidRPr="0033517A" w:rsidRDefault="005D17D0" w:rsidP="005D17D0">
      <w:pPr>
        <w:spacing w:line="360" w:lineRule="auto"/>
        <w:ind w:firstLine="709"/>
        <w:jc w:val="both"/>
        <w:rPr>
          <w:rFonts w:ascii="Times New Roman" w:eastAsia="Times New Roman" w:hAnsi="Times New Roman" w:cs="Times New Roman"/>
          <w:color w:val="000000"/>
          <w:sz w:val="28"/>
        </w:rPr>
      </w:pPr>
      <w:r>
        <w:rPr>
          <w:rFonts w:ascii="Times New Roman" w:hAnsi="Times New Roman" w:cs="Times New Roman"/>
          <w:sz w:val="28"/>
          <w:szCs w:val="28"/>
        </w:rPr>
        <w:t>Ключевое место в структуре источников внутреннего финансирования дефицита федерального бюджета занимает и</w:t>
      </w:r>
      <w:r>
        <w:rPr>
          <w:rFonts w:ascii="Times New Roman" w:eastAsia="Times New Roman" w:hAnsi="Times New Roman" w:cs="Times New Roman"/>
          <w:color w:val="000000"/>
          <w:sz w:val="28"/>
        </w:rPr>
        <w:t xml:space="preserve">зменение остатков средств на счетах по учету средств федерального бюджета в течение соответствующего </w:t>
      </w:r>
      <w:r>
        <w:rPr>
          <w:rFonts w:ascii="Times New Roman" w:eastAsia="Times New Roman" w:hAnsi="Times New Roman" w:cs="Times New Roman"/>
          <w:color w:val="000000"/>
          <w:sz w:val="28"/>
        </w:rPr>
        <w:lastRenderedPageBreak/>
        <w:t>финансового года. Б</w:t>
      </w:r>
      <w:r w:rsidRPr="00CC48B7">
        <w:rPr>
          <w:rFonts w:ascii="Times New Roman" w:eastAsia="Times New Roman" w:hAnsi="Times New Roman" w:cs="Times New Roman"/>
          <w:i/>
          <w:color w:val="000000"/>
          <w:sz w:val="28"/>
        </w:rPr>
        <w:t>о</w:t>
      </w:r>
      <w:r>
        <w:rPr>
          <w:rFonts w:ascii="Times New Roman" w:eastAsia="Times New Roman" w:hAnsi="Times New Roman" w:cs="Times New Roman"/>
          <w:color w:val="000000"/>
          <w:sz w:val="28"/>
        </w:rPr>
        <w:t xml:space="preserve">льшая доля источников внешнего финансирования дефицита </w:t>
      </w:r>
      <w:r w:rsidRPr="0033517A">
        <w:rPr>
          <w:rFonts w:ascii="Times New Roman" w:eastAsia="Times New Roman" w:hAnsi="Times New Roman" w:cs="Times New Roman"/>
          <w:color w:val="000000"/>
          <w:sz w:val="28"/>
        </w:rPr>
        <w:t>федерального бюджета приходится на иные источники внешнего финансирования дефицита федерального бюджета, не включающие долговые обязательства и кредиты иностранных государств в иностранной валюте.</w:t>
      </w:r>
    </w:p>
    <w:p w14:paraId="2109AEBB" w14:textId="07F67CE5" w:rsidR="00A4236E" w:rsidRPr="0033517A" w:rsidRDefault="00A4236E" w:rsidP="00A4236E">
      <w:pPr>
        <w:spacing w:line="360" w:lineRule="auto"/>
        <w:ind w:firstLine="709"/>
        <w:jc w:val="both"/>
        <w:rPr>
          <w:rFonts w:ascii="Times New Roman" w:hAnsi="Times New Roman" w:cs="Times New Roman"/>
          <w:sz w:val="28"/>
          <w:szCs w:val="28"/>
        </w:rPr>
      </w:pPr>
      <w:r w:rsidRPr="0033517A">
        <w:rPr>
          <w:rFonts w:ascii="Times New Roman" w:hAnsi="Times New Roman" w:cs="Times New Roman"/>
          <w:sz w:val="28"/>
          <w:szCs w:val="28"/>
        </w:rPr>
        <w:t xml:space="preserve">Эффективность проводимой государством долговой политики позволяют оценить показатели, установленные Бюджетным кодексом </w:t>
      </w:r>
      <w:r w:rsidR="006C5FDD" w:rsidRPr="0033517A">
        <w:rPr>
          <w:rFonts w:ascii="Times New Roman" w:hAnsi="Times New Roman" w:cs="Times New Roman"/>
          <w:sz w:val="28"/>
          <w:szCs w:val="28"/>
        </w:rPr>
        <w:t>Российской Федерации (таблица 16</w:t>
      </w:r>
      <w:r w:rsidRPr="0033517A">
        <w:rPr>
          <w:rFonts w:ascii="Times New Roman" w:hAnsi="Times New Roman" w:cs="Times New Roman"/>
          <w:sz w:val="28"/>
          <w:szCs w:val="28"/>
        </w:rPr>
        <w:t xml:space="preserve">). </w:t>
      </w:r>
    </w:p>
    <w:p w14:paraId="0B80EE37" w14:textId="327C1217" w:rsidR="00A4236E" w:rsidRPr="0033517A" w:rsidRDefault="00A4236E" w:rsidP="00A4236E">
      <w:pPr>
        <w:spacing w:line="360" w:lineRule="auto"/>
        <w:ind w:firstLine="709"/>
        <w:jc w:val="both"/>
        <w:rPr>
          <w:rFonts w:ascii="Times New Roman" w:hAnsi="Times New Roman" w:cs="Times New Roman"/>
          <w:sz w:val="28"/>
          <w:szCs w:val="28"/>
        </w:rPr>
      </w:pPr>
      <w:r w:rsidRPr="0033517A">
        <w:rPr>
          <w:rFonts w:ascii="Times New Roman" w:hAnsi="Times New Roman" w:cs="Times New Roman"/>
          <w:sz w:val="28"/>
          <w:szCs w:val="28"/>
        </w:rPr>
        <w:t>Таблица 1</w:t>
      </w:r>
      <w:r w:rsidR="006C5FDD" w:rsidRPr="0033517A">
        <w:rPr>
          <w:rFonts w:ascii="Times New Roman" w:hAnsi="Times New Roman" w:cs="Times New Roman"/>
          <w:sz w:val="28"/>
          <w:szCs w:val="28"/>
        </w:rPr>
        <w:t>6</w:t>
      </w:r>
      <w:r w:rsidRPr="0033517A">
        <w:rPr>
          <w:rFonts w:ascii="Times New Roman" w:hAnsi="Times New Roman" w:cs="Times New Roman"/>
          <w:sz w:val="28"/>
          <w:szCs w:val="28"/>
        </w:rPr>
        <w:t xml:space="preserve"> – Отдельные показатели, характеризующие государственный долг Российской Федерации, %</w:t>
      </w:r>
    </w:p>
    <w:tbl>
      <w:tblPr>
        <w:tblStyle w:val="af3"/>
        <w:tblW w:w="9448" w:type="dxa"/>
        <w:tblLook w:val="04A0" w:firstRow="1" w:lastRow="0" w:firstColumn="1" w:lastColumn="0" w:noHBand="0" w:noVBand="1"/>
      </w:tblPr>
      <w:tblGrid>
        <w:gridCol w:w="525"/>
        <w:gridCol w:w="3366"/>
        <w:gridCol w:w="1317"/>
        <w:gridCol w:w="1268"/>
        <w:gridCol w:w="1404"/>
        <w:gridCol w:w="1568"/>
      </w:tblGrid>
      <w:tr w:rsidR="00A4236E" w:rsidRPr="0033517A" w14:paraId="708E2090" w14:textId="77777777" w:rsidTr="00A4236E">
        <w:tc>
          <w:tcPr>
            <w:tcW w:w="525" w:type="dxa"/>
          </w:tcPr>
          <w:p w14:paraId="6C3F62E2" w14:textId="77777777" w:rsidR="00A4236E" w:rsidRPr="0033517A" w:rsidRDefault="00A4236E" w:rsidP="00A4236E">
            <w:pPr>
              <w:rPr>
                <w:rFonts w:ascii="Times New Roman" w:hAnsi="Times New Roman" w:cs="Times New Roman"/>
              </w:rPr>
            </w:pPr>
            <w:r w:rsidRPr="0033517A">
              <w:rPr>
                <w:rFonts w:ascii="Times New Roman" w:hAnsi="Times New Roman" w:cs="Times New Roman"/>
              </w:rPr>
              <w:t>№</w:t>
            </w:r>
          </w:p>
        </w:tc>
        <w:tc>
          <w:tcPr>
            <w:tcW w:w="3366" w:type="dxa"/>
          </w:tcPr>
          <w:p w14:paraId="56C16D10" w14:textId="77777777" w:rsidR="00A4236E" w:rsidRPr="0033517A" w:rsidRDefault="00A4236E" w:rsidP="00A4236E">
            <w:pPr>
              <w:rPr>
                <w:rFonts w:ascii="Times New Roman" w:hAnsi="Times New Roman" w:cs="Times New Roman"/>
              </w:rPr>
            </w:pPr>
            <w:r w:rsidRPr="0033517A">
              <w:rPr>
                <w:rFonts w:ascii="Times New Roman" w:hAnsi="Times New Roman" w:cs="Times New Roman"/>
              </w:rPr>
              <w:t>Показатель</w:t>
            </w:r>
          </w:p>
        </w:tc>
        <w:tc>
          <w:tcPr>
            <w:tcW w:w="1317" w:type="dxa"/>
          </w:tcPr>
          <w:p w14:paraId="5581ED7B" w14:textId="77777777" w:rsidR="00A4236E" w:rsidRPr="0033517A" w:rsidRDefault="00A4236E" w:rsidP="00A4236E">
            <w:pPr>
              <w:jc w:val="right"/>
              <w:rPr>
                <w:rFonts w:ascii="Times New Roman" w:hAnsi="Times New Roman" w:cs="Times New Roman"/>
              </w:rPr>
            </w:pPr>
            <w:r w:rsidRPr="0033517A">
              <w:rPr>
                <w:rFonts w:ascii="Times New Roman" w:hAnsi="Times New Roman" w:cs="Times New Roman"/>
              </w:rPr>
              <w:t>2020</w:t>
            </w:r>
          </w:p>
        </w:tc>
        <w:tc>
          <w:tcPr>
            <w:tcW w:w="1268" w:type="dxa"/>
          </w:tcPr>
          <w:p w14:paraId="74806C62" w14:textId="77777777" w:rsidR="00A4236E" w:rsidRPr="0033517A" w:rsidRDefault="00A4236E" w:rsidP="00A4236E">
            <w:pPr>
              <w:jc w:val="right"/>
              <w:rPr>
                <w:rFonts w:ascii="Times New Roman" w:hAnsi="Times New Roman" w:cs="Times New Roman"/>
              </w:rPr>
            </w:pPr>
            <w:r w:rsidRPr="0033517A">
              <w:rPr>
                <w:rFonts w:ascii="Times New Roman" w:hAnsi="Times New Roman" w:cs="Times New Roman"/>
              </w:rPr>
              <w:t>2021</w:t>
            </w:r>
          </w:p>
        </w:tc>
        <w:tc>
          <w:tcPr>
            <w:tcW w:w="1404" w:type="dxa"/>
          </w:tcPr>
          <w:p w14:paraId="7DCAF099" w14:textId="77777777" w:rsidR="00A4236E" w:rsidRPr="0033517A" w:rsidRDefault="00A4236E" w:rsidP="00A4236E">
            <w:pPr>
              <w:jc w:val="right"/>
              <w:rPr>
                <w:rFonts w:ascii="Times New Roman" w:hAnsi="Times New Roman" w:cs="Times New Roman"/>
              </w:rPr>
            </w:pPr>
            <w:r w:rsidRPr="0033517A">
              <w:rPr>
                <w:rFonts w:ascii="Times New Roman" w:hAnsi="Times New Roman" w:cs="Times New Roman"/>
              </w:rPr>
              <w:t>2022</w:t>
            </w:r>
          </w:p>
        </w:tc>
        <w:tc>
          <w:tcPr>
            <w:tcW w:w="1568" w:type="dxa"/>
          </w:tcPr>
          <w:p w14:paraId="6D7D074E" w14:textId="77777777" w:rsidR="00A4236E" w:rsidRPr="0033517A" w:rsidRDefault="00A4236E" w:rsidP="00A4236E">
            <w:pPr>
              <w:jc w:val="right"/>
              <w:rPr>
                <w:rFonts w:ascii="Times New Roman" w:hAnsi="Times New Roman" w:cs="Times New Roman"/>
              </w:rPr>
            </w:pPr>
            <w:r w:rsidRPr="0033517A">
              <w:rPr>
                <w:rFonts w:ascii="Times New Roman" w:hAnsi="Times New Roman" w:cs="Times New Roman"/>
              </w:rPr>
              <w:t>Пороговое значение</w:t>
            </w:r>
          </w:p>
        </w:tc>
      </w:tr>
      <w:tr w:rsidR="00A4236E" w:rsidRPr="0033517A" w14:paraId="7CB0E65B" w14:textId="77777777" w:rsidTr="00A4236E">
        <w:tc>
          <w:tcPr>
            <w:tcW w:w="525" w:type="dxa"/>
          </w:tcPr>
          <w:p w14:paraId="17841D71" w14:textId="77777777" w:rsidR="00A4236E" w:rsidRPr="0033517A" w:rsidRDefault="00A4236E" w:rsidP="00A4236E">
            <w:pPr>
              <w:rPr>
                <w:rFonts w:ascii="Times New Roman" w:hAnsi="Times New Roman" w:cs="Times New Roman"/>
              </w:rPr>
            </w:pPr>
            <w:r w:rsidRPr="0033517A">
              <w:rPr>
                <w:rFonts w:ascii="Times New Roman" w:hAnsi="Times New Roman" w:cs="Times New Roman"/>
              </w:rPr>
              <w:t>1</w:t>
            </w:r>
          </w:p>
        </w:tc>
        <w:tc>
          <w:tcPr>
            <w:tcW w:w="3366" w:type="dxa"/>
          </w:tcPr>
          <w:p w14:paraId="426A2588" w14:textId="77777777" w:rsidR="00A4236E" w:rsidRPr="0033517A" w:rsidRDefault="00A4236E" w:rsidP="00A4236E">
            <w:pPr>
              <w:rPr>
                <w:rFonts w:ascii="Times New Roman" w:hAnsi="Times New Roman" w:cs="Times New Roman"/>
              </w:rPr>
            </w:pPr>
            <w:r w:rsidRPr="0033517A">
              <w:rPr>
                <w:rFonts w:ascii="Times New Roman" w:hAnsi="Times New Roman" w:cs="Times New Roman"/>
              </w:rPr>
              <w:t xml:space="preserve">Отношение государственного долга </w:t>
            </w:r>
            <w:r w:rsidRPr="0033517A">
              <w:rPr>
                <w:rFonts w:ascii="Times New Roman" w:eastAsia="TimesNewRomanPSMT" w:hAnsi="Times New Roman" w:cs="Times New Roman"/>
                <w:color w:val="000000"/>
              </w:rPr>
              <w:t>Российской Федерации</w:t>
            </w:r>
            <w:r w:rsidRPr="0033517A">
              <w:rPr>
                <w:rFonts w:ascii="Times New Roman" w:hAnsi="Times New Roman" w:cs="Times New Roman"/>
              </w:rPr>
              <w:t xml:space="preserve"> к ВВП</w:t>
            </w:r>
          </w:p>
        </w:tc>
        <w:tc>
          <w:tcPr>
            <w:tcW w:w="1317" w:type="dxa"/>
          </w:tcPr>
          <w:p w14:paraId="7D2EB60F" w14:textId="77777777" w:rsidR="00A4236E" w:rsidRPr="0033517A" w:rsidRDefault="00A4236E" w:rsidP="00A4236E">
            <w:pPr>
              <w:jc w:val="right"/>
              <w:rPr>
                <w:rFonts w:ascii="Times New Roman" w:hAnsi="Times New Roman" w:cs="Times New Roman"/>
              </w:rPr>
            </w:pPr>
            <w:r w:rsidRPr="0033517A">
              <w:rPr>
                <w:rFonts w:ascii="Times New Roman" w:hAnsi="Times New Roman" w:cs="Times New Roman"/>
              </w:rPr>
              <w:t>15,1</w:t>
            </w:r>
          </w:p>
        </w:tc>
        <w:tc>
          <w:tcPr>
            <w:tcW w:w="1268" w:type="dxa"/>
          </w:tcPr>
          <w:p w14:paraId="040B4D9F" w14:textId="77777777" w:rsidR="00A4236E" w:rsidRPr="0033517A" w:rsidRDefault="00A4236E" w:rsidP="00A4236E">
            <w:pPr>
              <w:jc w:val="right"/>
              <w:rPr>
                <w:rFonts w:ascii="Times New Roman" w:hAnsi="Times New Roman" w:cs="Times New Roman"/>
              </w:rPr>
            </w:pPr>
            <w:r w:rsidRPr="0033517A">
              <w:rPr>
                <w:rFonts w:ascii="Times New Roman" w:hAnsi="Times New Roman" w:cs="Times New Roman"/>
              </w:rPr>
              <w:t>15,9</w:t>
            </w:r>
          </w:p>
        </w:tc>
        <w:tc>
          <w:tcPr>
            <w:tcW w:w="1404" w:type="dxa"/>
          </w:tcPr>
          <w:p w14:paraId="40AD7D17" w14:textId="77777777" w:rsidR="00A4236E" w:rsidRPr="0033517A" w:rsidRDefault="00A4236E" w:rsidP="00A4236E">
            <w:pPr>
              <w:jc w:val="right"/>
              <w:rPr>
                <w:rFonts w:ascii="Times New Roman" w:hAnsi="Times New Roman" w:cs="Times New Roman"/>
              </w:rPr>
            </w:pPr>
            <w:r w:rsidRPr="0033517A">
              <w:rPr>
                <w:rFonts w:ascii="Times New Roman" w:hAnsi="Times New Roman" w:cs="Times New Roman"/>
              </w:rPr>
              <w:t>16,5</w:t>
            </w:r>
          </w:p>
        </w:tc>
        <w:tc>
          <w:tcPr>
            <w:tcW w:w="1568" w:type="dxa"/>
          </w:tcPr>
          <w:p w14:paraId="5AA4BB43" w14:textId="77777777" w:rsidR="00A4236E" w:rsidRPr="0033517A" w:rsidRDefault="00A4236E" w:rsidP="00A4236E">
            <w:pPr>
              <w:jc w:val="right"/>
              <w:rPr>
                <w:rFonts w:ascii="Times New Roman" w:hAnsi="Times New Roman" w:cs="Times New Roman"/>
              </w:rPr>
            </w:pPr>
            <m:oMath>
              <m:r>
                <w:rPr>
                  <w:rFonts w:ascii="Cambria Math" w:hAnsi="Cambria Math" w:cs="Times New Roman"/>
                </w:rPr>
                <m:t>≤</m:t>
              </m:r>
            </m:oMath>
            <w:r w:rsidRPr="0033517A">
              <w:rPr>
                <w:rFonts w:ascii="Times New Roman" w:hAnsi="Times New Roman" w:cs="Times New Roman"/>
              </w:rPr>
              <w:t>20,0</w:t>
            </w:r>
          </w:p>
        </w:tc>
      </w:tr>
      <w:tr w:rsidR="00A4236E" w:rsidRPr="0033517A" w14:paraId="295C8E33" w14:textId="77777777" w:rsidTr="00A4236E">
        <w:tc>
          <w:tcPr>
            <w:tcW w:w="525" w:type="dxa"/>
          </w:tcPr>
          <w:p w14:paraId="29823C47" w14:textId="77777777" w:rsidR="00A4236E" w:rsidRPr="0033517A" w:rsidRDefault="00A4236E" w:rsidP="00A4236E">
            <w:pPr>
              <w:rPr>
                <w:rFonts w:ascii="Times New Roman" w:hAnsi="Times New Roman" w:cs="Times New Roman"/>
              </w:rPr>
            </w:pPr>
            <w:r w:rsidRPr="0033517A">
              <w:rPr>
                <w:rFonts w:ascii="Times New Roman" w:hAnsi="Times New Roman" w:cs="Times New Roman"/>
              </w:rPr>
              <w:t>2</w:t>
            </w:r>
          </w:p>
        </w:tc>
        <w:tc>
          <w:tcPr>
            <w:tcW w:w="3366" w:type="dxa"/>
          </w:tcPr>
          <w:p w14:paraId="044F3628" w14:textId="77777777" w:rsidR="00A4236E" w:rsidRPr="0033517A" w:rsidRDefault="00A4236E" w:rsidP="00A4236E">
            <w:pPr>
              <w:rPr>
                <w:rFonts w:ascii="Times New Roman" w:hAnsi="Times New Roman" w:cs="Times New Roman"/>
              </w:rPr>
            </w:pPr>
            <w:r w:rsidRPr="0033517A">
              <w:rPr>
                <w:rFonts w:ascii="Times New Roman" w:hAnsi="Times New Roman" w:cs="Times New Roman"/>
              </w:rPr>
              <w:t xml:space="preserve">Отношение государственного долга </w:t>
            </w:r>
            <w:r w:rsidRPr="0033517A">
              <w:rPr>
                <w:rFonts w:ascii="Times New Roman" w:eastAsia="TimesNewRomanPSMT" w:hAnsi="Times New Roman" w:cs="Times New Roman"/>
                <w:color w:val="000000"/>
              </w:rPr>
              <w:t>Российской Федерации</w:t>
            </w:r>
            <w:r w:rsidRPr="0033517A">
              <w:rPr>
                <w:rFonts w:ascii="Times New Roman" w:hAnsi="Times New Roman" w:cs="Times New Roman"/>
              </w:rPr>
              <w:t xml:space="preserve"> к доходам федерального бюджета </w:t>
            </w:r>
          </w:p>
        </w:tc>
        <w:tc>
          <w:tcPr>
            <w:tcW w:w="1317" w:type="dxa"/>
          </w:tcPr>
          <w:p w14:paraId="6DDD3F25" w14:textId="77777777" w:rsidR="00A4236E" w:rsidRPr="0033517A" w:rsidRDefault="00A4236E" w:rsidP="00A4236E">
            <w:pPr>
              <w:jc w:val="right"/>
              <w:rPr>
                <w:rFonts w:ascii="Times New Roman" w:hAnsi="Times New Roman" w:cs="Times New Roman"/>
              </w:rPr>
            </w:pPr>
            <w:r w:rsidRPr="0033517A">
              <w:rPr>
                <w:rFonts w:ascii="Times New Roman" w:hAnsi="Times New Roman" w:cs="Times New Roman"/>
              </w:rPr>
              <w:t>83,5</w:t>
            </w:r>
          </w:p>
        </w:tc>
        <w:tc>
          <w:tcPr>
            <w:tcW w:w="1268" w:type="dxa"/>
          </w:tcPr>
          <w:p w14:paraId="5BCC6B7F" w14:textId="77777777" w:rsidR="00A4236E" w:rsidRPr="0033517A" w:rsidRDefault="00A4236E" w:rsidP="00A4236E">
            <w:pPr>
              <w:jc w:val="right"/>
              <w:rPr>
                <w:rFonts w:ascii="Times New Roman" w:hAnsi="Times New Roman" w:cs="Times New Roman"/>
              </w:rPr>
            </w:pPr>
            <w:r w:rsidRPr="0033517A">
              <w:rPr>
                <w:rFonts w:ascii="Times New Roman" w:hAnsi="Times New Roman" w:cs="Times New Roman"/>
              </w:rPr>
              <w:t>89,98</w:t>
            </w:r>
          </w:p>
        </w:tc>
        <w:tc>
          <w:tcPr>
            <w:tcW w:w="1404" w:type="dxa"/>
          </w:tcPr>
          <w:p w14:paraId="4C44C71F" w14:textId="77777777" w:rsidR="00A4236E" w:rsidRPr="0033517A" w:rsidRDefault="00A4236E" w:rsidP="00A4236E">
            <w:pPr>
              <w:jc w:val="right"/>
              <w:rPr>
                <w:rFonts w:ascii="Times New Roman" w:hAnsi="Times New Roman" w:cs="Times New Roman"/>
              </w:rPr>
            </w:pPr>
            <w:r w:rsidRPr="0033517A">
              <w:rPr>
                <w:rFonts w:ascii="Times New Roman" w:hAnsi="Times New Roman" w:cs="Times New Roman"/>
              </w:rPr>
              <w:t>96,12</w:t>
            </w:r>
          </w:p>
        </w:tc>
        <w:tc>
          <w:tcPr>
            <w:tcW w:w="1568" w:type="dxa"/>
          </w:tcPr>
          <w:p w14:paraId="0597BDE4" w14:textId="77777777" w:rsidR="00A4236E" w:rsidRPr="0033517A" w:rsidRDefault="00A4236E" w:rsidP="00A4236E">
            <w:pPr>
              <w:jc w:val="right"/>
              <w:rPr>
                <w:rFonts w:ascii="Times New Roman" w:hAnsi="Times New Roman" w:cs="Times New Roman"/>
              </w:rPr>
            </w:pPr>
            <m:oMath>
              <m:r>
                <w:rPr>
                  <w:rFonts w:ascii="Cambria Math" w:hAnsi="Cambria Math" w:cs="Times New Roman"/>
                </w:rPr>
                <m:t>≤</m:t>
              </m:r>
            </m:oMath>
            <w:r w:rsidRPr="0033517A">
              <w:rPr>
                <w:rFonts w:ascii="Times New Roman" w:hAnsi="Times New Roman" w:cs="Times New Roman"/>
              </w:rPr>
              <w:t>100,0</w:t>
            </w:r>
          </w:p>
        </w:tc>
      </w:tr>
      <w:tr w:rsidR="00A4236E" w:rsidRPr="0033517A" w14:paraId="6AEA7DBA" w14:textId="77777777" w:rsidTr="00A4236E">
        <w:tc>
          <w:tcPr>
            <w:tcW w:w="525" w:type="dxa"/>
          </w:tcPr>
          <w:p w14:paraId="5EC8011C" w14:textId="77777777" w:rsidR="00A4236E" w:rsidRPr="0033517A" w:rsidRDefault="00A4236E" w:rsidP="00A4236E">
            <w:pPr>
              <w:rPr>
                <w:rFonts w:ascii="Times New Roman" w:hAnsi="Times New Roman" w:cs="Times New Roman"/>
              </w:rPr>
            </w:pPr>
            <w:r w:rsidRPr="0033517A">
              <w:rPr>
                <w:rFonts w:ascii="Times New Roman" w:hAnsi="Times New Roman" w:cs="Times New Roman"/>
              </w:rPr>
              <w:t>3</w:t>
            </w:r>
          </w:p>
        </w:tc>
        <w:tc>
          <w:tcPr>
            <w:tcW w:w="3366" w:type="dxa"/>
          </w:tcPr>
          <w:p w14:paraId="39DF6D0F" w14:textId="77777777" w:rsidR="00A4236E" w:rsidRPr="0033517A" w:rsidRDefault="00A4236E" w:rsidP="00A4236E">
            <w:pPr>
              <w:rPr>
                <w:rFonts w:ascii="Times New Roman" w:hAnsi="Times New Roman" w:cs="Times New Roman"/>
              </w:rPr>
            </w:pPr>
            <w:r w:rsidRPr="0033517A">
              <w:rPr>
                <w:rFonts w:ascii="Times New Roman" w:hAnsi="Times New Roman" w:cs="Times New Roman"/>
              </w:rPr>
              <w:t xml:space="preserve">Доля государственного внутреннего долга </w:t>
            </w:r>
            <w:r w:rsidRPr="0033517A">
              <w:rPr>
                <w:rFonts w:ascii="Times New Roman" w:eastAsia="TimesNewRomanPSMT" w:hAnsi="Times New Roman" w:cs="Times New Roman"/>
                <w:color w:val="000000"/>
              </w:rPr>
              <w:t>Российской Федерации в общем объеме государственного долга Российской Федерации</w:t>
            </w:r>
          </w:p>
        </w:tc>
        <w:tc>
          <w:tcPr>
            <w:tcW w:w="1317" w:type="dxa"/>
          </w:tcPr>
          <w:p w14:paraId="4B67A2C7" w14:textId="77777777" w:rsidR="00A4236E" w:rsidRPr="0033517A" w:rsidRDefault="00A4236E" w:rsidP="00A4236E">
            <w:pPr>
              <w:jc w:val="right"/>
              <w:rPr>
                <w:rFonts w:ascii="Times New Roman" w:hAnsi="Times New Roman" w:cs="Times New Roman"/>
              </w:rPr>
            </w:pPr>
            <w:r w:rsidRPr="0033517A">
              <w:rPr>
                <w:rFonts w:ascii="Times New Roman" w:hAnsi="Times New Roman" w:cs="Times New Roman"/>
              </w:rPr>
              <w:t>75,4</w:t>
            </w:r>
          </w:p>
        </w:tc>
        <w:tc>
          <w:tcPr>
            <w:tcW w:w="1268" w:type="dxa"/>
          </w:tcPr>
          <w:p w14:paraId="61DC8D53" w14:textId="77777777" w:rsidR="00A4236E" w:rsidRPr="0033517A" w:rsidRDefault="00A4236E" w:rsidP="00A4236E">
            <w:pPr>
              <w:jc w:val="right"/>
              <w:rPr>
                <w:rFonts w:ascii="Times New Roman" w:hAnsi="Times New Roman" w:cs="Times New Roman"/>
              </w:rPr>
            </w:pPr>
            <w:r w:rsidRPr="0033517A">
              <w:rPr>
                <w:rFonts w:ascii="Times New Roman" w:hAnsi="Times New Roman" w:cs="Times New Roman"/>
              </w:rPr>
              <w:t>76,5</w:t>
            </w:r>
          </w:p>
        </w:tc>
        <w:tc>
          <w:tcPr>
            <w:tcW w:w="1404" w:type="dxa"/>
          </w:tcPr>
          <w:p w14:paraId="65268B9B" w14:textId="77777777" w:rsidR="00A4236E" w:rsidRPr="0033517A" w:rsidRDefault="00A4236E" w:rsidP="00A4236E">
            <w:pPr>
              <w:jc w:val="right"/>
              <w:rPr>
                <w:rFonts w:ascii="Times New Roman" w:hAnsi="Times New Roman" w:cs="Times New Roman"/>
              </w:rPr>
            </w:pPr>
            <w:r w:rsidRPr="0033517A">
              <w:rPr>
                <w:rFonts w:ascii="Times New Roman" w:hAnsi="Times New Roman" w:cs="Times New Roman"/>
              </w:rPr>
              <w:t>78,3</w:t>
            </w:r>
          </w:p>
        </w:tc>
        <w:tc>
          <w:tcPr>
            <w:tcW w:w="1568" w:type="dxa"/>
          </w:tcPr>
          <w:p w14:paraId="12C6AD13" w14:textId="77777777" w:rsidR="00A4236E" w:rsidRPr="0033517A" w:rsidRDefault="00A4236E" w:rsidP="00A4236E">
            <w:pPr>
              <w:jc w:val="right"/>
              <w:rPr>
                <w:rFonts w:ascii="Times New Roman" w:hAnsi="Times New Roman" w:cs="Times New Roman"/>
              </w:rPr>
            </w:pPr>
            <m:oMath>
              <m:r>
                <w:rPr>
                  <w:rFonts w:ascii="Cambria Math" w:hAnsi="Cambria Math" w:cs="Times New Roman"/>
                </w:rPr>
                <m:t>≥</m:t>
              </m:r>
            </m:oMath>
            <w:r w:rsidRPr="0033517A">
              <w:rPr>
                <w:rFonts w:ascii="Times New Roman" w:hAnsi="Times New Roman" w:cs="Times New Roman"/>
              </w:rPr>
              <w:t>65,0</w:t>
            </w:r>
          </w:p>
        </w:tc>
      </w:tr>
    </w:tbl>
    <w:p w14:paraId="075FAB2F" w14:textId="77777777" w:rsidR="00A4236E" w:rsidRPr="0033517A" w:rsidRDefault="00A4236E" w:rsidP="00A4236E">
      <w:pPr>
        <w:spacing w:line="360" w:lineRule="auto"/>
        <w:ind w:firstLine="709"/>
        <w:jc w:val="both"/>
        <w:rPr>
          <w:rFonts w:ascii="Times New Roman" w:hAnsi="Times New Roman" w:cs="Times New Roman"/>
          <w:sz w:val="28"/>
          <w:szCs w:val="28"/>
        </w:rPr>
      </w:pPr>
    </w:p>
    <w:p w14:paraId="40E641E1" w14:textId="39D9D44A" w:rsidR="00A4236E" w:rsidRDefault="00A4236E" w:rsidP="00A4236E">
      <w:pPr>
        <w:spacing w:line="360" w:lineRule="auto"/>
        <w:ind w:firstLine="709"/>
        <w:jc w:val="both"/>
        <w:rPr>
          <w:rFonts w:ascii="Times New Roman" w:hAnsi="Times New Roman" w:cs="Times New Roman"/>
          <w:sz w:val="28"/>
          <w:szCs w:val="28"/>
        </w:rPr>
      </w:pPr>
      <w:r w:rsidRPr="0033517A">
        <w:rPr>
          <w:rFonts w:ascii="Times New Roman" w:hAnsi="Times New Roman" w:cs="Times New Roman"/>
          <w:sz w:val="28"/>
          <w:szCs w:val="28"/>
        </w:rPr>
        <w:t xml:space="preserve">Таким образом, параметры федерального бюджета, программ </w:t>
      </w:r>
      <w:r w:rsidR="00CC48B7" w:rsidRPr="0033517A">
        <w:rPr>
          <w:rFonts w:ascii="Times New Roman" w:hAnsi="Times New Roman" w:cs="Times New Roman"/>
          <w:sz w:val="28"/>
          <w:szCs w:val="28"/>
        </w:rPr>
        <w:t>внутренних и внешних государственных заим</w:t>
      </w:r>
      <w:r w:rsidRPr="0033517A">
        <w:rPr>
          <w:rFonts w:ascii="Times New Roman" w:hAnsi="Times New Roman" w:cs="Times New Roman"/>
          <w:sz w:val="28"/>
          <w:szCs w:val="28"/>
        </w:rPr>
        <w:t>с</w:t>
      </w:r>
      <w:r w:rsidR="00CC48B7" w:rsidRPr="0033517A">
        <w:rPr>
          <w:rFonts w:ascii="Times New Roman" w:hAnsi="Times New Roman" w:cs="Times New Roman"/>
          <w:sz w:val="28"/>
          <w:szCs w:val="28"/>
        </w:rPr>
        <w:t>т</w:t>
      </w:r>
      <w:r w:rsidRPr="0033517A">
        <w:rPr>
          <w:rFonts w:ascii="Times New Roman" w:hAnsi="Times New Roman" w:cs="Times New Roman"/>
          <w:sz w:val="28"/>
          <w:szCs w:val="28"/>
        </w:rPr>
        <w:t xml:space="preserve">вований </w:t>
      </w:r>
      <w:r w:rsidR="00CC48B7" w:rsidRPr="0033517A">
        <w:rPr>
          <w:rFonts w:ascii="Times New Roman" w:hAnsi="Times New Roman" w:cs="Times New Roman"/>
          <w:sz w:val="28"/>
          <w:szCs w:val="28"/>
        </w:rPr>
        <w:t>Российской Федерации на 2020-2022 гг. позволяют обеспечить с</w:t>
      </w:r>
      <w:r w:rsidRPr="0033517A">
        <w:rPr>
          <w:rFonts w:ascii="Times New Roman" w:hAnsi="Times New Roman" w:cs="Times New Roman"/>
          <w:sz w:val="28"/>
          <w:szCs w:val="28"/>
        </w:rPr>
        <w:t xml:space="preserve">облюдение установленных Бюджетным кодексом Российской Федерации требований, однако практика зарубежных стран </w:t>
      </w:r>
      <w:r w:rsidR="00CC48B7" w:rsidRPr="0033517A">
        <w:rPr>
          <w:rFonts w:ascii="Times New Roman" w:hAnsi="Times New Roman" w:cs="Times New Roman"/>
          <w:sz w:val="28"/>
          <w:szCs w:val="28"/>
        </w:rPr>
        <w:t>свидетельствуе</w:t>
      </w:r>
      <w:r w:rsidRPr="0033517A">
        <w:rPr>
          <w:rFonts w:ascii="Times New Roman" w:hAnsi="Times New Roman" w:cs="Times New Roman"/>
          <w:sz w:val="28"/>
          <w:szCs w:val="28"/>
        </w:rPr>
        <w:t xml:space="preserve">т, что нарушение пороговых значений не </w:t>
      </w:r>
      <w:r w:rsidR="00CC48B7" w:rsidRPr="0033517A">
        <w:rPr>
          <w:rFonts w:ascii="Times New Roman" w:hAnsi="Times New Roman" w:cs="Times New Roman"/>
          <w:sz w:val="28"/>
          <w:szCs w:val="28"/>
        </w:rPr>
        <w:t xml:space="preserve">всегда </w:t>
      </w:r>
      <w:r w:rsidRPr="0033517A">
        <w:rPr>
          <w:rFonts w:ascii="Times New Roman" w:hAnsi="Times New Roman" w:cs="Times New Roman"/>
          <w:sz w:val="28"/>
          <w:szCs w:val="28"/>
        </w:rPr>
        <w:t>влияет на их</w:t>
      </w:r>
      <w:r w:rsidRPr="00F8025A">
        <w:rPr>
          <w:rFonts w:ascii="Times New Roman" w:hAnsi="Times New Roman" w:cs="Times New Roman"/>
          <w:sz w:val="28"/>
          <w:szCs w:val="28"/>
        </w:rPr>
        <w:t xml:space="preserve"> долговую устойчивость и приводит к </w:t>
      </w:r>
      <w:r>
        <w:rPr>
          <w:rFonts w:ascii="Times New Roman" w:hAnsi="Times New Roman" w:cs="Times New Roman"/>
          <w:sz w:val="28"/>
          <w:szCs w:val="28"/>
        </w:rPr>
        <w:t>долговым</w:t>
      </w:r>
      <w:r w:rsidRPr="00F8025A">
        <w:rPr>
          <w:rFonts w:ascii="Times New Roman" w:hAnsi="Times New Roman" w:cs="Times New Roman"/>
          <w:sz w:val="28"/>
          <w:szCs w:val="28"/>
        </w:rPr>
        <w:t xml:space="preserve"> кризисам. </w:t>
      </w:r>
    </w:p>
    <w:p w14:paraId="5C7A3193" w14:textId="41F1EDA5" w:rsidR="00A4236E" w:rsidRDefault="00A4236E" w:rsidP="00A4236E">
      <w:pPr>
        <w:pStyle w:val="ac"/>
        <w:spacing w:line="360" w:lineRule="auto"/>
        <w:ind w:left="0" w:firstLine="709"/>
        <w:jc w:val="both"/>
        <w:rPr>
          <w:szCs w:val="28"/>
        </w:rPr>
      </w:pPr>
      <w:r w:rsidRPr="0051407C">
        <w:rPr>
          <w:szCs w:val="28"/>
        </w:rPr>
        <w:t>Величина государственного долга</w:t>
      </w:r>
      <w:r>
        <w:rPr>
          <w:szCs w:val="28"/>
        </w:rPr>
        <w:t xml:space="preserve"> </w:t>
      </w:r>
      <w:r w:rsidR="00CC48B7">
        <w:rPr>
          <w:szCs w:val="28"/>
        </w:rPr>
        <w:t>Российской Федерации согласно з</w:t>
      </w:r>
      <w:r>
        <w:rPr>
          <w:szCs w:val="28"/>
        </w:rPr>
        <w:t>аконопроекту</w:t>
      </w:r>
      <w:r w:rsidR="00CC48B7">
        <w:rPr>
          <w:szCs w:val="28"/>
        </w:rPr>
        <w:t xml:space="preserve"> н</w:t>
      </w:r>
      <w:r w:rsidRPr="0051407C">
        <w:rPr>
          <w:szCs w:val="28"/>
        </w:rPr>
        <w:t>а 20</w:t>
      </w:r>
      <w:r>
        <w:rPr>
          <w:szCs w:val="28"/>
        </w:rPr>
        <w:t>20</w:t>
      </w:r>
      <w:r w:rsidRPr="0051407C">
        <w:rPr>
          <w:szCs w:val="28"/>
        </w:rPr>
        <w:t>-202</w:t>
      </w:r>
      <w:r>
        <w:rPr>
          <w:szCs w:val="28"/>
        </w:rPr>
        <w:t>2</w:t>
      </w:r>
      <w:r w:rsidRPr="0051407C">
        <w:rPr>
          <w:szCs w:val="28"/>
        </w:rPr>
        <w:t xml:space="preserve"> годы увеличивается</w:t>
      </w:r>
      <w:r>
        <w:rPr>
          <w:szCs w:val="28"/>
        </w:rPr>
        <w:t xml:space="preserve"> (рисунок 1</w:t>
      </w:r>
      <w:r w:rsidR="00CC48B7">
        <w:rPr>
          <w:szCs w:val="28"/>
        </w:rPr>
        <w:t>6</w:t>
      </w:r>
      <w:r>
        <w:rPr>
          <w:szCs w:val="28"/>
        </w:rPr>
        <w:t xml:space="preserve">) за счет </w:t>
      </w:r>
      <w:r w:rsidR="00CC48B7">
        <w:rPr>
          <w:szCs w:val="28"/>
        </w:rPr>
        <w:t>р</w:t>
      </w:r>
      <w:r>
        <w:rPr>
          <w:szCs w:val="28"/>
        </w:rPr>
        <w:t>о</w:t>
      </w:r>
      <w:r w:rsidR="00CC48B7">
        <w:rPr>
          <w:szCs w:val="28"/>
        </w:rPr>
        <w:t>ста</w:t>
      </w:r>
      <w:r>
        <w:rPr>
          <w:szCs w:val="28"/>
        </w:rPr>
        <w:t xml:space="preserve"> внешних и внутренних заимствований и к 2022 г</w:t>
      </w:r>
      <w:r w:rsidR="00CC48B7">
        <w:rPr>
          <w:szCs w:val="28"/>
        </w:rPr>
        <w:t xml:space="preserve">оду составляет 21204 млрд. руб., при этом </w:t>
      </w:r>
      <w:r>
        <w:rPr>
          <w:szCs w:val="28"/>
        </w:rPr>
        <w:t>отношение государственного долга к ВВП находится на допустимом уровне (16,5%).</w:t>
      </w:r>
    </w:p>
    <w:p w14:paraId="56CCB043" w14:textId="77777777" w:rsidR="00A4236E" w:rsidRDefault="00A4236E" w:rsidP="00A4236E">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4FEC1E9" wp14:editId="6C620FDD">
            <wp:extent cx="5982511" cy="3200400"/>
            <wp:effectExtent l="0" t="0" r="12065" b="1270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592EEB5" w14:textId="7936B7F1" w:rsidR="00A4236E" w:rsidRPr="0051407C" w:rsidRDefault="00A4236E" w:rsidP="00A4236E">
      <w:pPr>
        <w:spacing w:line="360" w:lineRule="auto"/>
        <w:ind w:firstLine="709"/>
        <w:jc w:val="both"/>
        <w:rPr>
          <w:rFonts w:ascii="Times New Roman" w:hAnsi="Times New Roman" w:cs="Times New Roman"/>
          <w:sz w:val="28"/>
          <w:szCs w:val="28"/>
        </w:rPr>
      </w:pPr>
      <w:r w:rsidRPr="0051407C">
        <w:rPr>
          <w:rFonts w:ascii="Times New Roman" w:hAnsi="Times New Roman" w:cs="Times New Roman"/>
          <w:sz w:val="28"/>
          <w:szCs w:val="28"/>
        </w:rPr>
        <w:t>Рисунок</w:t>
      </w:r>
      <w:r>
        <w:rPr>
          <w:rFonts w:ascii="Times New Roman" w:hAnsi="Times New Roman" w:cs="Times New Roman"/>
          <w:sz w:val="28"/>
          <w:szCs w:val="28"/>
        </w:rPr>
        <w:t xml:space="preserve"> 1</w:t>
      </w:r>
      <w:r w:rsidR="00CC48B7">
        <w:rPr>
          <w:rFonts w:ascii="Times New Roman" w:hAnsi="Times New Roman" w:cs="Times New Roman"/>
          <w:sz w:val="28"/>
          <w:szCs w:val="28"/>
        </w:rPr>
        <w:t>6</w:t>
      </w:r>
      <w:r>
        <w:rPr>
          <w:rFonts w:ascii="Times New Roman" w:hAnsi="Times New Roman" w:cs="Times New Roman"/>
          <w:sz w:val="28"/>
          <w:szCs w:val="28"/>
        </w:rPr>
        <w:t xml:space="preserve"> –</w:t>
      </w:r>
      <w:r w:rsidRPr="0051407C">
        <w:rPr>
          <w:rFonts w:ascii="Times New Roman" w:hAnsi="Times New Roman" w:cs="Times New Roman"/>
          <w:sz w:val="28"/>
          <w:szCs w:val="28"/>
        </w:rPr>
        <w:t xml:space="preserve"> </w:t>
      </w:r>
      <w:r>
        <w:rPr>
          <w:rFonts w:ascii="Times New Roman" w:hAnsi="Times New Roman" w:cs="Times New Roman"/>
          <w:sz w:val="28"/>
          <w:szCs w:val="28"/>
        </w:rPr>
        <w:t>Отношение государственного долга Российской Федерации к ВВП, %</w:t>
      </w:r>
    </w:p>
    <w:p w14:paraId="433B930F" w14:textId="77777777" w:rsidR="00CC48B7" w:rsidRDefault="00CC48B7" w:rsidP="00A4236E">
      <w:pPr>
        <w:spacing w:line="360" w:lineRule="auto"/>
        <w:ind w:firstLine="709"/>
        <w:jc w:val="both"/>
        <w:rPr>
          <w:rFonts w:ascii="Times New Roman" w:hAnsi="Times New Roman" w:cs="Times New Roman"/>
          <w:sz w:val="28"/>
          <w:szCs w:val="28"/>
        </w:rPr>
      </w:pPr>
    </w:p>
    <w:p w14:paraId="70DC4C99" w14:textId="3C291629" w:rsidR="00A4236E" w:rsidRDefault="00A4236E" w:rsidP="00A4236E">
      <w:pPr>
        <w:spacing w:line="360" w:lineRule="auto"/>
        <w:ind w:firstLine="709"/>
        <w:jc w:val="both"/>
        <w:rPr>
          <w:rFonts w:ascii="Times New Roman" w:hAnsi="Times New Roman" w:cs="Times New Roman"/>
          <w:sz w:val="28"/>
          <w:szCs w:val="28"/>
        </w:rPr>
      </w:pPr>
      <w:r w:rsidRPr="0051407C">
        <w:rPr>
          <w:rFonts w:ascii="Times New Roman" w:hAnsi="Times New Roman" w:cs="Times New Roman"/>
          <w:sz w:val="28"/>
          <w:szCs w:val="28"/>
        </w:rPr>
        <w:t>Незначительные изменения наблюдаются в структуре государственного долга</w:t>
      </w:r>
      <w:r w:rsidR="00CC48B7">
        <w:rPr>
          <w:rFonts w:ascii="Times New Roman" w:hAnsi="Times New Roman" w:cs="Times New Roman"/>
          <w:sz w:val="28"/>
          <w:szCs w:val="28"/>
        </w:rPr>
        <w:t xml:space="preserve"> Российской Федерации</w:t>
      </w:r>
      <w:r w:rsidRPr="0051407C">
        <w:rPr>
          <w:rFonts w:ascii="Times New Roman" w:hAnsi="Times New Roman" w:cs="Times New Roman"/>
          <w:sz w:val="28"/>
          <w:szCs w:val="28"/>
        </w:rPr>
        <w:t>, больш</w:t>
      </w:r>
      <w:r>
        <w:rPr>
          <w:rFonts w:ascii="Times New Roman" w:hAnsi="Times New Roman" w:cs="Times New Roman"/>
          <w:sz w:val="28"/>
          <w:szCs w:val="28"/>
        </w:rPr>
        <w:t>ая</w:t>
      </w:r>
      <w:r w:rsidRPr="0051407C">
        <w:rPr>
          <w:rFonts w:ascii="Times New Roman" w:hAnsi="Times New Roman" w:cs="Times New Roman"/>
          <w:sz w:val="28"/>
          <w:szCs w:val="28"/>
        </w:rPr>
        <w:t xml:space="preserve"> часть которого приходится на внутренний долг (рисунок</w:t>
      </w:r>
      <w:r w:rsidR="00CC48B7">
        <w:rPr>
          <w:rFonts w:ascii="Times New Roman" w:hAnsi="Times New Roman" w:cs="Times New Roman"/>
          <w:sz w:val="28"/>
          <w:szCs w:val="28"/>
        </w:rPr>
        <w:t xml:space="preserve"> 17</w:t>
      </w:r>
      <w:r w:rsidRPr="0051407C">
        <w:rPr>
          <w:rFonts w:ascii="Times New Roman" w:hAnsi="Times New Roman" w:cs="Times New Roman"/>
          <w:sz w:val="28"/>
          <w:szCs w:val="28"/>
        </w:rPr>
        <w:t>).</w:t>
      </w:r>
    </w:p>
    <w:p w14:paraId="4E738849" w14:textId="77777777" w:rsidR="00A4236E" w:rsidRDefault="00A4236E" w:rsidP="00A4236E">
      <w:r>
        <w:rPr>
          <w:noProof/>
        </w:rPr>
        <w:drawing>
          <wp:inline distT="0" distB="0" distL="0" distR="0" wp14:anchorId="090773D2" wp14:editId="7DF2ED5E">
            <wp:extent cx="5826868" cy="3200400"/>
            <wp:effectExtent l="0" t="0" r="15240" b="1270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140385A" w14:textId="3DE4AE3D" w:rsidR="00A4236E" w:rsidRDefault="00A4236E" w:rsidP="00A4236E">
      <w:pPr>
        <w:spacing w:line="360" w:lineRule="auto"/>
        <w:ind w:firstLine="709"/>
        <w:jc w:val="both"/>
        <w:rPr>
          <w:rFonts w:ascii="Times New Roman" w:hAnsi="Times New Roman" w:cs="Times New Roman"/>
          <w:sz w:val="28"/>
          <w:szCs w:val="28"/>
        </w:rPr>
      </w:pPr>
      <w:r w:rsidRPr="0051407C">
        <w:rPr>
          <w:rFonts w:ascii="Times New Roman" w:hAnsi="Times New Roman" w:cs="Times New Roman"/>
          <w:sz w:val="28"/>
          <w:szCs w:val="28"/>
        </w:rPr>
        <w:t>Рисунок</w:t>
      </w:r>
      <w:r w:rsidR="00CC48B7">
        <w:rPr>
          <w:rFonts w:ascii="Times New Roman" w:hAnsi="Times New Roman" w:cs="Times New Roman"/>
          <w:sz w:val="28"/>
          <w:szCs w:val="28"/>
        </w:rPr>
        <w:t xml:space="preserve"> 17</w:t>
      </w:r>
      <w:r>
        <w:rPr>
          <w:rFonts w:ascii="Times New Roman" w:hAnsi="Times New Roman" w:cs="Times New Roman"/>
          <w:sz w:val="28"/>
          <w:szCs w:val="28"/>
        </w:rPr>
        <w:t xml:space="preserve"> -</w:t>
      </w:r>
      <w:r w:rsidRPr="0051407C">
        <w:rPr>
          <w:rFonts w:ascii="Times New Roman" w:hAnsi="Times New Roman" w:cs="Times New Roman"/>
          <w:sz w:val="28"/>
          <w:szCs w:val="28"/>
        </w:rPr>
        <w:t xml:space="preserve"> Динамика изменения государственного </w:t>
      </w:r>
      <w:r>
        <w:rPr>
          <w:rFonts w:ascii="Times New Roman" w:hAnsi="Times New Roman" w:cs="Times New Roman"/>
          <w:sz w:val="28"/>
          <w:szCs w:val="28"/>
        </w:rPr>
        <w:t xml:space="preserve">внутреннего </w:t>
      </w:r>
      <w:r w:rsidRPr="0051407C">
        <w:rPr>
          <w:rFonts w:ascii="Times New Roman" w:hAnsi="Times New Roman" w:cs="Times New Roman"/>
          <w:sz w:val="28"/>
          <w:szCs w:val="28"/>
        </w:rPr>
        <w:t>долга Российской Федерации</w:t>
      </w:r>
    </w:p>
    <w:p w14:paraId="57BEBABF" w14:textId="7211B494" w:rsidR="00A4236E" w:rsidRPr="00450222" w:rsidRDefault="00A4236E" w:rsidP="00CC48B7">
      <w:pPr>
        <w:spacing w:line="360" w:lineRule="auto"/>
        <w:jc w:val="both"/>
        <w:rPr>
          <w:rFonts w:ascii="Times New Roman" w:hAnsi="Times New Roman" w:cs="Times New Roman"/>
          <w:color w:val="FF0000"/>
          <w:sz w:val="28"/>
          <w:szCs w:val="28"/>
        </w:rPr>
      </w:pPr>
    </w:p>
    <w:p w14:paraId="4B0F1A5C" w14:textId="1B805F4B" w:rsidR="00A4236E" w:rsidRDefault="00A4236E" w:rsidP="00A4236E">
      <w:pPr>
        <w:spacing w:line="360" w:lineRule="auto"/>
        <w:ind w:firstLine="709"/>
        <w:jc w:val="both"/>
        <w:rPr>
          <w:rFonts w:ascii="Times New Roman" w:hAnsi="Times New Roman" w:cs="Times New Roman"/>
          <w:sz w:val="28"/>
          <w:szCs w:val="28"/>
        </w:rPr>
      </w:pPr>
      <w:r w:rsidRPr="00371A23">
        <w:rPr>
          <w:rFonts w:ascii="Times New Roman" w:hAnsi="Times New Roman" w:cs="Times New Roman"/>
          <w:sz w:val="28"/>
          <w:szCs w:val="28"/>
        </w:rPr>
        <w:t>Сохраняется, как и в предыдущие годы, структура государственного внутреннего долга Российской Федерации, который представлен государственными гарантиями и государственными ценными бумагами</w:t>
      </w:r>
      <w:r>
        <w:rPr>
          <w:rFonts w:ascii="Times New Roman" w:hAnsi="Times New Roman" w:cs="Times New Roman"/>
          <w:sz w:val="28"/>
          <w:szCs w:val="28"/>
        </w:rPr>
        <w:t xml:space="preserve"> </w:t>
      </w:r>
      <w:r w:rsidRPr="0051407C">
        <w:rPr>
          <w:rFonts w:ascii="Times New Roman" w:hAnsi="Times New Roman" w:cs="Times New Roman"/>
          <w:sz w:val="28"/>
          <w:szCs w:val="28"/>
        </w:rPr>
        <w:t>(рисунок</w:t>
      </w:r>
      <w:r>
        <w:rPr>
          <w:rFonts w:ascii="Times New Roman" w:hAnsi="Times New Roman" w:cs="Times New Roman"/>
          <w:sz w:val="28"/>
          <w:szCs w:val="28"/>
        </w:rPr>
        <w:t xml:space="preserve"> </w:t>
      </w:r>
      <w:r w:rsidR="00CC48B7">
        <w:rPr>
          <w:rFonts w:ascii="Times New Roman" w:hAnsi="Times New Roman" w:cs="Times New Roman"/>
          <w:sz w:val="28"/>
          <w:szCs w:val="28"/>
        </w:rPr>
        <w:t>18</w:t>
      </w:r>
      <w:r w:rsidRPr="0051407C">
        <w:rPr>
          <w:rFonts w:ascii="Times New Roman" w:hAnsi="Times New Roman" w:cs="Times New Roman"/>
          <w:sz w:val="28"/>
          <w:szCs w:val="28"/>
        </w:rPr>
        <w:t>).</w:t>
      </w:r>
    </w:p>
    <w:p w14:paraId="1D73279F" w14:textId="77777777" w:rsidR="00A4236E" w:rsidRDefault="00A4236E" w:rsidP="00A4236E">
      <w:r>
        <w:rPr>
          <w:noProof/>
        </w:rPr>
        <w:drawing>
          <wp:inline distT="0" distB="0" distL="0" distR="0" wp14:anchorId="6B89242F" wp14:editId="073E14CA">
            <wp:extent cx="5787958" cy="3200400"/>
            <wp:effectExtent l="0" t="0" r="16510" b="1270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5C3BD53" w14:textId="2096535D" w:rsidR="00A4236E" w:rsidRDefault="00A4236E" w:rsidP="00A4236E">
      <w:pPr>
        <w:spacing w:line="360" w:lineRule="auto"/>
        <w:ind w:firstLine="709"/>
        <w:jc w:val="both"/>
        <w:rPr>
          <w:rFonts w:ascii="Times New Roman" w:hAnsi="Times New Roman" w:cs="Times New Roman"/>
          <w:sz w:val="28"/>
          <w:szCs w:val="28"/>
        </w:rPr>
      </w:pPr>
      <w:r w:rsidRPr="0051407C">
        <w:rPr>
          <w:rFonts w:ascii="Times New Roman" w:hAnsi="Times New Roman" w:cs="Times New Roman"/>
          <w:sz w:val="28"/>
          <w:szCs w:val="28"/>
        </w:rPr>
        <w:t>Рисунок</w:t>
      </w:r>
      <w:r w:rsidR="00CC48B7">
        <w:rPr>
          <w:rFonts w:ascii="Times New Roman" w:hAnsi="Times New Roman" w:cs="Times New Roman"/>
          <w:sz w:val="28"/>
          <w:szCs w:val="28"/>
        </w:rPr>
        <w:t xml:space="preserve"> 18 – </w:t>
      </w:r>
      <w:r>
        <w:rPr>
          <w:rFonts w:ascii="Times New Roman" w:hAnsi="Times New Roman" w:cs="Times New Roman"/>
          <w:sz w:val="28"/>
          <w:szCs w:val="28"/>
        </w:rPr>
        <w:t>Структура</w:t>
      </w:r>
      <w:r w:rsidRPr="0051407C">
        <w:rPr>
          <w:rFonts w:ascii="Times New Roman" w:hAnsi="Times New Roman" w:cs="Times New Roman"/>
          <w:sz w:val="28"/>
          <w:szCs w:val="28"/>
        </w:rPr>
        <w:t xml:space="preserve"> государственного </w:t>
      </w:r>
      <w:r>
        <w:rPr>
          <w:rFonts w:ascii="Times New Roman" w:hAnsi="Times New Roman" w:cs="Times New Roman"/>
          <w:sz w:val="28"/>
          <w:szCs w:val="28"/>
        </w:rPr>
        <w:t xml:space="preserve">внутреннего </w:t>
      </w:r>
      <w:r w:rsidRPr="0051407C">
        <w:rPr>
          <w:rFonts w:ascii="Times New Roman" w:hAnsi="Times New Roman" w:cs="Times New Roman"/>
          <w:sz w:val="28"/>
          <w:szCs w:val="28"/>
        </w:rPr>
        <w:t>долга Российской Федерации</w:t>
      </w:r>
    </w:p>
    <w:p w14:paraId="4208E037" w14:textId="77777777" w:rsidR="00CC48B7" w:rsidRDefault="00CC48B7" w:rsidP="00A4236E">
      <w:pPr>
        <w:spacing w:line="360" w:lineRule="auto"/>
        <w:ind w:firstLine="709"/>
        <w:jc w:val="both"/>
        <w:rPr>
          <w:rFonts w:ascii="Times New Roman" w:hAnsi="Times New Roman" w:cs="Times New Roman"/>
          <w:sz w:val="28"/>
          <w:szCs w:val="28"/>
        </w:rPr>
      </w:pPr>
    </w:p>
    <w:p w14:paraId="21430CB2" w14:textId="40845C5F" w:rsidR="00A4236E" w:rsidRDefault="00A4236E" w:rsidP="00A423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Государственные гарантии</w:t>
      </w:r>
      <w:r w:rsidR="00CC48B7">
        <w:rPr>
          <w:rFonts w:ascii="Times New Roman" w:hAnsi="Times New Roman" w:cs="Times New Roman"/>
          <w:sz w:val="28"/>
          <w:szCs w:val="28"/>
        </w:rPr>
        <w:t xml:space="preserve"> –</w:t>
      </w:r>
      <w:r>
        <w:rPr>
          <w:rFonts w:ascii="Times New Roman" w:hAnsi="Times New Roman" w:cs="Times New Roman"/>
          <w:sz w:val="28"/>
          <w:szCs w:val="28"/>
        </w:rPr>
        <w:t xml:space="preserve"> достаточно распространенный инструмент долговых заимствований. С одной стороны, государственные гарантии оказывают прямой положительный эффект, обеспечивая уверенность бенефициаров в своевременной финансовой поддержке, с другой - государственные гарантии могут спровоцировать негативные последствия в форме принятия коммерческими банками высоких рисков. Предлагаемые в законопроекте размеры государственных гарантий, величина которых продолжает снижаться с начала 2019 года, свидетельствует о </w:t>
      </w:r>
      <w:proofErr w:type="spellStart"/>
      <w:r w:rsidR="00CC48B7">
        <w:rPr>
          <w:rFonts w:ascii="Times New Roman" w:hAnsi="Times New Roman" w:cs="Times New Roman"/>
          <w:sz w:val="28"/>
          <w:szCs w:val="28"/>
        </w:rPr>
        <w:t>разумн</w:t>
      </w:r>
      <w:r>
        <w:rPr>
          <w:rFonts w:ascii="Times New Roman" w:hAnsi="Times New Roman" w:cs="Times New Roman"/>
          <w:sz w:val="28"/>
          <w:szCs w:val="28"/>
        </w:rPr>
        <w:t>о</w:t>
      </w:r>
      <w:r w:rsidR="00CC48B7">
        <w:rPr>
          <w:rFonts w:ascii="Times New Roman" w:hAnsi="Times New Roman" w:cs="Times New Roman"/>
          <w:sz w:val="28"/>
          <w:szCs w:val="28"/>
        </w:rPr>
        <w:t>ти</w:t>
      </w:r>
      <w:proofErr w:type="spellEnd"/>
      <w:r>
        <w:rPr>
          <w:rFonts w:ascii="Times New Roman" w:hAnsi="Times New Roman" w:cs="Times New Roman"/>
          <w:sz w:val="28"/>
          <w:szCs w:val="28"/>
        </w:rPr>
        <w:t xml:space="preserve"> проводимой долговой политике. </w:t>
      </w:r>
    </w:p>
    <w:p w14:paraId="244ABF97" w14:textId="77777777" w:rsidR="00A4236E" w:rsidRPr="0051407C" w:rsidRDefault="00A4236E" w:rsidP="00A423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Доминирующие позиции в структуре долгового портфеля на протяжении ряда лет продолжают занимать государственные ценные бумаги</w:t>
      </w:r>
      <w:r w:rsidRPr="00371A23">
        <w:rPr>
          <w:rFonts w:ascii="Times New Roman" w:hAnsi="Times New Roman" w:cs="Times New Roman"/>
          <w:sz w:val="28"/>
          <w:szCs w:val="28"/>
        </w:rPr>
        <w:t>, выраженных в валюте Российской Федерации</w:t>
      </w:r>
      <w:r>
        <w:rPr>
          <w:rFonts w:ascii="Times New Roman" w:hAnsi="Times New Roman" w:cs="Times New Roman"/>
          <w:sz w:val="28"/>
          <w:szCs w:val="28"/>
        </w:rPr>
        <w:t>. Увеличение объемов государственных заимствований в форме долговых ценных бумаг</w:t>
      </w:r>
      <w:r w:rsidRPr="00371A23">
        <w:rPr>
          <w:rFonts w:ascii="Times New Roman" w:hAnsi="Times New Roman" w:cs="Times New Roman"/>
          <w:sz w:val="28"/>
          <w:szCs w:val="28"/>
        </w:rPr>
        <w:t xml:space="preserve"> как в последние годы, так и в прогнозируемом периоде </w:t>
      </w:r>
      <w:r>
        <w:rPr>
          <w:rFonts w:ascii="Times New Roman" w:hAnsi="Times New Roman" w:cs="Times New Roman"/>
          <w:sz w:val="28"/>
          <w:szCs w:val="28"/>
        </w:rPr>
        <w:t xml:space="preserve">повышает </w:t>
      </w:r>
      <w:r w:rsidRPr="00371A23">
        <w:rPr>
          <w:rFonts w:ascii="Times New Roman" w:hAnsi="Times New Roman" w:cs="Times New Roman"/>
          <w:sz w:val="28"/>
          <w:szCs w:val="28"/>
        </w:rPr>
        <w:t xml:space="preserve">риск сокращения инвестиций в реальный сектор экономики. </w:t>
      </w:r>
    </w:p>
    <w:p w14:paraId="62A4BCCD" w14:textId="30475579" w:rsidR="00A4236E" w:rsidRPr="00601233" w:rsidRDefault="00A4236E" w:rsidP="00A423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одной стороны,</w:t>
      </w:r>
      <w:r w:rsidRPr="00601233">
        <w:rPr>
          <w:rFonts w:ascii="Times New Roman" w:hAnsi="Times New Roman" w:cs="Times New Roman"/>
          <w:sz w:val="28"/>
          <w:szCs w:val="28"/>
        </w:rPr>
        <w:t xml:space="preserve"> тенденция размещения государственных ценных бумаг на внутреннем рынке </w:t>
      </w:r>
      <w:r w:rsidR="00CC48B7">
        <w:rPr>
          <w:rFonts w:ascii="Times New Roman" w:hAnsi="Times New Roman" w:cs="Times New Roman"/>
          <w:sz w:val="28"/>
          <w:szCs w:val="28"/>
        </w:rPr>
        <w:t xml:space="preserve">обеспечивает надежные инструменты для инвестирования организаций и домохозяйств, но, </w:t>
      </w:r>
      <w:r w:rsidRPr="00601233">
        <w:rPr>
          <w:rFonts w:ascii="Times New Roman" w:hAnsi="Times New Roman" w:cs="Times New Roman"/>
          <w:sz w:val="28"/>
          <w:szCs w:val="28"/>
        </w:rPr>
        <w:t>с другой</w:t>
      </w:r>
      <w:r w:rsidR="00CC48B7">
        <w:rPr>
          <w:rFonts w:ascii="Times New Roman" w:hAnsi="Times New Roman" w:cs="Times New Roman"/>
          <w:sz w:val="28"/>
          <w:szCs w:val="28"/>
        </w:rPr>
        <w:t xml:space="preserve">, </w:t>
      </w:r>
      <w:r w:rsidRPr="00601233">
        <w:rPr>
          <w:rFonts w:ascii="Times New Roman" w:hAnsi="Times New Roman" w:cs="Times New Roman"/>
          <w:sz w:val="28"/>
          <w:szCs w:val="28"/>
        </w:rPr>
        <w:t xml:space="preserve">при увеличении государственного внутреннего долга ограничиваются инвестиции в </w:t>
      </w:r>
      <w:r>
        <w:rPr>
          <w:rFonts w:ascii="Times New Roman" w:hAnsi="Times New Roman" w:cs="Times New Roman"/>
          <w:sz w:val="28"/>
          <w:szCs w:val="28"/>
        </w:rPr>
        <w:t>реальную экономику</w:t>
      </w:r>
      <w:r w:rsidRPr="00601233">
        <w:rPr>
          <w:rFonts w:ascii="Times New Roman" w:hAnsi="Times New Roman" w:cs="Times New Roman"/>
          <w:sz w:val="28"/>
          <w:szCs w:val="28"/>
        </w:rPr>
        <w:t>. Часть финансовых ресурсов, которая могла быть направлена на финансирование реального сектора</w:t>
      </w:r>
      <w:r w:rsidR="00CC48B7">
        <w:rPr>
          <w:rFonts w:ascii="Times New Roman" w:hAnsi="Times New Roman" w:cs="Times New Roman"/>
          <w:sz w:val="28"/>
          <w:szCs w:val="28"/>
        </w:rPr>
        <w:t>,</w:t>
      </w:r>
      <w:r w:rsidRPr="00601233">
        <w:rPr>
          <w:rFonts w:ascii="Times New Roman" w:hAnsi="Times New Roman" w:cs="Times New Roman"/>
          <w:sz w:val="28"/>
          <w:szCs w:val="28"/>
        </w:rPr>
        <w:t xml:space="preserve"> используется в целях привлечения государством заемных средств</w:t>
      </w:r>
      <w:r w:rsidR="00CC48B7">
        <w:rPr>
          <w:rFonts w:ascii="Times New Roman" w:hAnsi="Times New Roman" w:cs="Times New Roman"/>
          <w:sz w:val="28"/>
          <w:szCs w:val="28"/>
        </w:rPr>
        <w:t xml:space="preserve"> для финансирования дефицита бюджета</w:t>
      </w:r>
      <w:r w:rsidRPr="00601233">
        <w:rPr>
          <w:rFonts w:ascii="Times New Roman" w:hAnsi="Times New Roman" w:cs="Times New Roman"/>
          <w:sz w:val="28"/>
          <w:szCs w:val="28"/>
        </w:rPr>
        <w:t xml:space="preserve">. </w:t>
      </w:r>
    </w:p>
    <w:p w14:paraId="64EBE01C" w14:textId="56DFEB82" w:rsidR="00A4236E" w:rsidRDefault="00A4236E" w:rsidP="00A423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Размещение государственных ценных бумаг значительно сокращает ликвидность финансового рынка (рис</w:t>
      </w:r>
      <w:r w:rsidR="00CC48B7">
        <w:rPr>
          <w:rFonts w:ascii="Times New Roman" w:hAnsi="Times New Roman" w:cs="Times New Roman"/>
          <w:sz w:val="28"/>
          <w:szCs w:val="28"/>
        </w:rPr>
        <w:t>унок 19</w:t>
      </w:r>
      <w:r>
        <w:rPr>
          <w:rFonts w:ascii="Times New Roman" w:hAnsi="Times New Roman" w:cs="Times New Roman"/>
          <w:sz w:val="28"/>
          <w:szCs w:val="28"/>
        </w:rPr>
        <w:t>). Соответственно, наращивание долговых заимствований в форме государственных ценных бумаг, которое предусмотрено законопроектом, приведет к еще большему отвлечению финансовых ресурсов</w:t>
      </w:r>
      <w:r w:rsidRPr="002148A5">
        <w:rPr>
          <w:rFonts w:ascii="Times New Roman" w:hAnsi="Times New Roman" w:cs="Times New Roman"/>
          <w:sz w:val="28"/>
          <w:szCs w:val="28"/>
        </w:rPr>
        <w:t xml:space="preserve"> </w:t>
      </w:r>
      <w:r w:rsidRPr="00601233">
        <w:rPr>
          <w:rFonts w:ascii="Times New Roman" w:hAnsi="Times New Roman" w:cs="Times New Roman"/>
          <w:sz w:val="28"/>
          <w:szCs w:val="28"/>
        </w:rPr>
        <w:t>от нужд социально-экономического развития.</w:t>
      </w:r>
    </w:p>
    <w:p w14:paraId="480171A1" w14:textId="77777777" w:rsidR="00A4236E" w:rsidRDefault="00A4236E" w:rsidP="00A4236E">
      <w:pPr>
        <w:spacing w:line="360" w:lineRule="auto"/>
        <w:jc w:val="both"/>
        <w:rPr>
          <w:noProof/>
        </w:rPr>
      </w:pPr>
      <w:r>
        <w:rPr>
          <w:noProof/>
        </w:rPr>
        <w:drawing>
          <wp:inline distT="0" distB="0" distL="0" distR="0" wp14:anchorId="73B04AA4" wp14:editId="4D2C7DCC">
            <wp:extent cx="5860623" cy="3857625"/>
            <wp:effectExtent l="0" t="0" r="6985"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15962" t="16726" r="44218" b="36678"/>
                    <a:stretch/>
                  </pic:blipFill>
                  <pic:spPr bwMode="auto">
                    <a:xfrm>
                      <a:off x="0" y="0"/>
                      <a:ext cx="5884556" cy="3873378"/>
                    </a:xfrm>
                    <a:prstGeom prst="rect">
                      <a:avLst/>
                    </a:prstGeom>
                    <a:ln>
                      <a:noFill/>
                    </a:ln>
                    <a:extLst>
                      <a:ext uri="{53640926-AAD7-44D8-BBD7-CCE9431645EC}">
                        <a14:shadowObscured xmlns:a14="http://schemas.microsoft.com/office/drawing/2010/main"/>
                      </a:ext>
                    </a:extLst>
                  </pic:spPr>
                </pic:pic>
              </a:graphicData>
            </a:graphic>
          </wp:inline>
        </w:drawing>
      </w:r>
    </w:p>
    <w:p w14:paraId="7A71170F" w14:textId="2169976E" w:rsidR="00A4236E" w:rsidRDefault="00A4236E" w:rsidP="00A423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w:t>
      </w:r>
      <w:r w:rsidR="00CC48B7">
        <w:rPr>
          <w:rFonts w:ascii="Times New Roman" w:hAnsi="Times New Roman" w:cs="Times New Roman"/>
          <w:sz w:val="28"/>
          <w:szCs w:val="28"/>
        </w:rPr>
        <w:t>19</w:t>
      </w:r>
      <w:r>
        <w:rPr>
          <w:rFonts w:ascii="Times New Roman" w:hAnsi="Times New Roman" w:cs="Times New Roman"/>
          <w:sz w:val="28"/>
          <w:szCs w:val="28"/>
        </w:rPr>
        <w:t xml:space="preserve"> – Отток средств из банковского сектора</w:t>
      </w:r>
    </w:p>
    <w:p w14:paraId="3BA6C51F" w14:textId="77777777" w:rsidR="00CC48B7" w:rsidRDefault="00CC48B7" w:rsidP="00A4236E">
      <w:pPr>
        <w:spacing w:line="360" w:lineRule="auto"/>
        <w:ind w:firstLine="709"/>
        <w:jc w:val="both"/>
        <w:rPr>
          <w:rFonts w:ascii="Times New Roman" w:hAnsi="Times New Roman" w:cs="Times New Roman"/>
          <w:sz w:val="28"/>
          <w:szCs w:val="28"/>
        </w:rPr>
      </w:pPr>
    </w:p>
    <w:p w14:paraId="5F8E9807" w14:textId="24A552D3" w:rsidR="00A4236E" w:rsidRDefault="00A4236E" w:rsidP="00A423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внешнего долга большую долю занимает задолженность по внешним облигационным займам и государственным гарантиям Российской Федерации в иностранной валюте, величина которых согласно </w:t>
      </w:r>
      <w:r w:rsidR="00CC48B7">
        <w:rPr>
          <w:rFonts w:ascii="Times New Roman" w:hAnsi="Times New Roman" w:cs="Times New Roman"/>
          <w:sz w:val="28"/>
          <w:szCs w:val="28"/>
        </w:rPr>
        <w:t>з</w:t>
      </w:r>
      <w:r>
        <w:rPr>
          <w:rFonts w:ascii="Times New Roman" w:hAnsi="Times New Roman" w:cs="Times New Roman"/>
          <w:sz w:val="28"/>
          <w:szCs w:val="28"/>
        </w:rPr>
        <w:t>аконопроект</w:t>
      </w:r>
      <w:r w:rsidR="00CC48B7">
        <w:rPr>
          <w:rFonts w:ascii="Times New Roman" w:hAnsi="Times New Roman" w:cs="Times New Roman"/>
          <w:sz w:val="28"/>
          <w:szCs w:val="28"/>
        </w:rPr>
        <w:t>у</w:t>
      </w:r>
      <w:r>
        <w:rPr>
          <w:rFonts w:ascii="Times New Roman" w:hAnsi="Times New Roman" w:cs="Times New Roman"/>
          <w:sz w:val="28"/>
          <w:szCs w:val="28"/>
        </w:rPr>
        <w:t xml:space="preserve"> в 2020-2022 </w:t>
      </w:r>
      <w:r w:rsidR="00CC48B7">
        <w:rPr>
          <w:rFonts w:ascii="Times New Roman" w:hAnsi="Times New Roman" w:cs="Times New Roman"/>
          <w:sz w:val="28"/>
          <w:szCs w:val="28"/>
        </w:rPr>
        <w:t xml:space="preserve">гг. увеличивается и составляет </w:t>
      </w:r>
      <w:r>
        <w:rPr>
          <w:rFonts w:ascii="Times New Roman" w:hAnsi="Times New Roman" w:cs="Times New Roman"/>
          <w:sz w:val="28"/>
          <w:szCs w:val="28"/>
        </w:rPr>
        <w:t xml:space="preserve">1625, 1680 и 1730 </w:t>
      </w:r>
      <w:r w:rsidR="00CC48B7">
        <w:rPr>
          <w:rFonts w:ascii="Times New Roman" w:hAnsi="Times New Roman" w:cs="Times New Roman"/>
          <w:sz w:val="28"/>
          <w:szCs w:val="28"/>
        </w:rPr>
        <w:t>млн. руб. соответственно</w:t>
      </w:r>
      <w:r>
        <w:rPr>
          <w:rFonts w:ascii="Times New Roman" w:hAnsi="Times New Roman" w:cs="Times New Roman"/>
          <w:sz w:val="28"/>
          <w:szCs w:val="28"/>
        </w:rPr>
        <w:t xml:space="preserve">. </w:t>
      </w:r>
    </w:p>
    <w:p w14:paraId="162F1684" w14:textId="77777777" w:rsidR="001A707E" w:rsidRDefault="001A707E" w:rsidP="00A4236E">
      <w:pPr>
        <w:spacing w:line="360" w:lineRule="auto"/>
        <w:ind w:firstLine="709"/>
        <w:jc w:val="both"/>
        <w:rPr>
          <w:rFonts w:ascii="Times New Roman" w:hAnsi="Times New Roman" w:cs="Times New Roman"/>
          <w:sz w:val="28"/>
          <w:szCs w:val="28"/>
        </w:rPr>
      </w:pPr>
    </w:p>
    <w:p w14:paraId="241D4ECA" w14:textId="13646FFB" w:rsidR="001A707E" w:rsidRPr="006C5FDD" w:rsidRDefault="001A707E" w:rsidP="006C5FDD">
      <w:pPr>
        <w:spacing w:line="360" w:lineRule="auto"/>
        <w:ind w:firstLine="709"/>
        <w:jc w:val="center"/>
        <w:rPr>
          <w:rFonts w:ascii="Times New Roman" w:hAnsi="Times New Roman" w:cs="Times New Roman"/>
          <w:b/>
          <w:sz w:val="28"/>
          <w:szCs w:val="28"/>
        </w:rPr>
      </w:pPr>
      <w:r w:rsidRPr="006C5FDD">
        <w:rPr>
          <w:rFonts w:ascii="Times New Roman" w:hAnsi="Times New Roman" w:cs="Times New Roman"/>
          <w:b/>
          <w:sz w:val="28"/>
          <w:szCs w:val="28"/>
        </w:rPr>
        <w:t>Выводы</w:t>
      </w:r>
    </w:p>
    <w:p w14:paraId="0F28A66F" w14:textId="77777777" w:rsidR="001A707E" w:rsidRDefault="001A707E" w:rsidP="001A707E">
      <w:pPr>
        <w:spacing w:line="360" w:lineRule="auto"/>
        <w:ind w:firstLine="709"/>
        <w:jc w:val="both"/>
        <w:rPr>
          <w:rFonts w:ascii="Times New Roman" w:hAnsi="Times New Roman" w:cs="Times New Roman"/>
          <w:sz w:val="28"/>
          <w:szCs w:val="28"/>
        </w:rPr>
      </w:pPr>
      <w:r w:rsidRPr="00E1515B">
        <w:rPr>
          <w:rFonts w:ascii="Times New Roman" w:hAnsi="Times New Roman" w:cs="Times New Roman"/>
          <w:sz w:val="28"/>
          <w:szCs w:val="28"/>
        </w:rPr>
        <w:t>Адаптация бюджетной политики и основных параметров федерального бюджета к глобальным тенденциям будет способствовать</w:t>
      </w:r>
      <w:r>
        <w:rPr>
          <w:rFonts w:ascii="Times New Roman" w:hAnsi="Times New Roman" w:cs="Times New Roman"/>
          <w:sz w:val="28"/>
          <w:szCs w:val="28"/>
        </w:rPr>
        <w:t>:</w:t>
      </w:r>
    </w:p>
    <w:p w14:paraId="15D51F86" w14:textId="2891198B" w:rsidR="001A707E" w:rsidRDefault="001A707E" w:rsidP="001A707E">
      <w:pPr>
        <w:spacing w:line="360" w:lineRule="auto"/>
        <w:ind w:firstLine="709"/>
        <w:jc w:val="both"/>
        <w:rPr>
          <w:rFonts w:ascii="Times New Roman" w:hAnsi="Times New Roman" w:cs="Times New Roman"/>
          <w:sz w:val="28"/>
          <w:szCs w:val="28"/>
        </w:rPr>
      </w:pPr>
      <w:r w:rsidRPr="00E151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515B">
        <w:rPr>
          <w:rFonts w:ascii="Times New Roman" w:hAnsi="Times New Roman" w:cs="Times New Roman"/>
          <w:sz w:val="28"/>
          <w:szCs w:val="28"/>
        </w:rPr>
        <w:t xml:space="preserve">долгосрочному экономическому росту, являющемуся  важным условием долговременного снижения долгового бремени во всех секторах экономики, </w:t>
      </w:r>
    </w:p>
    <w:p w14:paraId="62E345CB" w14:textId="618D9F4B" w:rsidR="001A707E" w:rsidRPr="00E1515B" w:rsidRDefault="001A707E" w:rsidP="001A70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1515B">
        <w:rPr>
          <w:rFonts w:ascii="Times New Roman" w:hAnsi="Times New Roman" w:cs="Times New Roman"/>
          <w:sz w:val="28"/>
          <w:szCs w:val="28"/>
        </w:rPr>
        <w:t>повы</w:t>
      </w:r>
      <w:r>
        <w:rPr>
          <w:rFonts w:ascii="Times New Roman" w:hAnsi="Times New Roman" w:cs="Times New Roman"/>
          <w:sz w:val="28"/>
          <w:szCs w:val="28"/>
        </w:rPr>
        <w:t>шению</w:t>
      </w:r>
      <w:r w:rsidRPr="00E1515B">
        <w:rPr>
          <w:rFonts w:ascii="Times New Roman" w:hAnsi="Times New Roman" w:cs="Times New Roman"/>
          <w:sz w:val="28"/>
          <w:szCs w:val="28"/>
        </w:rPr>
        <w:t xml:space="preserve"> доверие общества  к институтам государственной власти и их решениям, которое необходимо для обеспечения макроэкономической стабильности. </w:t>
      </w:r>
    </w:p>
    <w:p w14:paraId="43F957DC" w14:textId="77777777" w:rsidR="001A707E" w:rsidRPr="004D585B" w:rsidRDefault="001A707E" w:rsidP="001A707E">
      <w:pPr>
        <w:spacing w:line="360" w:lineRule="auto"/>
        <w:ind w:firstLine="709"/>
        <w:jc w:val="both"/>
        <w:rPr>
          <w:rFonts w:ascii="Times New Roman" w:hAnsi="Times New Roman" w:cs="Times New Roman"/>
          <w:sz w:val="28"/>
          <w:szCs w:val="28"/>
        </w:rPr>
      </w:pPr>
      <w:r w:rsidRPr="00E1515B">
        <w:rPr>
          <w:rFonts w:ascii="Times New Roman" w:hAnsi="Times New Roman" w:cs="Times New Roman"/>
          <w:sz w:val="28"/>
          <w:szCs w:val="28"/>
        </w:rPr>
        <w:t xml:space="preserve">В условиях ограниченности бюджетных ресурсов и доступа к внешним источникам финансирования такая адаптация должна проводиться за счет:  (1) изменения структуры расходов федерального бюджета, (2) выявления факторов, обусловливающих их низкую экономичность и результативность, (3) повышения эффективности управления государственными активами; (4) инвестиций в  повышение прозрачности управления финансами государственного сектора, в том числе на основе изменения способов общения государства с гражданами в рамках  парадигмы </w:t>
      </w:r>
      <w:r w:rsidRPr="00E1515B">
        <w:rPr>
          <w:rFonts w:ascii="Times New Roman" w:hAnsi="Times New Roman" w:cs="Times New Roman"/>
          <w:sz w:val="28"/>
          <w:szCs w:val="28"/>
          <w:lang w:val="en-US"/>
        </w:rPr>
        <w:t>Governance</w:t>
      </w:r>
      <w:r w:rsidRPr="004D585B">
        <w:rPr>
          <w:rFonts w:ascii="Times New Roman" w:hAnsi="Times New Roman" w:cs="Times New Roman"/>
          <w:sz w:val="28"/>
          <w:szCs w:val="28"/>
        </w:rPr>
        <w:t xml:space="preserve"> 2.0</w:t>
      </w:r>
      <w:r w:rsidRPr="00E1515B">
        <w:rPr>
          <w:rStyle w:val="a5"/>
          <w:rFonts w:ascii="Times New Roman" w:hAnsi="Times New Roman" w:cs="Times New Roman"/>
          <w:sz w:val="28"/>
          <w:szCs w:val="28"/>
          <w:lang w:val="en-US"/>
        </w:rPr>
        <w:footnoteReference w:id="9"/>
      </w:r>
      <w:r w:rsidRPr="004D585B">
        <w:rPr>
          <w:rFonts w:ascii="Times New Roman" w:hAnsi="Times New Roman" w:cs="Times New Roman"/>
          <w:sz w:val="28"/>
          <w:szCs w:val="28"/>
        </w:rPr>
        <w:t xml:space="preserve">, </w:t>
      </w:r>
      <w:r w:rsidRPr="00E1515B">
        <w:rPr>
          <w:rFonts w:ascii="Times New Roman" w:hAnsi="Times New Roman" w:cs="Times New Roman"/>
          <w:sz w:val="28"/>
          <w:szCs w:val="28"/>
        </w:rPr>
        <w:t>реализации инициативы уровня Открытое правительство (</w:t>
      </w:r>
      <w:r w:rsidRPr="00E1515B">
        <w:rPr>
          <w:rFonts w:ascii="Times New Roman" w:hAnsi="Times New Roman" w:cs="Times New Roman"/>
          <w:sz w:val="28"/>
          <w:szCs w:val="28"/>
          <w:lang w:val="en-US"/>
        </w:rPr>
        <w:t>OGI</w:t>
      </w:r>
      <w:r w:rsidRPr="00E1515B">
        <w:rPr>
          <w:rFonts w:ascii="Times New Roman" w:hAnsi="Times New Roman" w:cs="Times New Roman"/>
          <w:sz w:val="28"/>
          <w:szCs w:val="28"/>
        </w:rPr>
        <w:t>)</w:t>
      </w:r>
      <w:r w:rsidRPr="004D585B">
        <w:rPr>
          <w:rFonts w:ascii="Times New Roman" w:hAnsi="Times New Roman" w:cs="Times New Roman"/>
          <w:sz w:val="28"/>
          <w:szCs w:val="28"/>
        </w:rPr>
        <w:t xml:space="preserve">. </w:t>
      </w:r>
    </w:p>
    <w:p w14:paraId="277F8A24" w14:textId="77777777" w:rsidR="001A707E" w:rsidRDefault="001A707E" w:rsidP="00A4236E">
      <w:pPr>
        <w:spacing w:line="360" w:lineRule="auto"/>
        <w:ind w:firstLine="709"/>
        <w:jc w:val="both"/>
        <w:rPr>
          <w:rFonts w:ascii="Times New Roman" w:hAnsi="Times New Roman" w:cs="Times New Roman"/>
          <w:sz w:val="28"/>
          <w:szCs w:val="28"/>
        </w:rPr>
      </w:pPr>
    </w:p>
    <w:p w14:paraId="11CAC8BD" w14:textId="77777777" w:rsidR="00A4236E" w:rsidRDefault="00A4236E" w:rsidP="00E1515B">
      <w:pPr>
        <w:autoSpaceDE w:val="0"/>
        <w:autoSpaceDN w:val="0"/>
        <w:adjustRightInd w:val="0"/>
        <w:spacing w:line="360" w:lineRule="auto"/>
        <w:ind w:firstLine="709"/>
        <w:jc w:val="both"/>
        <w:rPr>
          <w:rFonts w:ascii="Times New Roman" w:hAnsi="Times New Roman" w:cs="Times New Roman"/>
          <w:sz w:val="28"/>
          <w:szCs w:val="28"/>
          <w:lang w:eastAsia="en-US"/>
        </w:rPr>
      </w:pPr>
    </w:p>
    <w:p w14:paraId="4E0430A3" w14:textId="77777777" w:rsidR="00A4236E" w:rsidRPr="00E1515B" w:rsidRDefault="00A4236E" w:rsidP="00E1515B">
      <w:pPr>
        <w:autoSpaceDE w:val="0"/>
        <w:autoSpaceDN w:val="0"/>
        <w:adjustRightInd w:val="0"/>
        <w:spacing w:line="360" w:lineRule="auto"/>
        <w:ind w:firstLine="709"/>
        <w:jc w:val="both"/>
        <w:rPr>
          <w:rFonts w:ascii="Times New Roman" w:hAnsi="Times New Roman" w:cs="Times New Roman"/>
          <w:sz w:val="28"/>
          <w:szCs w:val="28"/>
          <w:lang w:eastAsia="en-US"/>
        </w:rPr>
      </w:pPr>
    </w:p>
    <w:sectPr w:rsidR="00A4236E" w:rsidRPr="00E1515B" w:rsidSect="0045386E">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8025D" w14:textId="77777777" w:rsidR="00D82E5B" w:rsidRDefault="00D82E5B" w:rsidP="009817DC">
      <w:r>
        <w:separator/>
      </w:r>
    </w:p>
  </w:endnote>
  <w:endnote w:type="continuationSeparator" w:id="0">
    <w:p w14:paraId="2D3A3A86" w14:textId="77777777" w:rsidR="00D82E5B" w:rsidRDefault="00D82E5B" w:rsidP="0098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6D1E7" w14:textId="77777777" w:rsidR="00F32FC8" w:rsidRDefault="00F32FC8" w:rsidP="0045386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67F85A4" w14:textId="77777777" w:rsidR="00F32FC8" w:rsidRDefault="00F32FC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D9976" w14:textId="325E0FC1" w:rsidR="00F32FC8" w:rsidRDefault="00F32FC8" w:rsidP="004D585B">
    <w:pPr>
      <w:pStyle w:val="a8"/>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7E5DA" w14:textId="77777777" w:rsidR="00D82E5B" w:rsidRDefault="00D82E5B" w:rsidP="009817DC">
      <w:r>
        <w:separator/>
      </w:r>
    </w:p>
  </w:footnote>
  <w:footnote w:type="continuationSeparator" w:id="0">
    <w:p w14:paraId="342ED2C5" w14:textId="77777777" w:rsidR="00D82E5B" w:rsidRDefault="00D82E5B" w:rsidP="009817DC">
      <w:r>
        <w:continuationSeparator/>
      </w:r>
    </w:p>
  </w:footnote>
  <w:footnote w:id="1">
    <w:p w14:paraId="134AA046" w14:textId="77777777" w:rsidR="00F32FC8" w:rsidRPr="009E21A6" w:rsidRDefault="00F32FC8" w:rsidP="00654C69">
      <w:pPr>
        <w:pStyle w:val="a3"/>
        <w:rPr>
          <w:rFonts w:ascii="Times New Roman" w:hAnsi="Times New Roman" w:cs="Times New Roman"/>
        </w:rPr>
      </w:pPr>
      <w:r w:rsidRPr="009E21A6">
        <w:rPr>
          <w:rStyle w:val="a5"/>
          <w:rFonts w:ascii="Times New Roman" w:hAnsi="Times New Roman" w:cs="Times New Roman"/>
        </w:rPr>
        <w:footnoteRef/>
      </w:r>
      <w:r w:rsidRPr="009E21A6">
        <w:rPr>
          <w:rFonts w:ascii="Times New Roman" w:hAnsi="Times New Roman" w:cs="Times New Roman"/>
        </w:rPr>
        <w:t xml:space="preserve"> </w:t>
      </w:r>
      <w:hyperlink r:id="rId1" w:anchor="/RUS" w:history="1">
        <w:r w:rsidRPr="009E21A6">
          <w:rPr>
            <w:rStyle w:val="af5"/>
            <w:rFonts w:ascii="Times New Roman" w:hAnsi="Times New Roman" w:cs="Times New Roman"/>
          </w:rPr>
          <w:t>https://dashboards.sdgindex.org/#/RUS</w:t>
        </w:r>
      </w:hyperlink>
    </w:p>
  </w:footnote>
  <w:footnote w:id="2">
    <w:p w14:paraId="6635A619" w14:textId="77777777" w:rsidR="00F32FC8" w:rsidRPr="00D95D1D" w:rsidRDefault="00F32FC8" w:rsidP="00D95D1D">
      <w:pPr>
        <w:pStyle w:val="a3"/>
        <w:jc w:val="both"/>
        <w:rPr>
          <w:rFonts w:ascii="Times New Roman" w:hAnsi="Times New Roman" w:cs="Times New Roman"/>
        </w:rPr>
      </w:pPr>
      <w:r w:rsidRPr="00D95D1D">
        <w:rPr>
          <w:rStyle w:val="a5"/>
          <w:rFonts w:ascii="Times New Roman" w:hAnsi="Times New Roman" w:cs="Times New Roman"/>
        </w:rPr>
        <w:footnoteRef/>
      </w:r>
      <w:r w:rsidRPr="00D95D1D">
        <w:rPr>
          <w:rFonts w:ascii="Times New Roman" w:hAnsi="Times New Roman" w:cs="Times New Roman"/>
        </w:rPr>
        <w:t xml:space="preserve"> Использованные валовый внутренний продукт: годовые данные (в текущих ценах). [Электронный ресурс]. Режим доступа: </w:t>
      </w:r>
      <w:hyperlink r:id="rId2" w:history="1">
        <w:r w:rsidRPr="00D95D1D">
          <w:rPr>
            <w:rStyle w:val="11"/>
            <w:rFonts w:ascii="Times New Roman" w:hAnsi="Times New Roman" w:cs="Times New Roman"/>
          </w:rPr>
          <w:t>https://gks.ru/free_doc/new_site/vvp/vvp-god/tab24.htm</w:t>
        </w:r>
      </w:hyperlink>
      <w:r w:rsidRPr="00D95D1D">
        <w:rPr>
          <w:rFonts w:ascii="Times New Roman" w:hAnsi="Times New Roman" w:cs="Times New Roman"/>
        </w:rPr>
        <w:t xml:space="preserve"> (дата обращения: 03.10.19).</w:t>
      </w:r>
    </w:p>
    <w:p w14:paraId="15032C34" w14:textId="2714DB81" w:rsidR="00F32FC8" w:rsidRDefault="00F32FC8">
      <w:pPr>
        <w:pStyle w:val="a3"/>
      </w:pPr>
    </w:p>
  </w:footnote>
  <w:footnote w:id="3">
    <w:p w14:paraId="7DE75240" w14:textId="3F77886F" w:rsidR="00F32FC8" w:rsidRPr="00D95D1D" w:rsidRDefault="00F32FC8" w:rsidP="00D95D1D">
      <w:pPr>
        <w:pStyle w:val="a3"/>
        <w:jc w:val="both"/>
        <w:rPr>
          <w:rFonts w:ascii="Times New Roman" w:hAnsi="Times New Roman" w:cs="Times New Roman"/>
        </w:rPr>
      </w:pPr>
      <w:r w:rsidRPr="00D95D1D">
        <w:rPr>
          <w:rStyle w:val="a5"/>
          <w:rFonts w:ascii="Times New Roman" w:hAnsi="Times New Roman" w:cs="Times New Roman"/>
        </w:rPr>
        <w:footnoteRef/>
      </w:r>
      <w:r w:rsidRPr="00D95D1D">
        <w:rPr>
          <w:rFonts w:ascii="Times New Roman" w:hAnsi="Times New Roman" w:cs="Times New Roman"/>
        </w:rPr>
        <w:t xml:space="preserve"> Денежно-кредитная и финансовая статистика: показатели долга нефинансового сектора и домашних хозяйств [Электронный ресурс]. Режим доступа: </w:t>
      </w:r>
      <w:hyperlink r:id="rId3" w:history="1">
        <w:r w:rsidRPr="00D95D1D">
          <w:rPr>
            <w:rStyle w:val="11"/>
            <w:rFonts w:ascii="Times New Roman" w:hAnsi="Times New Roman" w:cs="Times New Roman"/>
          </w:rPr>
          <w:t>https://cbr.ru/statistics/macro_itm/dkfs/</w:t>
        </w:r>
      </w:hyperlink>
      <w:r w:rsidRPr="00D95D1D">
        <w:rPr>
          <w:rFonts w:ascii="Times New Roman" w:hAnsi="Times New Roman" w:cs="Times New Roman"/>
        </w:rPr>
        <w:t xml:space="preserve"> (дата обращения: 03.10.19).</w:t>
      </w:r>
    </w:p>
  </w:footnote>
  <w:footnote w:id="4">
    <w:p w14:paraId="155A6EBF" w14:textId="77777777" w:rsidR="00F32FC8" w:rsidRPr="00C32FF3" w:rsidRDefault="00F32FC8" w:rsidP="00E1515B">
      <w:pPr>
        <w:pStyle w:val="a3"/>
        <w:rPr>
          <w:rFonts w:ascii="Times New Roman" w:hAnsi="Times New Roman"/>
        </w:rPr>
      </w:pPr>
      <w:r w:rsidRPr="00C32FF3">
        <w:rPr>
          <w:rStyle w:val="a5"/>
          <w:rFonts w:ascii="Times New Roman" w:hAnsi="Times New Roman"/>
        </w:rPr>
        <w:footnoteRef/>
      </w:r>
      <w:r w:rsidRPr="00C32FF3">
        <w:rPr>
          <w:rFonts w:ascii="Times New Roman" w:hAnsi="Times New Roman"/>
        </w:rPr>
        <w:t xml:space="preserve"> Финансовые счета и балансы финансовых активов и обязательств системы национальных счетов Российской Федерации [Электронный ресурс]. Режим доступа: </w:t>
      </w:r>
      <w:hyperlink r:id="rId4" w:history="1">
        <w:r w:rsidRPr="00C32FF3">
          <w:rPr>
            <w:rStyle w:val="11"/>
          </w:rPr>
          <w:t>https://cbr.ru/statistics/macro_itm/fafbs/</w:t>
        </w:r>
      </w:hyperlink>
      <w:r w:rsidRPr="00C32FF3">
        <w:rPr>
          <w:rFonts w:ascii="Times New Roman" w:hAnsi="Times New Roman"/>
        </w:rPr>
        <w:t xml:space="preserve"> (дата обращения: 03.10.19).</w:t>
      </w:r>
    </w:p>
  </w:footnote>
  <w:footnote w:id="5">
    <w:p w14:paraId="7DF8B9EE" w14:textId="14BB415F" w:rsidR="00F32FC8" w:rsidRPr="00D022D8" w:rsidRDefault="00F32FC8" w:rsidP="00D022D8">
      <w:pPr>
        <w:pStyle w:val="a3"/>
        <w:jc w:val="both"/>
        <w:rPr>
          <w:rFonts w:ascii="Times New Roman" w:hAnsi="Times New Roman" w:cs="Times New Roman"/>
        </w:rPr>
      </w:pPr>
      <w:r w:rsidRPr="00D022D8">
        <w:rPr>
          <w:rStyle w:val="a5"/>
          <w:rFonts w:ascii="Times New Roman" w:hAnsi="Times New Roman" w:cs="Times New Roman"/>
        </w:rPr>
        <w:footnoteRef/>
      </w:r>
      <w:r w:rsidRPr="00D022D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0"/>
          <w:szCs w:val="20"/>
        </w:rPr>
        <w:t>З</w:t>
      </w:r>
      <w:r w:rsidRPr="00D022D8">
        <w:rPr>
          <w:rFonts w:ascii="Times New Roman" w:hAnsi="Times New Roman" w:cs="Times New Roman"/>
          <w:sz w:val="20"/>
          <w:szCs w:val="20"/>
        </w:rPr>
        <w:t xml:space="preserve">авершение налогового маневра в нефтяной отрасли; повышение основной ставки налога на добавленную стоимость до 20%; доведение до 100% норматива зачисления акцизов на нефтепродукты в бюджеты субъектов Российской Федерации; повышение до 80% норматива зачисления акциза на алкогольную продукцию в бюджеты субъектов Российской Федерации; сохранение основной ставки налога на прибыль, зачисляемого в федеральный бюджет, в размере 3 </w:t>
      </w:r>
      <w:proofErr w:type="spellStart"/>
      <w:r w:rsidRPr="00D022D8">
        <w:rPr>
          <w:rFonts w:ascii="Times New Roman" w:hAnsi="Times New Roman" w:cs="Times New Roman"/>
          <w:sz w:val="20"/>
          <w:szCs w:val="20"/>
        </w:rPr>
        <w:t>п.п</w:t>
      </w:r>
      <w:proofErr w:type="spellEnd"/>
      <w:r w:rsidRPr="00D022D8">
        <w:rPr>
          <w:rFonts w:ascii="Times New Roman" w:hAnsi="Times New Roman" w:cs="Times New Roman"/>
          <w:sz w:val="20"/>
          <w:szCs w:val="20"/>
        </w:rPr>
        <w:t>.</w:t>
      </w:r>
    </w:p>
  </w:footnote>
  <w:footnote w:id="6">
    <w:p w14:paraId="5C60401F" w14:textId="77777777" w:rsidR="00F32FC8" w:rsidRDefault="00F32FC8" w:rsidP="00E918F1">
      <w:pPr>
        <w:pStyle w:val="a3"/>
      </w:pPr>
      <w:r>
        <w:rPr>
          <w:rStyle w:val="a5"/>
        </w:rPr>
        <w:footnoteRef/>
      </w:r>
      <w:r>
        <w:t xml:space="preserve"> Государственная программа на данный момент не утверждена</w:t>
      </w:r>
    </w:p>
  </w:footnote>
  <w:footnote w:id="7">
    <w:p w14:paraId="639D64F7" w14:textId="77777777" w:rsidR="00F32FC8" w:rsidRPr="00DA406C" w:rsidRDefault="00F32FC8" w:rsidP="007342BB">
      <w:pPr>
        <w:pStyle w:val="ac"/>
        <w:tabs>
          <w:tab w:val="left" w:pos="284"/>
          <w:tab w:val="left" w:pos="426"/>
        </w:tabs>
        <w:ind w:left="0"/>
        <w:jc w:val="both"/>
        <w:rPr>
          <w:bCs/>
          <w:sz w:val="20"/>
        </w:rPr>
      </w:pPr>
      <w:r w:rsidRPr="00DA406C">
        <w:rPr>
          <w:rStyle w:val="a5"/>
          <w:sz w:val="20"/>
        </w:rPr>
        <w:footnoteRef/>
      </w:r>
      <w:r w:rsidRPr="00DA406C">
        <w:rPr>
          <w:sz w:val="20"/>
          <w:lang w:val="en-US"/>
        </w:rPr>
        <w:t xml:space="preserve"> </w:t>
      </w:r>
      <w:r>
        <w:rPr>
          <w:sz w:val="20"/>
        </w:rPr>
        <w:t>Например</w:t>
      </w:r>
      <w:r w:rsidRPr="00DA406C">
        <w:rPr>
          <w:sz w:val="20"/>
          <w:lang w:val="en-US"/>
        </w:rPr>
        <w:t xml:space="preserve">, </w:t>
      </w:r>
      <w:proofErr w:type="spellStart"/>
      <w:r w:rsidRPr="00DA406C">
        <w:rPr>
          <w:bCs/>
          <w:sz w:val="20"/>
          <w:lang w:val="en-US"/>
        </w:rPr>
        <w:t>Hauner</w:t>
      </w:r>
      <w:proofErr w:type="spellEnd"/>
      <w:r w:rsidRPr="00DA406C">
        <w:rPr>
          <w:bCs/>
          <w:sz w:val="20"/>
          <w:lang w:val="en-US"/>
        </w:rPr>
        <w:t xml:space="preserve"> D. Benchmarking the efficiency of public expenditure in the Russian Federation</w:t>
      </w:r>
      <w:proofErr w:type="gramStart"/>
      <w:r w:rsidRPr="00DA406C">
        <w:rPr>
          <w:bCs/>
          <w:sz w:val="20"/>
          <w:lang w:val="en-US"/>
        </w:rPr>
        <w:t>  /</w:t>
      </w:r>
      <w:proofErr w:type="gramEnd"/>
      <w:r w:rsidRPr="00DA406C">
        <w:rPr>
          <w:bCs/>
          <w:sz w:val="20"/>
          <w:lang w:val="en-US"/>
        </w:rPr>
        <w:t xml:space="preserve"> Fiscal affairs dep. – W.: IMF, 2008. </w:t>
      </w:r>
      <w:r w:rsidRPr="00DA406C">
        <w:rPr>
          <w:bCs/>
          <w:sz w:val="20"/>
        </w:rPr>
        <w:t xml:space="preserve">Режим доступа: </w:t>
      </w:r>
      <w:hyperlink r:id="rId5" w:history="1">
        <w:r w:rsidRPr="00DA406C">
          <w:rPr>
            <w:bCs/>
            <w:sz w:val="20"/>
          </w:rPr>
          <w:t>https://www.imf.org/en/Publications/WP/Issues/2016/12/31/Benchmarking-the-Efficiency-of-Public-Expenditure-in-the-Russian-Federation-21380</w:t>
        </w:r>
      </w:hyperlink>
    </w:p>
    <w:p w14:paraId="2837535D" w14:textId="77777777" w:rsidR="00F32FC8" w:rsidRDefault="00F32FC8" w:rsidP="007342BB">
      <w:pPr>
        <w:pStyle w:val="a3"/>
      </w:pPr>
    </w:p>
  </w:footnote>
  <w:footnote w:id="8">
    <w:p w14:paraId="405FE8EF" w14:textId="0DDCA7DC" w:rsidR="00F32FC8" w:rsidRPr="009E21A6" w:rsidRDefault="00F32FC8" w:rsidP="009E21A6">
      <w:pPr>
        <w:pStyle w:val="a3"/>
        <w:jc w:val="both"/>
        <w:rPr>
          <w:rFonts w:ascii="Times New Roman" w:hAnsi="Times New Roman" w:cs="Times New Roman"/>
        </w:rPr>
      </w:pPr>
      <w:r w:rsidRPr="009E21A6">
        <w:rPr>
          <w:rStyle w:val="a5"/>
          <w:rFonts w:ascii="Times New Roman" w:hAnsi="Times New Roman" w:cs="Times New Roman"/>
        </w:rPr>
        <w:footnoteRef/>
      </w:r>
      <w:r w:rsidRPr="009E21A6">
        <w:rPr>
          <w:rFonts w:ascii="Times New Roman" w:hAnsi="Times New Roman" w:cs="Times New Roman"/>
        </w:rPr>
        <w:t xml:space="preserve"> Мультипликатор – это коэффициент, отражающий пропорцию, в которой валовой внутренний продукт изменяется при увеличении объема инвестиций.</w:t>
      </w:r>
    </w:p>
  </w:footnote>
  <w:footnote w:id="9">
    <w:p w14:paraId="4FAC67F7" w14:textId="77777777" w:rsidR="00F32FC8" w:rsidRPr="009817DC" w:rsidRDefault="00F32FC8" w:rsidP="001A707E">
      <w:pPr>
        <w:pStyle w:val="a3"/>
        <w:rPr>
          <w:rFonts w:ascii="Times New Roman" w:hAnsi="Times New Roman" w:cs="Times New Roman"/>
        </w:rPr>
      </w:pPr>
      <w:r w:rsidRPr="009817DC">
        <w:rPr>
          <w:rStyle w:val="a5"/>
          <w:rFonts w:ascii="Times New Roman" w:hAnsi="Times New Roman" w:cs="Times New Roman"/>
        </w:rPr>
        <w:footnoteRef/>
      </w:r>
      <w:r w:rsidRPr="009817DC">
        <w:rPr>
          <w:rFonts w:ascii="Times New Roman" w:hAnsi="Times New Roman" w:cs="Times New Roman"/>
        </w:rPr>
        <w:t xml:space="preserve"> </w:t>
      </w:r>
      <w:r w:rsidRPr="009817DC">
        <w:rPr>
          <w:rFonts w:ascii="Times New Roman" w:hAnsi="Times New Roman" w:cs="Times New Roman"/>
          <w:lang w:val="en-US"/>
        </w:rPr>
        <w:t xml:space="preserve">Collaborative governance – </w:t>
      </w:r>
      <w:proofErr w:type="spellStart"/>
      <w:r w:rsidRPr="009817DC">
        <w:rPr>
          <w:rFonts w:ascii="Times New Roman" w:hAnsi="Times New Roman" w:cs="Times New Roman"/>
          <w:lang w:val="en-US"/>
        </w:rPr>
        <w:t>правление</w:t>
      </w:r>
      <w:proofErr w:type="spellEnd"/>
      <w:r w:rsidRPr="009817DC">
        <w:rPr>
          <w:rFonts w:ascii="Times New Roman" w:hAnsi="Times New Roman" w:cs="Times New Roman"/>
          <w:lang w:val="en-US"/>
        </w:rPr>
        <w:t xml:space="preserve"> в </w:t>
      </w:r>
      <w:proofErr w:type="spellStart"/>
      <w:r w:rsidRPr="009817DC">
        <w:rPr>
          <w:rFonts w:ascii="Times New Roman" w:hAnsi="Times New Roman" w:cs="Times New Roman"/>
          <w:lang w:val="en-US"/>
        </w:rPr>
        <w:t>сотрудничестве</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104269"/>
      <w:docPartObj>
        <w:docPartGallery w:val="Page Numbers (Top of Page)"/>
        <w:docPartUnique/>
      </w:docPartObj>
    </w:sdtPr>
    <w:sdtEndPr/>
    <w:sdtContent>
      <w:p w14:paraId="076615FB" w14:textId="62A0A169" w:rsidR="00F32FC8" w:rsidRDefault="00F32FC8">
        <w:pPr>
          <w:pStyle w:val="a6"/>
          <w:jc w:val="center"/>
        </w:pPr>
        <w:r>
          <w:fldChar w:fldCharType="begin"/>
        </w:r>
        <w:r>
          <w:instrText>PAGE   \* MERGEFORMAT</w:instrText>
        </w:r>
        <w:r>
          <w:fldChar w:fldCharType="separate"/>
        </w:r>
        <w:r w:rsidR="009E12C3">
          <w:rPr>
            <w:noProof/>
          </w:rPr>
          <w:t>49</w:t>
        </w:r>
        <w:r>
          <w:fldChar w:fldCharType="end"/>
        </w:r>
      </w:p>
    </w:sdtContent>
  </w:sdt>
  <w:p w14:paraId="28D05E22" w14:textId="77777777" w:rsidR="00F32FC8" w:rsidRDefault="00F32FC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49F"/>
    <w:multiLevelType w:val="hybridMultilevel"/>
    <w:tmpl w:val="4414392A"/>
    <w:lvl w:ilvl="0" w:tplc="C91CE2B8">
      <w:start w:val="1"/>
      <w:numFmt w:val="decimal"/>
      <w:lvlText w:val="%1)"/>
      <w:lvlJc w:val="left"/>
      <w:pPr>
        <w:ind w:left="1929" w:hanging="12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40F610D"/>
    <w:multiLevelType w:val="hybridMultilevel"/>
    <w:tmpl w:val="A49C6A12"/>
    <w:lvl w:ilvl="0" w:tplc="7F06940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90F649B"/>
    <w:multiLevelType w:val="hybridMultilevel"/>
    <w:tmpl w:val="36FCDA9E"/>
    <w:lvl w:ilvl="0" w:tplc="B6B0FB2A">
      <w:start w:val="2019"/>
      <w:numFmt w:val="bullet"/>
      <w:lvlText w:val="-"/>
      <w:lvlJc w:val="left"/>
      <w:pPr>
        <w:ind w:left="1589" w:hanging="88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7E875699"/>
    <w:multiLevelType w:val="hybridMultilevel"/>
    <w:tmpl w:val="CB2C1278"/>
    <w:lvl w:ilvl="0" w:tplc="23D89DC0">
      <w:numFmt w:val="bullet"/>
      <w:lvlText w:val=""/>
      <w:lvlJc w:val="left"/>
      <w:pPr>
        <w:ind w:left="1571" w:hanging="360"/>
      </w:pPr>
      <w:rPr>
        <w:rFonts w:ascii="Symbol" w:eastAsia="MS Mincho" w:hAnsi="Symbol" w:cs="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90"/>
    <w:rsid w:val="00042098"/>
    <w:rsid w:val="00065B7F"/>
    <w:rsid w:val="00070FA3"/>
    <w:rsid w:val="000A3CCE"/>
    <w:rsid w:val="000B0033"/>
    <w:rsid w:val="001741FF"/>
    <w:rsid w:val="00193453"/>
    <w:rsid w:val="001A707E"/>
    <w:rsid w:val="001C6245"/>
    <w:rsid w:val="001C6C36"/>
    <w:rsid w:val="0027461C"/>
    <w:rsid w:val="0029446F"/>
    <w:rsid w:val="002B69C7"/>
    <w:rsid w:val="002E471E"/>
    <w:rsid w:val="002F3611"/>
    <w:rsid w:val="00302A6A"/>
    <w:rsid w:val="003216A3"/>
    <w:rsid w:val="00322135"/>
    <w:rsid w:val="0033517A"/>
    <w:rsid w:val="00343D72"/>
    <w:rsid w:val="00351FEE"/>
    <w:rsid w:val="00386D4C"/>
    <w:rsid w:val="003D5FA9"/>
    <w:rsid w:val="003D6D67"/>
    <w:rsid w:val="00406ADF"/>
    <w:rsid w:val="0045386E"/>
    <w:rsid w:val="004738AC"/>
    <w:rsid w:val="004A6502"/>
    <w:rsid w:val="004A70D0"/>
    <w:rsid w:val="004C5101"/>
    <w:rsid w:val="004D585B"/>
    <w:rsid w:val="004E647F"/>
    <w:rsid w:val="0051781A"/>
    <w:rsid w:val="005338DC"/>
    <w:rsid w:val="00565DA0"/>
    <w:rsid w:val="00575EE0"/>
    <w:rsid w:val="005C271F"/>
    <w:rsid w:val="005C5BC8"/>
    <w:rsid w:val="005C62AD"/>
    <w:rsid w:val="005D17D0"/>
    <w:rsid w:val="005F23A0"/>
    <w:rsid w:val="00612C7B"/>
    <w:rsid w:val="00623866"/>
    <w:rsid w:val="00640C8F"/>
    <w:rsid w:val="0065387A"/>
    <w:rsid w:val="00654C69"/>
    <w:rsid w:val="006C50A5"/>
    <w:rsid w:val="006C5FDD"/>
    <w:rsid w:val="007342BB"/>
    <w:rsid w:val="00761F4B"/>
    <w:rsid w:val="00763BE9"/>
    <w:rsid w:val="007E06EF"/>
    <w:rsid w:val="00813259"/>
    <w:rsid w:val="008A1A5C"/>
    <w:rsid w:val="008B2DF4"/>
    <w:rsid w:val="008B3670"/>
    <w:rsid w:val="008E7C07"/>
    <w:rsid w:val="008F5BE3"/>
    <w:rsid w:val="0098049A"/>
    <w:rsid w:val="009817DC"/>
    <w:rsid w:val="009A64AA"/>
    <w:rsid w:val="009E12C3"/>
    <w:rsid w:val="009E21A6"/>
    <w:rsid w:val="00A4236E"/>
    <w:rsid w:val="00A437A7"/>
    <w:rsid w:val="00A5297D"/>
    <w:rsid w:val="00A85ED1"/>
    <w:rsid w:val="00B16E92"/>
    <w:rsid w:val="00B5197B"/>
    <w:rsid w:val="00B51BA4"/>
    <w:rsid w:val="00BA1E82"/>
    <w:rsid w:val="00BE1208"/>
    <w:rsid w:val="00C14406"/>
    <w:rsid w:val="00C2357E"/>
    <w:rsid w:val="00C63053"/>
    <w:rsid w:val="00C7381B"/>
    <w:rsid w:val="00C96B22"/>
    <w:rsid w:val="00CA78C0"/>
    <w:rsid w:val="00CC48B7"/>
    <w:rsid w:val="00CE66F0"/>
    <w:rsid w:val="00CF4489"/>
    <w:rsid w:val="00D022D8"/>
    <w:rsid w:val="00D64836"/>
    <w:rsid w:val="00D65890"/>
    <w:rsid w:val="00D82E5B"/>
    <w:rsid w:val="00D90B8B"/>
    <w:rsid w:val="00D95D1D"/>
    <w:rsid w:val="00DC4243"/>
    <w:rsid w:val="00DE535A"/>
    <w:rsid w:val="00DE5B9C"/>
    <w:rsid w:val="00E1515B"/>
    <w:rsid w:val="00E918F1"/>
    <w:rsid w:val="00E91D64"/>
    <w:rsid w:val="00EA20B0"/>
    <w:rsid w:val="00EB2204"/>
    <w:rsid w:val="00F32FC8"/>
    <w:rsid w:val="00F64564"/>
    <w:rsid w:val="00F90941"/>
    <w:rsid w:val="00FA186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935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6EF"/>
    <w:pPr>
      <w:keepNext/>
      <w:keepLines/>
      <w:spacing w:before="240"/>
      <w:outlineLvl w:val="0"/>
    </w:pPr>
    <w:rPr>
      <w:rFonts w:asciiTheme="majorHAnsi" w:eastAsiaTheme="majorEastAsia" w:hAnsiTheme="majorHAnsi" w:cs="Times New Roman"/>
      <w:color w:val="365F91" w:themeColor="accent1" w:themeShade="BF"/>
      <w:sz w:val="32"/>
      <w:szCs w:val="32"/>
    </w:rPr>
  </w:style>
  <w:style w:type="paragraph" w:styleId="3">
    <w:name w:val="heading 3"/>
    <w:basedOn w:val="a"/>
    <w:next w:val="a"/>
    <w:link w:val="30"/>
    <w:uiPriority w:val="9"/>
    <w:semiHidden/>
    <w:unhideWhenUsed/>
    <w:qFormat/>
    <w:rsid w:val="007E06E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FN Знак,Footnote Text Char Знак Знак Знак,Footnote Text Char Знак Знак1,Table_Footnote_last Знак,Oaeno niinee-FN Знак,Oaeno niinee Ciae Знак,Текст сноски-FN,Footnote Text Char Знак Знак,Footnote Text Char Зна, Знак,сноска,fn"/>
    <w:basedOn w:val="a"/>
    <w:link w:val="a4"/>
    <w:uiPriority w:val="99"/>
    <w:unhideWhenUsed/>
    <w:rsid w:val="009817DC"/>
  </w:style>
  <w:style w:type="character" w:customStyle="1" w:styleId="a4">
    <w:name w:val="Текст сноски Знак"/>
    <w:aliases w:val="Текст сноски-FN Знак Знак,Footnote Text Char Знак Знак Знак Знак,Footnote Text Char Знак Знак1 Знак,Table_Footnote_last Знак Знак,Oaeno niinee-FN Знак Знак,Oaeno niinee Ciae Знак Знак,Текст сноски-FN Знак1,Footnote Text Char Зна Знак"/>
    <w:basedOn w:val="a0"/>
    <w:link w:val="a3"/>
    <w:uiPriority w:val="99"/>
    <w:rsid w:val="009817DC"/>
  </w:style>
  <w:style w:type="character" w:styleId="a5">
    <w:name w:val="footnote reference"/>
    <w:aliases w:val="Знак сноски-FN,Ciae niinee-FN,Знак сноски 1,Ciae niinee 1,текст сноски,Ref,de nota al pie,Footnote Reference Number"/>
    <w:basedOn w:val="a0"/>
    <w:uiPriority w:val="99"/>
    <w:unhideWhenUsed/>
    <w:rsid w:val="009817DC"/>
    <w:rPr>
      <w:vertAlign w:val="superscript"/>
    </w:rPr>
  </w:style>
  <w:style w:type="paragraph" w:styleId="31">
    <w:name w:val="Body Text Indent 3"/>
    <w:basedOn w:val="a"/>
    <w:link w:val="32"/>
    <w:rsid w:val="00E91D64"/>
    <w:pPr>
      <w:widowControl w:val="0"/>
      <w:autoSpaceDE w:val="0"/>
      <w:autoSpaceDN w:val="0"/>
      <w:adjustRightInd w:val="0"/>
      <w:spacing w:line="360" w:lineRule="auto"/>
      <w:ind w:firstLine="284"/>
      <w:jc w:val="both"/>
    </w:pPr>
    <w:rPr>
      <w:rFonts w:ascii="Times New Roman CYR" w:eastAsia="Times New Roman" w:hAnsi="Times New Roman CYR" w:cs="Times New Roman CYR"/>
      <w:sz w:val="28"/>
      <w:szCs w:val="28"/>
    </w:rPr>
  </w:style>
  <w:style w:type="character" w:customStyle="1" w:styleId="32">
    <w:name w:val="Основной текст с отступом 3 Знак"/>
    <w:basedOn w:val="a0"/>
    <w:link w:val="31"/>
    <w:rsid w:val="00E91D64"/>
    <w:rPr>
      <w:rFonts w:ascii="Times New Roman CYR" w:eastAsia="Times New Roman" w:hAnsi="Times New Roman CYR" w:cs="Times New Roman CYR"/>
      <w:sz w:val="28"/>
      <w:szCs w:val="28"/>
    </w:rPr>
  </w:style>
  <w:style w:type="paragraph" w:customStyle="1" w:styleId="Body1">
    <w:name w:val="Body 1"/>
    <w:uiPriority w:val="99"/>
    <w:rsid w:val="004738AC"/>
    <w:pPr>
      <w:outlineLvl w:val="0"/>
    </w:pPr>
    <w:rPr>
      <w:rFonts w:ascii="Times New Roman" w:eastAsia="Times New Roman" w:hAnsi="Times New Roman" w:cs="Times New Roman"/>
      <w:color w:val="000000"/>
      <w:szCs w:val="20"/>
      <w:u w:color="000000"/>
    </w:rPr>
  </w:style>
  <w:style w:type="paragraph" w:styleId="a6">
    <w:name w:val="header"/>
    <w:basedOn w:val="a"/>
    <w:link w:val="a7"/>
    <w:uiPriority w:val="99"/>
    <w:unhideWhenUsed/>
    <w:rsid w:val="00E1515B"/>
    <w:pPr>
      <w:tabs>
        <w:tab w:val="center" w:pos="4677"/>
        <w:tab w:val="right" w:pos="9355"/>
      </w:tabs>
    </w:pPr>
    <w:rPr>
      <w:rFonts w:ascii="Times New Roman" w:eastAsia="Times New Roman" w:hAnsi="Times New Roman" w:cs="Times New Roman"/>
      <w:sz w:val="28"/>
      <w:szCs w:val="20"/>
    </w:rPr>
  </w:style>
  <w:style w:type="character" w:customStyle="1" w:styleId="a7">
    <w:name w:val="Верхний колонтитул Знак"/>
    <w:basedOn w:val="a0"/>
    <w:link w:val="a6"/>
    <w:uiPriority w:val="99"/>
    <w:rsid w:val="00E1515B"/>
    <w:rPr>
      <w:rFonts w:ascii="Times New Roman" w:eastAsia="Times New Roman" w:hAnsi="Times New Roman" w:cs="Times New Roman"/>
      <w:sz w:val="28"/>
      <w:szCs w:val="20"/>
    </w:rPr>
  </w:style>
  <w:style w:type="paragraph" w:styleId="a8">
    <w:name w:val="footer"/>
    <w:basedOn w:val="a"/>
    <w:link w:val="a9"/>
    <w:uiPriority w:val="99"/>
    <w:unhideWhenUsed/>
    <w:rsid w:val="00E1515B"/>
    <w:pPr>
      <w:tabs>
        <w:tab w:val="center" w:pos="4677"/>
        <w:tab w:val="right" w:pos="9355"/>
      </w:tabs>
    </w:pPr>
    <w:rPr>
      <w:rFonts w:ascii="Times New Roman" w:eastAsia="Times New Roman" w:hAnsi="Times New Roman" w:cs="Times New Roman"/>
      <w:sz w:val="28"/>
      <w:szCs w:val="20"/>
    </w:rPr>
  </w:style>
  <w:style w:type="character" w:customStyle="1" w:styleId="a9">
    <w:name w:val="Нижний колонтитул Знак"/>
    <w:basedOn w:val="a0"/>
    <w:link w:val="a8"/>
    <w:uiPriority w:val="99"/>
    <w:rsid w:val="00E1515B"/>
    <w:rPr>
      <w:rFonts w:ascii="Times New Roman" w:eastAsia="Times New Roman" w:hAnsi="Times New Roman" w:cs="Times New Roman"/>
      <w:sz w:val="28"/>
      <w:szCs w:val="20"/>
    </w:rPr>
  </w:style>
  <w:style w:type="character" w:customStyle="1" w:styleId="11">
    <w:name w:val="Гиперссылка1"/>
    <w:basedOn w:val="a0"/>
    <w:uiPriority w:val="99"/>
    <w:unhideWhenUsed/>
    <w:rsid w:val="00E1515B"/>
    <w:rPr>
      <w:color w:val="0563C1"/>
      <w:u w:val="single"/>
    </w:rPr>
  </w:style>
  <w:style w:type="paragraph" w:styleId="aa">
    <w:name w:val="Balloon Text"/>
    <w:basedOn w:val="a"/>
    <w:link w:val="ab"/>
    <w:uiPriority w:val="99"/>
    <w:semiHidden/>
    <w:unhideWhenUsed/>
    <w:rsid w:val="00E1515B"/>
    <w:rPr>
      <w:rFonts w:ascii="Tahoma" w:eastAsia="Times New Roman" w:hAnsi="Tahoma" w:cs="Tahoma"/>
      <w:sz w:val="16"/>
      <w:szCs w:val="16"/>
    </w:rPr>
  </w:style>
  <w:style w:type="character" w:customStyle="1" w:styleId="ab">
    <w:name w:val="Текст выноски Знак"/>
    <w:basedOn w:val="a0"/>
    <w:link w:val="aa"/>
    <w:uiPriority w:val="99"/>
    <w:semiHidden/>
    <w:rsid w:val="00E1515B"/>
    <w:rPr>
      <w:rFonts w:ascii="Tahoma" w:eastAsia="Times New Roman" w:hAnsi="Tahoma" w:cs="Tahoma"/>
      <w:sz w:val="16"/>
      <w:szCs w:val="16"/>
    </w:rPr>
  </w:style>
  <w:style w:type="paragraph" w:styleId="ac">
    <w:name w:val="List Paragraph"/>
    <w:aliases w:val="ПАРАГРАФ,Bullet List,FooterText,numbered,Подпись рисунка,Маркированный список_уровень1,Абзац списка3,Абзац списка1,Абзац списка2,Цветной список - Акцент 11,СПИСОК,Второй абзац списка,Абзац списка11,Абзац списка для документа,Нумерация,lp1"/>
    <w:basedOn w:val="a"/>
    <w:link w:val="ad"/>
    <w:qFormat/>
    <w:rsid w:val="00E1515B"/>
    <w:pPr>
      <w:ind w:left="720"/>
      <w:contextualSpacing/>
    </w:pPr>
    <w:rPr>
      <w:rFonts w:ascii="Times New Roman" w:eastAsia="Times New Roman" w:hAnsi="Times New Roman" w:cs="Times New Roman"/>
      <w:sz w:val="28"/>
      <w:szCs w:val="20"/>
    </w:rPr>
  </w:style>
  <w:style w:type="character" w:customStyle="1" w:styleId="ad">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1 Знак,Абзац списка2 Знак,Цветной список - Акцент 11 Знак,СПИСОК Знак,Нумерация Знак"/>
    <w:link w:val="ac"/>
    <w:uiPriority w:val="34"/>
    <w:rsid w:val="00E918F1"/>
    <w:rPr>
      <w:rFonts w:ascii="Times New Roman" w:eastAsia="Times New Roman" w:hAnsi="Times New Roman" w:cs="Times New Roman"/>
      <w:sz w:val="28"/>
      <w:szCs w:val="20"/>
    </w:rPr>
  </w:style>
  <w:style w:type="character" w:styleId="ae">
    <w:name w:val="page number"/>
    <w:basedOn w:val="a0"/>
    <w:uiPriority w:val="99"/>
    <w:semiHidden/>
    <w:unhideWhenUsed/>
    <w:rsid w:val="0045386E"/>
  </w:style>
  <w:style w:type="paragraph" w:styleId="af">
    <w:name w:val="Body Text Indent"/>
    <w:aliases w:val="Основной текст 1,Нумерованный список !!,Надин стиль,Основной текст без отступа,Body Text Indent,Основной текст с отступом Знак Знак Знак Знак,Основной текст с отступом Знак Знак Знак"/>
    <w:basedOn w:val="a"/>
    <w:link w:val="af0"/>
    <w:unhideWhenUsed/>
    <w:rsid w:val="007E06EF"/>
    <w:pPr>
      <w:spacing w:after="120"/>
      <w:ind w:left="283"/>
    </w:p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без отступа Знак,Body Text Indent Знак,Основной текст с отступом Знак Знак Знак Знак Знак,Основной текст с отступом Знак Знак Знак Знак1"/>
    <w:basedOn w:val="a0"/>
    <w:link w:val="af"/>
    <w:rsid w:val="007E06EF"/>
  </w:style>
  <w:style w:type="character" w:customStyle="1" w:styleId="10">
    <w:name w:val="Заголовок 1 Знак"/>
    <w:basedOn w:val="a0"/>
    <w:link w:val="1"/>
    <w:uiPriority w:val="9"/>
    <w:rsid w:val="007E06EF"/>
    <w:rPr>
      <w:rFonts w:asciiTheme="majorHAnsi" w:eastAsiaTheme="majorEastAsia" w:hAnsiTheme="majorHAnsi" w:cs="Times New Roman"/>
      <w:color w:val="365F91" w:themeColor="accent1" w:themeShade="BF"/>
      <w:sz w:val="32"/>
      <w:szCs w:val="32"/>
    </w:rPr>
  </w:style>
  <w:style w:type="character" w:customStyle="1" w:styleId="30">
    <w:name w:val="Заголовок 3 Знак"/>
    <w:basedOn w:val="a0"/>
    <w:link w:val="3"/>
    <w:uiPriority w:val="9"/>
    <w:semiHidden/>
    <w:rsid w:val="007E06EF"/>
    <w:rPr>
      <w:rFonts w:asciiTheme="majorHAnsi" w:eastAsiaTheme="majorEastAsia" w:hAnsiTheme="majorHAnsi" w:cstheme="majorBidi"/>
      <w:color w:val="243F60" w:themeColor="accent1" w:themeShade="7F"/>
    </w:rPr>
  </w:style>
  <w:style w:type="paragraph" w:styleId="af1">
    <w:name w:val="No Spacing"/>
    <w:link w:val="af2"/>
    <w:qFormat/>
    <w:rsid w:val="007E06EF"/>
    <w:rPr>
      <w:rFonts w:ascii="Calibri" w:eastAsia="Calibri" w:hAnsi="Calibri" w:cs="Times New Roman"/>
      <w:sz w:val="22"/>
      <w:szCs w:val="22"/>
      <w:lang w:eastAsia="en-US"/>
    </w:rPr>
  </w:style>
  <w:style w:type="character" w:customStyle="1" w:styleId="af2">
    <w:name w:val="Без интервала Знак"/>
    <w:link w:val="af1"/>
    <w:rsid w:val="007E06EF"/>
    <w:rPr>
      <w:rFonts w:ascii="Calibri" w:eastAsia="Calibri" w:hAnsi="Calibri" w:cs="Times New Roman"/>
      <w:sz w:val="22"/>
      <w:szCs w:val="22"/>
      <w:lang w:eastAsia="en-US"/>
    </w:rPr>
  </w:style>
  <w:style w:type="table" w:styleId="af3">
    <w:name w:val="Table Grid"/>
    <w:basedOn w:val="a1"/>
    <w:uiPriority w:val="39"/>
    <w:rsid w:val="00E918F1"/>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caption"/>
    <w:basedOn w:val="a"/>
    <w:next w:val="a"/>
    <w:qFormat/>
    <w:rsid w:val="009E21A6"/>
    <w:pPr>
      <w:spacing w:after="200"/>
    </w:pPr>
    <w:rPr>
      <w:rFonts w:ascii="Calibri" w:eastAsia="Times New Roman" w:hAnsi="Calibri" w:cs="Times New Roman"/>
      <w:b/>
      <w:bCs/>
      <w:color w:val="4F81BD"/>
      <w:sz w:val="18"/>
      <w:szCs w:val="18"/>
      <w:lang w:eastAsia="en-US"/>
    </w:rPr>
  </w:style>
  <w:style w:type="paragraph" w:customStyle="1" w:styleId="ConsNormal">
    <w:name w:val="ConsNormal"/>
    <w:rsid w:val="007E06EF"/>
    <w:pPr>
      <w:widowControl w:val="0"/>
      <w:ind w:firstLine="720"/>
    </w:pPr>
    <w:rPr>
      <w:rFonts w:ascii="Arial" w:eastAsia="Times New Roman" w:hAnsi="Arial" w:cs="Times New Roman"/>
      <w:snapToGrid w:val="0"/>
      <w:sz w:val="20"/>
      <w:szCs w:val="20"/>
    </w:rPr>
  </w:style>
  <w:style w:type="character" w:styleId="af5">
    <w:name w:val="Hyperlink"/>
    <w:basedOn w:val="a0"/>
    <w:uiPriority w:val="99"/>
    <w:unhideWhenUsed/>
    <w:rsid w:val="007E06EF"/>
    <w:rPr>
      <w:color w:val="0000FF" w:themeColor="hyperlink"/>
      <w:u w:val="single"/>
    </w:rPr>
  </w:style>
  <w:style w:type="character" w:customStyle="1" w:styleId="blk">
    <w:name w:val="blk"/>
    <w:basedOn w:val="a0"/>
    <w:rsid w:val="00980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6EF"/>
    <w:pPr>
      <w:keepNext/>
      <w:keepLines/>
      <w:spacing w:before="240"/>
      <w:outlineLvl w:val="0"/>
    </w:pPr>
    <w:rPr>
      <w:rFonts w:asciiTheme="majorHAnsi" w:eastAsiaTheme="majorEastAsia" w:hAnsiTheme="majorHAnsi" w:cs="Times New Roman"/>
      <w:color w:val="365F91" w:themeColor="accent1" w:themeShade="BF"/>
      <w:sz w:val="32"/>
      <w:szCs w:val="32"/>
    </w:rPr>
  </w:style>
  <w:style w:type="paragraph" w:styleId="3">
    <w:name w:val="heading 3"/>
    <w:basedOn w:val="a"/>
    <w:next w:val="a"/>
    <w:link w:val="30"/>
    <w:uiPriority w:val="9"/>
    <w:semiHidden/>
    <w:unhideWhenUsed/>
    <w:qFormat/>
    <w:rsid w:val="007E06E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FN Знак,Footnote Text Char Знак Знак Знак,Footnote Text Char Знак Знак1,Table_Footnote_last Знак,Oaeno niinee-FN Знак,Oaeno niinee Ciae Знак,Текст сноски-FN,Footnote Text Char Знак Знак,Footnote Text Char Зна, Знак,сноска,fn"/>
    <w:basedOn w:val="a"/>
    <w:link w:val="a4"/>
    <w:uiPriority w:val="99"/>
    <w:unhideWhenUsed/>
    <w:rsid w:val="009817DC"/>
  </w:style>
  <w:style w:type="character" w:customStyle="1" w:styleId="a4">
    <w:name w:val="Текст сноски Знак"/>
    <w:aliases w:val="Текст сноски-FN Знак Знак,Footnote Text Char Знак Знак Знак Знак,Footnote Text Char Знак Знак1 Знак,Table_Footnote_last Знак Знак,Oaeno niinee-FN Знак Знак,Oaeno niinee Ciae Знак Знак,Текст сноски-FN Знак1,Footnote Text Char Зна Знак"/>
    <w:basedOn w:val="a0"/>
    <w:link w:val="a3"/>
    <w:uiPriority w:val="99"/>
    <w:rsid w:val="009817DC"/>
  </w:style>
  <w:style w:type="character" w:styleId="a5">
    <w:name w:val="footnote reference"/>
    <w:aliases w:val="Знак сноски-FN,Ciae niinee-FN,Знак сноски 1,Ciae niinee 1,текст сноски,Ref,de nota al pie,Footnote Reference Number"/>
    <w:basedOn w:val="a0"/>
    <w:uiPriority w:val="99"/>
    <w:unhideWhenUsed/>
    <w:rsid w:val="009817DC"/>
    <w:rPr>
      <w:vertAlign w:val="superscript"/>
    </w:rPr>
  </w:style>
  <w:style w:type="paragraph" w:styleId="31">
    <w:name w:val="Body Text Indent 3"/>
    <w:basedOn w:val="a"/>
    <w:link w:val="32"/>
    <w:rsid w:val="00E91D64"/>
    <w:pPr>
      <w:widowControl w:val="0"/>
      <w:autoSpaceDE w:val="0"/>
      <w:autoSpaceDN w:val="0"/>
      <w:adjustRightInd w:val="0"/>
      <w:spacing w:line="360" w:lineRule="auto"/>
      <w:ind w:firstLine="284"/>
      <w:jc w:val="both"/>
    </w:pPr>
    <w:rPr>
      <w:rFonts w:ascii="Times New Roman CYR" w:eastAsia="Times New Roman" w:hAnsi="Times New Roman CYR" w:cs="Times New Roman CYR"/>
      <w:sz w:val="28"/>
      <w:szCs w:val="28"/>
    </w:rPr>
  </w:style>
  <w:style w:type="character" w:customStyle="1" w:styleId="32">
    <w:name w:val="Основной текст с отступом 3 Знак"/>
    <w:basedOn w:val="a0"/>
    <w:link w:val="31"/>
    <w:rsid w:val="00E91D64"/>
    <w:rPr>
      <w:rFonts w:ascii="Times New Roman CYR" w:eastAsia="Times New Roman" w:hAnsi="Times New Roman CYR" w:cs="Times New Roman CYR"/>
      <w:sz w:val="28"/>
      <w:szCs w:val="28"/>
    </w:rPr>
  </w:style>
  <w:style w:type="paragraph" w:customStyle="1" w:styleId="Body1">
    <w:name w:val="Body 1"/>
    <w:uiPriority w:val="99"/>
    <w:rsid w:val="004738AC"/>
    <w:pPr>
      <w:outlineLvl w:val="0"/>
    </w:pPr>
    <w:rPr>
      <w:rFonts w:ascii="Times New Roman" w:eastAsia="Times New Roman" w:hAnsi="Times New Roman" w:cs="Times New Roman"/>
      <w:color w:val="000000"/>
      <w:szCs w:val="20"/>
      <w:u w:color="000000"/>
    </w:rPr>
  </w:style>
  <w:style w:type="paragraph" w:styleId="a6">
    <w:name w:val="header"/>
    <w:basedOn w:val="a"/>
    <w:link w:val="a7"/>
    <w:uiPriority w:val="99"/>
    <w:unhideWhenUsed/>
    <w:rsid w:val="00E1515B"/>
    <w:pPr>
      <w:tabs>
        <w:tab w:val="center" w:pos="4677"/>
        <w:tab w:val="right" w:pos="9355"/>
      </w:tabs>
    </w:pPr>
    <w:rPr>
      <w:rFonts w:ascii="Times New Roman" w:eastAsia="Times New Roman" w:hAnsi="Times New Roman" w:cs="Times New Roman"/>
      <w:sz w:val="28"/>
      <w:szCs w:val="20"/>
    </w:rPr>
  </w:style>
  <w:style w:type="character" w:customStyle="1" w:styleId="a7">
    <w:name w:val="Верхний колонтитул Знак"/>
    <w:basedOn w:val="a0"/>
    <w:link w:val="a6"/>
    <w:uiPriority w:val="99"/>
    <w:rsid w:val="00E1515B"/>
    <w:rPr>
      <w:rFonts w:ascii="Times New Roman" w:eastAsia="Times New Roman" w:hAnsi="Times New Roman" w:cs="Times New Roman"/>
      <w:sz w:val="28"/>
      <w:szCs w:val="20"/>
    </w:rPr>
  </w:style>
  <w:style w:type="paragraph" w:styleId="a8">
    <w:name w:val="footer"/>
    <w:basedOn w:val="a"/>
    <w:link w:val="a9"/>
    <w:uiPriority w:val="99"/>
    <w:unhideWhenUsed/>
    <w:rsid w:val="00E1515B"/>
    <w:pPr>
      <w:tabs>
        <w:tab w:val="center" w:pos="4677"/>
        <w:tab w:val="right" w:pos="9355"/>
      </w:tabs>
    </w:pPr>
    <w:rPr>
      <w:rFonts w:ascii="Times New Roman" w:eastAsia="Times New Roman" w:hAnsi="Times New Roman" w:cs="Times New Roman"/>
      <w:sz w:val="28"/>
      <w:szCs w:val="20"/>
    </w:rPr>
  </w:style>
  <w:style w:type="character" w:customStyle="1" w:styleId="a9">
    <w:name w:val="Нижний колонтитул Знак"/>
    <w:basedOn w:val="a0"/>
    <w:link w:val="a8"/>
    <w:uiPriority w:val="99"/>
    <w:rsid w:val="00E1515B"/>
    <w:rPr>
      <w:rFonts w:ascii="Times New Roman" w:eastAsia="Times New Roman" w:hAnsi="Times New Roman" w:cs="Times New Roman"/>
      <w:sz w:val="28"/>
      <w:szCs w:val="20"/>
    </w:rPr>
  </w:style>
  <w:style w:type="character" w:customStyle="1" w:styleId="11">
    <w:name w:val="Гиперссылка1"/>
    <w:basedOn w:val="a0"/>
    <w:uiPriority w:val="99"/>
    <w:unhideWhenUsed/>
    <w:rsid w:val="00E1515B"/>
    <w:rPr>
      <w:color w:val="0563C1"/>
      <w:u w:val="single"/>
    </w:rPr>
  </w:style>
  <w:style w:type="paragraph" w:styleId="aa">
    <w:name w:val="Balloon Text"/>
    <w:basedOn w:val="a"/>
    <w:link w:val="ab"/>
    <w:uiPriority w:val="99"/>
    <w:semiHidden/>
    <w:unhideWhenUsed/>
    <w:rsid w:val="00E1515B"/>
    <w:rPr>
      <w:rFonts w:ascii="Tahoma" w:eastAsia="Times New Roman" w:hAnsi="Tahoma" w:cs="Tahoma"/>
      <w:sz w:val="16"/>
      <w:szCs w:val="16"/>
    </w:rPr>
  </w:style>
  <w:style w:type="character" w:customStyle="1" w:styleId="ab">
    <w:name w:val="Текст выноски Знак"/>
    <w:basedOn w:val="a0"/>
    <w:link w:val="aa"/>
    <w:uiPriority w:val="99"/>
    <w:semiHidden/>
    <w:rsid w:val="00E1515B"/>
    <w:rPr>
      <w:rFonts w:ascii="Tahoma" w:eastAsia="Times New Roman" w:hAnsi="Tahoma" w:cs="Tahoma"/>
      <w:sz w:val="16"/>
      <w:szCs w:val="16"/>
    </w:rPr>
  </w:style>
  <w:style w:type="paragraph" w:styleId="ac">
    <w:name w:val="List Paragraph"/>
    <w:aliases w:val="ПАРАГРАФ,Bullet List,FooterText,numbered,Подпись рисунка,Маркированный список_уровень1,Абзац списка3,Абзац списка1,Абзац списка2,Цветной список - Акцент 11,СПИСОК,Второй абзац списка,Абзац списка11,Абзац списка для документа,Нумерация,lp1"/>
    <w:basedOn w:val="a"/>
    <w:link w:val="ad"/>
    <w:qFormat/>
    <w:rsid w:val="00E1515B"/>
    <w:pPr>
      <w:ind w:left="720"/>
      <w:contextualSpacing/>
    </w:pPr>
    <w:rPr>
      <w:rFonts w:ascii="Times New Roman" w:eastAsia="Times New Roman" w:hAnsi="Times New Roman" w:cs="Times New Roman"/>
      <w:sz w:val="28"/>
      <w:szCs w:val="20"/>
    </w:rPr>
  </w:style>
  <w:style w:type="character" w:customStyle="1" w:styleId="ad">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1 Знак,Абзац списка2 Знак,Цветной список - Акцент 11 Знак,СПИСОК Знак,Нумерация Знак"/>
    <w:link w:val="ac"/>
    <w:uiPriority w:val="34"/>
    <w:rsid w:val="00E918F1"/>
    <w:rPr>
      <w:rFonts w:ascii="Times New Roman" w:eastAsia="Times New Roman" w:hAnsi="Times New Roman" w:cs="Times New Roman"/>
      <w:sz w:val="28"/>
      <w:szCs w:val="20"/>
    </w:rPr>
  </w:style>
  <w:style w:type="character" w:styleId="ae">
    <w:name w:val="page number"/>
    <w:basedOn w:val="a0"/>
    <w:uiPriority w:val="99"/>
    <w:semiHidden/>
    <w:unhideWhenUsed/>
    <w:rsid w:val="0045386E"/>
  </w:style>
  <w:style w:type="paragraph" w:styleId="af">
    <w:name w:val="Body Text Indent"/>
    <w:aliases w:val="Основной текст 1,Нумерованный список !!,Надин стиль,Основной текст без отступа,Body Text Indent,Основной текст с отступом Знак Знак Знак Знак,Основной текст с отступом Знак Знак Знак"/>
    <w:basedOn w:val="a"/>
    <w:link w:val="af0"/>
    <w:unhideWhenUsed/>
    <w:rsid w:val="007E06EF"/>
    <w:pPr>
      <w:spacing w:after="120"/>
      <w:ind w:left="283"/>
    </w:p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без отступа Знак,Body Text Indent Знак,Основной текст с отступом Знак Знак Знак Знак Знак,Основной текст с отступом Знак Знак Знак Знак1"/>
    <w:basedOn w:val="a0"/>
    <w:link w:val="af"/>
    <w:rsid w:val="007E06EF"/>
  </w:style>
  <w:style w:type="character" w:customStyle="1" w:styleId="10">
    <w:name w:val="Заголовок 1 Знак"/>
    <w:basedOn w:val="a0"/>
    <w:link w:val="1"/>
    <w:uiPriority w:val="9"/>
    <w:rsid w:val="007E06EF"/>
    <w:rPr>
      <w:rFonts w:asciiTheme="majorHAnsi" w:eastAsiaTheme="majorEastAsia" w:hAnsiTheme="majorHAnsi" w:cs="Times New Roman"/>
      <w:color w:val="365F91" w:themeColor="accent1" w:themeShade="BF"/>
      <w:sz w:val="32"/>
      <w:szCs w:val="32"/>
    </w:rPr>
  </w:style>
  <w:style w:type="character" w:customStyle="1" w:styleId="30">
    <w:name w:val="Заголовок 3 Знак"/>
    <w:basedOn w:val="a0"/>
    <w:link w:val="3"/>
    <w:uiPriority w:val="9"/>
    <w:semiHidden/>
    <w:rsid w:val="007E06EF"/>
    <w:rPr>
      <w:rFonts w:asciiTheme="majorHAnsi" w:eastAsiaTheme="majorEastAsia" w:hAnsiTheme="majorHAnsi" w:cstheme="majorBidi"/>
      <w:color w:val="243F60" w:themeColor="accent1" w:themeShade="7F"/>
    </w:rPr>
  </w:style>
  <w:style w:type="paragraph" w:styleId="af1">
    <w:name w:val="No Spacing"/>
    <w:link w:val="af2"/>
    <w:qFormat/>
    <w:rsid w:val="007E06EF"/>
    <w:rPr>
      <w:rFonts w:ascii="Calibri" w:eastAsia="Calibri" w:hAnsi="Calibri" w:cs="Times New Roman"/>
      <w:sz w:val="22"/>
      <w:szCs w:val="22"/>
      <w:lang w:eastAsia="en-US"/>
    </w:rPr>
  </w:style>
  <w:style w:type="character" w:customStyle="1" w:styleId="af2">
    <w:name w:val="Без интервала Знак"/>
    <w:link w:val="af1"/>
    <w:rsid w:val="007E06EF"/>
    <w:rPr>
      <w:rFonts w:ascii="Calibri" w:eastAsia="Calibri" w:hAnsi="Calibri" w:cs="Times New Roman"/>
      <w:sz w:val="22"/>
      <w:szCs w:val="22"/>
      <w:lang w:eastAsia="en-US"/>
    </w:rPr>
  </w:style>
  <w:style w:type="table" w:styleId="af3">
    <w:name w:val="Table Grid"/>
    <w:basedOn w:val="a1"/>
    <w:uiPriority w:val="39"/>
    <w:rsid w:val="00E918F1"/>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caption"/>
    <w:basedOn w:val="a"/>
    <w:next w:val="a"/>
    <w:qFormat/>
    <w:rsid w:val="009E21A6"/>
    <w:pPr>
      <w:spacing w:after="200"/>
    </w:pPr>
    <w:rPr>
      <w:rFonts w:ascii="Calibri" w:eastAsia="Times New Roman" w:hAnsi="Calibri" w:cs="Times New Roman"/>
      <w:b/>
      <w:bCs/>
      <w:color w:val="4F81BD"/>
      <w:sz w:val="18"/>
      <w:szCs w:val="18"/>
      <w:lang w:eastAsia="en-US"/>
    </w:rPr>
  </w:style>
  <w:style w:type="paragraph" w:customStyle="1" w:styleId="ConsNormal">
    <w:name w:val="ConsNormal"/>
    <w:rsid w:val="007E06EF"/>
    <w:pPr>
      <w:widowControl w:val="0"/>
      <w:ind w:firstLine="720"/>
    </w:pPr>
    <w:rPr>
      <w:rFonts w:ascii="Arial" w:eastAsia="Times New Roman" w:hAnsi="Arial" w:cs="Times New Roman"/>
      <w:snapToGrid w:val="0"/>
      <w:sz w:val="20"/>
      <w:szCs w:val="20"/>
    </w:rPr>
  </w:style>
  <w:style w:type="character" w:styleId="af5">
    <w:name w:val="Hyperlink"/>
    <w:basedOn w:val="a0"/>
    <w:uiPriority w:val="99"/>
    <w:unhideWhenUsed/>
    <w:rsid w:val="007E06EF"/>
    <w:rPr>
      <w:color w:val="0000FF" w:themeColor="hyperlink"/>
      <w:u w:val="single"/>
    </w:rPr>
  </w:style>
  <w:style w:type="character" w:customStyle="1" w:styleId="blk">
    <w:name w:val="blk"/>
    <w:basedOn w:val="a0"/>
    <w:rsid w:val="0098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image" Target="media/image5.png"/><Relationship Id="rId26"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png"/><Relationship Id="rId25"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ks.ru/wps/wcm/connect/rosstat_main/rosstat/ru/statistics/accounts/" TargetMode="External"/><Relationship Id="rId24" Type="http://schemas.openxmlformats.org/officeDocument/2006/relationships/image" Target="media/image11.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emf"/><Relationship Id="rId28" Type="http://schemas.openxmlformats.org/officeDocument/2006/relationships/chart" Target="charts/chart4.xml"/><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chart" Target="charts/chart3.xml"/><Relationship Id="rId30" Type="http://schemas.openxmlformats.org/officeDocument/2006/relationships/image" Target="media/image14.png"/></Relationships>
</file>

<file path=word/_rels/footnotes.xml.rels><?xml version="1.0" encoding="UTF-8" standalone="yes"?>
<Relationships xmlns="http://schemas.openxmlformats.org/package/2006/relationships"><Relationship Id="rId3" Type="http://schemas.openxmlformats.org/officeDocument/2006/relationships/hyperlink" Target="https://cbr.ru/statistics/macro_itm/dkfs/" TargetMode="External"/><Relationship Id="rId2" Type="http://schemas.openxmlformats.org/officeDocument/2006/relationships/hyperlink" Target="https://gks.ru/free_doc/new_site/vvp/vvp-god/tab24.htm" TargetMode="External"/><Relationship Id="rId1" Type="http://schemas.openxmlformats.org/officeDocument/2006/relationships/hyperlink" Target="https://dashboards.sdgindex.org/" TargetMode="External"/><Relationship Id="rId5" Type="http://schemas.openxmlformats.org/officeDocument/2006/relationships/hyperlink" Target="https://www.imf.org/en/Publications/WP/Issues/2016/12/31/Benchmarking-the-Efficiency-of-Public-Expenditure-in-the-Russian-Federation-21380" TargetMode="External"/><Relationship Id="rId4" Type="http://schemas.openxmlformats.org/officeDocument/2006/relationships/hyperlink" Target="https://cbr.ru/statistics/macro_itm/fafb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umik\Documents\&#1079;&#1072;&#1082;&#1086;&#1085;&#1086;&#1087;&#1088;&#1086;&#1077;&#1082;&#1090;%20&#1086;%20&#1092;&#1073;%20&#1085;&#1072;%202019%20&#1075;&#1086;&#1076;.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Лист1!$B$5518</c:f>
              <c:strCache>
                <c:ptCount val="1"/>
                <c:pt idx="0">
                  <c:v>в % к ВВП</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Лист1!$C$5517:$E$5517</c:f>
              <c:numCache>
                <c:formatCode>General</c:formatCode>
                <c:ptCount val="3"/>
                <c:pt idx="0">
                  <c:v>2020</c:v>
                </c:pt>
                <c:pt idx="1">
                  <c:v>2021</c:v>
                </c:pt>
                <c:pt idx="2">
                  <c:v>2022</c:v>
                </c:pt>
              </c:numCache>
            </c:numRef>
          </c:cat>
          <c:val>
            <c:numRef>
              <c:f>Лист1!$C$5518:$E$5518</c:f>
              <c:numCache>
                <c:formatCode>0.000</c:formatCode>
                <c:ptCount val="3"/>
                <c:pt idx="0">
                  <c:v>0.98383863285576301</c:v>
                </c:pt>
                <c:pt idx="1">
                  <c:v>0.96314129947492699</c:v>
                </c:pt>
                <c:pt idx="2">
                  <c:v>0.72554308844585602</c:v>
                </c:pt>
              </c:numCache>
            </c:numRef>
          </c:val>
          <c:extLst xmlns:c16r2="http://schemas.microsoft.com/office/drawing/2015/06/chart">
            <c:ext xmlns:c16="http://schemas.microsoft.com/office/drawing/2014/chart" uri="{C3380CC4-5D6E-409C-BE32-E72D297353CC}">
              <c16:uniqueId val="{00000000-A03D-4C19-AB5D-8DB23BE8DDD7}"/>
            </c:ext>
          </c:extLst>
        </c:ser>
        <c:ser>
          <c:idx val="1"/>
          <c:order val="1"/>
          <c:tx>
            <c:strRef>
              <c:f>Лист1!$B$5519</c:f>
              <c:strCache>
                <c:ptCount val="1"/>
                <c:pt idx="0">
                  <c:v>в % к общей сумме расходов федерального бюджета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Лист1!$C$5517:$E$5517</c:f>
              <c:numCache>
                <c:formatCode>General</c:formatCode>
                <c:ptCount val="3"/>
                <c:pt idx="0">
                  <c:v>2020</c:v>
                </c:pt>
                <c:pt idx="1">
                  <c:v>2021</c:v>
                </c:pt>
                <c:pt idx="2">
                  <c:v>2022</c:v>
                </c:pt>
              </c:numCache>
            </c:numRef>
          </c:cat>
          <c:val>
            <c:numRef>
              <c:f>Лист1!$C$5519:$E$5519</c:f>
              <c:numCache>
                <c:formatCode>0.000</c:formatCode>
                <c:ptCount val="3"/>
                <c:pt idx="0">
                  <c:v>5.6933373434166912</c:v>
                </c:pt>
                <c:pt idx="1">
                  <c:v>5.9439900410139446</c:v>
                </c:pt>
                <c:pt idx="2">
                  <c:v>4.7806266621993734</c:v>
                </c:pt>
              </c:numCache>
            </c:numRef>
          </c:val>
          <c:extLst xmlns:c16r2="http://schemas.microsoft.com/office/drawing/2015/06/chart">
            <c:ext xmlns:c16="http://schemas.microsoft.com/office/drawing/2014/chart" uri="{C3380CC4-5D6E-409C-BE32-E72D297353CC}">
              <c16:uniqueId val="{00000001-A03D-4C19-AB5D-8DB23BE8DDD7}"/>
            </c:ext>
          </c:extLst>
        </c:ser>
        <c:dLbls>
          <c:showLegendKey val="0"/>
          <c:showVal val="0"/>
          <c:showCatName val="0"/>
          <c:showSerName val="0"/>
          <c:showPercent val="0"/>
          <c:showBubbleSize val="0"/>
        </c:dLbls>
        <c:gapWidth val="150"/>
        <c:axId val="83834880"/>
        <c:axId val="147589376"/>
      </c:barChart>
      <c:catAx>
        <c:axId val="83834880"/>
        <c:scaling>
          <c:orientation val="minMax"/>
        </c:scaling>
        <c:delete val="0"/>
        <c:axPos val="b"/>
        <c:numFmt formatCode="General" sourceLinked="1"/>
        <c:majorTickMark val="out"/>
        <c:minorTickMark val="none"/>
        <c:tickLblPos val="nextTo"/>
        <c:crossAx val="147589376"/>
        <c:crosses val="autoZero"/>
        <c:auto val="1"/>
        <c:lblAlgn val="ctr"/>
        <c:lblOffset val="100"/>
        <c:noMultiLvlLbl val="0"/>
      </c:catAx>
      <c:valAx>
        <c:axId val="147589376"/>
        <c:scaling>
          <c:orientation val="minMax"/>
        </c:scaling>
        <c:delete val="0"/>
        <c:axPos val="l"/>
        <c:majorGridlines/>
        <c:numFmt formatCode="0.000" sourceLinked="1"/>
        <c:majorTickMark val="out"/>
        <c:minorTickMark val="none"/>
        <c:tickLblPos val="nextTo"/>
        <c:crossAx val="8383488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Лист4!$B$1</c:f>
              <c:strCache>
                <c:ptCount val="1"/>
                <c:pt idx="0">
                  <c:v>2020</c:v>
                </c:pt>
              </c:strCache>
            </c:strRef>
          </c:tx>
          <c:invertIfNegative val="0"/>
          <c:cat>
            <c:strRef>
              <c:f>Лист4!$A$2:$A$7</c:f>
              <c:strCache>
                <c:ptCount val="6"/>
                <c:pt idx="0">
                  <c:v>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c:v>
                </c:pt>
                <c:pt idx="1">
                  <c:v>Закупка товаров, работ и услуг для обеспечения государственных (муниципальных) нужд)</c:v>
                </c:pt>
                <c:pt idx="2">
                  <c:v>Социальное обеспечение и иные выплаты населению</c:v>
                </c:pt>
                <c:pt idx="3">
                  <c:v>Межбюджетные трансферты</c:v>
                </c:pt>
                <c:pt idx="4">
                  <c:v>Предоставление субсидий бюджетным, автономным учреждениям и иным некоммерческим организациям</c:v>
                </c:pt>
                <c:pt idx="5">
                  <c:v>Иные бюджетные ассигнования</c:v>
                </c:pt>
              </c:strCache>
            </c:strRef>
          </c:cat>
          <c:val>
            <c:numRef>
              <c:f>Лист4!$B$2:$B$7</c:f>
              <c:numCache>
                <c:formatCode>General</c:formatCode>
                <c:ptCount val="6"/>
                <c:pt idx="0">
                  <c:v>27212139.600000001</c:v>
                </c:pt>
                <c:pt idx="1">
                  <c:v>7127679</c:v>
                </c:pt>
                <c:pt idx="2">
                  <c:v>1110389796.2</c:v>
                </c:pt>
                <c:pt idx="3">
                  <c:v>3816367850.5999999</c:v>
                </c:pt>
                <c:pt idx="4">
                  <c:v>6277351.9000000004</c:v>
                </c:pt>
                <c:pt idx="5">
                  <c:v>32020920.100000001</c:v>
                </c:pt>
              </c:numCache>
            </c:numRef>
          </c:val>
          <c:extLst xmlns:c16r2="http://schemas.microsoft.com/office/drawing/2015/06/chart">
            <c:ext xmlns:c16="http://schemas.microsoft.com/office/drawing/2014/chart" uri="{C3380CC4-5D6E-409C-BE32-E72D297353CC}">
              <c16:uniqueId val="{00000000-5EE4-48B5-AEA8-3B5FA2F2B3EB}"/>
            </c:ext>
          </c:extLst>
        </c:ser>
        <c:ser>
          <c:idx val="1"/>
          <c:order val="1"/>
          <c:tx>
            <c:strRef>
              <c:f>Лист4!$C$1</c:f>
              <c:strCache>
                <c:ptCount val="1"/>
                <c:pt idx="0">
                  <c:v>2021</c:v>
                </c:pt>
              </c:strCache>
            </c:strRef>
          </c:tx>
          <c:invertIfNegative val="0"/>
          <c:cat>
            <c:strRef>
              <c:f>Лист4!$A$2:$A$7</c:f>
              <c:strCache>
                <c:ptCount val="6"/>
                <c:pt idx="0">
                  <c:v>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c:v>
                </c:pt>
                <c:pt idx="1">
                  <c:v>Закупка товаров, работ и услуг для обеспечения государственных (муниципальных) нужд)</c:v>
                </c:pt>
                <c:pt idx="2">
                  <c:v>Социальное обеспечение и иные выплаты населению</c:v>
                </c:pt>
                <c:pt idx="3">
                  <c:v>Межбюджетные трансферты</c:v>
                </c:pt>
                <c:pt idx="4">
                  <c:v>Предоставление субсидий бюджетным, автономным учреждениям и иным некоммерческим организациям</c:v>
                </c:pt>
                <c:pt idx="5">
                  <c:v>Иные бюджетные ассигнования</c:v>
                </c:pt>
              </c:strCache>
            </c:strRef>
          </c:cat>
          <c:val>
            <c:numRef>
              <c:f>Лист4!$C$2:$C$7</c:f>
              <c:numCache>
                <c:formatCode>General</c:formatCode>
                <c:ptCount val="6"/>
                <c:pt idx="0">
                  <c:v>28738020.899999999</c:v>
                </c:pt>
                <c:pt idx="1">
                  <c:v>4489653.9000000004</c:v>
                </c:pt>
                <c:pt idx="2">
                  <c:v>1159275393.7</c:v>
                </c:pt>
                <c:pt idx="3">
                  <c:v>3804291911.3000002</c:v>
                </c:pt>
                <c:pt idx="4">
                  <c:v>5236685.3</c:v>
                </c:pt>
                <c:pt idx="5">
                  <c:v>31261843.699999999</c:v>
                </c:pt>
              </c:numCache>
            </c:numRef>
          </c:val>
          <c:extLst xmlns:c16r2="http://schemas.microsoft.com/office/drawing/2015/06/chart">
            <c:ext xmlns:c16="http://schemas.microsoft.com/office/drawing/2014/chart" uri="{C3380CC4-5D6E-409C-BE32-E72D297353CC}">
              <c16:uniqueId val="{00000001-5EE4-48B5-AEA8-3B5FA2F2B3EB}"/>
            </c:ext>
          </c:extLst>
        </c:ser>
        <c:ser>
          <c:idx val="2"/>
          <c:order val="2"/>
          <c:tx>
            <c:strRef>
              <c:f>Лист4!$D$1</c:f>
              <c:strCache>
                <c:ptCount val="1"/>
                <c:pt idx="0">
                  <c:v>2022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Лист4!$A$2:$A$7</c:f>
              <c:strCache>
                <c:ptCount val="6"/>
                <c:pt idx="0">
                  <c:v>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c:v>
                </c:pt>
                <c:pt idx="1">
                  <c:v>Закупка товаров, работ и услуг для обеспечения государственных (муниципальных) нужд)</c:v>
                </c:pt>
                <c:pt idx="2">
                  <c:v>Социальное обеспечение и иные выплаты населению</c:v>
                </c:pt>
                <c:pt idx="3">
                  <c:v>Межбюджетные трансферты</c:v>
                </c:pt>
                <c:pt idx="4">
                  <c:v>Предоставление субсидий бюджетным, автономным учреждениям и иным некоммерческим организациям</c:v>
                </c:pt>
                <c:pt idx="5">
                  <c:v>Иные бюджетные ассигнования</c:v>
                </c:pt>
              </c:strCache>
            </c:strRef>
          </c:cat>
          <c:val>
            <c:numRef>
              <c:f>Лист4!$D$2:$D$7</c:f>
              <c:numCache>
                <c:formatCode>General</c:formatCode>
                <c:ptCount val="6"/>
                <c:pt idx="0">
                  <c:v>29861336.300000001</c:v>
                </c:pt>
                <c:pt idx="1">
                  <c:v>4489653.9000000004</c:v>
                </c:pt>
                <c:pt idx="2">
                  <c:v>932380912.10000002</c:v>
                </c:pt>
                <c:pt idx="3">
                  <c:v>3798549502.3000002</c:v>
                </c:pt>
                <c:pt idx="4">
                  <c:v>5295579.7</c:v>
                </c:pt>
                <c:pt idx="5">
                  <c:v>42529060.799999997</c:v>
                </c:pt>
              </c:numCache>
            </c:numRef>
          </c:val>
          <c:extLst xmlns:c16r2="http://schemas.microsoft.com/office/drawing/2015/06/chart">
            <c:ext xmlns:c16="http://schemas.microsoft.com/office/drawing/2014/chart" uri="{C3380CC4-5D6E-409C-BE32-E72D297353CC}">
              <c16:uniqueId val="{00000002-5EE4-48B5-AEA8-3B5FA2F2B3EB}"/>
            </c:ext>
          </c:extLst>
        </c:ser>
        <c:dLbls>
          <c:showLegendKey val="0"/>
          <c:showVal val="0"/>
          <c:showCatName val="0"/>
          <c:showSerName val="0"/>
          <c:showPercent val="0"/>
          <c:showBubbleSize val="0"/>
        </c:dLbls>
        <c:gapWidth val="150"/>
        <c:axId val="199127552"/>
        <c:axId val="147591680"/>
      </c:barChart>
      <c:catAx>
        <c:axId val="199127552"/>
        <c:scaling>
          <c:orientation val="minMax"/>
        </c:scaling>
        <c:delete val="0"/>
        <c:axPos val="l"/>
        <c:numFmt formatCode="General" sourceLinked="0"/>
        <c:majorTickMark val="out"/>
        <c:minorTickMark val="none"/>
        <c:tickLblPos val="nextTo"/>
        <c:crossAx val="147591680"/>
        <c:crosses val="autoZero"/>
        <c:auto val="1"/>
        <c:lblAlgn val="ctr"/>
        <c:lblOffset val="100"/>
        <c:noMultiLvlLbl val="0"/>
      </c:catAx>
      <c:valAx>
        <c:axId val="147591680"/>
        <c:scaling>
          <c:orientation val="minMax"/>
        </c:scaling>
        <c:delete val="0"/>
        <c:axPos val="b"/>
        <c:majorGridlines/>
        <c:numFmt formatCode="General" sourceLinked="1"/>
        <c:majorTickMark val="out"/>
        <c:minorTickMark val="none"/>
        <c:tickLblPos val="nextTo"/>
        <c:crossAx val="19912755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Государственный долг Российской Федерации, млрд. руб.</c:v>
                </c:pt>
              </c:strCache>
            </c:strRef>
          </c:tx>
          <c:spPr>
            <a:solidFill>
              <a:schemeClr val="accent1">
                <a:lumMod val="75000"/>
              </a:schemeClr>
            </a:solidFill>
            <a:ln>
              <a:solidFill>
                <a:schemeClr val="tx1"/>
              </a:solidFill>
            </a:ln>
            <a:effectLst/>
          </c:spPr>
          <c:invertIfNegative val="0"/>
          <c:cat>
            <c:strRef>
              <c:f>Лист1!$A$2:$A$14</c:f>
              <c:strCache>
                <c:ptCount val="13"/>
                <c:pt idx="0">
                  <c:v> 01.01.10</c:v>
                </c:pt>
                <c:pt idx="1">
                  <c:v> 01.01.11</c:v>
                </c:pt>
                <c:pt idx="2">
                  <c:v> 01.01.12</c:v>
                </c:pt>
                <c:pt idx="3">
                  <c:v> 01.01.13</c:v>
                </c:pt>
                <c:pt idx="4">
                  <c:v> 01.01.14</c:v>
                </c:pt>
                <c:pt idx="5">
                  <c:v> 01.01.15</c:v>
                </c:pt>
                <c:pt idx="6">
                  <c:v> 01.01.16</c:v>
                </c:pt>
                <c:pt idx="7">
                  <c:v> 01.01.17</c:v>
                </c:pt>
                <c:pt idx="8">
                  <c:v>01.01.2018</c:v>
                </c:pt>
                <c:pt idx="9">
                  <c:v>01.01.2019</c:v>
                </c:pt>
                <c:pt idx="10">
                  <c:v>01.01.2020</c:v>
                </c:pt>
                <c:pt idx="11">
                  <c:v>01.01.2021</c:v>
                </c:pt>
                <c:pt idx="12">
                  <c:v>01.01.2022</c:v>
                </c:pt>
              </c:strCache>
            </c:strRef>
          </c:cat>
          <c:val>
            <c:numRef>
              <c:f>Лист1!$B$2:$B$14</c:f>
              <c:numCache>
                <c:formatCode>General</c:formatCode>
                <c:ptCount val="13"/>
                <c:pt idx="0">
                  <c:v>3233.1</c:v>
                </c:pt>
                <c:pt idx="1">
                  <c:v>4158.2</c:v>
                </c:pt>
                <c:pt idx="2">
                  <c:v>5343.2</c:v>
                </c:pt>
                <c:pt idx="3">
                  <c:v>6159.9</c:v>
                </c:pt>
                <c:pt idx="4">
                  <c:v>7548.3</c:v>
                </c:pt>
                <c:pt idx="5">
                  <c:v>10299.1</c:v>
                </c:pt>
                <c:pt idx="6">
                  <c:v>10951.9</c:v>
                </c:pt>
                <c:pt idx="7">
                  <c:v>11109.8</c:v>
                </c:pt>
                <c:pt idx="8">
                  <c:v>11559.7</c:v>
                </c:pt>
                <c:pt idx="9">
                  <c:v>13919</c:v>
                </c:pt>
                <c:pt idx="10">
                  <c:v>17021.900000000001</c:v>
                </c:pt>
                <c:pt idx="11">
                  <c:v>19117.7</c:v>
                </c:pt>
                <c:pt idx="12">
                  <c:v>21204</c:v>
                </c:pt>
              </c:numCache>
            </c:numRef>
          </c:val>
          <c:extLst xmlns:c16r2="http://schemas.microsoft.com/office/drawing/2015/06/chart">
            <c:ext xmlns:c16="http://schemas.microsoft.com/office/drawing/2014/chart" uri="{C3380CC4-5D6E-409C-BE32-E72D297353CC}">
              <c16:uniqueId val="{00000000-63C2-0C46-AF17-5FDB6AE3083F}"/>
            </c:ext>
          </c:extLst>
        </c:ser>
        <c:ser>
          <c:idx val="1"/>
          <c:order val="1"/>
          <c:tx>
            <c:strRef>
              <c:f>Лист1!$C$1</c:f>
              <c:strCache>
                <c:ptCount val="1"/>
                <c:pt idx="0">
                  <c:v>ВВП, млрд. руб.</c:v>
                </c:pt>
              </c:strCache>
            </c:strRef>
          </c:tx>
          <c:spPr>
            <a:solidFill>
              <a:srgbClr val="BC4C47"/>
            </a:solidFill>
            <a:ln>
              <a:solidFill>
                <a:schemeClr val="tx1"/>
              </a:solidFill>
            </a:ln>
            <a:effectLst/>
          </c:spPr>
          <c:invertIfNegative val="0"/>
          <c:cat>
            <c:strRef>
              <c:f>Лист1!$A$2:$A$14</c:f>
              <c:strCache>
                <c:ptCount val="13"/>
                <c:pt idx="0">
                  <c:v> 01.01.10</c:v>
                </c:pt>
                <c:pt idx="1">
                  <c:v> 01.01.11</c:v>
                </c:pt>
                <c:pt idx="2">
                  <c:v> 01.01.12</c:v>
                </c:pt>
                <c:pt idx="3">
                  <c:v> 01.01.13</c:v>
                </c:pt>
                <c:pt idx="4">
                  <c:v> 01.01.14</c:v>
                </c:pt>
                <c:pt idx="5">
                  <c:v> 01.01.15</c:v>
                </c:pt>
                <c:pt idx="6">
                  <c:v> 01.01.16</c:v>
                </c:pt>
                <c:pt idx="7">
                  <c:v> 01.01.17</c:v>
                </c:pt>
                <c:pt idx="8">
                  <c:v>01.01.2018</c:v>
                </c:pt>
                <c:pt idx="9">
                  <c:v>01.01.2019</c:v>
                </c:pt>
                <c:pt idx="10">
                  <c:v>01.01.2020</c:v>
                </c:pt>
                <c:pt idx="11">
                  <c:v>01.01.2021</c:v>
                </c:pt>
                <c:pt idx="12">
                  <c:v>01.01.2022</c:v>
                </c:pt>
              </c:strCache>
            </c:strRef>
          </c:cat>
          <c:val>
            <c:numRef>
              <c:f>Лист1!$C$2:$C$14</c:f>
              <c:numCache>
                <c:formatCode>General</c:formatCode>
                <c:ptCount val="13"/>
                <c:pt idx="0">
                  <c:v>46308.5</c:v>
                </c:pt>
                <c:pt idx="1">
                  <c:v>55672.4</c:v>
                </c:pt>
                <c:pt idx="2">
                  <c:v>62218.400000000001</c:v>
                </c:pt>
                <c:pt idx="3">
                  <c:v>71016.7</c:v>
                </c:pt>
                <c:pt idx="4">
                  <c:v>79199.7</c:v>
                </c:pt>
                <c:pt idx="5">
                  <c:v>83232.600000000006</c:v>
                </c:pt>
                <c:pt idx="6">
                  <c:v>86043.6</c:v>
                </c:pt>
                <c:pt idx="7">
                  <c:v>92037.2</c:v>
                </c:pt>
                <c:pt idx="8">
                  <c:v>101164</c:v>
                </c:pt>
                <c:pt idx="9">
                  <c:v>105820</c:v>
                </c:pt>
                <c:pt idx="10">
                  <c:v>112863</c:v>
                </c:pt>
                <c:pt idx="11">
                  <c:v>120364</c:v>
                </c:pt>
                <c:pt idx="12">
                  <c:v>128508</c:v>
                </c:pt>
              </c:numCache>
            </c:numRef>
          </c:val>
          <c:extLst xmlns:c16r2="http://schemas.microsoft.com/office/drawing/2015/06/chart">
            <c:ext xmlns:c16="http://schemas.microsoft.com/office/drawing/2014/chart" uri="{C3380CC4-5D6E-409C-BE32-E72D297353CC}">
              <c16:uniqueId val="{00000001-63C2-0C46-AF17-5FDB6AE3083F}"/>
            </c:ext>
          </c:extLst>
        </c:ser>
        <c:dLbls>
          <c:showLegendKey val="0"/>
          <c:showVal val="0"/>
          <c:showCatName val="0"/>
          <c:showSerName val="0"/>
          <c:showPercent val="0"/>
          <c:showBubbleSize val="0"/>
        </c:dLbls>
        <c:gapWidth val="219"/>
        <c:overlap val="-27"/>
        <c:axId val="199129600"/>
        <c:axId val="147594560"/>
      </c:barChart>
      <c:lineChart>
        <c:grouping val="standard"/>
        <c:varyColors val="0"/>
        <c:ser>
          <c:idx val="2"/>
          <c:order val="2"/>
          <c:tx>
            <c:strRef>
              <c:f>Лист1!$D$1</c:f>
              <c:strCache>
                <c:ptCount val="1"/>
                <c:pt idx="0">
                  <c:v>доля ГД в ВВП, %</c:v>
                </c:pt>
              </c:strCache>
            </c:strRef>
          </c:tx>
          <c:spPr>
            <a:ln w="9525" cap="rnd">
              <a:solidFill>
                <a:schemeClr val="accent6">
                  <a:lumMod val="50000"/>
                </a:schemeClr>
              </a:solidFill>
              <a:round/>
            </a:ln>
            <a:effectLst/>
          </c:spPr>
          <c:marker>
            <c:symbol val="circle"/>
            <c:size val="5"/>
            <c:spPr>
              <a:solidFill>
                <a:schemeClr val="accent3"/>
              </a:solidFill>
              <a:ln w="9525">
                <a:solidFill>
                  <a:schemeClr val="accent6">
                    <a:lumMod val="50000"/>
                  </a:schemeClr>
                </a:solidFill>
              </a:ln>
              <a:effectLst/>
            </c:spPr>
          </c:marker>
          <c:dLbls>
            <c:spPr>
              <a:noFill/>
              <a:ln>
                <a:solidFill>
                  <a:schemeClr val="bg2">
                    <a:lumMod val="9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 01.01.10</c:v>
                </c:pt>
                <c:pt idx="1">
                  <c:v> 01.01.11</c:v>
                </c:pt>
                <c:pt idx="2">
                  <c:v> 01.01.12</c:v>
                </c:pt>
                <c:pt idx="3">
                  <c:v> 01.01.13</c:v>
                </c:pt>
                <c:pt idx="4">
                  <c:v> 01.01.14</c:v>
                </c:pt>
                <c:pt idx="5">
                  <c:v> 01.01.15</c:v>
                </c:pt>
                <c:pt idx="6">
                  <c:v> 01.01.16</c:v>
                </c:pt>
                <c:pt idx="7">
                  <c:v> 01.01.17</c:v>
                </c:pt>
                <c:pt idx="8">
                  <c:v>01.01.2018</c:v>
                </c:pt>
                <c:pt idx="9">
                  <c:v>01.01.2019</c:v>
                </c:pt>
                <c:pt idx="10">
                  <c:v>01.01.2020</c:v>
                </c:pt>
                <c:pt idx="11">
                  <c:v>01.01.2021</c:v>
                </c:pt>
                <c:pt idx="12">
                  <c:v>01.01.2022</c:v>
                </c:pt>
              </c:strCache>
            </c:strRef>
          </c:cat>
          <c:val>
            <c:numRef>
              <c:f>Лист1!$D$2:$D$14</c:f>
              <c:numCache>
                <c:formatCode>General</c:formatCode>
                <c:ptCount val="13"/>
                <c:pt idx="0">
                  <c:v>6.9</c:v>
                </c:pt>
                <c:pt idx="1">
                  <c:v>7.5</c:v>
                </c:pt>
                <c:pt idx="2">
                  <c:v>8.6</c:v>
                </c:pt>
                <c:pt idx="3">
                  <c:v>8.7000000000000011</c:v>
                </c:pt>
                <c:pt idx="4">
                  <c:v>9.5</c:v>
                </c:pt>
                <c:pt idx="5">
                  <c:v>12.4</c:v>
                </c:pt>
                <c:pt idx="6">
                  <c:v>12.7</c:v>
                </c:pt>
                <c:pt idx="7">
                  <c:v>12</c:v>
                </c:pt>
                <c:pt idx="8">
                  <c:v>11.4</c:v>
                </c:pt>
                <c:pt idx="9">
                  <c:v>13.2</c:v>
                </c:pt>
                <c:pt idx="10">
                  <c:v>15.1</c:v>
                </c:pt>
                <c:pt idx="11">
                  <c:v>15.9</c:v>
                </c:pt>
                <c:pt idx="12">
                  <c:v>16.5</c:v>
                </c:pt>
              </c:numCache>
            </c:numRef>
          </c:val>
          <c:smooth val="0"/>
          <c:extLst xmlns:c16r2="http://schemas.microsoft.com/office/drawing/2015/06/chart">
            <c:ext xmlns:c16="http://schemas.microsoft.com/office/drawing/2014/chart" uri="{C3380CC4-5D6E-409C-BE32-E72D297353CC}">
              <c16:uniqueId val="{00000002-63C2-0C46-AF17-5FDB6AE3083F}"/>
            </c:ext>
          </c:extLst>
        </c:ser>
        <c:dLbls>
          <c:showLegendKey val="0"/>
          <c:showVal val="0"/>
          <c:showCatName val="0"/>
          <c:showSerName val="0"/>
          <c:showPercent val="0"/>
          <c:showBubbleSize val="0"/>
        </c:dLbls>
        <c:marker val="1"/>
        <c:smooth val="0"/>
        <c:axId val="183502336"/>
        <c:axId val="147593984"/>
      </c:lineChart>
      <c:catAx>
        <c:axId val="18350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147593984"/>
        <c:crosses val="autoZero"/>
        <c:auto val="1"/>
        <c:lblAlgn val="ctr"/>
        <c:lblOffset val="100"/>
        <c:noMultiLvlLbl val="0"/>
      </c:catAx>
      <c:valAx>
        <c:axId val="147593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3502336"/>
        <c:crosses val="autoZero"/>
        <c:crossBetween val="between"/>
      </c:valAx>
      <c:valAx>
        <c:axId val="14759456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9129600"/>
        <c:crosses val="max"/>
        <c:crossBetween val="between"/>
      </c:valAx>
      <c:catAx>
        <c:axId val="199129600"/>
        <c:scaling>
          <c:orientation val="minMax"/>
        </c:scaling>
        <c:delete val="1"/>
        <c:axPos val="b"/>
        <c:numFmt formatCode="General" sourceLinked="1"/>
        <c:majorTickMark val="out"/>
        <c:minorTickMark val="none"/>
        <c:tickLblPos val="nextTo"/>
        <c:crossAx val="1475945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Государственный долг РФ, всего, млрд. руб.</c:v>
                </c:pt>
              </c:strCache>
            </c:strRef>
          </c:tx>
          <c:spPr>
            <a:ln w="9525" cap="rnd">
              <a:solidFill>
                <a:srgbClr val="0070C0"/>
              </a:solidFill>
              <a:prstDash val="dash"/>
              <a:round/>
            </a:ln>
            <a:effectLst/>
          </c:spPr>
          <c:marker>
            <c:symbol val="circle"/>
            <c:size val="5"/>
            <c:spPr>
              <a:solidFill>
                <a:schemeClr val="accent1"/>
              </a:solidFill>
              <a:ln w="9525">
                <a:solidFill>
                  <a:srgbClr val="0070C0"/>
                </a:solidFill>
                <a:prstDash val="dash"/>
              </a:ln>
              <a:effectLst/>
            </c:spPr>
          </c:marker>
          <c:cat>
            <c:strRef>
              <c:f>Лист1!$A$2:$A$14</c:f>
              <c:strCache>
                <c:ptCount val="13"/>
                <c:pt idx="0">
                  <c:v> 01.01.10</c:v>
                </c:pt>
                <c:pt idx="1">
                  <c:v> 01.01.11</c:v>
                </c:pt>
                <c:pt idx="2">
                  <c:v> 01.01.12</c:v>
                </c:pt>
                <c:pt idx="3">
                  <c:v> 01.01.13</c:v>
                </c:pt>
                <c:pt idx="4">
                  <c:v> 01.01.14</c:v>
                </c:pt>
                <c:pt idx="5">
                  <c:v> 01.01.15</c:v>
                </c:pt>
                <c:pt idx="6">
                  <c:v> 01.01.16</c:v>
                </c:pt>
                <c:pt idx="7">
                  <c:v> 01.01.17</c:v>
                </c:pt>
                <c:pt idx="8">
                  <c:v>01.01.2018</c:v>
                </c:pt>
                <c:pt idx="9">
                  <c:v>01.01.2019</c:v>
                </c:pt>
                <c:pt idx="10">
                  <c:v>01.01.2020</c:v>
                </c:pt>
                <c:pt idx="11">
                  <c:v>01.01.2021</c:v>
                </c:pt>
                <c:pt idx="12">
                  <c:v>01.01.2022</c:v>
                </c:pt>
              </c:strCache>
            </c:strRef>
          </c:cat>
          <c:val>
            <c:numRef>
              <c:f>Лист1!$B$2:$B$14</c:f>
              <c:numCache>
                <c:formatCode>General</c:formatCode>
                <c:ptCount val="13"/>
                <c:pt idx="0">
                  <c:v>3233.1</c:v>
                </c:pt>
                <c:pt idx="1">
                  <c:v>4158.2</c:v>
                </c:pt>
                <c:pt idx="2">
                  <c:v>5343.2</c:v>
                </c:pt>
                <c:pt idx="3">
                  <c:v>6159.9</c:v>
                </c:pt>
                <c:pt idx="4">
                  <c:v>7548.3</c:v>
                </c:pt>
                <c:pt idx="5">
                  <c:v>10299.1</c:v>
                </c:pt>
                <c:pt idx="6">
                  <c:v>10951.9</c:v>
                </c:pt>
                <c:pt idx="7">
                  <c:v>11109.8</c:v>
                </c:pt>
                <c:pt idx="8">
                  <c:v>11559.74</c:v>
                </c:pt>
                <c:pt idx="9">
                  <c:v>13919</c:v>
                </c:pt>
                <c:pt idx="10">
                  <c:v>17201</c:v>
                </c:pt>
                <c:pt idx="11">
                  <c:v>19117</c:v>
                </c:pt>
                <c:pt idx="12">
                  <c:v>21204</c:v>
                </c:pt>
              </c:numCache>
            </c:numRef>
          </c:val>
          <c:smooth val="0"/>
          <c:extLst xmlns:c16r2="http://schemas.microsoft.com/office/drawing/2015/06/chart">
            <c:ext xmlns:c16="http://schemas.microsoft.com/office/drawing/2014/chart" uri="{C3380CC4-5D6E-409C-BE32-E72D297353CC}">
              <c16:uniqueId val="{00000000-7AA4-AA44-92BE-29574E53301B}"/>
            </c:ext>
          </c:extLst>
        </c:ser>
        <c:ser>
          <c:idx val="1"/>
          <c:order val="1"/>
          <c:tx>
            <c:strRef>
              <c:f>Лист1!$C$1</c:f>
              <c:strCache>
                <c:ptCount val="1"/>
                <c:pt idx="0">
                  <c:v>Внутренний долг РФ, млрд. руб.</c:v>
                </c:pt>
              </c:strCache>
            </c:strRef>
          </c:tx>
          <c:spPr>
            <a:ln w="9525" cap="rnd">
              <a:solidFill>
                <a:schemeClr val="accent2">
                  <a:lumMod val="75000"/>
                </a:schemeClr>
              </a:solidFill>
              <a:prstDash val="dash"/>
              <a:round/>
            </a:ln>
            <a:effectLst/>
          </c:spPr>
          <c:marker>
            <c:symbol val="circle"/>
            <c:size val="5"/>
            <c:spPr>
              <a:solidFill>
                <a:schemeClr val="accent2"/>
              </a:solidFill>
              <a:ln w="9525">
                <a:solidFill>
                  <a:schemeClr val="accent2">
                    <a:lumMod val="75000"/>
                  </a:schemeClr>
                </a:solidFill>
                <a:prstDash val="dash"/>
              </a:ln>
              <a:effectLst/>
            </c:spPr>
          </c:marker>
          <c:cat>
            <c:strRef>
              <c:f>Лист1!$A$2:$A$14</c:f>
              <c:strCache>
                <c:ptCount val="13"/>
                <c:pt idx="0">
                  <c:v> 01.01.10</c:v>
                </c:pt>
                <c:pt idx="1">
                  <c:v> 01.01.11</c:v>
                </c:pt>
                <c:pt idx="2">
                  <c:v> 01.01.12</c:v>
                </c:pt>
                <c:pt idx="3">
                  <c:v> 01.01.13</c:v>
                </c:pt>
                <c:pt idx="4">
                  <c:v> 01.01.14</c:v>
                </c:pt>
                <c:pt idx="5">
                  <c:v> 01.01.15</c:v>
                </c:pt>
                <c:pt idx="6">
                  <c:v> 01.01.16</c:v>
                </c:pt>
                <c:pt idx="7">
                  <c:v> 01.01.17</c:v>
                </c:pt>
                <c:pt idx="8">
                  <c:v>01.01.2018</c:v>
                </c:pt>
                <c:pt idx="9">
                  <c:v>01.01.2019</c:v>
                </c:pt>
                <c:pt idx="10">
                  <c:v>01.01.2020</c:v>
                </c:pt>
                <c:pt idx="11">
                  <c:v>01.01.2021</c:v>
                </c:pt>
                <c:pt idx="12">
                  <c:v>01.01.2022</c:v>
                </c:pt>
              </c:strCache>
            </c:strRef>
          </c:cat>
          <c:val>
            <c:numRef>
              <c:f>Лист1!$C$2:$C$14</c:f>
              <c:numCache>
                <c:formatCode>General</c:formatCode>
                <c:ptCount val="13"/>
                <c:pt idx="0">
                  <c:v>2094.73</c:v>
                </c:pt>
                <c:pt idx="1">
                  <c:v>2940.39</c:v>
                </c:pt>
                <c:pt idx="2">
                  <c:v>4190.55</c:v>
                </c:pt>
                <c:pt idx="3">
                  <c:v>4977.9000000000005</c:v>
                </c:pt>
                <c:pt idx="4">
                  <c:v>5722.24</c:v>
                </c:pt>
                <c:pt idx="5">
                  <c:v>7241.17</c:v>
                </c:pt>
                <c:pt idx="6">
                  <c:v>7307.61</c:v>
                </c:pt>
                <c:pt idx="7">
                  <c:v>8003.46</c:v>
                </c:pt>
                <c:pt idx="8">
                  <c:v>8689.64</c:v>
                </c:pt>
                <c:pt idx="9">
                  <c:v>10280</c:v>
                </c:pt>
                <c:pt idx="10">
                  <c:v>12981</c:v>
                </c:pt>
                <c:pt idx="11">
                  <c:v>14643</c:v>
                </c:pt>
                <c:pt idx="12">
                  <c:v>16619</c:v>
                </c:pt>
              </c:numCache>
            </c:numRef>
          </c:val>
          <c:smooth val="0"/>
          <c:extLst xmlns:c16r2="http://schemas.microsoft.com/office/drawing/2015/06/chart">
            <c:ext xmlns:c16="http://schemas.microsoft.com/office/drawing/2014/chart" uri="{C3380CC4-5D6E-409C-BE32-E72D297353CC}">
              <c16:uniqueId val="{00000001-7AA4-AA44-92BE-29574E53301B}"/>
            </c:ext>
          </c:extLst>
        </c:ser>
        <c:dLbls>
          <c:showLegendKey val="0"/>
          <c:showVal val="0"/>
          <c:showCatName val="0"/>
          <c:showSerName val="0"/>
          <c:showPercent val="0"/>
          <c:showBubbleSize val="0"/>
        </c:dLbls>
        <c:marker val="1"/>
        <c:smooth val="0"/>
        <c:axId val="183502848"/>
        <c:axId val="162267712"/>
      </c:lineChart>
      <c:lineChart>
        <c:grouping val="standard"/>
        <c:varyColors val="0"/>
        <c:ser>
          <c:idx val="2"/>
          <c:order val="2"/>
          <c:tx>
            <c:strRef>
              <c:f>Лист1!$D$1</c:f>
              <c:strCache>
                <c:ptCount val="1"/>
                <c:pt idx="0">
                  <c:v>Доля внутреннего долга в общей структуре государственного долга РФ, %</c:v>
                </c:pt>
              </c:strCache>
            </c:strRef>
          </c:tx>
          <c:spPr>
            <a:ln w="9525" cap="rnd">
              <a:solidFill>
                <a:srgbClr val="00B050"/>
              </a:solidFill>
              <a:round/>
            </a:ln>
            <a:effectLst/>
          </c:spPr>
          <c:marker>
            <c:symbol val="circle"/>
            <c:size val="5"/>
            <c:spPr>
              <a:solidFill>
                <a:srgbClr val="00B050"/>
              </a:solidFill>
              <a:ln w="9525">
                <a:solidFill>
                  <a:srgbClr val="00B050"/>
                </a:solidFill>
              </a:ln>
              <a:effectLst/>
            </c:spPr>
          </c:marker>
          <c:dLbls>
            <c:spPr>
              <a:noFill/>
              <a:ln w="6350">
                <a:solidFill>
                  <a:schemeClr val="bg2">
                    <a:lumMod val="90000"/>
                  </a:schemeClr>
                </a:solid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 01.01.10</c:v>
                </c:pt>
                <c:pt idx="1">
                  <c:v> 01.01.11</c:v>
                </c:pt>
                <c:pt idx="2">
                  <c:v> 01.01.12</c:v>
                </c:pt>
                <c:pt idx="3">
                  <c:v> 01.01.13</c:v>
                </c:pt>
                <c:pt idx="4">
                  <c:v> 01.01.14</c:v>
                </c:pt>
                <c:pt idx="5">
                  <c:v> 01.01.15</c:v>
                </c:pt>
                <c:pt idx="6">
                  <c:v> 01.01.16</c:v>
                </c:pt>
                <c:pt idx="7">
                  <c:v> 01.01.17</c:v>
                </c:pt>
                <c:pt idx="8">
                  <c:v>01.01.2018</c:v>
                </c:pt>
                <c:pt idx="9">
                  <c:v>01.01.2019</c:v>
                </c:pt>
                <c:pt idx="10">
                  <c:v>01.01.2020</c:v>
                </c:pt>
                <c:pt idx="11">
                  <c:v>01.01.2021</c:v>
                </c:pt>
                <c:pt idx="12">
                  <c:v>01.01.2022</c:v>
                </c:pt>
              </c:strCache>
            </c:strRef>
          </c:cat>
          <c:val>
            <c:numRef>
              <c:f>Лист1!$D$2:$D$14</c:f>
              <c:numCache>
                <c:formatCode>General</c:formatCode>
                <c:ptCount val="13"/>
                <c:pt idx="0">
                  <c:v>64.8</c:v>
                </c:pt>
                <c:pt idx="1">
                  <c:v>70.7</c:v>
                </c:pt>
                <c:pt idx="2">
                  <c:v>78.400000000000006</c:v>
                </c:pt>
                <c:pt idx="3">
                  <c:v>80.8</c:v>
                </c:pt>
                <c:pt idx="4">
                  <c:v>75.8</c:v>
                </c:pt>
                <c:pt idx="5">
                  <c:v>70.3</c:v>
                </c:pt>
                <c:pt idx="6">
                  <c:v>66.7</c:v>
                </c:pt>
                <c:pt idx="7">
                  <c:v>72</c:v>
                </c:pt>
                <c:pt idx="8">
                  <c:v>75.2</c:v>
                </c:pt>
                <c:pt idx="9">
                  <c:v>73.900000000000006</c:v>
                </c:pt>
                <c:pt idx="10">
                  <c:v>75.400000000000006</c:v>
                </c:pt>
                <c:pt idx="11">
                  <c:v>76.5</c:v>
                </c:pt>
                <c:pt idx="12">
                  <c:v>78.3</c:v>
                </c:pt>
              </c:numCache>
            </c:numRef>
          </c:val>
          <c:smooth val="0"/>
          <c:extLst xmlns:c16r2="http://schemas.microsoft.com/office/drawing/2015/06/chart">
            <c:ext xmlns:c16="http://schemas.microsoft.com/office/drawing/2014/chart" uri="{C3380CC4-5D6E-409C-BE32-E72D297353CC}">
              <c16:uniqueId val="{00000001-502B-492A-9AEC-B9C3FEAF70DE}"/>
            </c:ext>
          </c:extLst>
        </c:ser>
        <c:dLbls>
          <c:showLegendKey val="0"/>
          <c:showVal val="0"/>
          <c:showCatName val="0"/>
          <c:showSerName val="0"/>
          <c:showPercent val="0"/>
          <c:showBubbleSize val="0"/>
        </c:dLbls>
        <c:marker val="1"/>
        <c:smooth val="0"/>
        <c:axId val="199137280"/>
        <c:axId val="162268288"/>
      </c:lineChart>
      <c:catAx>
        <c:axId val="18350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162267712"/>
        <c:crosses val="autoZero"/>
        <c:auto val="1"/>
        <c:lblAlgn val="ctr"/>
        <c:lblOffset val="100"/>
        <c:noMultiLvlLbl val="0"/>
      </c:catAx>
      <c:valAx>
        <c:axId val="162267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3502848"/>
        <c:crosses val="autoZero"/>
        <c:crossBetween val="between"/>
      </c:valAx>
      <c:valAx>
        <c:axId val="16226828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9137280"/>
        <c:crosses val="max"/>
        <c:crossBetween val="between"/>
      </c:valAx>
      <c:catAx>
        <c:axId val="199137280"/>
        <c:scaling>
          <c:orientation val="minMax"/>
        </c:scaling>
        <c:delete val="1"/>
        <c:axPos val="b"/>
        <c:numFmt formatCode="General" sourceLinked="1"/>
        <c:majorTickMark val="out"/>
        <c:minorTickMark val="none"/>
        <c:tickLblPos val="nextTo"/>
        <c:crossAx val="16226828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Лист1!$B$1</c:f>
              <c:strCache>
                <c:ptCount val="1"/>
                <c:pt idx="0">
                  <c:v>Государственные гарантии Российской Федерации в валюте Роcсийской Федерации, млрд. руб. </c:v>
                </c:pt>
              </c:strCache>
            </c:strRef>
          </c:tx>
          <c:spPr>
            <a:solidFill>
              <a:schemeClr val="accent1"/>
            </a:solidFill>
            <a:ln>
              <a:solidFill>
                <a:schemeClr val="accent1">
                  <a:lumMod val="75000"/>
                </a:schemeClr>
              </a:solidFill>
            </a:ln>
            <a:effectLst/>
          </c:spPr>
          <c:invertIfNegative val="0"/>
          <c:dLbls>
            <c:delete val="1"/>
          </c:dLbls>
          <c:cat>
            <c:strRef>
              <c:f>Лист1!$A$2:$A$14</c:f>
              <c:strCache>
                <c:ptCount val="13"/>
                <c:pt idx="0">
                  <c:v> 01.01.10</c:v>
                </c:pt>
                <c:pt idx="1">
                  <c:v> 01.01.11</c:v>
                </c:pt>
                <c:pt idx="2">
                  <c:v> 01.01.12</c:v>
                </c:pt>
                <c:pt idx="3">
                  <c:v> 01.01.13</c:v>
                </c:pt>
                <c:pt idx="4">
                  <c:v> 01.01.14</c:v>
                </c:pt>
                <c:pt idx="5">
                  <c:v> 01.01.15</c:v>
                </c:pt>
                <c:pt idx="6">
                  <c:v> 01.01.16</c:v>
                </c:pt>
                <c:pt idx="7">
                  <c:v> 01.01.17</c:v>
                </c:pt>
                <c:pt idx="8">
                  <c:v>01.01.2018</c:v>
                </c:pt>
                <c:pt idx="9">
                  <c:v>01.01.2019</c:v>
                </c:pt>
                <c:pt idx="10">
                  <c:v>01.01.2020</c:v>
                </c:pt>
                <c:pt idx="11">
                  <c:v>01.01.2021</c:v>
                </c:pt>
                <c:pt idx="12">
                  <c:v>01.01.2022</c:v>
                </c:pt>
              </c:strCache>
            </c:strRef>
          </c:cat>
          <c:val>
            <c:numRef>
              <c:f>Лист1!$B$2:$B$14</c:f>
              <c:numCache>
                <c:formatCode>General</c:formatCode>
                <c:ptCount val="13"/>
                <c:pt idx="0">
                  <c:v>251.36</c:v>
                </c:pt>
                <c:pt idx="1">
                  <c:v>472.25</c:v>
                </c:pt>
                <c:pt idx="2">
                  <c:v>637.32999999999959</c:v>
                </c:pt>
                <c:pt idx="3">
                  <c:v>906.6</c:v>
                </c:pt>
                <c:pt idx="4">
                  <c:v>1289.8499999999999</c:v>
                </c:pt>
                <c:pt idx="5">
                  <c:v>1765.46</c:v>
                </c:pt>
                <c:pt idx="6">
                  <c:v>1734.52</c:v>
                </c:pt>
                <c:pt idx="7">
                  <c:v>1903.11</c:v>
                </c:pt>
                <c:pt idx="8">
                  <c:v>1442.52</c:v>
                </c:pt>
                <c:pt idx="9">
                  <c:v>1960</c:v>
                </c:pt>
                <c:pt idx="10">
                  <c:v>1830</c:v>
                </c:pt>
                <c:pt idx="11">
                  <c:v>1853</c:v>
                </c:pt>
                <c:pt idx="12">
                  <c:v>1883</c:v>
                </c:pt>
              </c:numCache>
            </c:numRef>
          </c:val>
          <c:extLst xmlns:c16r2="http://schemas.microsoft.com/office/drawing/2015/06/chart">
            <c:ext xmlns:c16="http://schemas.microsoft.com/office/drawing/2014/chart" uri="{C3380CC4-5D6E-409C-BE32-E72D297353CC}">
              <c16:uniqueId val="{00000000-4EE6-C04F-8CAC-77A8840CC0E0}"/>
            </c:ext>
          </c:extLst>
        </c:ser>
        <c:ser>
          <c:idx val="1"/>
          <c:order val="1"/>
          <c:tx>
            <c:strRef>
              <c:f>Лист1!$C$1</c:f>
              <c:strCache>
                <c:ptCount val="1"/>
                <c:pt idx="0">
                  <c:v>Прочие обязательства, млрд. руб.</c:v>
                </c:pt>
              </c:strCache>
            </c:strRef>
          </c:tx>
          <c:spPr>
            <a:solidFill>
              <a:schemeClr val="accent2"/>
            </a:solidFill>
            <a:ln>
              <a:noFill/>
            </a:ln>
            <a:effectLst/>
          </c:spPr>
          <c:invertIfNegative val="0"/>
          <c:dLbls>
            <c:delete val="1"/>
          </c:dLbls>
          <c:cat>
            <c:strRef>
              <c:f>Лист1!$A$2:$A$14</c:f>
              <c:strCache>
                <c:ptCount val="13"/>
                <c:pt idx="0">
                  <c:v> 01.01.10</c:v>
                </c:pt>
                <c:pt idx="1">
                  <c:v> 01.01.11</c:v>
                </c:pt>
                <c:pt idx="2">
                  <c:v> 01.01.12</c:v>
                </c:pt>
                <c:pt idx="3">
                  <c:v> 01.01.13</c:v>
                </c:pt>
                <c:pt idx="4">
                  <c:v> 01.01.14</c:v>
                </c:pt>
                <c:pt idx="5">
                  <c:v> 01.01.15</c:v>
                </c:pt>
                <c:pt idx="6">
                  <c:v> 01.01.16</c:v>
                </c:pt>
                <c:pt idx="7">
                  <c:v> 01.01.17</c:v>
                </c:pt>
                <c:pt idx="8">
                  <c:v>01.01.2018</c:v>
                </c:pt>
                <c:pt idx="9">
                  <c:v>01.01.2019</c:v>
                </c:pt>
                <c:pt idx="10">
                  <c:v>01.01.2020</c:v>
                </c:pt>
                <c:pt idx="11">
                  <c:v>01.01.2021</c:v>
                </c:pt>
                <c:pt idx="12">
                  <c:v>01.01.2022</c:v>
                </c:pt>
              </c:strCache>
            </c:strRef>
          </c:cat>
          <c:val>
            <c:numRef>
              <c:f>Лист1!$C$2:$C$14</c:f>
              <c:numCache>
                <c:formatCode>0.00</c:formatCode>
                <c:ptCount val="13"/>
                <c:pt idx="0">
                  <c:v>6.2</c:v>
                </c:pt>
                <c:pt idx="1">
                  <c:v>6.55</c:v>
                </c:pt>
                <c:pt idx="2">
                  <c:v>6.79</c:v>
                </c:pt>
                <c:pt idx="3" formatCode="General">
                  <c:v>0</c:v>
                </c:pt>
                <c:pt idx="4" formatCode="General">
                  <c:v>0</c:v>
                </c:pt>
                <c:pt idx="5" formatCode="General">
                  <c:v>0</c:v>
                </c:pt>
                <c:pt idx="6" formatCode="General">
                  <c:v>0</c:v>
                </c:pt>
                <c:pt idx="7" formatCode="General">
                  <c:v>0</c:v>
                </c:pt>
                <c:pt idx="8" formatCode="General">
                  <c:v>0</c:v>
                </c:pt>
                <c:pt idx="9" formatCode="General">
                  <c:v>0</c:v>
                </c:pt>
                <c:pt idx="10" formatCode="General">
                  <c:v>0</c:v>
                </c:pt>
                <c:pt idx="11" formatCode="General">
                  <c:v>0</c:v>
                </c:pt>
                <c:pt idx="12">
                  <c:v>0</c:v>
                </c:pt>
              </c:numCache>
            </c:numRef>
          </c:val>
          <c:extLst xmlns:c16r2="http://schemas.microsoft.com/office/drawing/2015/06/chart">
            <c:ext xmlns:c16="http://schemas.microsoft.com/office/drawing/2014/chart" uri="{C3380CC4-5D6E-409C-BE32-E72D297353CC}">
              <c16:uniqueId val="{00000001-4EE6-C04F-8CAC-77A8840CC0E0}"/>
            </c:ext>
          </c:extLst>
        </c:ser>
        <c:ser>
          <c:idx val="2"/>
          <c:order val="2"/>
          <c:tx>
            <c:strRef>
              <c:f>Лист1!$D$1</c:f>
              <c:strCache>
                <c:ptCount val="1"/>
                <c:pt idx="0">
                  <c:v>Государственные ценные бумаги, млрд. руб.</c:v>
                </c:pt>
              </c:strCache>
            </c:strRef>
          </c:tx>
          <c:spPr>
            <a:solidFill>
              <a:schemeClr val="accent3"/>
            </a:solidFill>
            <a:ln>
              <a:solidFill>
                <a:schemeClr val="tx1">
                  <a:lumMod val="50000"/>
                  <a:lumOff val="50000"/>
                </a:schemeClr>
              </a:solidFill>
            </a:ln>
            <a:effectLst/>
          </c:spPr>
          <c:invertIfNegative val="0"/>
          <c:dLbls>
            <c:delete val="1"/>
          </c:dLbls>
          <c:cat>
            <c:strRef>
              <c:f>Лист1!$A$2:$A$14</c:f>
              <c:strCache>
                <c:ptCount val="13"/>
                <c:pt idx="0">
                  <c:v> 01.01.10</c:v>
                </c:pt>
                <c:pt idx="1">
                  <c:v> 01.01.11</c:v>
                </c:pt>
                <c:pt idx="2">
                  <c:v> 01.01.12</c:v>
                </c:pt>
                <c:pt idx="3">
                  <c:v> 01.01.13</c:v>
                </c:pt>
                <c:pt idx="4">
                  <c:v> 01.01.14</c:v>
                </c:pt>
                <c:pt idx="5">
                  <c:v> 01.01.15</c:v>
                </c:pt>
                <c:pt idx="6">
                  <c:v> 01.01.16</c:v>
                </c:pt>
                <c:pt idx="7">
                  <c:v> 01.01.17</c:v>
                </c:pt>
                <c:pt idx="8">
                  <c:v>01.01.2018</c:v>
                </c:pt>
                <c:pt idx="9">
                  <c:v>01.01.2019</c:v>
                </c:pt>
                <c:pt idx="10">
                  <c:v>01.01.2020</c:v>
                </c:pt>
                <c:pt idx="11">
                  <c:v>01.01.2021</c:v>
                </c:pt>
                <c:pt idx="12">
                  <c:v>01.01.2022</c:v>
                </c:pt>
              </c:strCache>
            </c:strRef>
          </c:cat>
          <c:val>
            <c:numRef>
              <c:f>Лист1!$D$2:$D$14</c:f>
              <c:numCache>
                <c:formatCode>General</c:formatCode>
                <c:ptCount val="13"/>
                <c:pt idx="0">
                  <c:v>1837.17</c:v>
                </c:pt>
                <c:pt idx="1">
                  <c:v>2461.59</c:v>
                </c:pt>
                <c:pt idx="2">
                  <c:v>3546.43</c:v>
                </c:pt>
                <c:pt idx="3">
                  <c:v>4064.28</c:v>
                </c:pt>
                <c:pt idx="4">
                  <c:v>4432.38</c:v>
                </c:pt>
                <c:pt idx="5">
                  <c:v>5475.71</c:v>
                </c:pt>
                <c:pt idx="6">
                  <c:v>5573.09</c:v>
                </c:pt>
                <c:pt idx="7">
                  <c:v>6100.34</c:v>
                </c:pt>
                <c:pt idx="8">
                  <c:v>7247.12</c:v>
                </c:pt>
                <c:pt idx="9">
                  <c:v>8320</c:v>
                </c:pt>
                <c:pt idx="10">
                  <c:v>15371</c:v>
                </c:pt>
                <c:pt idx="11">
                  <c:v>17264</c:v>
                </c:pt>
                <c:pt idx="12">
                  <c:v>19321</c:v>
                </c:pt>
              </c:numCache>
            </c:numRef>
          </c:val>
          <c:extLst xmlns:c16r2="http://schemas.microsoft.com/office/drawing/2015/06/chart">
            <c:ext xmlns:c16="http://schemas.microsoft.com/office/drawing/2014/chart" uri="{C3380CC4-5D6E-409C-BE32-E72D297353CC}">
              <c16:uniqueId val="{00000002-4EE6-C04F-8CAC-77A8840CC0E0}"/>
            </c:ext>
          </c:extLst>
        </c:ser>
        <c:dLbls>
          <c:dLblPos val="ctr"/>
          <c:showLegendKey val="0"/>
          <c:showVal val="1"/>
          <c:showCatName val="0"/>
          <c:showSerName val="0"/>
          <c:showPercent val="0"/>
          <c:showBubbleSize val="0"/>
        </c:dLbls>
        <c:gapWidth val="150"/>
        <c:overlap val="100"/>
        <c:axId val="199137792"/>
        <c:axId val="162270592"/>
      </c:barChart>
      <c:catAx>
        <c:axId val="199137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270592"/>
        <c:crosses val="autoZero"/>
        <c:auto val="1"/>
        <c:lblAlgn val="ctr"/>
        <c:lblOffset val="100"/>
        <c:noMultiLvlLbl val="0"/>
      </c:catAx>
      <c:valAx>
        <c:axId val="1622705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9137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11513</Words>
  <Characters>65625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MakarovAM</cp:lastModifiedBy>
  <cp:revision>2</cp:revision>
  <cp:lastPrinted>2019-10-14T08:29:00Z</cp:lastPrinted>
  <dcterms:created xsi:type="dcterms:W3CDTF">2019-10-21T16:43:00Z</dcterms:created>
  <dcterms:modified xsi:type="dcterms:W3CDTF">2019-10-21T16:43:00Z</dcterms:modified>
</cp:coreProperties>
</file>