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25DA" w14:textId="0A05F876" w:rsidR="00893030" w:rsidRPr="00387A7B" w:rsidRDefault="00893030" w:rsidP="000422AA">
      <w:pPr>
        <w:keepNext/>
        <w:ind w:right="-2"/>
        <w:jc w:val="center"/>
        <w:outlineLvl w:val="1"/>
        <w:rPr>
          <w:b/>
          <w:bCs/>
          <w:iCs/>
          <w:sz w:val="24"/>
          <w:szCs w:val="24"/>
        </w:rPr>
      </w:pPr>
      <w:bookmarkStart w:id="0" w:name="_Hlk85007249"/>
      <w:bookmarkStart w:id="1" w:name="_GoBack"/>
      <w:bookmarkEnd w:id="0"/>
      <w:r w:rsidRPr="00387A7B">
        <w:rPr>
          <w:b/>
          <w:bCs/>
          <w:iCs/>
          <w:sz w:val="24"/>
          <w:szCs w:val="24"/>
        </w:rPr>
        <w:t>ФЕДЕРАЛЬНОЕ ГОСУДАРСТВЕННОЕ БЮДЖЕТНОЕ ОБРАЗОВАТЕЛЬНОЕ УЧРЕЖДЕНИЕ ВЫСШЕГО ОБРАЗОВАНИЯ</w:t>
      </w:r>
    </w:p>
    <w:bookmarkEnd w:id="1"/>
    <w:p w14:paraId="50DF06BE" w14:textId="77777777" w:rsidR="00893030" w:rsidRPr="00387A7B" w:rsidRDefault="00893030" w:rsidP="00893030">
      <w:pPr>
        <w:jc w:val="center"/>
        <w:rPr>
          <w:rFonts w:eastAsiaTheme="minorEastAsia"/>
          <w:b/>
          <w:sz w:val="24"/>
          <w:szCs w:val="24"/>
        </w:rPr>
      </w:pPr>
      <w:r w:rsidRPr="00387A7B">
        <w:rPr>
          <w:rFonts w:eastAsiaTheme="minorEastAsia"/>
          <w:b/>
          <w:sz w:val="24"/>
          <w:szCs w:val="24"/>
        </w:rPr>
        <w:t>высшего образования</w:t>
      </w:r>
    </w:p>
    <w:p w14:paraId="17128C1B" w14:textId="5630611D" w:rsidR="00893030" w:rsidRPr="00387A7B" w:rsidRDefault="00893030" w:rsidP="00893030">
      <w:pPr>
        <w:keepNext/>
        <w:jc w:val="center"/>
        <w:outlineLvl w:val="2"/>
        <w:rPr>
          <w:b/>
          <w:sz w:val="24"/>
          <w:szCs w:val="24"/>
        </w:rPr>
      </w:pPr>
      <w:r w:rsidRPr="00387A7B">
        <w:rPr>
          <w:b/>
          <w:sz w:val="24"/>
          <w:szCs w:val="24"/>
        </w:rPr>
        <w:t xml:space="preserve"> «Российский экономический университет имени </w:t>
      </w:r>
      <w:r w:rsidR="00195EDA" w:rsidRPr="00387A7B">
        <w:rPr>
          <w:b/>
          <w:sz w:val="24"/>
          <w:szCs w:val="24"/>
        </w:rPr>
        <w:t>Г. В.</w:t>
      </w:r>
      <w:r w:rsidRPr="00387A7B">
        <w:rPr>
          <w:b/>
          <w:sz w:val="24"/>
          <w:szCs w:val="24"/>
        </w:rPr>
        <w:t xml:space="preserve"> Плеханова»</w:t>
      </w:r>
    </w:p>
    <w:p w14:paraId="3D959C8F" w14:textId="77777777" w:rsidR="00893030" w:rsidRPr="00387A7B" w:rsidRDefault="00893030" w:rsidP="00893030">
      <w:pPr>
        <w:pStyle w:val="1"/>
        <w:rPr>
          <w:rFonts w:ascii="Times New Roman" w:hAnsi="Times New Roman"/>
          <w:b/>
          <w:color w:val="auto"/>
          <w:sz w:val="24"/>
          <w:szCs w:val="24"/>
        </w:rPr>
      </w:pPr>
      <w:r w:rsidRPr="00387A7B">
        <w:rPr>
          <w:rFonts w:ascii="Times New Roman" w:hAnsi="Times New Roman"/>
          <w:b/>
          <w:noProof/>
          <w:color w:val="auto"/>
          <w:sz w:val="24"/>
          <w:szCs w:val="24"/>
        </w:rPr>
        <w:drawing>
          <wp:anchor distT="0" distB="0" distL="114300" distR="114300" simplePos="0" relativeHeight="251662336" behindDoc="0" locked="0" layoutInCell="1" allowOverlap="1" wp14:anchorId="102CD966" wp14:editId="239CD8CD">
            <wp:simplePos x="0" y="0"/>
            <wp:positionH relativeFrom="column">
              <wp:posOffset>1558290</wp:posOffset>
            </wp:positionH>
            <wp:positionV relativeFrom="paragraph">
              <wp:posOffset>253365</wp:posOffset>
            </wp:positionV>
            <wp:extent cx="2609850" cy="2057400"/>
            <wp:effectExtent l="19050" t="0" r="0" b="0"/>
            <wp:wrapTopAndBottom/>
            <wp:docPr id="2" name="Рисунок 2" descr="C:\Documents and Settings\karina\Рабочий стол\герб_центра 5.jpg"/>
            <wp:cNvGraphicFramePr/>
            <a:graphic xmlns:a="http://schemas.openxmlformats.org/drawingml/2006/main">
              <a:graphicData uri="http://schemas.openxmlformats.org/drawingml/2006/picture">
                <pic:pic xmlns:pic="http://schemas.openxmlformats.org/drawingml/2006/picture">
                  <pic:nvPicPr>
                    <pic:cNvPr id="5" name="Picture 4" descr="C:\Documents and Settings\karina\Рабочий стол\герб_центра 5.jpg"/>
                    <pic:cNvPicPr>
                      <a:picLocks noChangeAspect="1" noChangeArrowheads="1"/>
                    </pic:cNvPicPr>
                  </pic:nvPicPr>
                  <pic:blipFill>
                    <a:blip r:embed="rId7" cstate="print"/>
                    <a:srcRect/>
                    <a:stretch>
                      <a:fillRect/>
                    </a:stretch>
                  </pic:blipFill>
                  <pic:spPr bwMode="auto">
                    <a:xfrm>
                      <a:off x="0" y="0"/>
                      <a:ext cx="2609850" cy="2057400"/>
                    </a:xfrm>
                    <a:prstGeom prst="rect">
                      <a:avLst/>
                    </a:prstGeom>
                    <a:noFill/>
                  </pic:spPr>
                </pic:pic>
              </a:graphicData>
            </a:graphic>
          </wp:anchor>
        </w:drawing>
      </w:r>
    </w:p>
    <w:p w14:paraId="2FA3EEFF" w14:textId="65B9C509" w:rsidR="00893030" w:rsidRPr="00387A7B" w:rsidRDefault="00893030" w:rsidP="00893030">
      <w:pPr>
        <w:spacing w:line="360" w:lineRule="auto"/>
        <w:jc w:val="center"/>
        <w:rPr>
          <w:b/>
          <w:sz w:val="24"/>
          <w:szCs w:val="24"/>
        </w:rPr>
      </w:pPr>
      <w:r w:rsidRPr="00387A7B">
        <w:rPr>
          <w:b/>
          <w:sz w:val="24"/>
          <w:szCs w:val="24"/>
        </w:rPr>
        <w:t>ЗАКЛЮЧЕНИЕ</w:t>
      </w:r>
    </w:p>
    <w:p w14:paraId="249D52FA" w14:textId="281D60A8" w:rsidR="00893030" w:rsidRPr="00387A7B" w:rsidRDefault="00893030" w:rsidP="00893030">
      <w:pPr>
        <w:spacing w:line="360" w:lineRule="auto"/>
        <w:jc w:val="center"/>
        <w:rPr>
          <w:b/>
          <w:sz w:val="24"/>
          <w:szCs w:val="24"/>
        </w:rPr>
      </w:pPr>
      <w:r w:rsidRPr="00387A7B">
        <w:rPr>
          <w:b/>
          <w:sz w:val="24"/>
          <w:szCs w:val="24"/>
        </w:rPr>
        <w:t xml:space="preserve">Российского экономического университета имени </w:t>
      </w:r>
      <w:r w:rsidR="0022729D" w:rsidRPr="00387A7B">
        <w:rPr>
          <w:b/>
          <w:sz w:val="24"/>
          <w:szCs w:val="24"/>
        </w:rPr>
        <w:t>Г. В.</w:t>
      </w:r>
      <w:r w:rsidRPr="00387A7B">
        <w:rPr>
          <w:b/>
          <w:sz w:val="24"/>
          <w:szCs w:val="24"/>
        </w:rPr>
        <w:t xml:space="preserve"> Плеханова </w:t>
      </w:r>
    </w:p>
    <w:p w14:paraId="45AEE750" w14:textId="0576C1E3" w:rsidR="00893030" w:rsidRPr="00387A7B" w:rsidRDefault="00893030" w:rsidP="00893030">
      <w:pPr>
        <w:spacing w:line="360" w:lineRule="auto"/>
        <w:jc w:val="center"/>
        <w:rPr>
          <w:b/>
          <w:sz w:val="24"/>
          <w:szCs w:val="24"/>
        </w:rPr>
      </w:pPr>
      <w:r w:rsidRPr="00387A7B">
        <w:rPr>
          <w:b/>
          <w:sz w:val="24"/>
          <w:szCs w:val="24"/>
        </w:rPr>
        <w:t>на проект</w:t>
      </w:r>
      <w:r w:rsidRPr="00387A7B">
        <w:rPr>
          <w:sz w:val="24"/>
          <w:szCs w:val="24"/>
        </w:rPr>
        <w:t xml:space="preserve"> </w:t>
      </w:r>
      <w:r w:rsidRPr="00387A7B">
        <w:rPr>
          <w:b/>
          <w:sz w:val="24"/>
          <w:szCs w:val="24"/>
        </w:rPr>
        <w:t xml:space="preserve">федерального закона </w:t>
      </w:r>
      <w:r w:rsidR="0022729D" w:rsidRPr="00387A7B">
        <w:rPr>
          <w:b/>
          <w:sz w:val="24"/>
          <w:szCs w:val="24"/>
        </w:rPr>
        <w:t>№ 201614–8</w:t>
      </w:r>
    </w:p>
    <w:p w14:paraId="6F40C191" w14:textId="44DA1205" w:rsidR="00893030" w:rsidRPr="00387A7B" w:rsidRDefault="00893030" w:rsidP="00893030">
      <w:pPr>
        <w:spacing w:line="360" w:lineRule="auto"/>
        <w:jc w:val="center"/>
        <w:rPr>
          <w:bCs/>
          <w:sz w:val="24"/>
          <w:szCs w:val="24"/>
        </w:rPr>
      </w:pPr>
      <w:r w:rsidRPr="00387A7B">
        <w:rPr>
          <w:b/>
          <w:sz w:val="24"/>
          <w:szCs w:val="24"/>
        </w:rPr>
        <w:t>«О</w:t>
      </w:r>
      <w:r w:rsidRPr="00387A7B">
        <w:rPr>
          <w:sz w:val="24"/>
          <w:szCs w:val="24"/>
        </w:rPr>
        <w:t xml:space="preserve"> </w:t>
      </w:r>
      <w:r w:rsidRPr="00387A7B">
        <w:rPr>
          <w:b/>
          <w:sz w:val="24"/>
          <w:szCs w:val="24"/>
        </w:rPr>
        <w:t xml:space="preserve">федеральном бюджете </w:t>
      </w:r>
      <w:r w:rsidRPr="00387A7B">
        <w:rPr>
          <w:b/>
          <w:bCs/>
          <w:sz w:val="24"/>
          <w:szCs w:val="24"/>
        </w:rPr>
        <w:t>на 2023 год</w:t>
      </w:r>
      <w:r w:rsidRPr="00387A7B">
        <w:rPr>
          <w:b/>
          <w:sz w:val="24"/>
          <w:szCs w:val="24"/>
        </w:rPr>
        <w:t xml:space="preserve"> </w:t>
      </w:r>
      <w:r w:rsidRPr="00387A7B">
        <w:rPr>
          <w:b/>
          <w:bCs/>
          <w:sz w:val="24"/>
          <w:szCs w:val="24"/>
        </w:rPr>
        <w:t xml:space="preserve">и на плановый период 2024 и 2025 годов» </w:t>
      </w:r>
    </w:p>
    <w:p w14:paraId="224EC500" w14:textId="77777777" w:rsidR="00893030" w:rsidRPr="00387A7B" w:rsidRDefault="00893030" w:rsidP="00893030">
      <w:pPr>
        <w:spacing w:line="360" w:lineRule="auto"/>
        <w:ind w:right="-2"/>
        <w:jc w:val="center"/>
        <w:rPr>
          <w:bCs/>
          <w:sz w:val="24"/>
          <w:szCs w:val="24"/>
        </w:rPr>
      </w:pPr>
    </w:p>
    <w:p w14:paraId="42E84513" w14:textId="15CA809F" w:rsidR="00893030" w:rsidRPr="00387A7B" w:rsidRDefault="00893030" w:rsidP="00893030">
      <w:pPr>
        <w:spacing w:line="360" w:lineRule="auto"/>
        <w:ind w:right="-2"/>
        <w:jc w:val="both"/>
        <w:rPr>
          <w:sz w:val="24"/>
          <w:szCs w:val="24"/>
        </w:rPr>
      </w:pPr>
      <w:r w:rsidRPr="00387A7B">
        <w:rPr>
          <w:sz w:val="24"/>
          <w:szCs w:val="24"/>
        </w:rPr>
        <w:tab/>
        <w:t xml:space="preserve">Экспертное заключение на проект федерального закона «О федеральном бюджете </w:t>
      </w:r>
      <w:r w:rsidRPr="00387A7B">
        <w:rPr>
          <w:bCs/>
          <w:sz w:val="24"/>
          <w:szCs w:val="24"/>
        </w:rPr>
        <w:t>на 2023 год</w:t>
      </w:r>
      <w:r w:rsidRPr="00387A7B">
        <w:rPr>
          <w:sz w:val="24"/>
          <w:szCs w:val="24"/>
        </w:rPr>
        <w:t xml:space="preserve"> </w:t>
      </w:r>
      <w:r w:rsidRPr="00387A7B">
        <w:rPr>
          <w:bCs/>
          <w:sz w:val="24"/>
          <w:szCs w:val="24"/>
        </w:rPr>
        <w:t xml:space="preserve">и на плановый период 2024 и 2025 годов» </w:t>
      </w:r>
      <w:r w:rsidRPr="00387A7B">
        <w:rPr>
          <w:sz w:val="24"/>
          <w:szCs w:val="24"/>
        </w:rPr>
        <w:t xml:space="preserve">(далее </w:t>
      </w:r>
      <w:r w:rsidR="00332283" w:rsidRPr="00387A7B">
        <w:rPr>
          <w:sz w:val="24"/>
          <w:szCs w:val="24"/>
        </w:rPr>
        <w:t>–</w:t>
      </w:r>
      <w:r w:rsidRPr="00387A7B">
        <w:rPr>
          <w:sz w:val="24"/>
          <w:szCs w:val="24"/>
        </w:rPr>
        <w:t xml:space="preserve"> законопроект</w:t>
      </w:r>
      <w:r w:rsidR="00332283" w:rsidRPr="00387A7B">
        <w:rPr>
          <w:sz w:val="24"/>
          <w:szCs w:val="24"/>
        </w:rPr>
        <w:t>, проект федерального бюджета</w:t>
      </w:r>
      <w:r w:rsidRPr="00387A7B">
        <w:rPr>
          <w:sz w:val="24"/>
          <w:szCs w:val="24"/>
        </w:rPr>
        <w:t xml:space="preserve">) подготовлено на основе текста законопроекта и пояснительной записки к нему, Основных направлений бюджетной, налоговой и таможенно-тарифной политики на 2023 год и на плановый период 2024 и 2025 годов (далее − Основные направления), </w:t>
      </w:r>
      <w:r w:rsidR="00536F12" w:rsidRPr="00387A7B">
        <w:rPr>
          <w:sz w:val="24"/>
          <w:szCs w:val="24"/>
        </w:rPr>
        <w:t xml:space="preserve">Прогноза социально-экономического развития Российской Федерации на 2023 год и на плановый период 2024 и 2025 годов (далее – прогноз СЭР), </w:t>
      </w:r>
      <w:r w:rsidRPr="00387A7B">
        <w:rPr>
          <w:sz w:val="24"/>
          <w:szCs w:val="24"/>
        </w:rPr>
        <w:t>других материалов к законопроекту</w:t>
      </w:r>
      <w:r w:rsidRPr="00387A7B">
        <w:rPr>
          <w:rStyle w:val="af0"/>
          <w:sz w:val="24"/>
          <w:szCs w:val="24"/>
        </w:rPr>
        <w:t xml:space="preserve"> </w:t>
      </w:r>
      <w:r w:rsidRPr="00387A7B">
        <w:rPr>
          <w:rStyle w:val="af0"/>
          <w:sz w:val="24"/>
          <w:szCs w:val="24"/>
        </w:rPr>
        <w:footnoteReference w:id="1"/>
      </w:r>
      <w:r w:rsidRPr="00387A7B">
        <w:rPr>
          <w:sz w:val="24"/>
          <w:szCs w:val="24"/>
        </w:rPr>
        <w:t>.</w:t>
      </w:r>
    </w:p>
    <w:p w14:paraId="6DE506F9" w14:textId="7064054B" w:rsidR="002B6F90" w:rsidRPr="00387A7B" w:rsidRDefault="002B6F90" w:rsidP="002B6F90">
      <w:pPr>
        <w:spacing w:line="360" w:lineRule="auto"/>
        <w:ind w:right="-2" w:firstLine="708"/>
        <w:jc w:val="both"/>
        <w:rPr>
          <w:bCs/>
          <w:iCs/>
          <w:sz w:val="24"/>
          <w:szCs w:val="24"/>
        </w:rPr>
      </w:pPr>
      <w:r w:rsidRPr="00387A7B">
        <w:rPr>
          <w:bCs/>
          <w:iCs/>
          <w:sz w:val="24"/>
          <w:szCs w:val="24"/>
        </w:rPr>
        <w:t xml:space="preserve">Особенностью параметров проекта федерального бюджета на очередной бюджетный цикл является его формирование в условиях сложной геополитической ситуации и беспрецедентного санкционного давления, обусловивших </w:t>
      </w:r>
      <w:r w:rsidR="00D7749D">
        <w:rPr>
          <w:bCs/>
          <w:iCs/>
          <w:sz w:val="24"/>
          <w:szCs w:val="24"/>
        </w:rPr>
        <w:t>изменение</w:t>
      </w:r>
      <w:r w:rsidRPr="00387A7B">
        <w:rPr>
          <w:bCs/>
          <w:iCs/>
          <w:sz w:val="24"/>
          <w:szCs w:val="24"/>
        </w:rPr>
        <w:t xml:space="preserve"> сценарных </w:t>
      </w:r>
      <w:r w:rsidR="00D7749D">
        <w:rPr>
          <w:bCs/>
          <w:iCs/>
          <w:sz w:val="24"/>
          <w:szCs w:val="24"/>
        </w:rPr>
        <w:t>показателей</w:t>
      </w:r>
      <w:r w:rsidRPr="00387A7B">
        <w:rPr>
          <w:bCs/>
          <w:iCs/>
          <w:sz w:val="24"/>
          <w:szCs w:val="24"/>
        </w:rPr>
        <w:t xml:space="preserve"> развития российской экономики</w:t>
      </w:r>
      <w:r w:rsidR="00672516">
        <w:rPr>
          <w:bCs/>
          <w:iCs/>
          <w:sz w:val="24"/>
          <w:szCs w:val="24"/>
        </w:rPr>
        <w:t xml:space="preserve"> </w:t>
      </w:r>
      <w:r w:rsidR="00D7749D">
        <w:rPr>
          <w:bCs/>
          <w:iCs/>
          <w:sz w:val="24"/>
          <w:szCs w:val="24"/>
        </w:rPr>
        <w:t xml:space="preserve">в сравнении с их значениями в </w:t>
      </w:r>
      <w:r w:rsidR="00D7749D" w:rsidRPr="00387A7B">
        <w:rPr>
          <w:sz w:val="24"/>
          <w:szCs w:val="24"/>
        </w:rPr>
        <w:t>Федеральном законе № 390-ФЗ от 06.12.2021 г.</w:t>
      </w:r>
      <w:r w:rsidR="00D7749D">
        <w:rPr>
          <w:sz w:val="24"/>
          <w:szCs w:val="24"/>
        </w:rPr>
        <w:t xml:space="preserve">  </w:t>
      </w:r>
      <w:r w:rsidRPr="00387A7B">
        <w:rPr>
          <w:bCs/>
          <w:iCs/>
          <w:sz w:val="24"/>
          <w:szCs w:val="24"/>
        </w:rPr>
        <w:t xml:space="preserve">В этой связи особое внимание при </w:t>
      </w:r>
      <w:r w:rsidR="00536F12" w:rsidRPr="00387A7B">
        <w:rPr>
          <w:snapToGrid w:val="0"/>
          <w:sz w:val="24"/>
          <w:szCs w:val="24"/>
        </w:rPr>
        <w:t xml:space="preserve">подготовке </w:t>
      </w:r>
      <w:r w:rsidR="00184B8B" w:rsidRPr="00387A7B">
        <w:rPr>
          <w:snapToGrid w:val="0"/>
          <w:sz w:val="24"/>
          <w:szCs w:val="24"/>
        </w:rPr>
        <w:t>з</w:t>
      </w:r>
      <w:r w:rsidR="00536F12" w:rsidRPr="00387A7B">
        <w:rPr>
          <w:snapToGrid w:val="0"/>
          <w:sz w:val="24"/>
          <w:szCs w:val="24"/>
        </w:rPr>
        <w:t xml:space="preserve">аключения </w:t>
      </w:r>
      <w:r w:rsidRPr="00387A7B">
        <w:rPr>
          <w:snapToGrid w:val="0"/>
          <w:sz w:val="24"/>
          <w:szCs w:val="24"/>
        </w:rPr>
        <w:t>уделялось</w:t>
      </w:r>
      <w:r w:rsidR="00184B8B" w:rsidRPr="00387A7B">
        <w:rPr>
          <w:snapToGrid w:val="0"/>
          <w:sz w:val="24"/>
          <w:szCs w:val="24"/>
        </w:rPr>
        <w:t>:</w:t>
      </w:r>
      <w:r w:rsidR="005708ED" w:rsidRPr="00387A7B">
        <w:rPr>
          <w:snapToGrid w:val="0"/>
          <w:sz w:val="24"/>
          <w:szCs w:val="24"/>
        </w:rPr>
        <w:t xml:space="preserve"> сбалансированност</w:t>
      </w:r>
      <w:r w:rsidRPr="00387A7B">
        <w:rPr>
          <w:snapToGrid w:val="0"/>
          <w:sz w:val="24"/>
          <w:szCs w:val="24"/>
        </w:rPr>
        <w:t>и</w:t>
      </w:r>
      <w:r w:rsidR="005708ED" w:rsidRPr="00387A7B">
        <w:rPr>
          <w:snapToGrid w:val="0"/>
          <w:sz w:val="24"/>
          <w:szCs w:val="24"/>
        </w:rPr>
        <w:t xml:space="preserve"> </w:t>
      </w:r>
      <w:r w:rsidR="00536F12" w:rsidRPr="00387A7B">
        <w:rPr>
          <w:snapToGrid w:val="0"/>
          <w:sz w:val="24"/>
          <w:szCs w:val="24"/>
        </w:rPr>
        <w:t>параметров проекта федерального бюджета</w:t>
      </w:r>
      <w:r w:rsidR="005708ED" w:rsidRPr="00387A7B">
        <w:rPr>
          <w:snapToGrid w:val="0"/>
          <w:sz w:val="24"/>
          <w:szCs w:val="24"/>
        </w:rPr>
        <w:t xml:space="preserve">, их соответствие </w:t>
      </w:r>
      <w:r w:rsidR="00536F12" w:rsidRPr="00387A7B">
        <w:rPr>
          <w:snapToGrid w:val="0"/>
          <w:sz w:val="24"/>
          <w:szCs w:val="24"/>
        </w:rPr>
        <w:t>прогнозу СЭР</w:t>
      </w:r>
      <w:r w:rsidR="005708ED" w:rsidRPr="00387A7B">
        <w:rPr>
          <w:snapToGrid w:val="0"/>
          <w:sz w:val="24"/>
          <w:szCs w:val="24"/>
        </w:rPr>
        <w:t xml:space="preserve"> </w:t>
      </w:r>
      <w:r w:rsidR="002D5878" w:rsidRPr="00387A7B">
        <w:rPr>
          <w:snapToGrid w:val="0"/>
          <w:sz w:val="24"/>
          <w:szCs w:val="24"/>
        </w:rPr>
        <w:t>и риск</w:t>
      </w:r>
      <w:r w:rsidR="005708ED" w:rsidRPr="00387A7B">
        <w:rPr>
          <w:snapToGrid w:val="0"/>
          <w:sz w:val="24"/>
          <w:szCs w:val="24"/>
        </w:rPr>
        <w:t>ам</w:t>
      </w:r>
      <w:r w:rsidR="00184B8B" w:rsidRPr="00387A7B">
        <w:rPr>
          <w:snapToGrid w:val="0"/>
          <w:sz w:val="24"/>
          <w:szCs w:val="24"/>
        </w:rPr>
        <w:t xml:space="preserve"> в среднесрочном периоде;</w:t>
      </w:r>
      <w:r w:rsidR="00536F12" w:rsidRPr="00387A7B">
        <w:rPr>
          <w:snapToGrid w:val="0"/>
          <w:sz w:val="24"/>
          <w:szCs w:val="24"/>
        </w:rPr>
        <w:t xml:space="preserve"> нацеленност</w:t>
      </w:r>
      <w:r w:rsidRPr="00387A7B">
        <w:rPr>
          <w:snapToGrid w:val="0"/>
          <w:sz w:val="24"/>
          <w:szCs w:val="24"/>
        </w:rPr>
        <w:t>и</w:t>
      </w:r>
      <w:r w:rsidR="00536F12" w:rsidRPr="00387A7B">
        <w:rPr>
          <w:snapToGrid w:val="0"/>
          <w:sz w:val="24"/>
          <w:szCs w:val="24"/>
        </w:rPr>
        <w:t xml:space="preserve"> инструментов законопроекта на </w:t>
      </w:r>
      <w:r w:rsidR="00536F12" w:rsidRPr="00387A7B">
        <w:rPr>
          <w:sz w:val="24"/>
          <w:szCs w:val="24"/>
        </w:rPr>
        <w:t xml:space="preserve">достижение национальных целей </w:t>
      </w:r>
      <w:r w:rsidR="00536F12" w:rsidRPr="00387A7B">
        <w:rPr>
          <w:sz w:val="24"/>
          <w:szCs w:val="24"/>
        </w:rPr>
        <w:lastRenderedPageBreak/>
        <w:t>развития, обозначенных в Указе Президента Российской Федерации</w:t>
      </w:r>
      <w:r w:rsidR="00536F12" w:rsidRPr="00387A7B">
        <w:rPr>
          <w:rStyle w:val="af0"/>
          <w:sz w:val="24"/>
          <w:szCs w:val="24"/>
        </w:rPr>
        <w:footnoteReference w:id="2"/>
      </w:r>
      <w:r w:rsidR="00184B8B" w:rsidRPr="00387A7B">
        <w:rPr>
          <w:sz w:val="24"/>
          <w:szCs w:val="24"/>
        </w:rPr>
        <w:t>;</w:t>
      </w:r>
      <w:r w:rsidR="00536F12" w:rsidRPr="00387A7B">
        <w:rPr>
          <w:sz w:val="24"/>
          <w:szCs w:val="24"/>
        </w:rPr>
        <w:t xml:space="preserve"> достаточност</w:t>
      </w:r>
      <w:r w:rsidRPr="00387A7B">
        <w:rPr>
          <w:sz w:val="24"/>
          <w:szCs w:val="24"/>
        </w:rPr>
        <w:t>и</w:t>
      </w:r>
      <w:r w:rsidR="00536F12" w:rsidRPr="00387A7B">
        <w:rPr>
          <w:sz w:val="24"/>
          <w:szCs w:val="24"/>
        </w:rPr>
        <w:t xml:space="preserve"> предусмотренных в </w:t>
      </w:r>
      <w:r w:rsidR="00184B8B" w:rsidRPr="00387A7B">
        <w:rPr>
          <w:sz w:val="24"/>
          <w:szCs w:val="24"/>
        </w:rPr>
        <w:t>законопроекте мер</w:t>
      </w:r>
      <w:r w:rsidR="00536F12" w:rsidRPr="00387A7B">
        <w:rPr>
          <w:sz w:val="24"/>
          <w:szCs w:val="24"/>
        </w:rPr>
        <w:t xml:space="preserve"> по повышению устойчивости российской экономики в условиях санкций</w:t>
      </w:r>
      <w:r w:rsidRPr="00387A7B">
        <w:rPr>
          <w:sz w:val="24"/>
          <w:szCs w:val="24"/>
        </w:rPr>
        <w:t xml:space="preserve">; </w:t>
      </w:r>
      <w:r w:rsidRPr="00387A7B">
        <w:rPr>
          <w:bCs/>
          <w:iCs/>
          <w:sz w:val="24"/>
          <w:szCs w:val="24"/>
        </w:rPr>
        <w:t xml:space="preserve">наличию дополнительных финансовых резервов и методов обеспечения сбалансированности и устойчивости бюджетной системы Российской Федерации. </w:t>
      </w:r>
    </w:p>
    <w:p w14:paraId="35E5FC00" w14:textId="0CF0D1D3" w:rsidR="00184B8B" w:rsidRPr="00387A7B" w:rsidRDefault="00184B8B" w:rsidP="00184B8B">
      <w:pPr>
        <w:spacing w:line="360" w:lineRule="auto"/>
        <w:ind w:right="-2" w:firstLine="708"/>
        <w:jc w:val="both"/>
        <w:rPr>
          <w:snapToGrid w:val="0"/>
          <w:sz w:val="24"/>
          <w:szCs w:val="24"/>
        </w:rPr>
      </w:pPr>
      <w:r w:rsidRPr="00387A7B">
        <w:rPr>
          <w:sz w:val="24"/>
          <w:szCs w:val="24"/>
        </w:rPr>
        <w:t xml:space="preserve">Законопроект разработан на основе базового варианта прогноза социально-экономического развития Российской Федерации на 2023 год и на плановый период 2024 и 2025 годов, учитывающего текущую макроэкономическую ситуацию на внутреннем и внешних рынках, а также с соблюдением всех необходимых требований </w:t>
      </w:r>
      <w:r w:rsidRPr="00387A7B">
        <w:rPr>
          <w:snapToGrid w:val="0"/>
          <w:sz w:val="24"/>
          <w:szCs w:val="24"/>
        </w:rPr>
        <w:t xml:space="preserve">к структуре и содержанию проекта закона о федеральном бюджете, отраженных в Бюджетном кодексе Российской Федерации. </w:t>
      </w:r>
    </w:p>
    <w:p w14:paraId="577316BB" w14:textId="2F8DF2D1" w:rsidR="002D5878" w:rsidRPr="00387A7B" w:rsidRDefault="00536F12" w:rsidP="00536F12">
      <w:pPr>
        <w:spacing w:line="360" w:lineRule="auto"/>
        <w:ind w:right="-2" w:firstLine="708"/>
        <w:jc w:val="both"/>
        <w:rPr>
          <w:i/>
          <w:iCs/>
          <w:sz w:val="24"/>
          <w:szCs w:val="24"/>
        </w:rPr>
      </w:pPr>
      <w:r w:rsidRPr="00387A7B">
        <w:rPr>
          <w:sz w:val="24"/>
          <w:szCs w:val="24"/>
        </w:rPr>
        <w:t>О</w:t>
      </w:r>
      <w:r w:rsidR="002D5878" w:rsidRPr="00387A7B">
        <w:rPr>
          <w:sz w:val="24"/>
          <w:szCs w:val="24"/>
        </w:rPr>
        <w:t xml:space="preserve">ценка основных положений законопроекта и сопровождающих его материалов показала, что </w:t>
      </w:r>
      <w:r w:rsidR="00184B8B" w:rsidRPr="00387A7B">
        <w:rPr>
          <w:sz w:val="24"/>
          <w:szCs w:val="24"/>
        </w:rPr>
        <w:t xml:space="preserve">наряду с его традиционными стратегическими приоритетами, такими как </w:t>
      </w:r>
      <w:r w:rsidR="002D5878" w:rsidRPr="00387A7B">
        <w:rPr>
          <w:sz w:val="24"/>
          <w:szCs w:val="24"/>
        </w:rPr>
        <w:t xml:space="preserve">безусловное выполнение социальных обязательств перед российскими гражданами, </w:t>
      </w:r>
      <w:r w:rsidR="005708ED" w:rsidRPr="00387A7B">
        <w:rPr>
          <w:rStyle w:val="af5"/>
          <w:i w:val="0"/>
          <w:iCs w:val="0"/>
          <w:sz w:val="24"/>
          <w:szCs w:val="24"/>
          <w:shd w:val="clear" w:color="auto" w:fill="FFFFFF"/>
        </w:rPr>
        <w:t xml:space="preserve">расширение необходимой </w:t>
      </w:r>
      <w:r w:rsidR="00184B8B" w:rsidRPr="00387A7B">
        <w:rPr>
          <w:rStyle w:val="af5"/>
          <w:i w:val="0"/>
          <w:iCs w:val="0"/>
          <w:sz w:val="24"/>
          <w:szCs w:val="24"/>
          <w:shd w:val="clear" w:color="auto" w:fill="FFFFFF"/>
        </w:rPr>
        <w:t xml:space="preserve">для </w:t>
      </w:r>
      <w:r w:rsidR="005708ED" w:rsidRPr="00387A7B">
        <w:rPr>
          <w:rStyle w:val="af5"/>
          <w:i w:val="0"/>
          <w:iCs w:val="0"/>
          <w:sz w:val="24"/>
          <w:szCs w:val="24"/>
          <w:shd w:val="clear" w:color="auto" w:fill="FFFFFF"/>
        </w:rPr>
        <w:t>экономик</w:t>
      </w:r>
      <w:r w:rsidR="00184B8B" w:rsidRPr="00387A7B">
        <w:rPr>
          <w:rStyle w:val="af5"/>
          <w:i w:val="0"/>
          <w:iCs w:val="0"/>
          <w:sz w:val="24"/>
          <w:szCs w:val="24"/>
          <w:shd w:val="clear" w:color="auto" w:fill="FFFFFF"/>
        </w:rPr>
        <w:t>и</w:t>
      </w:r>
      <w:r w:rsidR="005708ED" w:rsidRPr="00387A7B">
        <w:rPr>
          <w:rStyle w:val="af5"/>
          <w:i w:val="0"/>
          <w:iCs w:val="0"/>
          <w:sz w:val="24"/>
          <w:szCs w:val="24"/>
          <w:shd w:val="clear" w:color="auto" w:fill="FFFFFF"/>
        </w:rPr>
        <w:t xml:space="preserve"> инфраструктуры, </w:t>
      </w:r>
      <w:r w:rsidR="00184B8B" w:rsidRPr="00387A7B">
        <w:rPr>
          <w:rStyle w:val="af5"/>
          <w:i w:val="0"/>
          <w:iCs w:val="0"/>
          <w:sz w:val="24"/>
          <w:szCs w:val="24"/>
          <w:shd w:val="clear" w:color="auto" w:fill="FFFFFF"/>
        </w:rPr>
        <w:t xml:space="preserve">повышение ее технологического уровня, </w:t>
      </w:r>
      <w:r w:rsidR="00184B8B" w:rsidRPr="00387A7B">
        <w:rPr>
          <w:sz w:val="24"/>
          <w:szCs w:val="24"/>
        </w:rPr>
        <w:t xml:space="preserve">в предстоящем бюджетном цикле обозначены новые приоритетные задачи, среди которых </w:t>
      </w:r>
      <w:r w:rsidR="00184B8B" w:rsidRPr="00387A7B">
        <w:rPr>
          <w:sz w:val="24"/>
          <w:szCs w:val="24"/>
        </w:rPr>
        <w:sym w:font="Symbol" w:char="F0BE"/>
      </w:r>
      <w:r w:rsidR="00184B8B" w:rsidRPr="00387A7B">
        <w:rPr>
          <w:sz w:val="24"/>
          <w:szCs w:val="24"/>
        </w:rPr>
        <w:t xml:space="preserve"> </w:t>
      </w:r>
      <w:r w:rsidR="005708ED" w:rsidRPr="00387A7B">
        <w:rPr>
          <w:rStyle w:val="af5"/>
          <w:i w:val="0"/>
          <w:iCs w:val="0"/>
          <w:sz w:val="24"/>
          <w:szCs w:val="24"/>
          <w:shd w:val="clear" w:color="auto" w:fill="FFFFFF"/>
        </w:rPr>
        <w:t xml:space="preserve">обеспечение безопасности государства и боеготовности вооруженных сил, сохранение финансовой поддержки субъектов Федерации и интеграция новых регионов. </w:t>
      </w:r>
      <w:r w:rsidR="00184B8B" w:rsidRPr="00387A7B">
        <w:rPr>
          <w:rStyle w:val="af5"/>
          <w:i w:val="0"/>
          <w:iCs w:val="0"/>
          <w:sz w:val="24"/>
          <w:szCs w:val="24"/>
          <w:shd w:val="clear" w:color="auto" w:fill="FFFFFF"/>
        </w:rPr>
        <w:t>Все з</w:t>
      </w:r>
      <w:r w:rsidR="005708ED" w:rsidRPr="00387A7B">
        <w:rPr>
          <w:rStyle w:val="af5"/>
          <w:i w:val="0"/>
          <w:iCs w:val="0"/>
          <w:sz w:val="24"/>
          <w:szCs w:val="24"/>
          <w:shd w:val="clear" w:color="auto" w:fill="FFFFFF"/>
        </w:rPr>
        <w:t>аявленные приоритеты нашли отражение в бюджетных проектировках.</w:t>
      </w:r>
    </w:p>
    <w:p w14:paraId="2784840E" w14:textId="3D9BDFFE" w:rsidR="00536F12" w:rsidRPr="00387A7B" w:rsidRDefault="00536F12" w:rsidP="00536F12">
      <w:pPr>
        <w:spacing w:line="360" w:lineRule="auto"/>
        <w:ind w:right="-2" w:firstLine="708"/>
        <w:jc w:val="both"/>
        <w:rPr>
          <w:snapToGrid w:val="0"/>
          <w:sz w:val="24"/>
          <w:szCs w:val="24"/>
        </w:rPr>
      </w:pPr>
      <w:r w:rsidRPr="00387A7B">
        <w:rPr>
          <w:sz w:val="24"/>
          <w:szCs w:val="24"/>
        </w:rPr>
        <w:t xml:space="preserve">Более подробная оценка особенностей и ключевых параметров федерального бюджета </w:t>
      </w:r>
      <w:r w:rsidRPr="00387A7B">
        <w:rPr>
          <w:bCs/>
          <w:sz w:val="24"/>
          <w:szCs w:val="24"/>
        </w:rPr>
        <w:t>на 202</w:t>
      </w:r>
      <w:r w:rsidR="005708ED" w:rsidRPr="00387A7B">
        <w:rPr>
          <w:bCs/>
          <w:sz w:val="24"/>
          <w:szCs w:val="24"/>
        </w:rPr>
        <w:t>3</w:t>
      </w:r>
      <w:r w:rsidRPr="00387A7B">
        <w:rPr>
          <w:bCs/>
          <w:sz w:val="24"/>
          <w:szCs w:val="24"/>
        </w:rPr>
        <w:t xml:space="preserve"> год</w:t>
      </w:r>
      <w:r w:rsidRPr="00387A7B">
        <w:rPr>
          <w:sz w:val="24"/>
          <w:szCs w:val="24"/>
        </w:rPr>
        <w:t xml:space="preserve"> </w:t>
      </w:r>
      <w:r w:rsidRPr="00387A7B">
        <w:rPr>
          <w:bCs/>
          <w:sz w:val="24"/>
          <w:szCs w:val="24"/>
        </w:rPr>
        <w:t>и на плановый период 202</w:t>
      </w:r>
      <w:r w:rsidR="005708ED" w:rsidRPr="00387A7B">
        <w:rPr>
          <w:bCs/>
          <w:sz w:val="24"/>
          <w:szCs w:val="24"/>
        </w:rPr>
        <w:t>4</w:t>
      </w:r>
      <w:r w:rsidRPr="00387A7B">
        <w:rPr>
          <w:bCs/>
          <w:sz w:val="24"/>
          <w:szCs w:val="24"/>
        </w:rPr>
        <w:t xml:space="preserve"> и 202</w:t>
      </w:r>
      <w:r w:rsidR="005708ED" w:rsidRPr="00387A7B">
        <w:rPr>
          <w:bCs/>
          <w:sz w:val="24"/>
          <w:szCs w:val="24"/>
        </w:rPr>
        <w:t>5</w:t>
      </w:r>
      <w:r w:rsidRPr="00387A7B">
        <w:rPr>
          <w:bCs/>
          <w:sz w:val="24"/>
          <w:szCs w:val="24"/>
        </w:rPr>
        <w:t xml:space="preserve"> годов представлена в последующих разделах </w:t>
      </w:r>
      <w:r w:rsidR="00184B8B" w:rsidRPr="00387A7B">
        <w:rPr>
          <w:bCs/>
          <w:sz w:val="24"/>
          <w:szCs w:val="24"/>
        </w:rPr>
        <w:t>з</w:t>
      </w:r>
      <w:r w:rsidRPr="00387A7B">
        <w:rPr>
          <w:bCs/>
          <w:sz w:val="24"/>
          <w:szCs w:val="24"/>
        </w:rPr>
        <w:t xml:space="preserve">аключения. </w:t>
      </w:r>
    </w:p>
    <w:p w14:paraId="24C80741" w14:textId="77777777" w:rsidR="00893030" w:rsidRPr="00387A7B" w:rsidRDefault="00893030" w:rsidP="00893030">
      <w:pPr>
        <w:spacing w:line="360" w:lineRule="auto"/>
        <w:ind w:right="-2"/>
        <w:jc w:val="both"/>
        <w:rPr>
          <w:sz w:val="24"/>
          <w:szCs w:val="24"/>
        </w:rPr>
      </w:pPr>
      <w:r w:rsidRPr="00387A7B">
        <w:rPr>
          <w:snapToGrid w:val="0"/>
          <w:sz w:val="24"/>
          <w:szCs w:val="24"/>
        </w:rPr>
        <w:tab/>
      </w:r>
    </w:p>
    <w:p w14:paraId="498087B3" w14:textId="77777777" w:rsidR="00F042DA" w:rsidRPr="002B4D4D" w:rsidRDefault="00893030" w:rsidP="00F042DA">
      <w:pPr>
        <w:pStyle w:val="aa"/>
        <w:numPr>
          <w:ilvl w:val="0"/>
          <w:numId w:val="37"/>
        </w:numPr>
        <w:spacing w:line="360" w:lineRule="auto"/>
        <w:rPr>
          <w:rFonts w:ascii="Times New Roman" w:hAnsi="Times New Roman"/>
          <w:b/>
          <w:i/>
          <w:iCs/>
          <w:sz w:val="24"/>
          <w:szCs w:val="32"/>
        </w:rPr>
      </w:pPr>
      <w:r w:rsidRPr="00387A7B">
        <w:rPr>
          <w:rFonts w:ascii="Times New Roman" w:hAnsi="Times New Roman"/>
          <w:b/>
          <w:i/>
          <w:sz w:val="24"/>
          <w:szCs w:val="24"/>
        </w:rPr>
        <w:t xml:space="preserve">Анализ ключевых параметров </w:t>
      </w:r>
      <w:r w:rsidR="00544425" w:rsidRPr="00387A7B">
        <w:rPr>
          <w:rFonts w:ascii="Times New Roman" w:hAnsi="Times New Roman"/>
          <w:b/>
          <w:i/>
          <w:sz w:val="24"/>
          <w:szCs w:val="24"/>
        </w:rPr>
        <w:t xml:space="preserve">и рисков </w:t>
      </w:r>
      <w:r w:rsidRPr="00387A7B">
        <w:rPr>
          <w:rFonts w:ascii="Times New Roman" w:hAnsi="Times New Roman"/>
          <w:b/>
          <w:i/>
          <w:sz w:val="24"/>
          <w:szCs w:val="24"/>
        </w:rPr>
        <w:t xml:space="preserve">проекта федерального бюджета </w:t>
      </w:r>
      <w:r w:rsidR="00F042DA" w:rsidRPr="002B4D4D">
        <w:rPr>
          <w:rFonts w:ascii="Times New Roman" w:hAnsi="Times New Roman"/>
          <w:b/>
          <w:i/>
          <w:iCs/>
          <w:sz w:val="24"/>
          <w:szCs w:val="32"/>
        </w:rPr>
        <w:t>на 2023 год и на плановый период 2024 и 2025 годов</w:t>
      </w:r>
    </w:p>
    <w:p w14:paraId="16DFC1D3" w14:textId="79E90C29" w:rsidR="00395905" w:rsidRPr="00387A7B" w:rsidRDefault="002440A2" w:rsidP="002B6F90">
      <w:pPr>
        <w:spacing w:line="360" w:lineRule="auto"/>
        <w:ind w:right="-2" w:firstLine="708"/>
        <w:jc w:val="both"/>
        <w:rPr>
          <w:sz w:val="24"/>
          <w:szCs w:val="24"/>
        </w:rPr>
      </w:pPr>
      <w:r w:rsidRPr="00387A7B">
        <w:rPr>
          <w:sz w:val="24"/>
          <w:szCs w:val="24"/>
          <w:shd w:val="clear" w:color="auto" w:fill="FFFFFF"/>
        </w:rPr>
        <w:t xml:space="preserve">В основе формирования параметров федерального бюджета на </w:t>
      </w:r>
      <w:r w:rsidR="0022729D" w:rsidRPr="00387A7B">
        <w:rPr>
          <w:sz w:val="24"/>
          <w:szCs w:val="24"/>
        </w:rPr>
        <w:t xml:space="preserve">2023–2025 </w:t>
      </w:r>
      <w:r w:rsidRPr="00387A7B">
        <w:rPr>
          <w:sz w:val="24"/>
          <w:szCs w:val="24"/>
          <w:shd w:val="clear" w:color="auto" w:fill="FFFFFF"/>
        </w:rPr>
        <w:t xml:space="preserve">годы в законопроекте лежит </w:t>
      </w:r>
      <w:r w:rsidRPr="00387A7B">
        <w:rPr>
          <w:rFonts w:cs="Arial"/>
          <w:sz w:val="24"/>
          <w:szCs w:val="24"/>
        </w:rPr>
        <w:t>базовый вариант прогноза социально-экономического развития Российской Федерации на 2023 год и на плановый период 2024 и 2025 годов</w:t>
      </w:r>
      <w:r w:rsidR="001130B9" w:rsidRPr="00387A7B">
        <w:rPr>
          <w:rFonts w:cs="Arial"/>
          <w:sz w:val="24"/>
          <w:szCs w:val="24"/>
        </w:rPr>
        <w:t xml:space="preserve">, который </w:t>
      </w:r>
      <w:r w:rsidR="00395905" w:rsidRPr="00387A7B">
        <w:rPr>
          <w:rFonts w:cs="Arial"/>
          <w:sz w:val="24"/>
          <w:szCs w:val="24"/>
        </w:rPr>
        <w:t>предусматривает</w:t>
      </w:r>
      <w:r w:rsidR="00006E5E" w:rsidRPr="00387A7B">
        <w:rPr>
          <w:rFonts w:cs="Arial"/>
          <w:sz w:val="24"/>
          <w:szCs w:val="24"/>
        </w:rPr>
        <w:t xml:space="preserve"> сохранени</w:t>
      </w:r>
      <w:r w:rsidR="00395905" w:rsidRPr="00387A7B">
        <w:rPr>
          <w:rFonts w:cs="Arial"/>
          <w:sz w:val="24"/>
          <w:szCs w:val="24"/>
        </w:rPr>
        <w:t>е</w:t>
      </w:r>
      <w:r w:rsidR="00006E5E" w:rsidRPr="00387A7B">
        <w:rPr>
          <w:rFonts w:cs="Arial"/>
          <w:sz w:val="24"/>
          <w:szCs w:val="24"/>
        </w:rPr>
        <w:t xml:space="preserve"> на протяжении всего прогнозного периода основного перечня ограничительных мер, принятых иностранными государствами в отношении России</w:t>
      </w:r>
      <w:r w:rsidR="002749E3" w:rsidRPr="00387A7B">
        <w:rPr>
          <w:rFonts w:cs="Arial"/>
          <w:sz w:val="24"/>
          <w:szCs w:val="24"/>
        </w:rPr>
        <w:t>.</w:t>
      </w:r>
      <w:r w:rsidR="00AD48BD" w:rsidRPr="00387A7B">
        <w:rPr>
          <w:rFonts w:cs="Arial"/>
          <w:sz w:val="24"/>
          <w:szCs w:val="24"/>
        </w:rPr>
        <w:t xml:space="preserve"> </w:t>
      </w:r>
      <w:r w:rsidR="00395905" w:rsidRPr="00387A7B">
        <w:rPr>
          <w:rFonts w:cs="Arial"/>
          <w:sz w:val="24"/>
          <w:szCs w:val="24"/>
        </w:rPr>
        <w:t xml:space="preserve">В этой связи </w:t>
      </w:r>
      <w:r w:rsidR="00A24E67" w:rsidRPr="00387A7B">
        <w:rPr>
          <w:rFonts w:cs="Arial"/>
          <w:sz w:val="24"/>
          <w:szCs w:val="24"/>
        </w:rPr>
        <w:t>прогноз</w:t>
      </w:r>
      <w:r w:rsidR="00395905" w:rsidRPr="00387A7B">
        <w:rPr>
          <w:sz w:val="24"/>
          <w:szCs w:val="24"/>
        </w:rPr>
        <w:t xml:space="preserve"> параметров федерального бюджета </w:t>
      </w:r>
      <w:r w:rsidR="00A24E67" w:rsidRPr="00387A7B">
        <w:rPr>
          <w:sz w:val="24"/>
          <w:szCs w:val="24"/>
        </w:rPr>
        <w:t xml:space="preserve">в законопроекте </w:t>
      </w:r>
      <w:r w:rsidR="00395905" w:rsidRPr="00387A7B">
        <w:rPr>
          <w:sz w:val="24"/>
          <w:szCs w:val="24"/>
        </w:rPr>
        <w:t xml:space="preserve">основан, с одной стороны, на скорректированных в </w:t>
      </w:r>
      <w:r w:rsidR="00395905" w:rsidRPr="00672516">
        <w:rPr>
          <w:sz w:val="24"/>
          <w:szCs w:val="24"/>
        </w:rPr>
        <w:t xml:space="preserve">сторону </w:t>
      </w:r>
      <w:r w:rsidR="001733C9" w:rsidRPr="00672516">
        <w:rPr>
          <w:sz w:val="24"/>
          <w:szCs w:val="24"/>
        </w:rPr>
        <w:t xml:space="preserve">снижения </w:t>
      </w:r>
      <w:r w:rsidR="00395905" w:rsidRPr="00387A7B">
        <w:rPr>
          <w:sz w:val="24"/>
          <w:szCs w:val="24"/>
        </w:rPr>
        <w:t>показател</w:t>
      </w:r>
      <w:r w:rsidR="00672516">
        <w:rPr>
          <w:sz w:val="24"/>
          <w:szCs w:val="24"/>
        </w:rPr>
        <w:t>ей</w:t>
      </w:r>
      <w:r w:rsidR="00395905" w:rsidRPr="00387A7B">
        <w:rPr>
          <w:sz w:val="24"/>
          <w:szCs w:val="24"/>
        </w:rPr>
        <w:t xml:space="preserve"> экспортно-импортных операций, а также объемов добычи нефти и газа в 2023 и 2024 годы в сравнении с утвержденными в эти периоды их значениями в </w:t>
      </w:r>
      <w:r w:rsidR="00395905" w:rsidRPr="00387A7B">
        <w:rPr>
          <w:sz w:val="24"/>
          <w:szCs w:val="24"/>
        </w:rPr>
        <w:lastRenderedPageBreak/>
        <w:t xml:space="preserve">Федеральном законе № 390-ФЗ от 06.12.2021 г. ввиду вступления в силу с конца 2022 – начала 2023 годов новых </w:t>
      </w:r>
      <w:r w:rsidR="00395905" w:rsidRPr="00387A7B">
        <w:rPr>
          <w:iCs/>
          <w:sz w:val="24"/>
          <w:szCs w:val="24"/>
        </w:rPr>
        <w:t>санкционных ограничений на экспорт</w:t>
      </w:r>
      <w:r w:rsidR="00395905" w:rsidRPr="00387A7B">
        <w:rPr>
          <w:i/>
          <w:sz w:val="24"/>
          <w:szCs w:val="24"/>
        </w:rPr>
        <w:t xml:space="preserve"> </w:t>
      </w:r>
      <w:r w:rsidR="00395905" w:rsidRPr="00387A7B">
        <w:rPr>
          <w:sz w:val="24"/>
          <w:szCs w:val="24"/>
        </w:rPr>
        <w:t>углеводородов</w:t>
      </w:r>
      <w:r w:rsidR="00395905" w:rsidRPr="00387A7B">
        <w:rPr>
          <w:iCs/>
          <w:sz w:val="24"/>
          <w:szCs w:val="24"/>
        </w:rPr>
        <w:t xml:space="preserve"> и ограниченных возможностей по оперативной переориентации значительных объемов экспортных поставок;</w:t>
      </w:r>
      <w:r w:rsidR="00395905" w:rsidRPr="00387A7B">
        <w:rPr>
          <w:sz w:val="24"/>
          <w:szCs w:val="24"/>
        </w:rPr>
        <w:t xml:space="preserve"> с другой – на более оптимистичных ценовых конъюнктурных факторах по причине сжатия предложения на рынке углеводородов в совокупности с ограничивающим предложение нефти решением ОПЕК+ о сдержанном повышении добычи, не обеспечивающим полного замещения выпадающих российских поставок, а также на более высоких в номинальном выражении показателях внутреннего развития российской экономики. </w:t>
      </w:r>
    </w:p>
    <w:p w14:paraId="6F4686AA" w14:textId="27AFFF51" w:rsidR="00395905" w:rsidRPr="00387A7B" w:rsidRDefault="00395905" w:rsidP="002B6F90">
      <w:pPr>
        <w:spacing w:line="360" w:lineRule="auto"/>
        <w:ind w:right="-2" w:firstLine="708"/>
        <w:jc w:val="both"/>
        <w:rPr>
          <w:rFonts w:cs="Arial"/>
          <w:sz w:val="24"/>
          <w:szCs w:val="24"/>
        </w:rPr>
      </w:pPr>
      <w:r w:rsidRPr="00672516">
        <w:rPr>
          <w:rFonts w:cs="Arial"/>
          <w:sz w:val="24"/>
          <w:szCs w:val="24"/>
        </w:rPr>
        <w:t>Разнонаправленная динамика</w:t>
      </w:r>
      <w:r w:rsidRPr="00387A7B">
        <w:rPr>
          <w:rFonts w:cs="Arial"/>
          <w:sz w:val="24"/>
          <w:szCs w:val="24"/>
        </w:rPr>
        <w:t xml:space="preserve"> </w:t>
      </w:r>
      <w:r w:rsidR="00672516">
        <w:rPr>
          <w:rFonts w:cs="Arial"/>
          <w:sz w:val="24"/>
          <w:szCs w:val="24"/>
        </w:rPr>
        <w:t xml:space="preserve">макроэкономических показателей </w:t>
      </w:r>
      <w:r w:rsidRPr="00387A7B">
        <w:rPr>
          <w:rFonts w:cs="Arial"/>
          <w:sz w:val="24"/>
          <w:szCs w:val="24"/>
        </w:rPr>
        <w:t xml:space="preserve">формирования параметров федерального бюджета обуславливает одновременно </w:t>
      </w:r>
      <w:r w:rsidR="006810A8" w:rsidRPr="00387A7B">
        <w:rPr>
          <w:rFonts w:cs="Arial"/>
          <w:sz w:val="24"/>
          <w:szCs w:val="24"/>
        </w:rPr>
        <w:t>как возможность получения д</w:t>
      </w:r>
      <w:r w:rsidRPr="00387A7B">
        <w:rPr>
          <w:rFonts w:cs="Arial"/>
          <w:sz w:val="24"/>
          <w:szCs w:val="24"/>
        </w:rPr>
        <w:t>ополнительных доходов</w:t>
      </w:r>
      <w:r w:rsidR="006810A8" w:rsidRPr="00387A7B">
        <w:rPr>
          <w:rFonts w:cs="Arial"/>
          <w:sz w:val="24"/>
          <w:szCs w:val="24"/>
        </w:rPr>
        <w:t>, прежде всего, ненефтегазовых</w:t>
      </w:r>
      <w:r w:rsidRPr="00387A7B">
        <w:rPr>
          <w:rFonts w:cs="Arial"/>
          <w:sz w:val="24"/>
          <w:szCs w:val="24"/>
        </w:rPr>
        <w:t xml:space="preserve"> </w:t>
      </w:r>
      <w:r w:rsidR="006810A8" w:rsidRPr="00387A7B">
        <w:rPr>
          <w:rFonts w:cs="Arial"/>
          <w:sz w:val="24"/>
          <w:szCs w:val="24"/>
        </w:rPr>
        <w:t>(за счет опережающего роста номинальных показателей ВВП, прибыли прибыльных организаций, фонда оплаты труда в сравнении с их ожидаемыми значениями в 2022 году), так и вероятность возможного выпадения</w:t>
      </w:r>
      <w:r w:rsidR="00A24E67" w:rsidRPr="00387A7B">
        <w:rPr>
          <w:rFonts w:cs="Arial"/>
          <w:sz w:val="24"/>
          <w:szCs w:val="24"/>
        </w:rPr>
        <w:t xml:space="preserve"> доходов</w:t>
      </w:r>
      <w:r w:rsidR="006810A8" w:rsidRPr="00387A7B">
        <w:rPr>
          <w:rFonts w:cs="Arial"/>
          <w:sz w:val="24"/>
          <w:szCs w:val="24"/>
        </w:rPr>
        <w:t xml:space="preserve">, прежде всего, - нефтегазовых (за счет сокращения объемов добычи и экспорта углеводородов, укрепления курса рубля к доллару). </w:t>
      </w:r>
    </w:p>
    <w:p w14:paraId="2BE6B315" w14:textId="50D97D20" w:rsidR="002B6F90" w:rsidRPr="00387A7B" w:rsidRDefault="00A24E67" w:rsidP="002B6F90">
      <w:pPr>
        <w:spacing w:line="360" w:lineRule="auto"/>
        <w:ind w:right="-2" w:firstLine="708"/>
        <w:jc w:val="both"/>
        <w:rPr>
          <w:sz w:val="24"/>
          <w:szCs w:val="24"/>
        </w:rPr>
      </w:pPr>
      <w:r w:rsidRPr="00387A7B">
        <w:rPr>
          <w:rFonts w:cs="Arial"/>
          <w:sz w:val="24"/>
          <w:szCs w:val="24"/>
        </w:rPr>
        <w:t>В этой связи для обеспечения сбалансированности федерального бюджета законопроект</w:t>
      </w:r>
      <w:r w:rsidR="00AD48BD" w:rsidRPr="00387A7B">
        <w:rPr>
          <w:rFonts w:cs="Arial"/>
          <w:sz w:val="24"/>
          <w:szCs w:val="24"/>
        </w:rPr>
        <w:t xml:space="preserve"> предусма</w:t>
      </w:r>
      <w:r w:rsidR="0022729D" w:rsidRPr="00387A7B">
        <w:rPr>
          <w:rFonts w:cs="Arial"/>
          <w:sz w:val="24"/>
          <w:szCs w:val="24"/>
        </w:rPr>
        <w:t>т</w:t>
      </w:r>
      <w:r w:rsidR="00AD48BD" w:rsidRPr="00387A7B">
        <w:rPr>
          <w:rFonts w:cs="Arial"/>
          <w:sz w:val="24"/>
          <w:szCs w:val="24"/>
        </w:rPr>
        <w:t xml:space="preserve">ривает </w:t>
      </w:r>
      <w:r w:rsidRPr="00387A7B">
        <w:rPr>
          <w:rFonts w:cs="Arial"/>
          <w:sz w:val="24"/>
          <w:szCs w:val="24"/>
        </w:rPr>
        <w:t xml:space="preserve">корректировку </w:t>
      </w:r>
      <w:r w:rsidR="00AD48BD" w:rsidRPr="00387A7B">
        <w:rPr>
          <w:rFonts w:cs="Arial"/>
          <w:sz w:val="24"/>
          <w:szCs w:val="24"/>
        </w:rPr>
        <w:t xml:space="preserve">«бюджетных правил» и реализацию </w:t>
      </w:r>
      <w:proofErr w:type="spellStart"/>
      <w:r w:rsidR="0022729D" w:rsidRPr="00387A7B">
        <w:rPr>
          <w:sz w:val="24"/>
          <w:szCs w:val="24"/>
        </w:rPr>
        <w:t>контр</w:t>
      </w:r>
      <w:r w:rsidRPr="00387A7B">
        <w:rPr>
          <w:sz w:val="24"/>
          <w:szCs w:val="24"/>
        </w:rPr>
        <w:t>-</w:t>
      </w:r>
      <w:r w:rsidR="0022729D" w:rsidRPr="00387A7B">
        <w:rPr>
          <w:sz w:val="24"/>
          <w:szCs w:val="24"/>
        </w:rPr>
        <w:t>циклических</w:t>
      </w:r>
      <w:proofErr w:type="spellEnd"/>
      <w:r w:rsidR="001932B3" w:rsidRPr="00387A7B">
        <w:rPr>
          <w:sz w:val="24"/>
          <w:szCs w:val="24"/>
        </w:rPr>
        <w:t xml:space="preserve"> мер</w:t>
      </w:r>
      <w:r w:rsidR="001932B3" w:rsidRPr="00387A7B">
        <w:rPr>
          <w:i/>
          <w:iCs/>
          <w:sz w:val="24"/>
          <w:szCs w:val="24"/>
        </w:rPr>
        <w:t xml:space="preserve"> </w:t>
      </w:r>
      <w:r w:rsidR="001932B3" w:rsidRPr="00387A7B">
        <w:rPr>
          <w:sz w:val="24"/>
          <w:szCs w:val="24"/>
        </w:rPr>
        <w:t xml:space="preserve">по обеспечению финансовой стабильности </w:t>
      </w:r>
      <w:r w:rsidR="00AD48BD" w:rsidRPr="00387A7B">
        <w:rPr>
          <w:sz w:val="24"/>
          <w:szCs w:val="24"/>
        </w:rPr>
        <w:t xml:space="preserve">и </w:t>
      </w:r>
      <w:r w:rsidR="001932B3" w:rsidRPr="00387A7B">
        <w:rPr>
          <w:sz w:val="24"/>
          <w:szCs w:val="24"/>
        </w:rPr>
        <w:t>содействию адаптации российской экономики к отмеченным выше</w:t>
      </w:r>
      <w:r w:rsidRPr="00387A7B">
        <w:rPr>
          <w:sz w:val="24"/>
          <w:szCs w:val="24"/>
        </w:rPr>
        <w:t xml:space="preserve"> негативным</w:t>
      </w:r>
      <w:r w:rsidR="001932B3" w:rsidRPr="00387A7B">
        <w:rPr>
          <w:sz w:val="24"/>
          <w:szCs w:val="24"/>
        </w:rPr>
        <w:t xml:space="preserve"> условиям. </w:t>
      </w:r>
      <w:bookmarkStart w:id="2" w:name="_Hlk84233538"/>
    </w:p>
    <w:p w14:paraId="16673653" w14:textId="65090D1E" w:rsidR="00AD48BD" w:rsidRPr="00387A7B" w:rsidRDefault="002B6F90" w:rsidP="002B6F90">
      <w:pPr>
        <w:spacing w:line="360" w:lineRule="auto"/>
        <w:ind w:right="-2" w:firstLine="708"/>
        <w:jc w:val="both"/>
        <w:rPr>
          <w:sz w:val="24"/>
          <w:szCs w:val="24"/>
        </w:rPr>
      </w:pPr>
      <w:r w:rsidRPr="00387A7B">
        <w:rPr>
          <w:sz w:val="24"/>
          <w:szCs w:val="24"/>
        </w:rPr>
        <w:t xml:space="preserve">Оценка </w:t>
      </w:r>
      <w:r w:rsidR="00AD48BD" w:rsidRPr="00387A7B">
        <w:rPr>
          <w:sz w:val="24"/>
          <w:szCs w:val="24"/>
        </w:rPr>
        <w:t xml:space="preserve">конструкции </w:t>
      </w:r>
      <w:r w:rsidR="0022729D" w:rsidRPr="00387A7B">
        <w:rPr>
          <w:sz w:val="24"/>
          <w:szCs w:val="24"/>
        </w:rPr>
        <w:t xml:space="preserve">и параметров проекта </w:t>
      </w:r>
      <w:r w:rsidR="00AD48BD" w:rsidRPr="00387A7B">
        <w:rPr>
          <w:sz w:val="24"/>
          <w:szCs w:val="24"/>
        </w:rPr>
        <w:t xml:space="preserve">федерального бюджета </w:t>
      </w:r>
      <w:r w:rsidR="0022729D" w:rsidRPr="00387A7B">
        <w:rPr>
          <w:sz w:val="24"/>
          <w:szCs w:val="24"/>
        </w:rPr>
        <w:t>в</w:t>
      </w:r>
      <w:r w:rsidR="00AD48BD" w:rsidRPr="00387A7B">
        <w:rPr>
          <w:sz w:val="24"/>
          <w:szCs w:val="24"/>
        </w:rPr>
        <w:t xml:space="preserve"> </w:t>
      </w:r>
      <w:r w:rsidR="0022729D" w:rsidRPr="00387A7B">
        <w:rPr>
          <w:sz w:val="24"/>
          <w:szCs w:val="24"/>
        </w:rPr>
        <w:t>2023–2025</w:t>
      </w:r>
      <w:r w:rsidR="00AD48BD" w:rsidRPr="00387A7B">
        <w:rPr>
          <w:sz w:val="24"/>
          <w:szCs w:val="24"/>
        </w:rPr>
        <w:t xml:space="preserve"> г</w:t>
      </w:r>
      <w:r w:rsidR="0022729D" w:rsidRPr="00387A7B">
        <w:rPr>
          <w:sz w:val="24"/>
          <w:szCs w:val="24"/>
        </w:rPr>
        <w:t xml:space="preserve">оды позволила выявить </w:t>
      </w:r>
      <w:r w:rsidR="00AD48BD" w:rsidRPr="00387A7B">
        <w:rPr>
          <w:sz w:val="24"/>
          <w:szCs w:val="24"/>
        </w:rPr>
        <w:t>следующи</w:t>
      </w:r>
      <w:r w:rsidR="0022729D" w:rsidRPr="00387A7B">
        <w:rPr>
          <w:sz w:val="24"/>
          <w:szCs w:val="24"/>
        </w:rPr>
        <w:t>е их особенности</w:t>
      </w:r>
      <w:r w:rsidR="00AD48BD" w:rsidRPr="00387A7B">
        <w:rPr>
          <w:sz w:val="24"/>
          <w:szCs w:val="24"/>
        </w:rPr>
        <w:t>.</w:t>
      </w:r>
    </w:p>
    <w:p w14:paraId="4FE36E8E" w14:textId="25E290E8" w:rsidR="00AE1FFD" w:rsidRPr="00387A7B" w:rsidRDefault="00A24E67" w:rsidP="00735A54">
      <w:pPr>
        <w:pStyle w:val="aa"/>
        <w:numPr>
          <w:ilvl w:val="0"/>
          <w:numId w:val="30"/>
        </w:numPr>
        <w:spacing w:line="360" w:lineRule="auto"/>
        <w:ind w:left="0" w:firstLine="709"/>
        <w:jc w:val="both"/>
        <w:rPr>
          <w:rFonts w:ascii="Times New Roman" w:hAnsi="Times New Roman"/>
          <w:sz w:val="24"/>
          <w:szCs w:val="24"/>
        </w:rPr>
      </w:pPr>
      <w:r w:rsidRPr="00B713CE">
        <w:rPr>
          <w:rFonts w:ascii="Times New Roman" w:hAnsi="Times New Roman"/>
          <w:i/>
          <w:iCs/>
          <w:sz w:val="24"/>
          <w:szCs w:val="24"/>
        </w:rPr>
        <w:t xml:space="preserve">Сокращение параметров федерального бюджета в относительном </w:t>
      </w:r>
      <w:r w:rsidR="00E85F19" w:rsidRPr="00B713CE">
        <w:rPr>
          <w:rFonts w:ascii="Times New Roman" w:hAnsi="Times New Roman"/>
          <w:i/>
          <w:iCs/>
          <w:sz w:val="24"/>
          <w:szCs w:val="24"/>
        </w:rPr>
        <w:t xml:space="preserve">и в реальном </w:t>
      </w:r>
      <w:r w:rsidRPr="00B713CE">
        <w:rPr>
          <w:rFonts w:ascii="Times New Roman" w:hAnsi="Times New Roman"/>
          <w:i/>
          <w:iCs/>
          <w:sz w:val="24"/>
          <w:szCs w:val="24"/>
        </w:rPr>
        <w:t>выражении с учетом переоценки текущей макроэкономической ситуации</w:t>
      </w:r>
      <w:r w:rsidRPr="00387A7B">
        <w:rPr>
          <w:rFonts w:ascii="Times New Roman" w:hAnsi="Times New Roman"/>
          <w:sz w:val="24"/>
          <w:szCs w:val="24"/>
        </w:rPr>
        <w:t>. Взятый за основу вариант прогноза предполагает снижение</w:t>
      </w:r>
      <w:r w:rsidRPr="00387A7B">
        <w:rPr>
          <w:rFonts w:ascii="Times New Roman" w:hAnsi="Times New Roman"/>
          <w:sz w:val="24"/>
          <w:szCs w:val="24"/>
          <w:shd w:val="clear" w:color="auto" w:fill="FFFFFF"/>
        </w:rPr>
        <w:t xml:space="preserve"> доходов федерального бюджета за три года на </w:t>
      </w:r>
      <w:r w:rsidR="00D902DC" w:rsidRPr="00387A7B">
        <w:rPr>
          <w:rFonts w:ascii="Times New Roman" w:hAnsi="Times New Roman"/>
          <w:sz w:val="24"/>
          <w:szCs w:val="24"/>
          <w:shd w:val="clear" w:color="auto" w:fill="FFFFFF"/>
        </w:rPr>
        <w:t>2,6</w:t>
      </w:r>
      <w:r w:rsidRPr="00387A7B">
        <w:rPr>
          <w:rFonts w:ascii="Times New Roman" w:hAnsi="Times New Roman"/>
          <w:sz w:val="24"/>
          <w:szCs w:val="24"/>
          <w:shd w:val="clear" w:color="auto" w:fill="FFFFFF"/>
        </w:rPr>
        <w:t xml:space="preserve"> процент</w:t>
      </w:r>
      <w:r w:rsidR="00D902DC" w:rsidRPr="00387A7B">
        <w:rPr>
          <w:rFonts w:ascii="Times New Roman" w:hAnsi="Times New Roman"/>
          <w:sz w:val="24"/>
          <w:szCs w:val="24"/>
          <w:shd w:val="clear" w:color="auto" w:fill="FFFFFF"/>
        </w:rPr>
        <w:t>ов относительно ВВП</w:t>
      </w:r>
      <w:r w:rsidR="00564048" w:rsidRPr="00387A7B">
        <w:rPr>
          <w:rFonts w:ascii="Times New Roman" w:hAnsi="Times New Roman"/>
          <w:sz w:val="24"/>
          <w:szCs w:val="24"/>
          <w:shd w:val="clear" w:color="auto" w:fill="FFFFFF"/>
        </w:rPr>
        <w:t xml:space="preserve"> к их уровню в 2022 году</w:t>
      </w:r>
      <w:r w:rsidR="00D902DC" w:rsidRPr="00387A7B">
        <w:rPr>
          <w:rFonts w:ascii="Times New Roman" w:hAnsi="Times New Roman"/>
          <w:sz w:val="24"/>
          <w:szCs w:val="24"/>
          <w:shd w:val="clear" w:color="auto" w:fill="FFFFFF"/>
        </w:rPr>
        <w:t>, а</w:t>
      </w:r>
      <w:r w:rsidRPr="00387A7B">
        <w:rPr>
          <w:rFonts w:ascii="Times New Roman" w:hAnsi="Times New Roman"/>
          <w:sz w:val="24"/>
          <w:szCs w:val="24"/>
          <w:shd w:val="clear" w:color="auto" w:fill="FFFFFF"/>
        </w:rPr>
        <w:t xml:space="preserve"> расходов</w:t>
      </w:r>
      <w:r w:rsidR="00E85F19" w:rsidRPr="00387A7B">
        <w:rPr>
          <w:rFonts w:ascii="Times New Roman" w:hAnsi="Times New Roman"/>
          <w:sz w:val="24"/>
          <w:szCs w:val="24"/>
          <w:shd w:val="clear" w:color="auto" w:fill="FFFFFF"/>
        </w:rPr>
        <w:t xml:space="preserve"> - </w:t>
      </w:r>
      <w:r w:rsidRPr="00387A7B">
        <w:rPr>
          <w:rFonts w:ascii="Times New Roman" w:hAnsi="Times New Roman"/>
          <w:sz w:val="24"/>
          <w:szCs w:val="24"/>
          <w:shd w:val="clear" w:color="auto" w:fill="FFFFFF"/>
        </w:rPr>
        <w:t xml:space="preserve">на </w:t>
      </w:r>
      <w:r w:rsidR="00D902DC" w:rsidRPr="00387A7B">
        <w:rPr>
          <w:rFonts w:ascii="Times New Roman" w:hAnsi="Times New Roman"/>
          <w:sz w:val="24"/>
          <w:szCs w:val="24"/>
          <w:shd w:val="clear" w:color="auto" w:fill="FFFFFF"/>
        </w:rPr>
        <w:t>2,8 процентов к ВВП</w:t>
      </w:r>
      <w:r w:rsidR="00E85F19" w:rsidRPr="00387A7B">
        <w:rPr>
          <w:rFonts w:ascii="Times New Roman" w:hAnsi="Times New Roman"/>
          <w:sz w:val="24"/>
          <w:szCs w:val="24"/>
          <w:shd w:val="clear" w:color="auto" w:fill="FFFFFF"/>
        </w:rPr>
        <w:t xml:space="preserve">, </w:t>
      </w:r>
      <w:r w:rsidR="00F042DA" w:rsidRPr="00387A7B">
        <w:rPr>
          <w:rFonts w:ascii="Times New Roman" w:hAnsi="Times New Roman"/>
          <w:sz w:val="24"/>
          <w:szCs w:val="24"/>
          <w:shd w:val="clear" w:color="auto" w:fill="FFFFFF"/>
        </w:rPr>
        <w:t>т.е.</w:t>
      </w:r>
      <w:r w:rsidR="00E85F19" w:rsidRPr="00387A7B">
        <w:rPr>
          <w:rFonts w:ascii="Times New Roman" w:hAnsi="Times New Roman"/>
          <w:sz w:val="24"/>
          <w:szCs w:val="24"/>
          <w:shd w:val="clear" w:color="auto" w:fill="FFFFFF"/>
        </w:rPr>
        <w:t xml:space="preserve"> расходы сокращаются быстрее доходов</w:t>
      </w:r>
      <w:r w:rsidRPr="00387A7B">
        <w:rPr>
          <w:rFonts w:ascii="Times New Roman" w:hAnsi="Times New Roman"/>
          <w:sz w:val="24"/>
          <w:szCs w:val="24"/>
          <w:shd w:val="clear" w:color="auto" w:fill="FFFFFF"/>
        </w:rPr>
        <w:t xml:space="preserve"> (</w:t>
      </w:r>
      <w:r w:rsidR="00D902DC" w:rsidRPr="00387A7B">
        <w:rPr>
          <w:rFonts w:ascii="Times New Roman" w:hAnsi="Times New Roman"/>
          <w:sz w:val="24"/>
          <w:szCs w:val="24"/>
          <w:shd w:val="clear" w:color="auto" w:fill="FFFFFF"/>
        </w:rPr>
        <w:t xml:space="preserve">Рис. </w:t>
      </w:r>
      <w:r w:rsidR="00387A7B">
        <w:rPr>
          <w:rFonts w:ascii="Times New Roman" w:hAnsi="Times New Roman"/>
          <w:sz w:val="24"/>
          <w:szCs w:val="24"/>
          <w:shd w:val="clear" w:color="auto" w:fill="FFFFFF"/>
        </w:rPr>
        <w:t>1</w:t>
      </w:r>
      <w:r w:rsidRPr="00387A7B">
        <w:rPr>
          <w:rFonts w:ascii="Times New Roman" w:hAnsi="Times New Roman"/>
          <w:sz w:val="24"/>
          <w:szCs w:val="24"/>
          <w:shd w:val="clear" w:color="auto" w:fill="FFFFFF"/>
        </w:rPr>
        <w:t>)</w:t>
      </w:r>
      <w:r w:rsidR="00E85F19" w:rsidRPr="00387A7B">
        <w:rPr>
          <w:rFonts w:ascii="Times New Roman" w:hAnsi="Times New Roman"/>
          <w:sz w:val="24"/>
          <w:szCs w:val="24"/>
          <w:shd w:val="clear" w:color="auto" w:fill="FFFFFF"/>
        </w:rPr>
        <w:t>.</w:t>
      </w:r>
      <w:r w:rsidR="00564048" w:rsidRPr="00387A7B">
        <w:rPr>
          <w:rFonts w:ascii="Times New Roman" w:hAnsi="Times New Roman"/>
          <w:sz w:val="24"/>
          <w:szCs w:val="24"/>
          <w:shd w:val="clear" w:color="auto" w:fill="FFFFFF"/>
        </w:rPr>
        <w:t xml:space="preserve"> </w:t>
      </w:r>
      <w:r w:rsidR="00E85F19" w:rsidRPr="00387A7B">
        <w:rPr>
          <w:rFonts w:ascii="Times New Roman" w:hAnsi="Times New Roman"/>
          <w:sz w:val="24"/>
          <w:szCs w:val="24"/>
        </w:rPr>
        <w:t>Н</w:t>
      </w:r>
      <w:r w:rsidRPr="00387A7B">
        <w:rPr>
          <w:rFonts w:ascii="Times New Roman" w:hAnsi="Times New Roman"/>
          <w:sz w:val="24"/>
          <w:szCs w:val="24"/>
        </w:rPr>
        <w:t xml:space="preserve">акопленная в течение 2023–2025 годов динамика роста как доходов, так и расходов </w:t>
      </w:r>
      <w:r w:rsidR="00AF3225" w:rsidRPr="00387A7B">
        <w:rPr>
          <w:rFonts w:ascii="Times New Roman" w:hAnsi="Times New Roman"/>
          <w:sz w:val="24"/>
          <w:szCs w:val="24"/>
        </w:rPr>
        <w:t xml:space="preserve">свидетельствует о том, что </w:t>
      </w:r>
      <w:r w:rsidR="00AE1FFD" w:rsidRPr="00387A7B">
        <w:rPr>
          <w:rFonts w:ascii="Times New Roman" w:hAnsi="Times New Roman"/>
          <w:sz w:val="24"/>
          <w:szCs w:val="24"/>
        </w:rPr>
        <w:t xml:space="preserve">в номинальном выражении </w:t>
      </w:r>
      <w:r w:rsidR="00AF3225" w:rsidRPr="00387A7B">
        <w:rPr>
          <w:rFonts w:ascii="Times New Roman" w:hAnsi="Times New Roman"/>
          <w:sz w:val="24"/>
          <w:szCs w:val="24"/>
        </w:rPr>
        <w:t xml:space="preserve">они останутся примерно на уровне 2022 года. </w:t>
      </w:r>
      <w:r w:rsidR="00E85F19" w:rsidRPr="00387A7B">
        <w:rPr>
          <w:rFonts w:ascii="Times New Roman" w:hAnsi="Times New Roman"/>
          <w:sz w:val="24"/>
          <w:szCs w:val="24"/>
        </w:rPr>
        <w:t>В</w:t>
      </w:r>
      <w:r w:rsidR="00AF3225" w:rsidRPr="00387A7B">
        <w:rPr>
          <w:rFonts w:ascii="Times New Roman" w:hAnsi="Times New Roman"/>
          <w:sz w:val="24"/>
          <w:szCs w:val="24"/>
        </w:rPr>
        <w:t xml:space="preserve"> реальном </w:t>
      </w:r>
      <w:r w:rsidR="00AE1FFD" w:rsidRPr="00387A7B">
        <w:rPr>
          <w:rFonts w:ascii="Times New Roman" w:hAnsi="Times New Roman"/>
          <w:sz w:val="24"/>
          <w:szCs w:val="24"/>
        </w:rPr>
        <w:t xml:space="preserve">выражении </w:t>
      </w:r>
      <w:r w:rsidR="00246978" w:rsidRPr="00387A7B">
        <w:rPr>
          <w:rFonts w:ascii="Times New Roman" w:hAnsi="Times New Roman"/>
          <w:sz w:val="24"/>
          <w:szCs w:val="24"/>
        </w:rPr>
        <w:t xml:space="preserve">с учетом </w:t>
      </w:r>
      <w:r w:rsidR="00E85F19" w:rsidRPr="00387A7B">
        <w:rPr>
          <w:rFonts w:ascii="Times New Roman" w:hAnsi="Times New Roman"/>
          <w:sz w:val="24"/>
          <w:szCs w:val="24"/>
        </w:rPr>
        <w:t>суммарного за 3 года роста</w:t>
      </w:r>
      <w:r w:rsidR="00246978" w:rsidRPr="00387A7B">
        <w:rPr>
          <w:rFonts w:ascii="Times New Roman" w:hAnsi="Times New Roman"/>
          <w:sz w:val="24"/>
          <w:szCs w:val="24"/>
        </w:rPr>
        <w:t xml:space="preserve"> </w:t>
      </w:r>
      <w:r w:rsidR="00AE1FFD" w:rsidRPr="00387A7B">
        <w:rPr>
          <w:rFonts w:ascii="Times New Roman" w:hAnsi="Times New Roman"/>
          <w:sz w:val="24"/>
          <w:szCs w:val="24"/>
        </w:rPr>
        <w:t xml:space="preserve">инфляции (более 14 процентов) </w:t>
      </w:r>
      <w:r w:rsidR="00AF3225" w:rsidRPr="00387A7B">
        <w:rPr>
          <w:rFonts w:ascii="Times New Roman" w:hAnsi="Times New Roman"/>
          <w:sz w:val="24"/>
          <w:szCs w:val="24"/>
        </w:rPr>
        <w:t xml:space="preserve">расходы федерального бюджета </w:t>
      </w:r>
      <w:r w:rsidR="00E85F19" w:rsidRPr="00387A7B">
        <w:rPr>
          <w:rFonts w:ascii="Times New Roman" w:hAnsi="Times New Roman"/>
          <w:sz w:val="24"/>
          <w:szCs w:val="24"/>
        </w:rPr>
        <w:t xml:space="preserve">за </w:t>
      </w:r>
      <w:r w:rsidR="00E85F19" w:rsidRPr="00387A7B">
        <w:rPr>
          <w:rFonts w:ascii="Times New Roman" w:hAnsi="Times New Roman"/>
          <w:sz w:val="24"/>
          <w:szCs w:val="24"/>
        </w:rPr>
        <w:lastRenderedPageBreak/>
        <w:t xml:space="preserve">2023–2025 годы </w:t>
      </w:r>
      <w:r w:rsidR="00AF3225" w:rsidRPr="00387A7B">
        <w:rPr>
          <w:rFonts w:ascii="Times New Roman" w:hAnsi="Times New Roman"/>
          <w:sz w:val="24"/>
          <w:szCs w:val="24"/>
        </w:rPr>
        <w:t xml:space="preserve">снизятся больше, </w:t>
      </w:r>
      <w:r w:rsidR="00E85F19" w:rsidRPr="00387A7B">
        <w:rPr>
          <w:rFonts w:ascii="Times New Roman" w:hAnsi="Times New Roman"/>
          <w:noProof/>
          <w:lang w:eastAsia="ru-RU"/>
        </w:rPr>
        <w:drawing>
          <wp:anchor distT="0" distB="0" distL="114300" distR="114300" simplePos="0" relativeHeight="251663360" behindDoc="0" locked="0" layoutInCell="1" allowOverlap="1" wp14:anchorId="1A914C7B" wp14:editId="691AE78F">
            <wp:simplePos x="0" y="0"/>
            <wp:positionH relativeFrom="margin">
              <wp:posOffset>474345</wp:posOffset>
            </wp:positionH>
            <wp:positionV relativeFrom="paragraph">
              <wp:posOffset>650240</wp:posOffset>
            </wp:positionV>
            <wp:extent cx="5280660" cy="2430780"/>
            <wp:effectExtent l="0" t="0" r="15240" b="7620"/>
            <wp:wrapThrough wrapText="bothSides">
              <wp:wrapPolygon edited="0">
                <wp:start x="0" y="0"/>
                <wp:lineTo x="0" y="21498"/>
                <wp:lineTo x="21584" y="21498"/>
                <wp:lineTo x="21584" y="0"/>
                <wp:lineTo x="0" y="0"/>
              </wp:wrapPolygon>
            </wp:wrapThrough>
            <wp:docPr id="3" name="Диаграмма 3">
              <a:extLst xmlns:a="http://schemas.openxmlformats.org/drawingml/2006/main">
                <a:ext uri="{FF2B5EF4-FFF2-40B4-BE49-F238E27FC236}">
                  <a16:creationId xmlns:a16="http://schemas.microsoft.com/office/drawing/2014/main" id="{B7EB5088-60AB-6F12-B907-275E19244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F3225" w:rsidRPr="00387A7B">
        <w:rPr>
          <w:rFonts w:ascii="Times New Roman" w:hAnsi="Times New Roman"/>
          <w:sz w:val="24"/>
          <w:szCs w:val="24"/>
        </w:rPr>
        <w:t>чем его доходы</w:t>
      </w:r>
      <w:r w:rsidR="00AE1FFD" w:rsidRPr="00387A7B">
        <w:rPr>
          <w:rFonts w:ascii="Times New Roman" w:hAnsi="Times New Roman"/>
          <w:sz w:val="24"/>
          <w:szCs w:val="24"/>
        </w:rPr>
        <w:t xml:space="preserve"> (</w:t>
      </w:r>
      <w:r w:rsidR="00246978" w:rsidRPr="00387A7B">
        <w:rPr>
          <w:rFonts w:ascii="Times New Roman" w:hAnsi="Times New Roman"/>
          <w:sz w:val="24"/>
          <w:szCs w:val="24"/>
        </w:rPr>
        <w:t>с</w:t>
      </w:r>
      <w:r w:rsidRPr="00387A7B">
        <w:rPr>
          <w:rFonts w:ascii="Times New Roman" w:hAnsi="Times New Roman"/>
          <w:sz w:val="24"/>
          <w:szCs w:val="24"/>
        </w:rPr>
        <w:t xml:space="preserve">оответственно </w:t>
      </w:r>
      <w:r w:rsidR="00AE1FFD" w:rsidRPr="00387A7B">
        <w:rPr>
          <w:rFonts w:ascii="Times New Roman" w:hAnsi="Times New Roman"/>
          <w:sz w:val="24"/>
          <w:szCs w:val="24"/>
        </w:rPr>
        <w:t xml:space="preserve">на 12,4 </w:t>
      </w:r>
      <w:r w:rsidRPr="00387A7B">
        <w:rPr>
          <w:rFonts w:ascii="Times New Roman" w:hAnsi="Times New Roman"/>
          <w:sz w:val="24"/>
          <w:szCs w:val="24"/>
        </w:rPr>
        <w:t xml:space="preserve">% </w:t>
      </w:r>
      <w:r w:rsidR="00AE1FFD" w:rsidRPr="00387A7B">
        <w:rPr>
          <w:rFonts w:ascii="Times New Roman" w:hAnsi="Times New Roman"/>
          <w:sz w:val="24"/>
          <w:szCs w:val="24"/>
        </w:rPr>
        <w:t>и на 11,9</w:t>
      </w:r>
      <w:r w:rsidRPr="00387A7B">
        <w:rPr>
          <w:rFonts w:ascii="Times New Roman" w:hAnsi="Times New Roman"/>
          <w:sz w:val="24"/>
          <w:szCs w:val="24"/>
        </w:rPr>
        <w:t>%)</w:t>
      </w:r>
      <w:r w:rsidR="00564048" w:rsidRPr="00387A7B">
        <w:rPr>
          <w:rFonts w:ascii="Times New Roman" w:hAnsi="Times New Roman"/>
          <w:sz w:val="24"/>
          <w:szCs w:val="24"/>
        </w:rPr>
        <w:t xml:space="preserve"> – таблица 1</w:t>
      </w:r>
      <w:r w:rsidRPr="00387A7B">
        <w:rPr>
          <w:rFonts w:ascii="Times New Roman" w:hAnsi="Times New Roman"/>
          <w:sz w:val="24"/>
          <w:szCs w:val="24"/>
        </w:rPr>
        <w:t xml:space="preserve">. </w:t>
      </w:r>
      <w:r w:rsidR="00AE1FFD" w:rsidRPr="00387A7B">
        <w:rPr>
          <w:rFonts w:ascii="Times New Roman" w:hAnsi="Times New Roman"/>
          <w:sz w:val="24"/>
          <w:szCs w:val="24"/>
        </w:rPr>
        <w:t xml:space="preserve"> </w:t>
      </w:r>
    </w:p>
    <w:p w14:paraId="67202779" w14:textId="109E87A6" w:rsidR="00D902DC" w:rsidRPr="00387A7B" w:rsidRDefault="00564048" w:rsidP="00E56BC6">
      <w:pPr>
        <w:pStyle w:val="aa"/>
        <w:autoSpaceDE w:val="0"/>
        <w:autoSpaceDN w:val="0"/>
        <w:adjustRightInd w:val="0"/>
        <w:spacing w:after="0" w:line="360" w:lineRule="auto"/>
        <w:ind w:left="980"/>
        <w:jc w:val="both"/>
        <w:rPr>
          <w:rFonts w:ascii="Times New Roman" w:hAnsi="Times New Roman"/>
          <w:i/>
          <w:iCs/>
          <w:sz w:val="24"/>
          <w:szCs w:val="24"/>
        </w:rPr>
      </w:pPr>
      <w:r w:rsidRPr="00387A7B">
        <w:rPr>
          <w:rFonts w:ascii="Times New Roman" w:hAnsi="Times New Roman"/>
          <w:i/>
          <w:iCs/>
          <w:sz w:val="24"/>
          <w:szCs w:val="24"/>
        </w:rPr>
        <w:t xml:space="preserve">Рисунок </w:t>
      </w:r>
      <w:r w:rsidR="00387A7B">
        <w:rPr>
          <w:rFonts w:ascii="Times New Roman" w:hAnsi="Times New Roman"/>
          <w:i/>
          <w:iCs/>
          <w:sz w:val="24"/>
          <w:szCs w:val="24"/>
        </w:rPr>
        <w:t>1</w:t>
      </w:r>
      <w:r w:rsidRPr="00387A7B">
        <w:rPr>
          <w:rFonts w:ascii="Times New Roman" w:hAnsi="Times New Roman"/>
          <w:i/>
          <w:iCs/>
          <w:sz w:val="24"/>
          <w:szCs w:val="24"/>
        </w:rPr>
        <w:t xml:space="preserve"> – Динамика параметров федерального бюджета в </w:t>
      </w:r>
      <w:r w:rsidR="00D47879" w:rsidRPr="00387A7B">
        <w:rPr>
          <w:rFonts w:ascii="Times New Roman" w:hAnsi="Times New Roman"/>
          <w:i/>
          <w:iCs/>
          <w:sz w:val="24"/>
          <w:szCs w:val="24"/>
        </w:rPr>
        <w:t>2021–2025</w:t>
      </w:r>
      <w:r w:rsidRPr="00387A7B">
        <w:rPr>
          <w:rFonts w:ascii="Times New Roman" w:hAnsi="Times New Roman"/>
          <w:i/>
          <w:iCs/>
          <w:sz w:val="24"/>
          <w:szCs w:val="24"/>
        </w:rPr>
        <w:t xml:space="preserve"> годы относительно ВВП, в %</w:t>
      </w:r>
    </w:p>
    <w:p w14:paraId="10B3A5F5" w14:textId="3065E378" w:rsidR="00AF3225" w:rsidRPr="00E56BC6" w:rsidRDefault="00E56BC6" w:rsidP="00E56BC6">
      <w:pPr>
        <w:autoSpaceDE w:val="0"/>
        <w:autoSpaceDN w:val="0"/>
        <w:adjustRightInd w:val="0"/>
        <w:spacing w:line="360" w:lineRule="auto"/>
        <w:ind w:firstLine="708"/>
        <w:rPr>
          <w:i/>
          <w:iCs/>
          <w:sz w:val="24"/>
          <w:szCs w:val="24"/>
        </w:rPr>
      </w:pPr>
      <w:r w:rsidRPr="00E56BC6">
        <w:rPr>
          <w:i/>
          <w:iCs/>
          <w:sz w:val="24"/>
          <w:szCs w:val="24"/>
        </w:rPr>
        <w:t xml:space="preserve">Источник: </w:t>
      </w:r>
      <w:r w:rsidR="00AF3225" w:rsidRPr="00E56BC6">
        <w:rPr>
          <w:i/>
          <w:iCs/>
          <w:sz w:val="24"/>
          <w:szCs w:val="24"/>
        </w:rPr>
        <w:t>Составлено на основе данных законопроекта</w:t>
      </w:r>
    </w:p>
    <w:p w14:paraId="72733007" w14:textId="20F6D8BB" w:rsidR="00564048" w:rsidRPr="00387A7B" w:rsidRDefault="00564048" w:rsidP="00D902DC">
      <w:pPr>
        <w:pStyle w:val="aa"/>
        <w:autoSpaceDE w:val="0"/>
        <w:autoSpaceDN w:val="0"/>
        <w:adjustRightInd w:val="0"/>
        <w:spacing w:after="0" w:line="360" w:lineRule="auto"/>
        <w:ind w:left="980"/>
        <w:jc w:val="center"/>
        <w:rPr>
          <w:rFonts w:ascii="Times New Roman" w:hAnsi="Times New Roman"/>
          <w:i/>
          <w:iCs/>
          <w:sz w:val="24"/>
          <w:szCs w:val="24"/>
        </w:rPr>
      </w:pPr>
    </w:p>
    <w:p w14:paraId="38E53B9A" w14:textId="7B95AA79" w:rsidR="00B41B3E" w:rsidRPr="00387A7B" w:rsidRDefault="00B41B3E" w:rsidP="008553E6">
      <w:pPr>
        <w:pStyle w:val="aa"/>
        <w:autoSpaceDE w:val="0"/>
        <w:autoSpaceDN w:val="0"/>
        <w:adjustRightInd w:val="0"/>
        <w:spacing w:after="0" w:line="360" w:lineRule="auto"/>
        <w:ind w:left="0"/>
        <w:jc w:val="center"/>
        <w:rPr>
          <w:rFonts w:ascii="Times New Roman" w:hAnsi="Times New Roman"/>
          <w:i/>
          <w:iCs/>
          <w:sz w:val="24"/>
          <w:szCs w:val="24"/>
        </w:rPr>
      </w:pPr>
      <w:r w:rsidRPr="00387A7B">
        <w:rPr>
          <w:rFonts w:ascii="Times New Roman" w:hAnsi="Times New Roman"/>
          <w:i/>
          <w:iCs/>
          <w:sz w:val="24"/>
          <w:szCs w:val="24"/>
        </w:rPr>
        <w:t xml:space="preserve">Таблица 1 – Динамика изменения параметров федерального бюджета в </w:t>
      </w:r>
      <w:r w:rsidR="00AF3225" w:rsidRPr="00387A7B">
        <w:rPr>
          <w:rFonts w:ascii="Times New Roman" w:hAnsi="Times New Roman"/>
          <w:i/>
          <w:iCs/>
          <w:sz w:val="24"/>
          <w:szCs w:val="24"/>
        </w:rPr>
        <w:t xml:space="preserve">2023–2025 </w:t>
      </w:r>
      <w:r w:rsidRPr="00387A7B">
        <w:rPr>
          <w:rFonts w:ascii="Times New Roman" w:hAnsi="Times New Roman"/>
          <w:i/>
          <w:iCs/>
          <w:sz w:val="24"/>
          <w:szCs w:val="24"/>
        </w:rPr>
        <w:t>годы, 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22"/>
        <w:gridCol w:w="913"/>
        <w:gridCol w:w="959"/>
        <w:gridCol w:w="965"/>
        <w:gridCol w:w="961"/>
        <w:gridCol w:w="963"/>
        <w:gridCol w:w="963"/>
        <w:gridCol w:w="963"/>
        <w:gridCol w:w="902"/>
        <w:gridCol w:w="900"/>
      </w:tblGrid>
      <w:tr w:rsidR="00387A7B" w:rsidRPr="00387A7B" w14:paraId="7DF447FB" w14:textId="394C7CA5" w:rsidTr="001733C9">
        <w:trPr>
          <w:trHeight w:val="288"/>
          <w:jc w:val="center"/>
        </w:trPr>
        <w:tc>
          <w:tcPr>
            <w:tcW w:w="717" w:type="pct"/>
            <w:vMerge w:val="restart"/>
            <w:shd w:val="clear" w:color="auto" w:fill="FFFFFF" w:themeFill="background1"/>
            <w:vAlign w:val="center"/>
            <w:hideMark/>
          </w:tcPr>
          <w:p w14:paraId="32D3ED7D" w14:textId="51A662B8" w:rsidR="00246978" w:rsidRPr="00564048" w:rsidRDefault="00E85F19" w:rsidP="00564048">
            <w:pPr>
              <w:jc w:val="center"/>
              <w:rPr>
                <w:sz w:val="20"/>
              </w:rPr>
            </w:pPr>
            <w:r w:rsidRPr="00387A7B">
              <w:rPr>
                <w:sz w:val="20"/>
              </w:rPr>
              <w:t>Показатели</w:t>
            </w:r>
          </w:p>
        </w:tc>
        <w:tc>
          <w:tcPr>
            <w:tcW w:w="460" w:type="pct"/>
            <w:vMerge w:val="restart"/>
            <w:shd w:val="clear" w:color="auto" w:fill="FFFFFF" w:themeFill="background1"/>
            <w:vAlign w:val="center"/>
            <w:hideMark/>
          </w:tcPr>
          <w:p w14:paraId="074A9E38" w14:textId="77777777" w:rsidR="00246978" w:rsidRPr="00564048" w:rsidRDefault="00246978" w:rsidP="00564048">
            <w:pPr>
              <w:jc w:val="center"/>
              <w:rPr>
                <w:sz w:val="20"/>
              </w:rPr>
            </w:pPr>
            <w:r w:rsidRPr="00564048">
              <w:rPr>
                <w:sz w:val="20"/>
              </w:rPr>
              <w:t>2022 год (оценка*)</w:t>
            </w:r>
          </w:p>
        </w:tc>
        <w:tc>
          <w:tcPr>
            <w:tcW w:w="971" w:type="pct"/>
            <w:gridSpan w:val="2"/>
            <w:shd w:val="clear" w:color="auto" w:fill="FFFFFF" w:themeFill="background1"/>
            <w:vAlign w:val="center"/>
            <w:hideMark/>
          </w:tcPr>
          <w:p w14:paraId="54A47A99" w14:textId="77777777" w:rsidR="00246978" w:rsidRPr="00564048" w:rsidRDefault="00246978" w:rsidP="00564048">
            <w:pPr>
              <w:jc w:val="center"/>
              <w:rPr>
                <w:sz w:val="20"/>
              </w:rPr>
            </w:pPr>
            <w:r w:rsidRPr="00564048">
              <w:rPr>
                <w:sz w:val="20"/>
              </w:rPr>
              <w:t>2023 год</w:t>
            </w:r>
          </w:p>
        </w:tc>
        <w:tc>
          <w:tcPr>
            <w:tcW w:w="971" w:type="pct"/>
            <w:gridSpan w:val="2"/>
            <w:shd w:val="clear" w:color="auto" w:fill="FFFFFF" w:themeFill="background1"/>
            <w:vAlign w:val="center"/>
            <w:hideMark/>
          </w:tcPr>
          <w:p w14:paraId="45001886" w14:textId="77777777" w:rsidR="00246978" w:rsidRPr="00564048" w:rsidRDefault="00246978" w:rsidP="00564048">
            <w:pPr>
              <w:jc w:val="center"/>
              <w:rPr>
                <w:sz w:val="20"/>
              </w:rPr>
            </w:pPr>
            <w:r w:rsidRPr="00564048">
              <w:rPr>
                <w:sz w:val="20"/>
              </w:rPr>
              <w:t>2024 год</w:t>
            </w:r>
          </w:p>
        </w:tc>
        <w:tc>
          <w:tcPr>
            <w:tcW w:w="972" w:type="pct"/>
            <w:gridSpan w:val="2"/>
            <w:shd w:val="clear" w:color="auto" w:fill="FFFFFF" w:themeFill="background1"/>
            <w:vAlign w:val="center"/>
            <w:hideMark/>
          </w:tcPr>
          <w:p w14:paraId="2FB99776" w14:textId="77777777" w:rsidR="00246978" w:rsidRPr="00564048" w:rsidRDefault="00246978" w:rsidP="00564048">
            <w:pPr>
              <w:jc w:val="center"/>
              <w:rPr>
                <w:sz w:val="20"/>
              </w:rPr>
            </w:pPr>
            <w:r w:rsidRPr="00564048">
              <w:rPr>
                <w:sz w:val="20"/>
              </w:rPr>
              <w:t>2025 год</w:t>
            </w:r>
          </w:p>
        </w:tc>
        <w:tc>
          <w:tcPr>
            <w:tcW w:w="909" w:type="pct"/>
            <w:gridSpan w:val="2"/>
            <w:shd w:val="clear" w:color="auto" w:fill="FFFFFF" w:themeFill="background1"/>
            <w:vAlign w:val="center"/>
          </w:tcPr>
          <w:p w14:paraId="4656A7A6" w14:textId="0A5DEDA1" w:rsidR="00246978" w:rsidRPr="00387A7B" w:rsidRDefault="00246978" w:rsidP="00564048">
            <w:pPr>
              <w:jc w:val="center"/>
              <w:rPr>
                <w:sz w:val="20"/>
              </w:rPr>
            </w:pPr>
            <w:r w:rsidRPr="001B1545">
              <w:rPr>
                <w:sz w:val="20"/>
              </w:rPr>
              <w:t xml:space="preserve">Всего </w:t>
            </w:r>
            <w:r w:rsidRPr="00387A7B">
              <w:rPr>
                <w:sz w:val="20"/>
              </w:rPr>
              <w:t>за 3 года, в т.ч.</w:t>
            </w:r>
          </w:p>
        </w:tc>
      </w:tr>
      <w:tr w:rsidR="00387A7B" w:rsidRPr="00387A7B" w14:paraId="537FF43A" w14:textId="056A5FC1" w:rsidTr="001733C9">
        <w:trPr>
          <w:trHeight w:val="826"/>
          <w:jc w:val="center"/>
        </w:trPr>
        <w:tc>
          <w:tcPr>
            <w:tcW w:w="717" w:type="pct"/>
            <w:vMerge/>
            <w:tcBorders>
              <w:bottom w:val="single" w:sz="4" w:space="0" w:color="auto"/>
            </w:tcBorders>
            <w:shd w:val="clear" w:color="auto" w:fill="FFFFFF" w:themeFill="background1"/>
            <w:vAlign w:val="center"/>
            <w:hideMark/>
          </w:tcPr>
          <w:p w14:paraId="1F7A5847" w14:textId="77777777" w:rsidR="00246978" w:rsidRPr="00564048" w:rsidRDefault="00246978" w:rsidP="00564048">
            <w:pPr>
              <w:rPr>
                <w:sz w:val="20"/>
              </w:rPr>
            </w:pPr>
          </w:p>
        </w:tc>
        <w:tc>
          <w:tcPr>
            <w:tcW w:w="460" w:type="pct"/>
            <w:vMerge/>
            <w:tcBorders>
              <w:bottom w:val="single" w:sz="4" w:space="0" w:color="auto"/>
            </w:tcBorders>
            <w:shd w:val="clear" w:color="auto" w:fill="FFFFFF" w:themeFill="background1"/>
            <w:vAlign w:val="center"/>
            <w:hideMark/>
          </w:tcPr>
          <w:p w14:paraId="33996B71" w14:textId="77777777" w:rsidR="00246978" w:rsidRPr="00564048" w:rsidRDefault="00246978" w:rsidP="00564048">
            <w:pPr>
              <w:rPr>
                <w:sz w:val="20"/>
              </w:rPr>
            </w:pPr>
          </w:p>
        </w:tc>
        <w:tc>
          <w:tcPr>
            <w:tcW w:w="484" w:type="pct"/>
            <w:tcBorders>
              <w:bottom w:val="single" w:sz="4" w:space="0" w:color="auto"/>
            </w:tcBorders>
            <w:shd w:val="clear" w:color="auto" w:fill="FFFFFF" w:themeFill="background1"/>
            <w:vAlign w:val="center"/>
            <w:hideMark/>
          </w:tcPr>
          <w:p w14:paraId="1FBBAB1D" w14:textId="77777777" w:rsidR="00246978" w:rsidRPr="00564048" w:rsidRDefault="00246978" w:rsidP="00564048">
            <w:pPr>
              <w:jc w:val="center"/>
              <w:rPr>
                <w:sz w:val="20"/>
              </w:rPr>
            </w:pPr>
            <w:proofErr w:type="spellStart"/>
            <w:r w:rsidRPr="00564048">
              <w:rPr>
                <w:sz w:val="20"/>
              </w:rPr>
              <w:t>Законо</w:t>
            </w:r>
            <w:proofErr w:type="spellEnd"/>
            <w:r w:rsidRPr="00564048">
              <w:rPr>
                <w:sz w:val="20"/>
              </w:rPr>
              <w:t>-проект</w:t>
            </w:r>
          </w:p>
        </w:tc>
        <w:tc>
          <w:tcPr>
            <w:tcW w:w="487" w:type="pct"/>
            <w:tcBorders>
              <w:bottom w:val="single" w:sz="4" w:space="0" w:color="auto"/>
            </w:tcBorders>
            <w:shd w:val="clear" w:color="auto" w:fill="FFFFFF" w:themeFill="background1"/>
            <w:vAlign w:val="center"/>
            <w:hideMark/>
          </w:tcPr>
          <w:p w14:paraId="7DA041EF" w14:textId="77777777" w:rsidR="00246978" w:rsidRPr="00564048" w:rsidRDefault="00246978" w:rsidP="00564048">
            <w:pPr>
              <w:jc w:val="center"/>
              <w:rPr>
                <w:sz w:val="20"/>
              </w:rPr>
            </w:pPr>
            <w:r w:rsidRPr="00564048">
              <w:rPr>
                <w:sz w:val="20"/>
              </w:rPr>
              <w:t>% к 2022 г.</w:t>
            </w:r>
          </w:p>
        </w:tc>
        <w:tc>
          <w:tcPr>
            <w:tcW w:w="485" w:type="pct"/>
            <w:tcBorders>
              <w:bottom w:val="single" w:sz="4" w:space="0" w:color="auto"/>
            </w:tcBorders>
            <w:shd w:val="clear" w:color="auto" w:fill="FFFFFF" w:themeFill="background1"/>
            <w:vAlign w:val="center"/>
            <w:hideMark/>
          </w:tcPr>
          <w:p w14:paraId="080E7C31" w14:textId="77777777" w:rsidR="00246978" w:rsidRPr="00564048" w:rsidRDefault="00246978" w:rsidP="00564048">
            <w:pPr>
              <w:jc w:val="center"/>
              <w:rPr>
                <w:sz w:val="20"/>
              </w:rPr>
            </w:pPr>
            <w:proofErr w:type="spellStart"/>
            <w:r w:rsidRPr="00564048">
              <w:rPr>
                <w:sz w:val="20"/>
              </w:rPr>
              <w:t>Законо</w:t>
            </w:r>
            <w:proofErr w:type="spellEnd"/>
            <w:r w:rsidRPr="00564048">
              <w:rPr>
                <w:sz w:val="20"/>
              </w:rPr>
              <w:t>-проект</w:t>
            </w:r>
          </w:p>
        </w:tc>
        <w:tc>
          <w:tcPr>
            <w:tcW w:w="486" w:type="pct"/>
            <w:tcBorders>
              <w:bottom w:val="single" w:sz="4" w:space="0" w:color="auto"/>
            </w:tcBorders>
            <w:shd w:val="clear" w:color="auto" w:fill="FFFFFF" w:themeFill="background1"/>
            <w:vAlign w:val="center"/>
            <w:hideMark/>
          </w:tcPr>
          <w:p w14:paraId="2EBF1BC6" w14:textId="77777777" w:rsidR="00246978" w:rsidRPr="00564048" w:rsidRDefault="00246978" w:rsidP="00564048">
            <w:pPr>
              <w:jc w:val="center"/>
              <w:rPr>
                <w:sz w:val="20"/>
              </w:rPr>
            </w:pPr>
            <w:r w:rsidRPr="00564048">
              <w:rPr>
                <w:sz w:val="20"/>
              </w:rPr>
              <w:t>% к 2023 г.</w:t>
            </w:r>
          </w:p>
        </w:tc>
        <w:tc>
          <w:tcPr>
            <w:tcW w:w="486" w:type="pct"/>
            <w:tcBorders>
              <w:bottom w:val="single" w:sz="4" w:space="0" w:color="auto"/>
            </w:tcBorders>
            <w:shd w:val="clear" w:color="auto" w:fill="FFFFFF" w:themeFill="background1"/>
            <w:vAlign w:val="center"/>
            <w:hideMark/>
          </w:tcPr>
          <w:p w14:paraId="749948B4" w14:textId="77777777" w:rsidR="00246978" w:rsidRPr="00564048" w:rsidRDefault="00246978" w:rsidP="00564048">
            <w:pPr>
              <w:jc w:val="center"/>
              <w:rPr>
                <w:sz w:val="20"/>
              </w:rPr>
            </w:pPr>
            <w:proofErr w:type="spellStart"/>
            <w:r w:rsidRPr="00564048">
              <w:rPr>
                <w:sz w:val="20"/>
              </w:rPr>
              <w:t>Законо</w:t>
            </w:r>
            <w:proofErr w:type="spellEnd"/>
            <w:r w:rsidRPr="00564048">
              <w:rPr>
                <w:sz w:val="20"/>
              </w:rPr>
              <w:t>-проект</w:t>
            </w:r>
          </w:p>
        </w:tc>
        <w:tc>
          <w:tcPr>
            <w:tcW w:w="486" w:type="pct"/>
            <w:tcBorders>
              <w:bottom w:val="single" w:sz="4" w:space="0" w:color="auto"/>
            </w:tcBorders>
            <w:shd w:val="clear" w:color="auto" w:fill="FFFFFF" w:themeFill="background1"/>
            <w:vAlign w:val="center"/>
            <w:hideMark/>
          </w:tcPr>
          <w:p w14:paraId="37871010" w14:textId="77777777" w:rsidR="00246978" w:rsidRPr="00564048" w:rsidRDefault="00246978" w:rsidP="00564048">
            <w:pPr>
              <w:jc w:val="center"/>
              <w:rPr>
                <w:sz w:val="20"/>
              </w:rPr>
            </w:pPr>
            <w:r w:rsidRPr="00564048">
              <w:rPr>
                <w:sz w:val="20"/>
              </w:rPr>
              <w:t>% к 2024 г.</w:t>
            </w:r>
          </w:p>
        </w:tc>
        <w:tc>
          <w:tcPr>
            <w:tcW w:w="455" w:type="pct"/>
            <w:tcBorders>
              <w:bottom w:val="single" w:sz="4" w:space="0" w:color="auto"/>
            </w:tcBorders>
            <w:shd w:val="clear" w:color="auto" w:fill="FFFFFF" w:themeFill="background1"/>
            <w:vAlign w:val="center"/>
          </w:tcPr>
          <w:p w14:paraId="44978AA8" w14:textId="70579FB7" w:rsidR="00246978" w:rsidRPr="00387A7B" w:rsidRDefault="00246978" w:rsidP="00564048">
            <w:pPr>
              <w:jc w:val="center"/>
              <w:rPr>
                <w:sz w:val="20"/>
              </w:rPr>
            </w:pPr>
            <w:r w:rsidRPr="00387A7B">
              <w:rPr>
                <w:sz w:val="20"/>
              </w:rPr>
              <w:t>в номинальном выражении</w:t>
            </w:r>
          </w:p>
        </w:tc>
        <w:tc>
          <w:tcPr>
            <w:tcW w:w="454" w:type="pct"/>
            <w:tcBorders>
              <w:bottom w:val="single" w:sz="4" w:space="0" w:color="auto"/>
            </w:tcBorders>
            <w:shd w:val="clear" w:color="auto" w:fill="FFFFFF" w:themeFill="background1"/>
            <w:vAlign w:val="center"/>
          </w:tcPr>
          <w:p w14:paraId="5CE8176C" w14:textId="288218F9" w:rsidR="00246978" w:rsidRPr="00387A7B" w:rsidRDefault="00246978" w:rsidP="00564048">
            <w:pPr>
              <w:jc w:val="center"/>
              <w:rPr>
                <w:sz w:val="20"/>
              </w:rPr>
            </w:pPr>
            <w:r w:rsidRPr="00387A7B">
              <w:rPr>
                <w:sz w:val="20"/>
              </w:rPr>
              <w:t>в реальном выражении</w:t>
            </w:r>
          </w:p>
        </w:tc>
      </w:tr>
      <w:tr w:rsidR="00387A7B" w:rsidRPr="00387A7B" w14:paraId="63ED857C" w14:textId="4ED77FCC" w:rsidTr="001733C9">
        <w:trPr>
          <w:trHeight w:val="288"/>
          <w:jc w:val="center"/>
        </w:trPr>
        <w:tc>
          <w:tcPr>
            <w:tcW w:w="717" w:type="pct"/>
            <w:shd w:val="clear" w:color="auto" w:fill="FFFFFF" w:themeFill="background1"/>
            <w:vAlign w:val="center"/>
            <w:hideMark/>
          </w:tcPr>
          <w:p w14:paraId="529A6B46" w14:textId="77777777" w:rsidR="00246978" w:rsidRPr="00564048" w:rsidRDefault="00246978" w:rsidP="00564048">
            <w:pPr>
              <w:jc w:val="center"/>
              <w:rPr>
                <w:sz w:val="20"/>
              </w:rPr>
            </w:pPr>
            <w:r w:rsidRPr="00564048">
              <w:rPr>
                <w:sz w:val="20"/>
              </w:rPr>
              <w:t>1</w:t>
            </w:r>
          </w:p>
        </w:tc>
        <w:tc>
          <w:tcPr>
            <w:tcW w:w="460" w:type="pct"/>
            <w:shd w:val="clear" w:color="auto" w:fill="FFFFFF" w:themeFill="background1"/>
            <w:vAlign w:val="center"/>
            <w:hideMark/>
          </w:tcPr>
          <w:p w14:paraId="09124F99" w14:textId="77777777" w:rsidR="00246978" w:rsidRPr="00564048" w:rsidRDefault="00246978" w:rsidP="00564048">
            <w:pPr>
              <w:jc w:val="center"/>
              <w:rPr>
                <w:sz w:val="20"/>
              </w:rPr>
            </w:pPr>
            <w:r w:rsidRPr="00564048">
              <w:rPr>
                <w:sz w:val="20"/>
              </w:rPr>
              <w:t>3</w:t>
            </w:r>
          </w:p>
        </w:tc>
        <w:tc>
          <w:tcPr>
            <w:tcW w:w="484" w:type="pct"/>
            <w:shd w:val="clear" w:color="auto" w:fill="FFFFFF" w:themeFill="background1"/>
            <w:vAlign w:val="center"/>
            <w:hideMark/>
          </w:tcPr>
          <w:p w14:paraId="1E845B07" w14:textId="77777777" w:rsidR="00246978" w:rsidRPr="00564048" w:rsidRDefault="00246978" w:rsidP="00564048">
            <w:pPr>
              <w:jc w:val="center"/>
              <w:rPr>
                <w:sz w:val="20"/>
              </w:rPr>
            </w:pPr>
            <w:r w:rsidRPr="00564048">
              <w:rPr>
                <w:sz w:val="20"/>
              </w:rPr>
              <w:t>4</w:t>
            </w:r>
          </w:p>
        </w:tc>
        <w:tc>
          <w:tcPr>
            <w:tcW w:w="487" w:type="pct"/>
            <w:shd w:val="clear" w:color="auto" w:fill="FFFFFF" w:themeFill="background1"/>
            <w:vAlign w:val="center"/>
            <w:hideMark/>
          </w:tcPr>
          <w:p w14:paraId="56A4E918" w14:textId="77777777" w:rsidR="00246978" w:rsidRPr="00564048" w:rsidRDefault="00246978" w:rsidP="00564048">
            <w:pPr>
              <w:jc w:val="center"/>
              <w:rPr>
                <w:sz w:val="20"/>
              </w:rPr>
            </w:pPr>
            <w:r w:rsidRPr="00564048">
              <w:rPr>
                <w:sz w:val="20"/>
              </w:rPr>
              <w:t>5</w:t>
            </w:r>
          </w:p>
        </w:tc>
        <w:tc>
          <w:tcPr>
            <w:tcW w:w="485" w:type="pct"/>
            <w:shd w:val="clear" w:color="auto" w:fill="FFFFFF" w:themeFill="background1"/>
            <w:vAlign w:val="center"/>
            <w:hideMark/>
          </w:tcPr>
          <w:p w14:paraId="0F8F177C" w14:textId="77777777" w:rsidR="00246978" w:rsidRPr="00564048" w:rsidRDefault="00246978" w:rsidP="00564048">
            <w:pPr>
              <w:jc w:val="center"/>
              <w:rPr>
                <w:sz w:val="20"/>
              </w:rPr>
            </w:pPr>
            <w:r w:rsidRPr="00564048">
              <w:rPr>
                <w:sz w:val="20"/>
              </w:rPr>
              <w:t>6</w:t>
            </w:r>
          </w:p>
        </w:tc>
        <w:tc>
          <w:tcPr>
            <w:tcW w:w="486" w:type="pct"/>
            <w:shd w:val="clear" w:color="auto" w:fill="FFFFFF" w:themeFill="background1"/>
            <w:vAlign w:val="center"/>
            <w:hideMark/>
          </w:tcPr>
          <w:p w14:paraId="7F84BABF" w14:textId="77777777" w:rsidR="00246978" w:rsidRPr="00564048" w:rsidRDefault="00246978" w:rsidP="00564048">
            <w:pPr>
              <w:jc w:val="center"/>
              <w:rPr>
                <w:sz w:val="20"/>
              </w:rPr>
            </w:pPr>
            <w:r w:rsidRPr="00564048">
              <w:rPr>
                <w:sz w:val="20"/>
              </w:rPr>
              <w:t>7</w:t>
            </w:r>
          </w:p>
        </w:tc>
        <w:tc>
          <w:tcPr>
            <w:tcW w:w="486" w:type="pct"/>
            <w:shd w:val="clear" w:color="auto" w:fill="FFFFFF" w:themeFill="background1"/>
            <w:vAlign w:val="center"/>
            <w:hideMark/>
          </w:tcPr>
          <w:p w14:paraId="21FD3543" w14:textId="77777777" w:rsidR="00246978" w:rsidRPr="00564048" w:rsidRDefault="00246978" w:rsidP="00564048">
            <w:pPr>
              <w:jc w:val="center"/>
              <w:rPr>
                <w:sz w:val="20"/>
              </w:rPr>
            </w:pPr>
            <w:r w:rsidRPr="00564048">
              <w:rPr>
                <w:sz w:val="20"/>
              </w:rPr>
              <w:t>8</w:t>
            </w:r>
          </w:p>
        </w:tc>
        <w:tc>
          <w:tcPr>
            <w:tcW w:w="486" w:type="pct"/>
            <w:shd w:val="clear" w:color="auto" w:fill="FFFFFF" w:themeFill="background1"/>
            <w:vAlign w:val="center"/>
            <w:hideMark/>
          </w:tcPr>
          <w:p w14:paraId="09F11932" w14:textId="77777777" w:rsidR="00246978" w:rsidRPr="00564048" w:rsidRDefault="00246978" w:rsidP="00564048">
            <w:pPr>
              <w:jc w:val="center"/>
              <w:rPr>
                <w:sz w:val="20"/>
              </w:rPr>
            </w:pPr>
            <w:r w:rsidRPr="00564048">
              <w:rPr>
                <w:sz w:val="20"/>
              </w:rPr>
              <w:t>9</w:t>
            </w:r>
          </w:p>
        </w:tc>
        <w:tc>
          <w:tcPr>
            <w:tcW w:w="455" w:type="pct"/>
            <w:shd w:val="clear" w:color="auto" w:fill="FFFFFF" w:themeFill="background1"/>
            <w:vAlign w:val="center"/>
          </w:tcPr>
          <w:p w14:paraId="7B3D7972" w14:textId="77777777" w:rsidR="00246978" w:rsidRPr="00387A7B" w:rsidRDefault="00246978" w:rsidP="00564048">
            <w:pPr>
              <w:jc w:val="center"/>
              <w:rPr>
                <w:sz w:val="20"/>
              </w:rPr>
            </w:pPr>
          </w:p>
        </w:tc>
        <w:tc>
          <w:tcPr>
            <w:tcW w:w="454" w:type="pct"/>
            <w:shd w:val="clear" w:color="auto" w:fill="FFFFFF" w:themeFill="background1"/>
            <w:vAlign w:val="center"/>
          </w:tcPr>
          <w:p w14:paraId="3C4E8EB9" w14:textId="77777777" w:rsidR="00246978" w:rsidRPr="00387A7B" w:rsidRDefault="00246978" w:rsidP="00564048">
            <w:pPr>
              <w:jc w:val="center"/>
              <w:rPr>
                <w:sz w:val="20"/>
              </w:rPr>
            </w:pPr>
          </w:p>
        </w:tc>
      </w:tr>
      <w:tr w:rsidR="00387A7B" w:rsidRPr="00387A7B" w14:paraId="32BD4263" w14:textId="2CC63257" w:rsidTr="001733C9">
        <w:trPr>
          <w:trHeight w:val="288"/>
          <w:jc w:val="center"/>
        </w:trPr>
        <w:tc>
          <w:tcPr>
            <w:tcW w:w="717" w:type="pct"/>
            <w:shd w:val="clear" w:color="auto" w:fill="F2F2F2" w:themeFill="background1" w:themeFillShade="F2"/>
            <w:vAlign w:val="center"/>
            <w:hideMark/>
          </w:tcPr>
          <w:p w14:paraId="2A26C50F" w14:textId="77777777" w:rsidR="00246978" w:rsidRPr="00564048" w:rsidRDefault="00246978" w:rsidP="00564048">
            <w:pPr>
              <w:jc w:val="both"/>
              <w:rPr>
                <w:b/>
                <w:bCs/>
                <w:sz w:val="20"/>
              </w:rPr>
            </w:pPr>
            <w:r w:rsidRPr="00564048">
              <w:rPr>
                <w:b/>
                <w:bCs/>
                <w:sz w:val="20"/>
              </w:rPr>
              <w:t xml:space="preserve">Доходы, всего </w:t>
            </w:r>
          </w:p>
        </w:tc>
        <w:tc>
          <w:tcPr>
            <w:tcW w:w="460" w:type="pct"/>
            <w:shd w:val="clear" w:color="auto" w:fill="F2F2F2" w:themeFill="background1" w:themeFillShade="F2"/>
            <w:vAlign w:val="center"/>
            <w:hideMark/>
          </w:tcPr>
          <w:p w14:paraId="2C629BAE" w14:textId="77777777" w:rsidR="00246978" w:rsidRPr="001733C9" w:rsidRDefault="00246978" w:rsidP="00564048">
            <w:pPr>
              <w:jc w:val="center"/>
              <w:rPr>
                <w:b/>
                <w:bCs/>
                <w:sz w:val="16"/>
              </w:rPr>
            </w:pPr>
            <w:r w:rsidRPr="001733C9">
              <w:rPr>
                <w:b/>
                <w:bCs/>
                <w:sz w:val="16"/>
              </w:rPr>
              <w:t>27 693,1</w:t>
            </w:r>
          </w:p>
        </w:tc>
        <w:tc>
          <w:tcPr>
            <w:tcW w:w="484" w:type="pct"/>
            <w:shd w:val="clear" w:color="auto" w:fill="F2F2F2" w:themeFill="background1" w:themeFillShade="F2"/>
            <w:vAlign w:val="center"/>
            <w:hideMark/>
          </w:tcPr>
          <w:p w14:paraId="5DFB23C6" w14:textId="77777777" w:rsidR="00246978" w:rsidRPr="001733C9" w:rsidRDefault="00246978" w:rsidP="00564048">
            <w:pPr>
              <w:jc w:val="center"/>
              <w:rPr>
                <w:b/>
                <w:bCs/>
                <w:sz w:val="16"/>
              </w:rPr>
            </w:pPr>
            <w:r w:rsidRPr="001733C9">
              <w:rPr>
                <w:b/>
                <w:bCs/>
                <w:sz w:val="16"/>
              </w:rPr>
              <w:t>26 130,3</w:t>
            </w:r>
          </w:p>
        </w:tc>
        <w:tc>
          <w:tcPr>
            <w:tcW w:w="487" w:type="pct"/>
            <w:shd w:val="clear" w:color="auto" w:fill="F2F2F2" w:themeFill="background1" w:themeFillShade="F2"/>
            <w:vAlign w:val="center"/>
            <w:hideMark/>
          </w:tcPr>
          <w:p w14:paraId="06983A4D" w14:textId="77777777" w:rsidR="00246978" w:rsidRPr="001733C9" w:rsidRDefault="00246978" w:rsidP="00564048">
            <w:pPr>
              <w:jc w:val="center"/>
              <w:rPr>
                <w:b/>
                <w:bCs/>
                <w:sz w:val="16"/>
              </w:rPr>
            </w:pPr>
            <w:r w:rsidRPr="001733C9">
              <w:rPr>
                <w:b/>
                <w:bCs/>
                <w:sz w:val="16"/>
              </w:rPr>
              <w:t>94,4%</w:t>
            </w:r>
          </w:p>
        </w:tc>
        <w:tc>
          <w:tcPr>
            <w:tcW w:w="485" w:type="pct"/>
            <w:shd w:val="clear" w:color="auto" w:fill="F2F2F2" w:themeFill="background1" w:themeFillShade="F2"/>
            <w:vAlign w:val="center"/>
            <w:hideMark/>
          </w:tcPr>
          <w:p w14:paraId="19014782" w14:textId="77777777" w:rsidR="00246978" w:rsidRPr="001733C9" w:rsidRDefault="00246978" w:rsidP="00564048">
            <w:pPr>
              <w:jc w:val="center"/>
              <w:rPr>
                <w:b/>
                <w:bCs/>
                <w:sz w:val="16"/>
              </w:rPr>
            </w:pPr>
            <w:r w:rsidRPr="001733C9">
              <w:rPr>
                <w:b/>
                <w:bCs/>
                <w:sz w:val="16"/>
              </w:rPr>
              <w:t>27 239,8</w:t>
            </w:r>
          </w:p>
        </w:tc>
        <w:tc>
          <w:tcPr>
            <w:tcW w:w="486" w:type="pct"/>
            <w:shd w:val="clear" w:color="auto" w:fill="F2F2F2" w:themeFill="background1" w:themeFillShade="F2"/>
            <w:vAlign w:val="center"/>
            <w:hideMark/>
          </w:tcPr>
          <w:p w14:paraId="61210E28" w14:textId="77777777" w:rsidR="00246978" w:rsidRPr="001733C9" w:rsidRDefault="00246978" w:rsidP="00564048">
            <w:pPr>
              <w:jc w:val="center"/>
              <w:rPr>
                <w:b/>
                <w:bCs/>
                <w:sz w:val="16"/>
              </w:rPr>
            </w:pPr>
            <w:r w:rsidRPr="001733C9">
              <w:rPr>
                <w:b/>
                <w:bCs/>
                <w:sz w:val="16"/>
              </w:rPr>
              <w:t>104,2%</w:t>
            </w:r>
          </w:p>
        </w:tc>
        <w:tc>
          <w:tcPr>
            <w:tcW w:w="486" w:type="pct"/>
            <w:shd w:val="clear" w:color="auto" w:fill="F2F2F2" w:themeFill="background1" w:themeFillShade="F2"/>
            <w:vAlign w:val="center"/>
            <w:hideMark/>
          </w:tcPr>
          <w:p w14:paraId="4C28FCC2" w14:textId="77777777" w:rsidR="00246978" w:rsidRPr="001733C9" w:rsidRDefault="00246978" w:rsidP="00564048">
            <w:pPr>
              <w:jc w:val="center"/>
              <w:rPr>
                <w:b/>
                <w:bCs/>
                <w:sz w:val="16"/>
              </w:rPr>
            </w:pPr>
            <w:r w:rsidRPr="001733C9">
              <w:rPr>
                <w:b/>
                <w:bCs/>
                <w:sz w:val="16"/>
              </w:rPr>
              <w:t>27 979,4</w:t>
            </w:r>
          </w:p>
        </w:tc>
        <w:tc>
          <w:tcPr>
            <w:tcW w:w="486" w:type="pct"/>
            <w:shd w:val="clear" w:color="auto" w:fill="F2F2F2" w:themeFill="background1" w:themeFillShade="F2"/>
            <w:vAlign w:val="center"/>
            <w:hideMark/>
          </w:tcPr>
          <w:p w14:paraId="5B756B5A" w14:textId="77777777" w:rsidR="00246978" w:rsidRPr="001733C9" w:rsidRDefault="00246978" w:rsidP="00564048">
            <w:pPr>
              <w:jc w:val="center"/>
              <w:rPr>
                <w:b/>
                <w:bCs/>
                <w:sz w:val="16"/>
              </w:rPr>
            </w:pPr>
            <w:r w:rsidRPr="001733C9">
              <w:rPr>
                <w:b/>
                <w:bCs/>
                <w:sz w:val="16"/>
              </w:rPr>
              <w:t>102,7%</w:t>
            </w:r>
          </w:p>
        </w:tc>
        <w:tc>
          <w:tcPr>
            <w:tcW w:w="455" w:type="pct"/>
            <w:shd w:val="clear" w:color="auto" w:fill="F2F2F2" w:themeFill="background1" w:themeFillShade="F2"/>
            <w:vAlign w:val="center"/>
          </w:tcPr>
          <w:p w14:paraId="57C38CD6" w14:textId="7B962864" w:rsidR="00246978" w:rsidRPr="001733C9" w:rsidRDefault="00246978" w:rsidP="00B41B3E">
            <w:pPr>
              <w:jc w:val="center"/>
              <w:rPr>
                <w:b/>
                <w:bCs/>
                <w:sz w:val="16"/>
              </w:rPr>
            </w:pPr>
            <w:r w:rsidRPr="001733C9">
              <w:rPr>
                <w:b/>
                <w:bCs/>
                <w:sz w:val="16"/>
              </w:rPr>
              <w:t>101,0%</w:t>
            </w:r>
          </w:p>
        </w:tc>
        <w:tc>
          <w:tcPr>
            <w:tcW w:w="454" w:type="pct"/>
            <w:shd w:val="clear" w:color="auto" w:fill="F2F2F2" w:themeFill="background1" w:themeFillShade="F2"/>
            <w:vAlign w:val="center"/>
          </w:tcPr>
          <w:p w14:paraId="4A85F2FF" w14:textId="034A5974" w:rsidR="00246978" w:rsidRPr="001733C9" w:rsidRDefault="00AE1FFD" w:rsidP="00B41B3E">
            <w:pPr>
              <w:jc w:val="center"/>
              <w:rPr>
                <w:b/>
                <w:bCs/>
                <w:sz w:val="16"/>
              </w:rPr>
            </w:pPr>
            <w:r w:rsidRPr="001733C9">
              <w:rPr>
                <w:b/>
                <w:bCs/>
                <w:sz w:val="16"/>
              </w:rPr>
              <w:t>88,2%</w:t>
            </w:r>
          </w:p>
        </w:tc>
      </w:tr>
      <w:tr w:rsidR="00387A7B" w:rsidRPr="00387A7B" w14:paraId="1B2693F8" w14:textId="0FC7EDBE" w:rsidTr="001733C9">
        <w:trPr>
          <w:trHeight w:val="288"/>
          <w:jc w:val="center"/>
        </w:trPr>
        <w:tc>
          <w:tcPr>
            <w:tcW w:w="717" w:type="pct"/>
            <w:shd w:val="clear" w:color="auto" w:fill="FFFFFF" w:themeFill="background1"/>
            <w:vAlign w:val="center"/>
            <w:hideMark/>
          </w:tcPr>
          <w:p w14:paraId="21A8AA1B" w14:textId="77777777" w:rsidR="00246978" w:rsidRPr="00564048" w:rsidRDefault="00246978" w:rsidP="00564048">
            <w:pPr>
              <w:jc w:val="both"/>
              <w:rPr>
                <w:i/>
                <w:iCs/>
                <w:sz w:val="20"/>
              </w:rPr>
            </w:pPr>
            <w:r w:rsidRPr="00564048">
              <w:rPr>
                <w:i/>
                <w:iCs/>
                <w:sz w:val="20"/>
              </w:rPr>
              <w:t>%% к ВВП</w:t>
            </w:r>
          </w:p>
        </w:tc>
        <w:tc>
          <w:tcPr>
            <w:tcW w:w="460" w:type="pct"/>
            <w:shd w:val="clear" w:color="auto" w:fill="FFFFFF" w:themeFill="background1"/>
            <w:vAlign w:val="center"/>
            <w:hideMark/>
          </w:tcPr>
          <w:p w14:paraId="5E9294FD" w14:textId="77777777" w:rsidR="00246978" w:rsidRPr="001733C9" w:rsidRDefault="00246978" w:rsidP="00564048">
            <w:pPr>
              <w:jc w:val="center"/>
              <w:rPr>
                <w:i/>
                <w:iCs/>
                <w:sz w:val="16"/>
              </w:rPr>
            </w:pPr>
            <w:r w:rsidRPr="001733C9">
              <w:rPr>
                <w:i/>
                <w:iCs/>
                <w:sz w:val="16"/>
              </w:rPr>
              <w:t>19,0</w:t>
            </w:r>
          </w:p>
        </w:tc>
        <w:tc>
          <w:tcPr>
            <w:tcW w:w="484" w:type="pct"/>
            <w:shd w:val="clear" w:color="auto" w:fill="FFFFFF" w:themeFill="background1"/>
            <w:vAlign w:val="center"/>
            <w:hideMark/>
          </w:tcPr>
          <w:p w14:paraId="386A9D2E" w14:textId="77777777" w:rsidR="00246978" w:rsidRPr="001733C9" w:rsidRDefault="00246978" w:rsidP="00564048">
            <w:pPr>
              <w:jc w:val="center"/>
              <w:rPr>
                <w:i/>
                <w:iCs/>
                <w:sz w:val="16"/>
              </w:rPr>
            </w:pPr>
            <w:r w:rsidRPr="001733C9">
              <w:rPr>
                <w:i/>
                <w:iCs/>
                <w:sz w:val="16"/>
              </w:rPr>
              <w:t>17,4</w:t>
            </w:r>
          </w:p>
        </w:tc>
        <w:tc>
          <w:tcPr>
            <w:tcW w:w="487" w:type="pct"/>
            <w:shd w:val="clear" w:color="auto" w:fill="FFFFFF" w:themeFill="background1"/>
            <w:vAlign w:val="center"/>
            <w:hideMark/>
          </w:tcPr>
          <w:p w14:paraId="6D1CBD6F" w14:textId="5C0EB5D2" w:rsidR="00246978" w:rsidRPr="001733C9" w:rsidRDefault="00246978" w:rsidP="00564048">
            <w:pPr>
              <w:jc w:val="center"/>
              <w:rPr>
                <w:b/>
                <w:bCs/>
                <w:sz w:val="16"/>
              </w:rPr>
            </w:pPr>
            <w:r w:rsidRPr="001733C9">
              <w:rPr>
                <w:b/>
                <w:bCs/>
                <w:sz w:val="16"/>
              </w:rPr>
              <w:t>-</w:t>
            </w:r>
          </w:p>
        </w:tc>
        <w:tc>
          <w:tcPr>
            <w:tcW w:w="485" w:type="pct"/>
            <w:shd w:val="clear" w:color="auto" w:fill="FFFFFF" w:themeFill="background1"/>
            <w:vAlign w:val="center"/>
            <w:hideMark/>
          </w:tcPr>
          <w:p w14:paraId="029C2F5C" w14:textId="77777777" w:rsidR="00246978" w:rsidRPr="001733C9" w:rsidRDefault="00246978" w:rsidP="00564048">
            <w:pPr>
              <w:jc w:val="center"/>
              <w:rPr>
                <w:i/>
                <w:iCs/>
                <w:sz w:val="16"/>
              </w:rPr>
            </w:pPr>
            <w:r w:rsidRPr="001733C9">
              <w:rPr>
                <w:i/>
                <w:iCs/>
                <w:sz w:val="16"/>
              </w:rPr>
              <w:t>17,1</w:t>
            </w:r>
          </w:p>
        </w:tc>
        <w:tc>
          <w:tcPr>
            <w:tcW w:w="486" w:type="pct"/>
            <w:shd w:val="clear" w:color="auto" w:fill="FFFFFF" w:themeFill="background1"/>
            <w:vAlign w:val="center"/>
            <w:hideMark/>
          </w:tcPr>
          <w:p w14:paraId="3CD17C6B" w14:textId="3C764B4F" w:rsidR="00246978" w:rsidRPr="001733C9" w:rsidRDefault="00246978" w:rsidP="00564048">
            <w:pPr>
              <w:jc w:val="center"/>
              <w:rPr>
                <w:b/>
                <w:bCs/>
                <w:sz w:val="16"/>
              </w:rPr>
            </w:pPr>
            <w:r w:rsidRPr="001733C9">
              <w:rPr>
                <w:b/>
                <w:bCs/>
                <w:sz w:val="16"/>
              </w:rPr>
              <w:t>-</w:t>
            </w:r>
          </w:p>
        </w:tc>
        <w:tc>
          <w:tcPr>
            <w:tcW w:w="486" w:type="pct"/>
            <w:shd w:val="clear" w:color="auto" w:fill="FFFFFF" w:themeFill="background1"/>
            <w:vAlign w:val="center"/>
            <w:hideMark/>
          </w:tcPr>
          <w:p w14:paraId="4B9EDDDA" w14:textId="77777777" w:rsidR="00246978" w:rsidRPr="001733C9" w:rsidRDefault="00246978" w:rsidP="00564048">
            <w:pPr>
              <w:jc w:val="center"/>
              <w:rPr>
                <w:i/>
                <w:iCs/>
                <w:sz w:val="16"/>
              </w:rPr>
            </w:pPr>
            <w:r w:rsidRPr="001733C9">
              <w:rPr>
                <w:i/>
                <w:iCs/>
                <w:sz w:val="16"/>
              </w:rPr>
              <w:t>16,4</w:t>
            </w:r>
          </w:p>
        </w:tc>
        <w:tc>
          <w:tcPr>
            <w:tcW w:w="486" w:type="pct"/>
            <w:shd w:val="clear" w:color="auto" w:fill="FFFFFF" w:themeFill="background1"/>
            <w:vAlign w:val="center"/>
            <w:hideMark/>
          </w:tcPr>
          <w:p w14:paraId="28B1E1E4" w14:textId="5DBED23B" w:rsidR="00246978" w:rsidRPr="001733C9" w:rsidRDefault="00246978" w:rsidP="00564048">
            <w:pPr>
              <w:jc w:val="center"/>
              <w:rPr>
                <w:b/>
                <w:bCs/>
                <w:sz w:val="16"/>
              </w:rPr>
            </w:pPr>
            <w:r w:rsidRPr="001733C9">
              <w:rPr>
                <w:b/>
                <w:bCs/>
                <w:sz w:val="16"/>
              </w:rPr>
              <w:t>-</w:t>
            </w:r>
          </w:p>
        </w:tc>
        <w:tc>
          <w:tcPr>
            <w:tcW w:w="455" w:type="pct"/>
            <w:shd w:val="clear" w:color="auto" w:fill="FFFFFF" w:themeFill="background1"/>
            <w:vAlign w:val="center"/>
          </w:tcPr>
          <w:p w14:paraId="649F6C9E" w14:textId="77777777" w:rsidR="00246978" w:rsidRPr="001733C9" w:rsidRDefault="00246978" w:rsidP="00B41B3E">
            <w:pPr>
              <w:jc w:val="center"/>
              <w:rPr>
                <w:b/>
                <w:bCs/>
                <w:sz w:val="16"/>
              </w:rPr>
            </w:pPr>
          </w:p>
        </w:tc>
        <w:tc>
          <w:tcPr>
            <w:tcW w:w="454" w:type="pct"/>
            <w:shd w:val="clear" w:color="auto" w:fill="FFFFFF" w:themeFill="background1"/>
            <w:vAlign w:val="center"/>
          </w:tcPr>
          <w:p w14:paraId="03F841FB" w14:textId="77777777" w:rsidR="00246978" w:rsidRPr="001733C9" w:rsidRDefault="00246978" w:rsidP="00B41B3E">
            <w:pPr>
              <w:jc w:val="center"/>
              <w:rPr>
                <w:b/>
                <w:bCs/>
                <w:sz w:val="16"/>
              </w:rPr>
            </w:pPr>
          </w:p>
        </w:tc>
      </w:tr>
      <w:tr w:rsidR="00387A7B" w:rsidRPr="00387A7B" w14:paraId="2FC88744" w14:textId="6607F740" w:rsidTr="001733C9">
        <w:trPr>
          <w:trHeight w:val="288"/>
          <w:jc w:val="center"/>
        </w:trPr>
        <w:tc>
          <w:tcPr>
            <w:tcW w:w="717" w:type="pct"/>
            <w:shd w:val="clear" w:color="auto" w:fill="F2F2F2" w:themeFill="background1" w:themeFillShade="F2"/>
            <w:vAlign w:val="center"/>
            <w:hideMark/>
          </w:tcPr>
          <w:p w14:paraId="32074F83" w14:textId="77777777" w:rsidR="00246978" w:rsidRPr="00564048" w:rsidRDefault="00246978" w:rsidP="00564048">
            <w:pPr>
              <w:jc w:val="both"/>
              <w:rPr>
                <w:b/>
                <w:bCs/>
                <w:sz w:val="20"/>
              </w:rPr>
            </w:pPr>
            <w:r w:rsidRPr="00564048">
              <w:rPr>
                <w:b/>
                <w:bCs/>
                <w:sz w:val="20"/>
              </w:rPr>
              <w:t xml:space="preserve">Расходы, всего </w:t>
            </w:r>
          </w:p>
        </w:tc>
        <w:tc>
          <w:tcPr>
            <w:tcW w:w="460" w:type="pct"/>
            <w:shd w:val="clear" w:color="auto" w:fill="F2F2F2" w:themeFill="background1" w:themeFillShade="F2"/>
            <w:vAlign w:val="center"/>
            <w:hideMark/>
          </w:tcPr>
          <w:p w14:paraId="5D8213D4" w14:textId="77777777" w:rsidR="00246978" w:rsidRPr="001733C9" w:rsidRDefault="00246978" w:rsidP="00564048">
            <w:pPr>
              <w:jc w:val="center"/>
              <w:rPr>
                <w:b/>
                <w:bCs/>
                <w:sz w:val="16"/>
              </w:rPr>
            </w:pPr>
            <w:r w:rsidRPr="001733C9">
              <w:rPr>
                <w:b/>
                <w:bCs/>
                <w:sz w:val="16"/>
              </w:rPr>
              <w:t>29 006,2</w:t>
            </w:r>
          </w:p>
        </w:tc>
        <w:tc>
          <w:tcPr>
            <w:tcW w:w="484" w:type="pct"/>
            <w:shd w:val="clear" w:color="auto" w:fill="F2F2F2" w:themeFill="background1" w:themeFillShade="F2"/>
            <w:vAlign w:val="center"/>
            <w:hideMark/>
          </w:tcPr>
          <w:p w14:paraId="623F918B" w14:textId="77777777" w:rsidR="00246978" w:rsidRPr="001733C9" w:rsidRDefault="00246978" w:rsidP="00564048">
            <w:pPr>
              <w:jc w:val="center"/>
              <w:rPr>
                <w:b/>
                <w:bCs/>
                <w:sz w:val="16"/>
              </w:rPr>
            </w:pPr>
            <w:r w:rsidRPr="001733C9">
              <w:rPr>
                <w:b/>
                <w:bCs/>
                <w:sz w:val="16"/>
              </w:rPr>
              <w:t>29 055,6</w:t>
            </w:r>
          </w:p>
        </w:tc>
        <w:tc>
          <w:tcPr>
            <w:tcW w:w="487" w:type="pct"/>
            <w:shd w:val="clear" w:color="auto" w:fill="F2F2F2" w:themeFill="background1" w:themeFillShade="F2"/>
            <w:vAlign w:val="center"/>
            <w:hideMark/>
          </w:tcPr>
          <w:p w14:paraId="3BBF600E" w14:textId="77777777" w:rsidR="00246978" w:rsidRPr="001733C9" w:rsidRDefault="00246978" w:rsidP="00564048">
            <w:pPr>
              <w:jc w:val="center"/>
              <w:rPr>
                <w:b/>
                <w:bCs/>
                <w:sz w:val="16"/>
              </w:rPr>
            </w:pPr>
            <w:r w:rsidRPr="001733C9">
              <w:rPr>
                <w:b/>
                <w:bCs/>
                <w:sz w:val="16"/>
              </w:rPr>
              <w:t>100,2%</w:t>
            </w:r>
          </w:p>
        </w:tc>
        <w:tc>
          <w:tcPr>
            <w:tcW w:w="485" w:type="pct"/>
            <w:shd w:val="clear" w:color="auto" w:fill="F2F2F2" w:themeFill="background1" w:themeFillShade="F2"/>
            <w:vAlign w:val="center"/>
            <w:hideMark/>
          </w:tcPr>
          <w:p w14:paraId="37D4DBC4" w14:textId="77777777" w:rsidR="00246978" w:rsidRPr="001733C9" w:rsidRDefault="00246978" w:rsidP="00564048">
            <w:pPr>
              <w:jc w:val="center"/>
              <w:rPr>
                <w:b/>
                <w:bCs/>
                <w:sz w:val="16"/>
              </w:rPr>
            </w:pPr>
            <w:r w:rsidRPr="001733C9">
              <w:rPr>
                <w:b/>
                <w:bCs/>
                <w:sz w:val="16"/>
              </w:rPr>
              <w:t>29 432,5</w:t>
            </w:r>
          </w:p>
        </w:tc>
        <w:tc>
          <w:tcPr>
            <w:tcW w:w="486" w:type="pct"/>
            <w:shd w:val="clear" w:color="auto" w:fill="F2F2F2" w:themeFill="background1" w:themeFillShade="F2"/>
            <w:vAlign w:val="center"/>
            <w:hideMark/>
          </w:tcPr>
          <w:p w14:paraId="7BFFD081" w14:textId="77777777" w:rsidR="00246978" w:rsidRPr="001733C9" w:rsidRDefault="00246978" w:rsidP="00564048">
            <w:pPr>
              <w:jc w:val="center"/>
              <w:rPr>
                <w:b/>
                <w:bCs/>
                <w:sz w:val="16"/>
              </w:rPr>
            </w:pPr>
            <w:r w:rsidRPr="001733C9">
              <w:rPr>
                <w:b/>
                <w:bCs/>
                <w:sz w:val="16"/>
              </w:rPr>
              <w:t>101,3%</w:t>
            </w:r>
          </w:p>
        </w:tc>
        <w:tc>
          <w:tcPr>
            <w:tcW w:w="486" w:type="pct"/>
            <w:shd w:val="clear" w:color="auto" w:fill="F2F2F2" w:themeFill="background1" w:themeFillShade="F2"/>
            <w:vAlign w:val="center"/>
            <w:hideMark/>
          </w:tcPr>
          <w:p w14:paraId="1FEEF10E" w14:textId="77777777" w:rsidR="00246978" w:rsidRPr="001733C9" w:rsidRDefault="00246978" w:rsidP="00564048">
            <w:pPr>
              <w:jc w:val="center"/>
              <w:rPr>
                <w:b/>
                <w:bCs/>
                <w:sz w:val="16"/>
              </w:rPr>
            </w:pPr>
            <w:r w:rsidRPr="001733C9">
              <w:rPr>
                <w:b/>
                <w:bCs/>
                <w:sz w:val="16"/>
              </w:rPr>
              <w:t>29 243,7</w:t>
            </w:r>
          </w:p>
        </w:tc>
        <w:tc>
          <w:tcPr>
            <w:tcW w:w="486" w:type="pct"/>
            <w:shd w:val="clear" w:color="auto" w:fill="F2F2F2" w:themeFill="background1" w:themeFillShade="F2"/>
            <w:vAlign w:val="center"/>
            <w:hideMark/>
          </w:tcPr>
          <w:p w14:paraId="2CA27A3B" w14:textId="77777777" w:rsidR="00246978" w:rsidRPr="001733C9" w:rsidRDefault="00246978" w:rsidP="00564048">
            <w:pPr>
              <w:jc w:val="center"/>
              <w:rPr>
                <w:b/>
                <w:bCs/>
                <w:sz w:val="16"/>
              </w:rPr>
            </w:pPr>
            <w:r w:rsidRPr="001733C9">
              <w:rPr>
                <w:b/>
                <w:bCs/>
                <w:sz w:val="16"/>
              </w:rPr>
              <w:t>99,4%</w:t>
            </w:r>
          </w:p>
        </w:tc>
        <w:tc>
          <w:tcPr>
            <w:tcW w:w="455" w:type="pct"/>
            <w:shd w:val="clear" w:color="auto" w:fill="F2F2F2" w:themeFill="background1" w:themeFillShade="F2"/>
            <w:vAlign w:val="center"/>
          </w:tcPr>
          <w:p w14:paraId="304073CD" w14:textId="4527E7B3" w:rsidR="00246978" w:rsidRPr="001733C9" w:rsidRDefault="00246978" w:rsidP="00B41B3E">
            <w:pPr>
              <w:jc w:val="center"/>
              <w:rPr>
                <w:b/>
                <w:bCs/>
                <w:sz w:val="16"/>
              </w:rPr>
            </w:pPr>
            <w:r w:rsidRPr="001733C9">
              <w:rPr>
                <w:b/>
                <w:bCs/>
                <w:sz w:val="16"/>
              </w:rPr>
              <w:t>100,9%</w:t>
            </w:r>
          </w:p>
        </w:tc>
        <w:tc>
          <w:tcPr>
            <w:tcW w:w="454" w:type="pct"/>
            <w:shd w:val="clear" w:color="auto" w:fill="F2F2F2" w:themeFill="background1" w:themeFillShade="F2"/>
            <w:vAlign w:val="center"/>
          </w:tcPr>
          <w:p w14:paraId="5AA52D83" w14:textId="1B37F815" w:rsidR="00246978" w:rsidRPr="001733C9" w:rsidRDefault="00AE1FFD" w:rsidP="00B41B3E">
            <w:pPr>
              <w:jc w:val="center"/>
              <w:rPr>
                <w:b/>
                <w:bCs/>
                <w:sz w:val="16"/>
              </w:rPr>
            </w:pPr>
            <w:r w:rsidRPr="001733C9">
              <w:rPr>
                <w:b/>
                <w:bCs/>
                <w:sz w:val="16"/>
              </w:rPr>
              <w:t>87,6%</w:t>
            </w:r>
          </w:p>
        </w:tc>
      </w:tr>
      <w:tr w:rsidR="00387A7B" w:rsidRPr="00387A7B" w14:paraId="6A5ADAB3" w14:textId="0DCFDD93" w:rsidTr="001733C9">
        <w:trPr>
          <w:trHeight w:val="288"/>
          <w:jc w:val="center"/>
        </w:trPr>
        <w:tc>
          <w:tcPr>
            <w:tcW w:w="717" w:type="pct"/>
            <w:shd w:val="clear" w:color="auto" w:fill="FFFFFF" w:themeFill="background1"/>
            <w:vAlign w:val="center"/>
            <w:hideMark/>
          </w:tcPr>
          <w:p w14:paraId="3AFA13E5" w14:textId="77777777" w:rsidR="00246978" w:rsidRPr="00564048" w:rsidRDefault="00246978" w:rsidP="00564048">
            <w:pPr>
              <w:jc w:val="both"/>
              <w:rPr>
                <w:i/>
                <w:iCs/>
                <w:sz w:val="20"/>
              </w:rPr>
            </w:pPr>
            <w:r w:rsidRPr="00564048">
              <w:rPr>
                <w:i/>
                <w:iCs/>
                <w:sz w:val="20"/>
              </w:rPr>
              <w:t>%% к ВВП</w:t>
            </w:r>
          </w:p>
        </w:tc>
        <w:tc>
          <w:tcPr>
            <w:tcW w:w="460" w:type="pct"/>
            <w:shd w:val="clear" w:color="auto" w:fill="FFFFFF" w:themeFill="background1"/>
            <w:vAlign w:val="center"/>
            <w:hideMark/>
          </w:tcPr>
          <w:p w14:paraId="26DA0A04" w14:textId="77777777" w:rsidR="00246978" w:rsidRPr="001733C9" w:rsidRDefault="00246978" w:rsidP="00564048">
            <w:pPr>
              <w:jc w:val="center"/>
              <w:rPr>
                <w:i/>
                <w:iCs/>
                <w:sz w:val="16"/>
              </w:rPr>
            </w:pPr>
            <w:r w:rsidRPr="001733C9">
              <w:rPr>
                <w:i/>
                <w:iCs/>
                <w:sz w:val="16"/>
              </w:rPr>
              <w:t>19,9</w:t>
            </w:r>
          </w:p>
        </w:tc>
        <w:tc>
          <w:tcPr>
            <w:tcW w:w="484" w:type="pct"/>
            <w:shd w:val="clear" w:color="auto" w:fill="FFFFFF" w:themeFill="background1"/>
            <w:vAlign w:val="center"/>
            <w:hideMark/>
          </w:tcPr>
          <w:p w14:paraId="15BEFC6B" w14:textId="77777777" w:rsidR="00246978" w:rsidRPr="001733C9" w:rsidRDefault="00246978" w:rsidP="00564048">
            <w:pPr>
              <w:jc w:val="center"/>
              <w:rPr>
                <w:i/>
                <w:iCs/>
                <w:sz w:val="16"/>
              </w:rPr>
            </w:pPr>
            <w:r w:rsidRPr="001733C9">
              <w:rPr>
                <w:i/>
                <w:iCs/>
                <w:sz w:val="16"/>
              </w:rPr>
              <w:t>19,4</w:t>
            </w:r>
          </w:p>
        </w:tc>
        <w:tc>
          <w:tcPr>
            <w:tcW w:w="487" w:type="pct"/>
            <w:shd w:val="clear" w:color="auto" w:fill="FFFFFF" w:themeFill="background1"/>
            <w:vAlign w:val="center"/>
            <w:hideMark/>
          </w:tcPr>
          <w:p w14:paraId="5AE65ADA" w14:textId="54A29806" w:rsidR="00246978" w:rsidRPr="001733C9" w:rsidRDefault="00246978" w:rsidP="00564048">
            <w:pPr>
              <w:jc w:val="center"/>
              <w:rPr>
                <w:b/>
                <w:bCs/>
                <w:sz w:val="16"/>
              </w:rPr>
            </w:pPr>
            <w:r w:rsidRPr="001733C9">
              <w:rPr>
                <w:b/>
                <w:bCs/>
                <w:sz w:val="16"/>
              </w:rPr>
              <w:t>-</w:t>
            </w:r>
          </w:p>
        </w:tc>
        <w:tc>
          <w:tcPr>
            <w:tcW w:w="485" w:type="pct"/>
            <w:shd w:val="clear" w:color="auto" w:fill="FFFFFF" w:themeFill="background1"/>
            <w:vAlign w:val="center"/>
            <w:hideMark/>
          </w:tcPr>
          <w:p w14:paraId="5238500F" w14:textId="77777777" w:rsidR="00246978" w:rsidRPr="001733C9" w:rsidRDefault="00246978" w:rsidP="00564048">
            <w:pPr>
              <w:jc w:val="center"/>
              <w:rPr>
                <w:i/>
                <w:iCs/>
                <w:sz w:val="16"/>
              </w:rPr>
            </w:pPr>
            <w:r w:rsidRPr="001733C9">
              <w:rPr>
                <w:i/>
                <w:iCs/>
                <w:sz w:val="16"/>
              </w:rPr>
              <w:t>18,4</w:t>
            </w:r>
          </w:p>
        </w:tc>
        <w:tc>
          <w:tcPr>
            <w:tcW w:w="486" w:type="pct"/>
            <w:shd w:val="clear" w:color="auto" w:fill="FFFFFF" w:themeFill="background1"/>
            <w:vAlign w:val="center"/>
            <w:hideMark/>
          </w:tcPr>
          <w:p w14:paraId="55643ABF" w14:textId="5F176D5E" w:rsidR="00246978" w:rsidRPr="001733C9" w:rsidRDefault="00246978" w:rsidP="00564048">
            <w:pPr>
              <w:jc w:val="center"/>
              <w:rPr>
                <w:b/>
                <w:bCs/>
                <w:sz w:val="16"/>
              </w:rPr>
            </w:pPr>
            <w:r w:rsidRPr="001733C9">
              <w:rPr>
                <w:b/>
                <w:bCs/>
                <w:sz w:val="16"/>
              </w:rPr>
              <w:t>-</w:t>
            </w:r>
          </w:p>
        </w:tc>
        <w:tc>
          <w:tcPr>
            <w:tcW w:w="486" w:type="pct"/>
            <w:shd w:val="clear" w:color="auto" w:fill="FFFFFF" w:themeFill="background1"/>
            <w:vAlign w:val="center"/>
            <w:hideMark/>
          </w:tcPr>
          <w:p w14:paraId="012E8F6D" w14:textId="77777777" w:rsidR="00246978" w:rsidRPr="001733C9" w:rsidRDefault="00246978" w:rsidP="00564048">
            <w:pPr>
              <w:jc w:val="center"/>
              <w:rPr>
                <w:i/>
                <w:iCs/>
                <w:sz w:val="16"/>
              </w:rPr>
            </w:pPr>
            <w:r w:rsidRPr="001733C9">
              <w:rPr>
                <w:i/>
                <w:iCs/>
                <w:sz w:val="16"/>
              </w:rPr>
              <w:t>17,1</w:t>
            </w:r>
          </w:p>
        </w:tc>
        <w:tc>
          <w:tcPr>
            <w:tcW w:w="486" w:type="pct"/>
            <w:shd w:val="clear" w:color="auto" w:fill="FFFFFF" w:themeFill="background1"/>
            <w:vAlign w:val="center"/>
            <w:hideMark/>
          </w:tcPr>
          <w:p w14:paraId="7240FA7F" w14:textId="3C89959E" w:rsidR="00246978" w:rsidRPr="001733C9" w:rsidRDefault="00246978" w:rsidP="00564048">
            <w:pPr>
              <w:jc w:val="center"/>
              <w:rPr>
                <w:b/>
                <w:bCs/>
                <w:sz w:val="16"/>
              </w:rPr>
            </w:pPr>
            <w:r w:rsidRPr="001733C9">
              <w:rPr>
                <w:b/>
                <w:bCs/>
                <w:sz w:val="16"/>
              </w:rPr>
              <w:t>-</w:t>
            </w:r>
          </w:p>
        </w:tc>
        <w:tc>
          <w:tcPr>
            <w:tcW w:w="455" w:type="pct"/>
            <w:shd w:val="clear" w:color="auto" w:fill="FFFFFF" w:themeFill="background1"/>
            <w:vAlign w:val="center"/>
          </w:tcPr>
          <w:p w14:paraId="33E3DD36" w14:textId="77777777" w:rsidR="00246978" w:rsidRPr="001733C9" w:rsidRDefault="00246978" w:rsidP="00B41B3E">
            <w:pPr>
              <w:jc w:val="center"/>
              <w:rPr>
                <w:b/>
                <w:bCs/>
                <w:sz w:val="16"/>
              </w:rPr>
            </w:pPr>
          </w:p>
        </w:tc>
        <w:tc>
          <w:tcPr>
            <w:tcW w:w="454" w:type="pct"/>
            <w:shd w:val="clear" w:color="auto" w:fill="FFFFFF" w:themeFill="background1"/>
            <w:vAlign w:val="center"/>
          </w:tcPr>
          <w:p w14:paraId="7A7401DA" w14:textId="77777777" w:rsidR="00246978" w:rsidRPr="001733C9" w:rsidRDefault="00246978" w:rsidP="00B41B3E">
            <w:pPr>
              <w:jc w:val="center"/>
              <w:rPr>
                <w:b/>
                <w:bCs/>
                <w:sz w:val="16"/>
              </w:rPr>
            </w:pPr>
          </w:p>
        </w:tc>
      </w:tr>
      <w:tr w:rsidR="00387A7B" w:rsidRPr="00387A7B" w14:paraId="3444929F" w14:textId="42E28164" w:rsidTr="001733C9">
        <w:trPr>
          <w:trHeight w:val="288"/>
          <w:jc w:val="center"/>
        </w:trPr>
        <w:tc>
          <w:tcPr>
            <w:tcW w:w="717" w:type="pct"/>
            <w:shd w:val="clear" w:color="auto" w:fill="F2F2F2" w:themeFill="background1" w:themeFillShade="F2"/>
            <w:vAlign w:val="center"/>
          </w:tcPr>
          <w:p w14:paraId="72490B66" w14:textId="4412DD81" w:rsidR="00246978" w:rsidRPr="00387A7B" w:rsidRDefault="00246978" w:rsidP="00564048">
            <w:pPr>
              <w:rPr>
                <w:sz w:val="20"/>
              </w:rPr>
            </w:pPr>
            <w:r w:rsidRPr="00387A7B">
              <w:rPr>
                <w:kern w:val="24"/>
                <w:sz w:val="20"/>
              </w:rPr>
              <w:t>Инфляция (ИПЦ), % к декабрю пред. Года</w:t>
            </w:r>
          </w:p>
        </w:tc>
        <w:tc>
          <w:tcPr>
            <w:tcW w:w="460" w:type="pct"/>
            <w:shd w:val="clear" w:color="auto" w:fill="F2F2F2" w:themeFill="background1" w:themeFillShade="F2"/>
            <w:vAlign w:val="center"/>
          </w:tcPr>
          <w:p w14:paraId="774735F9" w14:textId="5CD91D01" w:rsidR="00246978" w:rsidRPr="001733C9" w:rsidRDefault="00246978" w:rsidP="00564048">
            <w:pPr>
              <w:jc w:val="center"/>
              <w:rPr>
                <w:b/>
                <w:bCs/>
                <w:sz w:val="16"/>
              </w:rPr>
            </w:pPr>
            <w:r w:rsidRPr="001733C9">
              <w:rPr>
                <w:b/>
                <w:bCs/>
                <w:sz w:val="16"/>
              </w:rPr>
              <w:t>12,4%</w:t>
            </w:r>
          </w:p>
        </w:tc>
        <w:tc>
          <w:tcPr>
            <w:tcW w:w="484" w:type="pct"/>
            <w:shd w:val="clear" w:color="auto" w:fill="F2F2F2" w:themeFill="background1" w:themeFillShade="F2"/>
            <w:vAlign w:val="center"/>
          </w:tcPr>
          <w:p w14:paraId="01EE7D48" w14:textId="2D4AAC8C" w:rsidR="00246978" w:rsidRPr="001733C9" w:rsidRDefault="00246978" w:rsidP="00564048">
            <w:pPr>
              <w:jc w:val="center"/>
              <w:rPr>
                <w:b/>
                <w:bCs/>
                <w:sz w:val="16"/>
              </w:rPr>
            </w:pPr>
            <w:r w:rsidRPr="001733C9">
              <w:rPr>
                <w:b/>
                <w:bCs/>
                <w:sz w:val="16"/>
              </w:rPr>
              <w:t>5,5%</w:t>
            </w:r>
          </w:p>
        </w:tc>
        <w:tc>
          <w:tcPr>
            <w:tcW w:w="487" w:type="pct"/>
            <w:shd w:val="clear" w:color="auto" w:fill="F2F2F2" w:themeFill="background1" w:themeFillShade="F2"/>
            <w:vAlign w:val="center"/>
          </w:tcPr>
          <w:p w14:paraId="3548F552" w14:textId="2D2FAD80" w:rsidR="00246978" w:rsidRPr="001733C9" w:rsidRDefault="00246978" w:rsidP="00564048">
            <w:pPr>
              <w:jc w:val="center"/>
              <w:rPr>
                <w:b/>
                <w:bCs/>
                <w:sz w:val="16"/>
              </w:rPr>
            </w:pPr>
            <w:r w:rsidRPr="001733C9">
              <w:rPr>
                <w:b/>
                <w:bCs/>
                <w:sz w:val="16"/>
              </w:rPr>
              <w:t>-</w:t>
            </w:r>
          </w:p>
        </w:tc>
        <w:tc>
          <w:tcPr>
            <w:tcW w:w="485" w:type="pct"/>
            <w:shd w:val="clear" w:color="auto" w:fill="F2F2F2" w:themeFill="background1" w:themeFillShade="F2"/>
            <w:vAlign w:val="center"/>
          </w:tcPr>
          <w:p w14:paraId="4AF80D2D" w14:textId="01080EE2" w:rsidR="00246978" w:rsidRPr="001733C9" w:rsidRDefault="00246978" w:rsidP="00564048">
            <w:pPr>
              <w:jc w:val="center"/>
              <w:rPr>
                <w:b/>
                <w:bCs/>
                <w:sz w:val="16"/>
              </w:rPr>
            </w:pPr>
            <w:r w:rsidRPr="001733C9">
              <w:rPr>
                <w:b/>
                <w:bCs/>
                <w:sz w:val="16"/>
              </w:rPr>
              <w:t>4%</w:t>
            </w:r>
          </w:p>
        </w:tc>
        <w:tc>
          <w:tcPr>
            <w:tcW w:w="486" w:type="pct"/>
            <w:shd w:val="clear" w:color="auto" w:fill="F2F2F2" w:themeFill="background1" w:themeFillShade="F2"/>
            <w:vAlign w:val="center"/>
          </w:tcPr>
          <w:p w14:paraId="291E65A5" w14:textId="191FC039" w:rsidR="00246978" w:rsidRPr="001733C9" w:rsidRDefault="00246978" w:rsidP="00564048">
            <w:pPr>
              <w:jc w:val="center"/>
              <w:rPr>
                <w:b/>
                <w:bCs/>
                <w:sz w:val="16"/>
              </w:rPr>
            </w:pPr>
            <w:r w:rsidRPr="001733C9">
              <w:rPr>
                <w:b/>
                <w:bCs/>
                <w:sz w:val="16"/>
              </w:rPr>
              <w:t>-</w:t>
            </w:r>
          </w:p>
        </w:tc>
        <w:tc>
          <w:tcPr>
            <w:tcW w:w="486" w:type="pct"/>
            <w:shd w:val="clear" w:color="auto" w:fill="F2F2F2" w:themeFill="background1" w:themeFillShade="F2"/>
            <w:vAlign w:val="center"/>
          </w:tcPr>
          <w:p w14:paraId="0E2E2CCF" w14:textId="08491DA9" w:rsidR="00246978" w:rsidRPr="001733C9" w:rsidRDefault="00246978" w:rsidP="00564048">
            <w:pPr>
              <w:jc w:val="center"/>
              <w:rPr>
                <w:b/>
                <w:bCs/>
                <w:sz w:val="16"/>
              </w:rPr>
            </w:pPr>
            <w:r w:rsidRPr="001733C9">
              <w:rPr>
                <w:b/>
                <w:bCs/>
                <w:sz w:val="16"/>
              </w:rPr>
              <w:t>4%</w:t>
            </w:r>
          </w:p>
        </w:tc>
        <w:tc>
          <w:tcPr>
            <w:tcW w:w="486" w:type="pct"/>
            <w:shd w:val="clear" w:color="auto" w:fill="F2F2F2" w:themeFill="background1" w:themeFillShade="F2"/>
            <w:vAlign w:val="center"/>
          </w:tcPr>
          <w:p w14:paraId="1C79A7B7" w14:textId="78039F01" w:rsidR="00246978" w:rsidRPr="001733C9" w:rsidRDefault="00246978" w:rsidP="00564048">
            <w:pPr>
              <w:jc w:val="center"/>
              <w:rPr>
                <w:b/>
                <w:bCs/>
                <w:sz w:val="16"/>
              </w:rPr>
            </w:pPr>
            <w:r w:rsidRPr="001733C9">
              <w:rPr>
                <w:b/>
                <w:bCs/>
                <w:sz w:val="16"/>
              </w:rPr>
              <w:t>-</w:t>
            </w:r>
          </w:p>
        </w:tc>
        <w:tc>
          <w:tcPr>
            <w:tcW w:w="455" w:type="pct"/>
            <w:shd w:val="clear" w:color="auto" w:fill="F2F2F2" w:themeFill="background1" w:themeFillShade="F2"/>
            <w:vAlign w:val="center"/>
          </w:tcPr>
          <w:p w14:paraId="628EE77F" w14:textId="50E4F944" w:rsidR="00246978" w:rsidRPr="001733C9" w:rsidRDefault="00246978" w:rsidP="00B41B3E">
            <w:pPr>
              <w:jc w:val="center"/>
              <w:rPr>
                <w:b/>
                <w:bCs/>
                <w:sz w:val="16"/>
              </w:rPr>
            </w:pPr>
            <w:r w:rsidRPr="001733C9">
              <w:rPr>
                <w:b/>
                <w:bCs/>
                <w:sz w:val="16"/>
              </w:rPr>
              <w:t>14,1%</w:t>
            </w:r>
          </w:p>
        </w:tc>
        <w:tc>
          <w:tcPr>
            <w:tcW w:w="454" w:type="pct"/>
            <w:shd w:val="clear" w:color="auto" w:fill="F2F2F2" w:themeFill="background1" w:themeFillShade="F2"/>
            <w:vAlign w:val="center"/>
          </w:tcPr>
          <w:p w14:paraId="068AB352" w14:textId="2142271C" w:rsidR="00246978" w:rsidRPr="001733C9" w:rsidRDefault="00AE1FFD" w:rsidP="00B41B3E">
            <w:pPr>
              <w:jc w:val="center"/>
              <w:rPr>
                <w:b/>
                <w:bCs/>
                <w:sz w:val="16"/>
              </w:rPr>
            </w:pPr>
            <w:r w:rsidRPr="001733C9">
              <w:rPr>
                <w:b/>
                <w:bCs/>
                <w:sz w:val="16"/>
              </w:rPr>
              <w:t>-</w:t>
            </w:r>
          </w:p>
        </w:tc>
      </w:tr>
    </w:tbl>
    <w:p w14:paraId="37B9E775" w14:textId="2703B94A" w:rsidR="00387A7B" w:rsidRPr="00387A7B" w:rsidRDefault="00E56BC6" w:rsidP="00387A7B">
      <w:pPr>
        <w:pStyle w:val="aa"/>
        <w:autoSpaceDE w:val="0"/>
        <w:autoSpaceDN w:val="0"/>
        <w:adjustRightInd w:val="0"/>
        <w:spacing w:after="0" w:line="360" w:lineRule="auto"/>
        <w:ind w:left="980"/>
        <w:rPr>
          <w:rFonts w:ascii="Times New Roman" w:hAnsi="Times New Roman"/>
          <w:i/>
          <w:iCs/>
          <w:sz w:val="24"/>
          <w:szCs w:val="24"/>
        </w:rPr>
      </w:pPr>
      <w:r>
        <w:rPr>
          <w:rFonts w:ascii="Times New Roman" w:hAnsi="Times New Roman"/>
          <w:i/>
          <w:iCs/>
          <w:sz w:val="24"/>
          <w:szCs w:val="24"/>
        </w:rPr>
        <w:t xml:space="preserve">Источник: </w:t>
      </w:r>
      <w:r w:rsidR="00387A7B" w:rsidRPr="00387A7B">
        <w:rPr>
          <w:rFonts w:ascii="Times New Roman" w:hAnsi="Times New Roman"/>
          <w:i/>
          <w:iCs/>
          <w:sz w:val="24"/>
          <w:szCs w:val="24"/>
        </w:rPr>
        <w:t>Составлено на основе данных законопроекта</w:t>
      </w:r>
    </w:p>
    <w:p w14:paraId="537137DD" w14:textId="77777777" w:rsidR="00D80E71" w:rsidRPr="00387A7B" w:rsidRDefault="00D80E71" w:rsidP="00D80E71">
      <w:pPr>
        <w:spacing w:line="360" w:lineRule="auto"/>
        <w:ind w:firstLine="708"/>
        <w:jc w:val="both"/>
        <w:rPr>
          <w:sz w:val="24"/>
          <w:szCs w:val="24"/>
        </w:rPr>
      </w:pPr>
      <w:r w:rsidRPr="00387A7B">
        <w:rPr>
          <w:sz w:val="24"/>
          <w:szCs w:val="24"/>
        </w:rPr>
        <w:t xml:space="preserve">Опережающее сокращение расходов над доходами в реальном и относительном выражении обеспечит снижение дефицита федерального бюджета в процентах к ВВП с 2-х до 0,7 процентов (или с 2,9 до 1,3 трлн руб.), что, на наш взгляд, обеспечит устойчивость государственных финансов в условиях повышенной волатильности российского финансового рынка. Указанные тенденции вместе с тем отражают определенное снижение степени активности бюджетного вмешательства в экономику в прогнозном периоде после принятых в 2022 году </w:t>
      </w:r>
      <w:r w:rsidRPr="00387A7B">
        <w:rPr>
          <w:sz w:val="24"/>
          <w:szCs w:val="24"/>
        </w:rPr>
        <w:lastRenderedPageBreak/>
        <w:t>масштабных стабилизационных мер в рамках противодействия санкционному давлению для поддержания деловой и инвестиционной активности в российской экономике.</w:t>
      </w:r>
    </w:p>
    <w:p w14:paraId="56DE7761" w14:textId="3A53C80B" w:rsidR="00481F4F" w:rsidRPr="00387A7B" w:rsidRDefault="00B713CE" w:rsidP="00735A54">
      <w:pPr>
        <w:pStyle w:val="aa"/>
        <w:numPr>
          <w:ilvl w:val="0"/>
          <w:numId w:val="30"/>
        </w:numPr>
        <w:autoSpaceDE w:val="0"/>
        <w:autoSpaceDN w:val="0"/>
        <w:adjustRightInd w:val="0"/>
        <w:spacing w:after="0" w:line="360" w:lineRule="auto"/>
        <w:ind w:left="0" w:firstLine="709"/>
        <w:jc w:val="both"/>
        <w:rPr>
          <w:rFonts w:ascii="Times New Roman" w:hAnsi="Times New Roman"/>
          <w:sz w:val="24"/>
          <w:szCs w:val="24"/>
        </w:rPr>
      </w:pPr>
      <w:r w:rsidRPr="00B713CE">
        <w:rPr>
          <w:i/>
          <w:iCs/>
          <w:noProof/>
          <w:lang w:eastAsia="ru-RU"/>
        </w:rPr>
        <w:drawing>
          <wp:anchor distT="0" distB="0" distL="114300" distR="114300" simplePos="0" relativeHeight="251664384" behindDoc="0" locked="0" layoutInCell="1" allowOverlap="1" wp14:anchorId="1E3BAE12" wp14:editId="112862C9">
            <wp:simplePos x="0" y="0"/>
            <wp:positionH relativeFrom="margin">
              <wp:align>center</wp:align>
            </wp:positionH>
            <wp:positionV relativeFrom="paragraph">
              <wp:posOffset>4091305</wp:posOffset>
            </wp:positionV>
            <wp:extent cx="4572000" cy="2743200"/>
            <wp:effectExtent l="0" t="0" r="0" b="0"/>
            <wp:wrapTopAndBottom/>
            <wp:docPr id="6" name="Диаграмма 6">
              <a:extLst xmlns:a="http://schemas.openxmlformats.org/drawingml/2006/main">
                <a:ext uri="{FF2B5EF4-FFF2-40B4-BE49-F238E27FC236}">
                  <a16:creationId xmlns:a16="http://schemas.microsoft.com/office/drawing/2014/main" id="{FC90DF06-7C5D-20E6-DE4B-ECC4B027D7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271F7" w:rsidRPr="00B713CE">
        <w:rPr>
          <w:rFonts w:ascii="Times New Roman" w:hAnsi="Times New Roman"/>
          <w:i/>
          <w:iCs/>
          <w:sz w:val="24"/>
          <w:szCs w:val="24"/>
          <w:shd w:val="clear" w:color="auto" w:fill="FFFFFF"/>
        </w:rPr>
        <w:t>Формирование федерального бюджета во всех трех отчетных периодах прогнозного бюджетного цикла с дефицитом с постепенным его сокращением к концу анализируемого периода</w:t>
      </w:r>
      <w:r w:rsidR="00A271F7" w:rsidRPr="00387A7B">
        <w:rPr>
          <w:rFonts w:ascii="Times New Roman" w:hAnsi="Times New Roman"/>
          <w:sz w:val="24"/>
          <w:szCs w:val="24"/>
          <w:shd w:val="clear" w:color="auto" w:fill="FFFFFF"/>
        </w:rPr>
        <w:t xml:space="preserve">. </w:t>
      </w:r>
      <w:r w:rsidR="001A5642" w:rsidRPr="00387A7B">
        <w:rPr>
          <w:rFonts w:ascii="Times New Roman" w:hAnsi="Times New Roman"/>
          <w:sz w:val="24"/>
          <w:szCs w:val="24"/>
        </w:rPr>
        <w:t xml:space="preserve">В сравнении </w:t>
      </w:r>
      <w:r w:rsidR="00A271F7" w:rsidRPr="00387A7B">
        <w:rPr>
          <w:rFonts w:ascii="Times New Roman" w:hAnsi="Times New Roman"/>
          <w:sz w:val="24"/>
          <w:szCs w:val="24"/>
        </w:rPr>
        <w:t xml:space="preserve">с утвержденными в Федеральном законе № 390-ФЗ от 06.12.2021г. параметрами </w:t>
      </w:r>
      <w:r w:rsidR="001A5642" w:rsidRPr="00387A7B">
        <w:rPr>
          <w:rFonts w:ascii="Times New Roman" w:hAnsi="Times New Roman"/>
          <w:sz w:val="24"/>
          <w:szCs w:val="24"/>
        </w:rPr>
        <w:t>федерального бюджета в 2023 и 2024 год</w:t>
      </w:r>
      <w:r w:rsidR="00A271F7" w:rsidRPr="00387A7B">
        <w:rPr>
          <w:rFonts w:ascii="Times New Roman" w:hAnsi="Times New Roman"/>
          <w:sz w:val="24"/>
          <w:szCs w:val="24"/>
        </w:rPr>
        <w:t>ы</w:t>
      </w:r>
      <w:r w:rsidR="001A5642" w:rsidRPr="00387A7B">
        <w:rPr>
          <w:rFonts w:ascii="Times New Roman" w:hAnsi="Times New Roman"/>
          <w:i/>
          <w:iCs/>
          <w:sz w:val="24"/>
          <w:szCs w:val="24"/>
        </w:rPr>
        <w:t xml:space="preserve"> </w:t>
      </w:r>
      <w:r w:rsidR="00A271F7" w:rsidRPr="00387A7B">
        <w:rPr>
          <w:rFonts w:ascii="Times New Roman" w:hAnsi="Times New Roman"/>
          <w:sz w:val="24"/>
          <w:szCs w:val="24"/>
        </w:rPr>
        <w:t>его профицитное сальдо в 2023 году (около 300 млрд руб.) изменено на дефицит около 3-х трлн руб.; в 2024 году размер дефицита федерального бюджета соответственно  увеличен с 523 млрд руб. до 2,2 трлн руб. В 2025 году прогнозируемое значение дефицита федерального бюджета в сравнении с его запланированным показателем в Бюджетном прогнозе до 2036 года превышен всего на 91 млрд руб. Значительное увеличение дефицита федерально</w:t>
      </w:r>
      <w:r w:rsidR="00B024D5" w:rsidRPr="00387A7B">
        <w:rPr>
          <w:rFonts w:ascii="Times New Roman" w:hAnsi="Times New Roman"/>
          <w:sz w:val="24"/>
          <w:szCs w:val="24"/>
        </w:rPr>
        <w:t>го</w:t>
      </w:r>
      <w:r w:rsidR="00A271F7" w:rsidRPr="00387A7B">
        <w:rPr>
          <w:rFonts w:ascii="Times New Roman" w:hAnsi="Times New Roman"/>
          <w:sz w:val="24"/>
          <w:szCs w:val="24"/>
        </w:rPr>
        <w:t xml:space="preserve"> бюджет</w:t>
      </w:r>
      <w:r w:rsidR="00B024D5" w:rsidRPr="00387A7B">
        <w:rPr>
          <w:rFonts w:ascii="Times New Roman" w:hAnsi="Times New Roman"/>
          <w:sz w:val="24"/>
          <w:szCs w:val="24"/>
        </w:rPr>
        <w:t>а</w:t>
      </w:r>
      <w:r w:rsidR="00A271F7" w:rsidRPr="00387A7B">
        <w:rPr>
          <w:rFonts w:ascii="Times New Roman" w:hAnsi="Times New Roman"/>
          <w:sz w:val="24"/>
          <w:szCs w:val="24"/>
        </w:rPr>
        <w:t xml:space="preserve"> </w:t>
      </w:r>
      <w:r w:rsidR="001A5642" w:rsidRPr="00387A7B">
        <w:rPr>
          <w:rFonts w:ascii="Times New Roman" w:hAnsi="Times New Roman"/>
          <w:sz w:val="24"/>
          <w:szCs w:val="24"/>
        </w:rPr>
        <w:t>вызвано</w:t>
      </w:r>
      <w:r w:rsidR="00540498" w:rsidRPr="00387A7B">
        <w:rPr>
          <w:rFonts w:ascii="Times New Roman" w:hAnsi="Times New Roman"/>
          <w:sz w:val="24"/>
          <w:szCs w:val="24"/>
        </w:rPr>
        <w:t xml:space="preserve"> </w:t>
      </w:r>
      <w:r w:rsidR="00B024D5" w:rsidRPr="00387A7B">
        <w:rPr>
          <w:rFonts w:ascii="Times New Roman" w:hAnsi="Times New Roman"/>
          <w:i/>
          <w:iCs/>
          <w:sz w:val="24"/>
          <w:szCs w:val="24"/>
        </w:rPr>
        <w:t xml:space="preserve">существенным опережающим </w:t>
      </w:r>
      <w:r w:rsidR="00540498" w:rsidRPr="00387A7B">
        <w:rPr>
          <w:rFonts w:ascii="Times New Roman" w:hAnsi="Times New Roman"/>
          <w:i/>
          <w:iCs/>
          <w:sz w:val="24"/>
          <w:szCs w:val="24"/>
        </w:rPr>
        <w:t xml:space="preserve">номинальным </w:t>
      </w:r>
      <w:r w:rsidR="00B024D5" w:rsidRPr="00387A7B">
        <w:rPr>
          <w:rFonts w:ascii="Times New Roman" w:hAnsi="Times New Roman"/>
          <w:i/>
          <w:iCs/>
          <w:sz w:val="24"/>
          <w:szCs w:val="24"/>
        </w:rPr>
        <w:t xml:space="preserve">ростом бюджетных </w:t>
      </w:r>
      <w:r w:rsidR="006952B8" w:rsidRPr="00387A7B">
        <w:rPr>
          <w:rFonts w:ascii="Times New Roman" w:hAnsi="Times New Roman"/>
          <w:i/>
          <w:iCs/>
          <w:sz w:val="24"/>
          <w:szCs w:val="24"/>
        </w:rPr>
        <w:t>расходов</w:t>
      </w:r>
      <w:r w:rsidR="006952B8" w:rsidRPr="00387A7B">
        <w:rPr>
          <w:rFonts w:ascii="Times New Roman" w:hAnsi="Times New Roman"/>
          <w:sz w:val="24"/>
          <w:szCs w:val="24"/>
        </w:rPr>
        <w:t xml:space="preserve"> в сравнении с их </w:t>
      </w:r>
      <w:r w:rsidR="00B024D5" w:rsidRPr="00387A7B">
        <w:rPr>
          <w:rFonts w:ascii="Times New Roman" w:hAnsi="Times New Roman"/>
          <w:sz w:val="24"/>
          <w:szCs w:val="24"/>
        </w:rPr>
        <w:t xml:space="preserve">утвержденными значениями в Федеральном законе № 390-ФЗ от 06.12.2021г. на 2023 и 2024 годы и в Бюджетном прогнозе до 2036 года – на 2025 год. Если за трехлетний прогнозируемый период </w:t>
      </w:r>
      <w:r w:rsidR="00540498" w:rsidRPr="00387A7B">
        <w:rPr>
          <w:rFonts w:ascii="Times New Roman" w:hAnsi="Times New Roman"/>
          <w:sz w:val="24"/>
          <w:szCs w:val="24"/>
        </w:rPr>
        <w:t xml:space="preserve">2023–2025 </w:t>
      </w:r>
      <w:r w:rsidR="00B024D5" w:rsidRPr="00387A7B">
        <w:rPr>
          <w:rFonts w:ascii="Times New Roman" w:hAnsi="Times New Roman"/>
          <w:sz w:val="24"/>
          <w:szCs w:val="24"/>
        </w:rPr>
        <w:t xml:space="preserve"> годов доходы федерального бюджета в законопроекте в сравнении с ранее утвержденными их значениями увеличатся на 13 процентов, то его расходы - </w:t>
      </w:r>
      <w:r w:rsidR="00540498" w:rsidRPr="00387A7B">
        <w:rPr>
          <w:rFonts w:ascii="Times New Roman" w:hAnsi="Times New Roman"/>
          <w:sz w:val="24"/>
          <w:szCs w:val="24"/>
        </w:rPr>
        <w:t>почти на 35 процентов (</w:t>
      </w:r>
      <w:r w:rsidR="00B157CB" w:rsidRPr="00387A7B">
        <w:rPr>
          <w:rFonts w:ascii="Times New Roman" w:hAnsi="Times New Roman"/>
          <w:sz w:val="24"/>
          <w:szCs w:val="24"/>
        </w:rPr>
        <w:t xml:space="preserve">рис. </w:t>
      </w:r>
      <w:r>
        <w:rPr>
          <w:rFonts w:ascii="Times New Roman" w:hAnsi="Times New Roman"/>
          <w:sz w:val="24"/>
          <w:szCs w:val="24"/>
        </w:rPr>
        <w:t>2</w:t>
      </w:r>
      <w:r w:rsidR="00540498" w:rsidRPr="00387A7B">
        <w:rPr>
          <w:rFonts w:ascii="Times New Roman" w:hAnsi="Times New Roman"/>
          <w:sz w:val="24"/>
          <w:szCs w:val="24"/>
        </w:rPr>
        <w:t>)</w:t>
      </w:r>
      <w:r w:rsidR="006952B8" w:rsidRPr="00387A7B">
        <w:rPr>
          <w:rFonts w:ascii="Times New Roman" w:hAnsi="Times New Roman"/>
          <w:sz w:val="24"/>
          <w:szCs w:val="24"/>
        </w:rPr>
        <w:t>.</w:t>
      </w:r>
      <w:r w:rsidR="00EF1BAE" w:rsidRPr="00387A7B">
        <w:rPr>
          <w:rFonts w:ascii="Times New Roman" w:hAnsi="Times New Roman"/>
          <w:sz w:val="24"/>
          <w:szCs w:val="24"/>
        </w:rPr>
        <w:t xml:space="preserve"> </w:t>
      </w:r>
    </w:p>
    <w:p w14:paraId="00EB58A1" w14:textId="7581657D" w:rsidR="00B157CB" w:rsidRPr="00387A7B" w:rsidRDefault="00B157CB" w:rsidP="00E56BC6">
      <w:pPr>
        <w:pStyle w:val="aa"/>
        <w:autoSpaceDE w:val="0"/>
        <w:autoSpaceDN w:val="0"/>
        <w:adjustRightInd w:val="0"/>
        <w:spacing w:after="0" w:line="360" w:lineRule="auto"/>
        <w:jc w:val="both"/>
        <w:rPr>
          <w:rFonts w:ascii="Times New Roman" w:hAnsi="Times New Roman"/>
          <w:i/>
          <w:iCs/>
          <w:sz w:val="24"/>
          <w:szCs w:val="24"/>
        </w:rPr>
      </w:pPr>
      <w:r w:rsidRPr="00387A7B">
        <w:rPr>
          <w:rFonts w:ascii="Times New Roman" w:hAnsi="Times New Roman"/>
          <w:i/>
          <w:iCs/>
          <w:sz w:val="24"/>
          <w:szCs w:val="24"/>
        </w:rPr>
        <w:t xml:space="preserve">Рисунок </w:t>
      </w:r>
      <w:r w:rsidR="00B713CE">
        <w:rPr>
          <w:rFonts w:ascii="Times New Roman" w:hAnsi="Times New Roman"/>
          <w:i/>
          <w:iCs/>
          <w:sz w:val="24"/>
          <w:szCs w:val="24"/>
        </w:rPr>
        <w:t>2</w:t>
      </w:r>
      <w:r w:rsidRPr="00387A7B">
        <w:rPr>
          <w:rFonts w:ascii="Times New Roman" w:hAnsi="Times New Roman"/>
          <w:i/>
          <w:iCs/>
          <w:sz w:val="24"/>
          <w:szCs w:val="24"/>
        </w:rPr>
        <w:t xml:space="preserve"> – Сравнение прогнозных и утвержденных параметров федерального бюджета в 2023–2025 годы </w:t>
      </w:r>
    </w:p>
    <w:p w14:paraId="73F72B34" w14:textId="61E43455" w:rsidR="00B713CE" w:rsidRPr="00E56BC6" w:rsidRDefault="00E56BC6" w:rsidP="00E56BC6">
      <w:pPr>
        <w:autoSpaceDE w:val="0"/>
        <w:autoSpaceDN w:val="0"/>
        <w:adjustRightInd w:val="0"/>
        <w:spacing w:line="360" w:lineRule="auto"/>
        <w:ind w:firstLine="360"/>
        <w:rPr>
          <w:i/>
          <w:iCs/>
          <w:sz w:val="24"/>
          <w:szCs w:val="24"/>
        </w:rPr>
      </w:pPr>
      <w:r>
        <w:rPr>
          <w:i/>
          <w:iCs/>
          <w:sz w:val="24"/>
          <w:szCs w:val="24"/>
        </w:rPr>
        <w:t xml:space="preserve">Источник: </w:t>
      </w:r>
      <w:r w:rsidR="00B713CE" w:rsidRPr="00E56BC6">
        <w:rPr>
          <w:i/>
          <w:iCs/>
          <w:sz w:val="24"/>
          <w:szCs w:val="24"/>
        </w:rPr>
        <w:t>Составлено на основе данных в пояснительной записке к законопроекту</w:t>
      </w:r>
    </w:p>
    <w:p w14:paraId="004D0A86" w14:textId="77777777" w:rsidR="00B713CE" w:rsidRDefault="00B713CE" w:rsidP="00481F4F">
      <w:pPr>
        <w:pStyle w:val="aa"/>
        <w:autoSpaceDE w:val="0"/>
        <w:autoSpaceDN w:val="0"/>
        <w:adjustRightInd w:val="0"/>
        <w:spacing w:after="0" w:line="360" w:lineRule="auto"/>
        <w:ind w:left="357" w:firstLine="351"/>
        <w:jc w:val="both"/>
        <w:rPr>
          <w:rFonts w:ascii="Times New Roman" w:hAnsi="Times New Roman"/>
          <w:sz w:val="24"/>
          <w:szCs w:val="24"/>
        </w:rPr>
      </w:pPr>
    </w:p>
    <w:p w14:paraId="33779718" w14:textId="7FDDDCE2" w:rsidR="00EF1BAE" w:rsidRPr="00387A7B" w:rsidRDefault="00540498" w:rsidP="00B713CE">
      <w:pPr>
        <w:pStyle w:val="aa"/>
        <w:autoSpaceDE w:val="0"/>
        <w:autoSpaceDN w:val="0"/>
        <w:adjustRightInd w:val="0"/>
        <w:spacing w:after="0" w:line="360" w:lineRule="auto"/>
        <w:ind w:left="0" w:firstLine="360"/>
        <w:jc w:val="both"/>
        <w:rPr>
          <w:rFonts w:ascii="Times New Roman" w:hAnsi="Times New Roman"/>
          <w:sz w:val="24"/>
          <w:szCs w:val="24"/>
        </w:rPr>
      </w:pPr>
      <w:r w:rsidRPr="00387A7B">
        <w:rPr>
          <w:rFonts w:ascii="Times New Roman" w:hAnsi="Times New Roman"/>
          <w:sz w:val="24"/>
          <w:szCs w:val="24"/>
        </w:rPr>
        <w:t>Одновременно н</w:t>
      </w:r>
      <w:r w:rsidR="00EF1BAE" w:rsidRPr="00387A7B">
        <w:rPr>
          <w:rFonts w:ascii="Times New Roman" w:hAnsi="Times New Roman"/>
          <w:sz w:val="24"/>
          <w:szCs w:val="24"/>
        </w:rPr>
        <w:t xml:space="preserve">а фоне </w:t>
      </w:r>
      <w:r w:rsidRPr="00387A7B">
        <w:rPr>
          <w:rFonts w:ascii="Times New Roman" w:hAnsi="Times New Roman"/>
          <w:sz w:val="24"/>
          <w:szCs w:val="24"/>
        </w:rPr>
        <w:t xml:space="preserve">прогнозируемой </w:t>
      </w:r>
      <w:r w:rsidR="00B024D5" w:rsidRPr="00387A7B">
        <w:rPr>
          <w:rFonts w:ascii="Times New Roman" w:hAnsi="Times New Roman"/>
          <w:sz w:val="24"/>
          <w:szCs w:val="24"/>
        </w:rPr>
        <w:t xml:space="preserve">отрицательной </w:t>
      </w:r>
      <w:r w:rsidR="00EF1BAE" w:rsidRPr="00387A7B">
        <w:rPr>
          <w:rFonts w:ascii="Times New Roman" w:hAnsi="Times New Roman"/>
          <w:sz w:val="24"/>
          <w:szCs w:val="24"/>
        </w:rPr>
        <w:t xml:space="preserve">динамики ВВП в </w:t>
      </w:r>
      <w:r w:rsidR="0022729D" w:rsidRPr="00387A7B">
        <w:rPr>
          <w:rFonts w:ascii="Times New Roman" w:hAnsi="Times New Roman"/>
          <w:sz w:val="24"/>
          <w:szCs w:val="24"/>
        </w:rPr>
        <w:t>2023</w:t>
      </w:r>
      <w:r w:rsidR="00B024D5" w:rsidRPr="00387A7B">
        <w:rPr>
          <w:rFonts w:ascii="Times New Roman" w:hAnsi="Times New Roman"/>
          <w:sz w:val="24"/>
          <w:szCs w:val="24"/>
        </w:rPr>
        <w:t xml:space="preserve"> году и меньших, чем ожидалось, темпов его роста в 2</w:t>
      </w:r>
      <w:r w:rsidR="0022729D" w:rsidRPr="00387A7B">
        <w:rPr>
          <w:rFonts w:ascii="Times New Roman" w:hAnsi="Times New Roman"/>
          <w:sz w:val="24"/>
          <w:szCs w:val="24"/>
        </w:rPr>
        <w:t>024</w:t>
      </w:r>
      <w:r w:rsidR="00EF1BAE" w:rsidRPr="00387A7B">
        <w:rPr>
          <w:rFonts w:ascii="Times New Roman" w:hAnsi="Times New Roman"/>
          <w:sz w:val="24"/>
          <w:szCs w:val="24"/>
        </w:rPr>
        <w:t xml:space="preserve"> годы в сравнении с первоначальными проектировками </w:t>
      </w:r>
      <w:r w:rsidRPr="00387A7B">
        <w:rPr>
          <w:rFonts w:ascii="Times New Roman" w:hAnsi="Times New Roman"/>
          <w:sz w:val="24"/>
          <w:szCs w:val="24"/>
        </w:rPr>
        <w:t xml:space="preserve">в Федеральном законе № 390-ФЗ от 06.12.2021г. </w:t>
      </w:r>
      <w:r w:rsidR="00EF1BAE" w:rsidRPr="00387A7B">
        <w:rPr>
          <w:rFonts w:ascii="Times New Roman" w:hAnsi="Times New Roman"/>
          <w:sz w:val="24"/>
          <w:szCs w:val="24"/>
        </w:rPr>
        <w:t xml:space="preserve">уровень бюджетного дефицита по отношению к ВВП повысится </w:t>
      </w:r>
      <w:r w:rsidRPr="00387A7B">
        <w:rPr>
          <w:rFonts w:ascii="Times New Roman" w:hAnsi="Times New Roman"/>
          <w:sz w:val="24"/>
          <w:szCs w:val="24"/>
        </w:rPr>
        <w:t xml:space="preserve">в 2023 и 2024 годы </w:t>
      </w:r>
      <w:r w:rsidR="00EF1BAE" w:rsidRPr="00387A7B">
        <w:rPr>
          <w:rFonts w:ascii="Times New Roman" w:hAnsi="Times New Roman"/>
          <w:sz w:val="24"/>
          <w:szCs w:val="24"/>
        </w:rPr>
        <w:t>соответственно с -1,1 до -2 процентов и с -</w:t>
      </w:r>
      <w:r w:rsidR="00EF1BAE" w:rsidRPr="00387A7B">
        <w:rPr>
          <w:rFonts w:ascii="Times New Roman" w:hAnsi="Times New Roman"/>
          <w:sz w:val="24"/>
          <w:szCs w:val="24"/>
        </w:rPr>
        <w:lastRenderedPageBreak/>
        <w:t xml:space="preserve">0,9 до -1,4 процента. </w:t>
      </w:r>
      <w:r w:rsidRPr="00387A7B">
        <w:rPr>
          <w:rFonts w:ascii="Times New Roman" w:hAnsi="Times New Roman"/>
          <w:sz w:val="24"/>
          <w:szCs w:val="24"/>
        </w:rPr>
        <w:t xml:space="preserve">К 2025 году дефицит федерального бюджета снизится до уровня менее 1 процента, что </w:t>
      </w:r>
      <w:r w:rsidR="001733C9" w:rsidRPr="00672516">
        <w:rPr>
          <w:rFonts w:ascii="Times New Roman" w:hAnsi="Times New Roman"/>
          <w:sz w:val="24"/>
          <w:szCs w:val="24"/>
        </w:rPr>
        <w:t xml:space="preserve">свидетельствует </w:t>
      </w:r>
      <w:r w:rsidRPr="00387A7B">
        <w:rPr>
          <w:rFonts w:ascii="Times New Roman" w:hAnsi="Times New Roman"/>
          <w:sz w:val="24"/>
          <w:szCs w:val="24"/>
        </w:rPr>
        <w:t xml:space="preserve">о контролируемой сбалансированности федерального бюджета в пределах безопасных уровней. </w:t>
      </w:r>
    </w:p>
    <w:p w14:paraId="322FC3F9" w14:textId="317BD6FC" w:rsidR="00835C96" w:rsidRPr="00735A54" w:rsidRDefault="00B713CE" w:rsidP="005E2F55">
      <w:pPr>
        <w:pStyle w:val="aa"/>
        <w:numPr>
          <w:ilvl w:val="0"/>
          <w:numId w:val="30"/>
        </w:numPr>
        <w:autoSpaceDE w:val="0"/>
        <w:autoSpaceDN w:val="0"/>
        <w:adjustRightInd w:val="0"/>
        <w:spacing w:line="360" w:lineRule="auto"/>
        <w:ind w:left="0" w:firstLine="708"/>
        <w:jc w:val="both"/>
        <w:rPr>
          <w:rFonts w:ascii="Times New Roman" w:hAnsi="Times New Roman"/>
          <w:sz w:val="24"/>
          <w:szCs w:val="24"/>
        </w:rPr>
      </w:pPr>
      <w:r w:rsidRPr="00735A54">
        <w:rPr>
          <w:rFonts w:ascii="Times New Roman" w:hAnsi="Times New Roman"/>
          <w:i/>
          <w:iCs/>
          <w:sz w:val="24"/>
          <w:szCs w:val="24"/>
        </w:rPr>
        <w:t xml:space="preserve">Изменение </w:t>
      </w:r>
      <w:r w:rsidR="00F008CC" w:rsidRPr="00735A54">
        <w:rPr>
          <w:rFonts w:ascii="Times New Roman" w:hAnsi="Times New Roman"/>
          <w:i/>
          <w:iCs/>
          <w:sz w:val="24"/>
          <w:szCs w:val="24"/>
        </w:rPr>
        <w:t xml:space="preserve">конструкции </w:t>
      </w:r>
      <w:r w:rsidR="00B157CB" w:rsidRPr="00735A54">
        <w:rPr>
          <w:rFonts w:ascii="Times New Roman" w:hAnsi="Times New Roman"/>
          <w:i/>
          <w:iCs/>
          <w:sz w:val="24"/>
          <w:szCs w:val="24"/>
        </w:rPr>
        <w:t>«</w:t>
      </w:r>
      <w:r w:rsidR="00F008CC" w:rsidRPr="00735A54">
        <w:rPr>
          <w:rFonts w:ascii="Times New Roman" w:hAnsi="Times New Roman"/>
          <w:i/>
          <w:iCs/>
          <w:sz w:val="24"/>
          <w:szCs w:val="24"/>
        </w:rPr>
        <w:t>бюджетных правил</w:t>
      </w:r>
      <w:r w:rsidR="00B157CB" w:rsidRPr="00735A54">
        <w:rPr>
          <w:rFonts w:ascii="Times New Roman" w:hAnsi="Times New Roman"/>
          <w:i/>
          <w:iCs/>
          <w:sz w:val="24"/>
          <w:szCs w:val="24"/>
        </w:rPr>
        <w:t xml:space="preserve">» с фиксацией </w:t>
      </w:r>
      <w:r w:rsidR="00F008CC" w:rsidRPr="00735A54">
        <w:rPr>
          <w:rFonts w:ascii="Times New Roman" w:hAnsi="Times New Roman"/>
          <w:i/>
          <w:iCs/>
          <w:sz w:val="24"/>
          <w:szCs w:val="24"/>
        </w:rPr>
        <w:t xml:space="preserve">базовых нефтегазовых доходов </w:t>
      </w:r>
      <w:r w:rsidR="00366A1A" w:rsidRPr="00735A54">
        <w:rPr>
          <w:rFonts w:ascii="Times New Roman" w:hAnsi="Times New Roman"/>
          <w:i/>
          <w:iCs/>
          <w:sz w:val="24"/>
          <w:szCs w:val="24"/>
        </w:rPr>
        <w:t xml:space="preserve">в абсолютном значении </w:t>
      </w:r>
      <w:r w:rsidR="00F008CC" w:rsidRPr="00735A54">
        <w:rPr>
          <w:rFonts w:ascii="Times New Roman" w:hAnsi="Times New Roman"/>
          <w:i/>
          <w:iCs/>
          <w:sz w:val="24"/>
          <w:szCs w:val="24"/>
        </w:rPr>
        <w:t xml:space="preserve">и </w:t>
      </w:r>
      <w:r w:rsidR="00366A1A" w:rsidRPr="00735A54">
        <w:rPr>
          <w:rFonts w:ascii="Times New Roman" w:hAnsi="Times New Roman"/>
          <w:i/>
          <w:iCs/>
          <w:sz w:val="24"/>
          <w:szCs w:val="24"/>
        </w:rPr>
        <w:t xml:space="preserve">увеличением размера </w:t>
      </w:r>
      <w:r w:rsidR="00F008CC" w:rsidRPr="00735A54">
        <w:rPr>
          <w:rFonts w:ascii="Times New Roman" w:hAnsi="Times New Roman"/>
          <w:i/>
          <w:iCs/>
          <w:sz w:val="24"/>
          <w:szCs w:val="24"/>
        </w:rPr>
        <w:t>структурного первичного дефицита</w:t>
      </w:r>
      <w:r w:rsidR="00F008CC" w:rsidRPr="00735A54">
        <w:rPr>
          <w:rFonts w:ascii="Times New Roman" w:hAnsi="Times New Roman"/>
          <w:sz w:val="24"/>
          <w:szCs w:val="24"/>
        </w:rPr>
        <w:t xml:space="preserve">. Так, в законопроекте предусмотрена фиксация объема нефтегазовых доходов федерального бюджета в течение всего </w:t>
      </w:r>
      <w:r w:rsidR="00866CCC" w:rsidRPr="00735A54">
        <w:rPr>
          <w:rFonts w:ascii="Times New Roman" w:hAnsi="Times New Roman"/>
          <w:sz w:val="24"/>
          <w:szCs w:val="24"/>
        </w:rPr>
        <w:t>предстоящего</w:t>
      </w:r>
      <w:r w:rsidR="00F008CC" w:rsidRPr="00735A54">
        <w:rPr>
          <w:rFonts w:ascii="Times New Roman" w:hAnsi="Times New Roman"/>
          <w:sz w:val="24"/>
          <w:szCs w:val="24"/>
        </w:rPr>
        <w:t xml:space="preserve"> бюджетного цикла на уровне 8 т</w:t>
      </w:r>
      <w:r w:rsidR="000F1815" w:rsidRPr="00735A54">
        <w:rPr>
          <w:rFonts w:ascii="Times New Roman" w:hAnsi="Times New Roman"/>
          <w:sz w:val="24"/>
          <w:szCs w:val="24"/>
        </w:rPr>
        <w:t>рлн</w:t>
      </w:r>
      <w:r w:rsidR="00F008CC" w:rsidRPr="00735A54">
        <w:rPr>
          <w:rFonts w:ascii="Times New Roman" w:hAnsi="Times New Roman"/>
          <w:sz w:val="24"/>
          <w:szCs w:val="24"/>
        </w:rPr>
        <w:t xml:space="preserve"> руб. </w:t>
      </w:r>
      <w:r w:rsidR="002A2C88" w:rsidRPr="00735A54">
        <w:rPr>
          <w:rFonts w:ascii="Times New Roman" w:hAnsi="Times New Roman"/>
          <w:sz w:val="24"/>
          <w:szCs w:val="24"/>
        </w:rPr>
        <w:t xml:space="preserve">(что на 500 млрд руб. выше запланированного в первоначальном проекте Основных направлений их уровня) </w:t>
      </w:r>
      <w:r w:rsidR="00F008CC" w:rsidRPr="00735A54">
        <w:rPr>
          <w:rFonts w:ascii="Times New Roman" w:hAnsi="Times New Roman"/>
          <w:sz w:val="24"/>
          <w:szCs w:val="24"/>
        </w:rPr>
        <w:t xml:space="preserve">для обеспечения стабильности бюджетных расходов. </w:t>
      </w:r>
      <w:r w:rsidR="000F1815" w:rsidRPr="00735A54">
        <w:rPr>
          <w:rFonts w:ascii="Times New Roman" w:hAnsi="Times New Roman"/>
          <w:sz w:val="24"/>
          <w:szCs w:val="24"/>
        </w:rPr>
        <w:t xml:space="preserve">С учетом снижения предсказуемости ценовой конъюнктуры на продукты отечественного нефтегазового экспорта, а также показателей добычи и экспорта энергоресурсов в условиях </w:t>
      </w:r>
      <w:r w:rsidR="00866CCC" w:rsidRPr="00735A54">
        <w:rPr>
          <w:rFonts w:ascii="Times New Roman" w:hAnsi="Times New Roman"/>
          <w:sz w:val="24"/>
          <w:szCs w:val="24"/>
        </w:rPr>
        <w:t xml:space="preserve">усиления </w:t>
      </w:r>
      <w:r w:rsidR="00954F3A" w:rsidRPr="00735A54">
        <w:rPr>
          <w:rFonts w:ascii="Times New Roman" w:hAnsi="Times New Roman"/>
          <w:sz w:val="24"/>
          <w:szCs w:val="24"/>
        </w:rPr>
        <w:t>нефтяного эмбарго</w:t>
      </w:r>
      <w:r w:rsidR="000F1815" w:rsidRPr="00735A54">
        <w:rPr>
          <w:rFonts w:ascii="Times New Roman" w:hAnsi="Times New Roman"/>
          <w:sz w:val="24"/>
          <w:szCs w:val="24"/>
        </w:rPr>
        <w:t xml:space="preserve"> определение базовых нефтегазовых доходов в абсолютном выражении представляется обоснованным и целесообразным. Кроме того, установление их базового объема на уровне</w:t>
      </w:r>
      <w:r w:rsidR="00672516">
        <w:rPr>
          <w:rFonts w:ascii="Times New Roman" w:hAnsi="Times New Roman"/>
          <w:sz w:val="24"/>
          <w:szCs w:val="24"/>
        </w:rPr>
        <w:t xml:space="preserve"> 8 трлн руб., что б</w:t>
      </w:r>
      <w:r w:rsidR="000F1815" w:rsidRPr="00735A54">
        <w:rPr>
          <w:rFonts w:ascii="Times New Roman" w:hAnsi="Times New Roman"/>
          <w:sz w:val="24"/>
          <w:szCs w:val="24"/>
        </w:rPr>
        <w:t>олее чем на 30% превыша</w:t>
      </w:r>
      <w:r w:rsidR="00672516">
        <w:rPr>
          <w:rFonts w:ascii="Times New Roman" w:hAnsi="Times New Roman"/>
          <w:sz w:val="24"/>
          <w:szCs w:val="24"/>
        </w:rPr>
        <w:t>ет</w:t>
      </w:r>
      <w:r w:rsidR="00866CCC" w:rsidRPr="00735A54">
        <w:rPr>
          <w:rFonts w:ascii="Times New Roman" w:hAnsi="Times New Roman"/>
          <w:sz w:val="24"/>
          <w:szCs w:val="24"/>
        </w:rPr>
        <w:t xml:space="preserve"> </w:t>
      </w:r>
      <w:r w:rsidR="00C34544" w:rsidRPr="00735A54">
        <w:rPr>
          <w:rFonts w:ascii="Times New Roman" w:hAnsi="Times New Roman"/>
          <w:sz w:val="24"/>
          <w:szCs w:val="24"/>
        </w:rPr>
        <w:t>их объем в 2022 году,</w:t>
      </w:r>
      <w:r w:rsidR="00672516">
        <w:rPr>
          <w:rFonts w:ascii="Times New Roman" w:hAnsi="Times New Roman"/>
          <w:sz w:val="24"/>
          <w:szCs w:val="24"/>
        </w:rPr>
        <w:t xml:space="preserve"> </w:t>
      </w:r>
      <w:r w:rsidR="001733C9" w:rsidRPr="00672516">
        <w:rPr>
          <w:rFonts w:ascii="Times New Roman" w:hAnsi="Times New Roman"/>
          <w:sz w:val="24"/>
          <w:szCs w:val="24"/>
        </w:rPr>
        <w:t xml:space="preserve">обусловливает </w:t>
      </w:r>
      <w:r w:rsidR="00672516" w:rsidRPr="00672516">
        <w:rPr>
          <w:rFonts w:ascii="Times New Roman" w:hAnsi="Times New Roman"/>
          <w:sz w:val="24"/>
          <w:szCs w:val="24"/>
        </w:rPr>
        <w:t>возможность формирования</w:t>
      </w:r>
      <w:r w:rsidR="00672516">
        <w:rPr>
          <w:rFonts w:ascii="Times New Roman" w:hAnsi="Times New Roman"/>
          <w:sz w:val="24"/>
          <w:szCs w:val="24"/>
        </w:rPr>
        <w:t xml:space="preserve"> резерва для </w:t>
      </w:r>
      <w:r w:rsidR="00C34544" w:rsidRPr="00735A54">
        <w:rPr>
          <w:rFonts w:ascii="Times New Roman" w:hAnsi="Times New Roman"/>
          <w:sz w:val="24"/>
          <w:szCs w:val="24"/>
        </w:rPr>
        <w:t>финансирования дополнительных бюджетных расходов с целью поддержания российской экономики</w:t>
      </w:r>
      <w:r w:rsidR="00947CF7" w:rsidRPr="00735A54">
        <w:rPr>
          <w:rFonts w:ascii="Times New Roman" w:hAnsi="Times New Roman"/>
          <w:sz w:val="24"/>
          <w:szCs w:val="24"/>
        </w:rPr>
        <w:t xml:space="preserve"> и граждан</w:t>
      </w:r>
      <w:r w:rsidR="00C34544" w:rsidRPr="00735A54">
        <w:rPr>
          <w:rFonts w:ascii="Times New Roman" w:hAnsi="Times New Roman"/>
          <w:sz w:val="24"/>
          <w:szCs w:val="24"/>
        </w:rPr>
        <w:t xml:space="preserve">. </w:t>
      </w:r>
      <w:r w:rsidR="00835C96" w:rsidRPr="00735A54">
        <w:rPr>
          <w:rFonts w:ascii="Times New Roman" w:hAnsi="Times New Roman"/>
          <w:i/>
          <w:iCs/>
          <w:sz w:val="24"/>
          <w:szCs w:val="24"/>
        </w:rPr>
        <w:t xml:space="preserve"> </w:t>
      </w:r>
      <w:r w:rsidR="00F35563" w:rsidRPr="00735A54">
        <w:rPr>
          <w:rFonts w:ascii="Times New Roman" w:hAnsi="Times New Roman"/>
          <w:sz w:val="24"/>
          <w:szCs w:val="24"/>
        </w:rPr>
        <w:t>Временное и</w:t>
      </w:r>
      <w:r w:rsidR="00835C96" w:rsidRPr="00735A54">
        <w:rPr>
          <w:rFonts w:ascii="Times New Roman" w:hAnsi="Times New Roman"/>
          <w:sz w:val="24"/>
          <w:szCs w:val="24"/>
        </w:rPr>
        <w:t xml:space="preserve">зменение принципов балансировки федерального бюджета </w:t>
      </w:r>
      <w:r w:rsidR="00F35563" w:rsidRPr="00735A54">
        <w:rPr>
          <w:rFonts w:ascii="Times New Roman" w:hAnsi="Times New Roman"/>
          <w:sz w:val="24"/>
          <w:szCs w:val="24"/>
        </w:rPr>
        <w:t xml:space="preserve">с ростом объемов структурного первичного дефицита. </w:t>
      </w:r>
      <w:r w:rsidR="00332CF5" w:rsidRPr="00735A54">
        <w:rPr>
          <w:rFonts w:ascii="Times New Roman" w:hAnsi="Times New Roman"/>
          <w:sz w:val="24"/>
          <w:szCs w:val="24"/>
        </w:rPr>
        <w:t xml:space="preserve">Изменения касаются </w:t>
      </w:r>
      <w:r w:rsidR="00835C96" w:rsidRPr="00735A54">
        <w:rPr>
          <w:rFonts w:ascii="Times New Roman" w:hAnsi="Times New Roman"/>
          <w:sz w:val="24"/>
          <w:szCs w:val="24"/>
        </w:rPr>
        <w:t>превышени</w:t>
      </w:r>
      <w:r w:rsidR="00332CF5" w:rsidRPr="00735A54">
        <w:rPr>
          <w:rFonts w:ascii="Times New Roman" w:hAnsi="Times New Roman"/>
          <w:sz w:val="24"/>
          <w:szCs w:val="24"/>
        </w:rPr>
        <w:t xml:space="preserve">я </w:t>
      </w:r>
      <w:r w:rsidR="00835C96" w:rsidRPr="00735A54">
        <w:rPr>
          <w:rFonts w:ascii="Times New Roman" w:hAnsi="Times New Roman"/>
          <w:sz w:val="24"/>
          <w:szCs w:val="24"/>
        </w:rPr>
        <w:t xml:space="preserve">предельных объемов финансирования расходов в сравнении с их объемом при действующей конструкции «бюджетных правил» на сумму квази-бюджетных операций, финансируемых за счет источников финансирования дефицита бюджета, прежде всего, за счет </w:t>
      </w:r>
      <w:r w:rsidR="00F35563" w:rsidRPr="00735A54">
        <w:rPr>
          <w:rFonts w:ascii="Times New Roman" w:hAnsi="Times New Roman"/>
          <w:sz w:val="24"/>
          <w:szCs w:val="24"/>
        </w:rPr>
        <w:t xml:space="preserve">Фонда национального благосостояния (ФНБ) и </w:t>
      </w:r>
      <w:r w:rsidR="00835C96" w:rsidRPr="00735A54">
        <w:rPr>
          <w:rFonts w:ascii="Times New Roman" w:hAnsi="Times New Roman"/>
          <w:sz w:val="24"/>
          <w:szCs w:val="24"/>
        </w:rPr>
        <w:t>государственных заимст</w:t>
      </w:r>
      <w:r w:rsidR="00332CF5" w:rsidRPr="00735A54">
        <w:rPr>
          <w:rFonts w:ascii="Times New Roman" w:hAnsi="Times New Roman"/>
          <w:sz w:val="24"/>
          <w:szCs w:val="24"/>
        </w:rPr>
        <w:t>в</w:t>
      </w:r>
      <w:r w:rsidR="00835C96" w:rsidRPr="00735A54">
        <w:rPr>
          <w:rFonts w:ascii="Times New Roman" w:hAnsi="Times New Roman"/>
          <w:sz w:val="24"/>
          <w:szCs w:val="24"/>
        </w:rPr>
        <w:t xml:space="preserve">ований, и как следствие - рост отрицательного сальдо структурного первичного баланса (таблица </w:t>
      </w:r>
      <w:r w:rsidRPr="00735A54">
        <w:rPr>
          <w:rFonts w:ascii="Times New Roman" w:hAnsi="Times New Roman"/>
          <w:sz w:val="24"/>
          <w:szCs w:val="24"/>
        </w:rPr>
        <w:t>2</w:t>
      </w:r>
      <w:r w:rsidR="00835C96" w:rsidRPr="00735A54">
        <w:rPr>
          <w:rFonts w:ascii="Times New Roman" w:hAnsi="Times New Roman"/>
          <w:sz w:val="24"/>
          <w:szCs w:val="24"/>
        </w:rPr>
        <w:t xml:space="preserve">). </w:t>
      </w:r>
      <w:r w:rsidR="00F35563" w:rsidRPr="00735A54">
        <w:rPr>
          <w:rFonts w:ascii="Times New Roman" w:hAnsi="Times New Roman"/>
          <w:sz w:val="24"/>
          <w:szCs w:val="24"/>
        </w:rPr>
        <w:t>Это стало возможным в связи с принятием решения о временном отступлении от бюджетного правила на период 2023–2024 годов в связи с внешними вызовами для российской экономики, в резу</w:t>
      </w:r>
      <w:r w:rsidR="00387A7B" w:rsidRPr="00735A54">
        <w:rPr>
          <w:rFonts w:ascii="Times New Roman" w:hAnsi="Times New Roman"/>
          <w:sz w:val="24"/>
          <w:szCs w:val="24"/>
        </w:rPr>
        <w:t xml:space="preserve">льтате чего на финансирование </w:t>
      </w:r>
      <w:r w:rsidR="00F35563" w:rsidRPr="00735A54">
        <w:rPr>
          <w:rFonts w:ascii="Times New Roman" w:hAnsi="Times New Roman"/>
          <w:sz w:val="24"/>
          <w:szCs w:val="24"/>
        </w:rPr>
        <w:t xml:space="preserve">дополнительных </w:t>
      </w:r>
      <w:r w:rsidR="00387A7B" w:rsidRPr="00735A54">
        <w:rPr>
          <w:rFonts w:ascii="Times New Roman" w:hAnsi="Times New Roman"/>
          <w:sz w:val="24"/>
          <w:szCs w:val="24"/>
        </w:rPr>
        <w:t xml:space="preserve">расходов будут использованы дополнительные нефтегазовые доходы, зачисляемые в ФНБ, в том числе и ранее накопленные в нем </w:t>
      </w:r>
      <w:r w:rsidR="00F35563" w:rsidRPr="00735A54">
        <w:rPr>
          <w:rFonts w:ascii="Times New Roman" w:hAnsi="Times New Roman"/>
          <w:sz w:val="24"/>
          <w:szCs w:val="24"/>
        </w:rPr>
        <w:t>доход</w:t>
      </w:r>
      <w:r w:rsidR="00387A7B" w:rsidRPr="00735A54">
        <w:rPr>
          <w:rFonts w:ascii="Times New Roman" w:hAnsi="Times New Roman"/>
          <w:sz w:val="24"/>
          <w:szCs w:val="24"/>
        </w:rPr>
        <w:t>ы</w:t>
      </w:r>
      <w:r w:rsidR="00F35563" w:rsidRPr="00735A54">
        <w:rPr>
          <w:rFonts w:ascii="Times New Roman" w:hAnsi="Times New Roman"/>
          <w:sz w:val="24"/>
          <w:szCs w:val="24"/>
        </w:rPr>
        <w:t xml:space="preserve">. </w:t>
      </w:r>
      <w:r w:rsidR="00835C96" w:rsidRPr="00735A54">
        <w:rPr>
          <w:rFonts w:ascii="Times New Roman" w:hAnsi="Times New Roman"/>
          <w:sz w:val="24"/>
          <w:szCs w:val="24"/>
        </w:rPr>
        <w:t>Обоснованием такого отступления</w:t>
      </w:r>
      <w:r w:rsidR="00332CF5" w:rsidRPr="00735A54">
        <w:rPr>
          <w:rFonts w:ascii="Times New Roman" w:hAnsi="Times New Roman"/>
          <w:sz w:val="24"/>
          <w:szCs w:val="24"/>
        </w:rPr>
        <w:t>, к</w:t>
      </w:r>
      <w:r w:rsidR="00835C96" w:rsidRPr="00735A54">
        <w:rPr>
          <w:rFonts w:ascii="Times New Roman" w:hAnsi="Times New Roman"/>
          <w:sz w:val="24"/>
          <w:szCs w:val="24"/>
        </w:rPr>
        <w:t xml:space="preserve">ак следует </w:t>
      </w:r>
      <w:r w:rsidR="00332CF5" w:rsidRPr="00735A54">
        <w:rPr>
          <w:rFonts w:ascii="Times New Roman" w:hAnsi="Times New Roman"/>
          <w:sz w:val="24"/>
          <w:szCs w:val="24"/>
        </w:rPr>
        <w:t xml:space="preserve">из пояснительной записки к законопроекту, является </w:t>
      </w:r>
      <w:r w:rsidR="00387A7B" w:rsidRPr="00735A54">
        <w:rPr>
          <w:rFonts w:ascii="Times New Roman" w:hAnsi="Times New Roman"/>
          <w:sz w:val="24"/>
          <w:szCs w:val="24"/>
        </w:rPr>
        <w:t xml:space="preserve">необходимость обеспечения финансовой и ценовой стабилизации в российской экономике, устойчивость рынка труда и доходов наиболее уязвимых категорий граждан, снижение экономических потерь в переходный период перестройки хозяйственных связей. </w:t>
      </w:r>
    </w:p>
    <w:p w14:paraId="6D7E06D7" w14:textId="04D244BF" w:rsidR="00835C96" w:rsidRPr="00B713CE" w:rsidRDefault="00387A7B" w:rsidP="008553E6">
      <w:pPr>
        <w:spacing w:line="360" w:lineRule="auto"/>
        <w:jc w:val="both"/>
        <w:rPr>
          <w:i/>
          <w:iCs/>
          <w:sz w:val="24"/>
          <w:szCs w:val="24"/>
        </w:rPr>
      </w:pPr>
      <w:r w:rsidRPr="00B713CE">
        <w:rPr>
          <w:i/>
          <w:iCs/>
          <w:sz w:val="24"/>
          <w:szCs w:val="24"/>
        </w:rPr>
        <w:t xml:space="preserve">Таблица </w:t>
      </w:r>
      <w:r w:rsidR="00B713CE" w:rsidRPr="00B713CE">
        <w:rPr>
          <w:i/>
          <w:iCs/>
          <w:sz w:val="24"/>
          <w:szCs w:val="24"/>
        </w:rPr>
        <w:t xml:space="preserve">2 - </w:t>
      </w:r>
      <w:r w:rsidRPr="00B713CE">
        <w:rPr>
          <w:i/>
          <w:iCs/>
          <w:sz w:val="24"/>
          <w:szCs w:val="24"/>
        </w:rPr>
        <w:t xml:space="preserve">Показатели структурного первичного баланса федерального бюджета </w:t>
      </w:r>
      <w:r w:rsidR="008553E6">
        <w:rPr>
          <w:i/>
          <w:iCs/>
          <w:sz w:val="24"/>
          <w:szCs w:val="24"/>
        </w:rPr>
        <w:br/>
      </w:r>
      <w:r w:rsidRPr="00B713CE">
        <w:rPr>
          <w:i/>
          <w:iCs/>
          <w:sz w:val="24"/>
          <w:szCs w:val="24"/>
        </w:rPr>
        <w:t xml:space="preserve">в </w:t>
      </w:r>
      <w:r w:rsidR="002F6A16" w:rsidRPr="00B713CE">
        <w:rPr>
          <w:i/>
          <w:iCs/>
          <w:sz w:val="24"/>
          <w:szCs w:val="24"/>
        </w:rPr>
        <w:t xml:space="preserve">2022–2025 </w:t>
      </w:r>
      <w:r w:rsidRPr="00B713CE">
        <w:rPr>
          <w:i/>
          <w:iCs/>
          <w:sz w:val="24"/>
          <w:szCs w:val="24"/>
        </w:rPr>
        <w:t>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354"/>
        <w:gridCol w:w="1354"/>
        <w:gridCol w:w="1503"/>
        <w:gridCol w:w="1352"/>
        <w:gridCol w:w="1348"/>
      </w:tblGrid>
      <w:tr w:rsidR="00387A7B" w:rsidRPr="00387A7B" w14:paraId="6C3FE960" w14:textId="77777777" w:rsidTr="001733C9">
        <w:trPr>
          <w:trHeight w:val="300"/>
        </w:trPr>
        <w:tc>
          <w:tcPr>
            <w:tcW w:w="2196" w:type="pct"/>
            <w:shd w:val="clear" w:color="auto" w:fill="FFFFFF" w:themeFill="background1"/>
            <w:vAlign w:val="center"/>
            <w:hideMark/>
          </w:tcPr>
          <w:p w14:paraId="422046BF" w14:textId="77777777" w:rsidR="00835C96" w:rsidRPr="00387A7B" w:rsidRDefault="00835C96" w:rsidP="001733C9">
            <w:pPr>
              <w:rPr>
                <w:b/>
                <w:bCs/>
                <w:sz w:val="22"/>
                <w:szCs w:val="22"/>
              </w:rPr>
            </w:pPr>
            <w:r w:rsidRPr="00387A7B">
              <w:rPr>
                <w:b/>
                <w:bCs/>
                <w:sz w:val="22"/>
                <w:szCs w:val="22"/>
              </w:rPr>
              <w:t>Показатель</w:t>
            </w:r>
          </w:p>
        </w:tc>
        <w:tc>
          <w:tcPr>
            <w:tcW w:w="683" w:type="pct"/>
            <w:shd w:val="clear" w:color="auto" w:fill="FFFFFF" w:themeFill="background1"/>
            <w:vAlign w:val="center"/>
            <w:hideMark/>
          </w:tcPr>
          <w:p w14:paraId="6B46E98C" w14:textId="77777777" w:rsidR="00835C96" w:rsidRPr="00387A7B" w:rsidRDefault="00835C96" w:rsidP="001733C9">
            <w:pPr>
              <w:jc w:val="center"/>
              <w:rPr>
                <w:b/>
                <w:bCs/>
                <w:sz w:val="22"/>
                <w:szCs w:val="22"/>
              </w:rPr>
            </w:pPr>
            <w:r w:rsidRPr="00387A7B">
              <w:rPr>
                <w:b/>
                <w:bCs/>
                <w:sz w:val="22"/>
                <w:szCs w:val="22"/>
              </w:rPr>
              <w:t>2022</w:t>
            </w:r>
          </w:p>
        </w:tc>
        <w:tc>
          <w:tcPr>
            <w:tcW w:w="758" w:type="pct"/>
            <w:shd w:val="clear" w:color="auto" w:fill="FFFFFF" w:themeFill="background1"/>
            <w:vAlign w:val="center"/>
            <w:hideMark/>
          </w:tcPr>
          <w:p w14:paraId="1A7A89BC" w14:textId="77777777" w:rsidR="00835C96" w:rsidRPr="00387A7B" w:rsidRDefault="00835C96" w:rsidP="001733C9">
            <w:pPr>
              <w:jc w:val="center"/>
              <w:rPr>
                <w:b/>
                <w:bCs/>
                <w:sz w:val="22"/>
                <w:szCs w:val="22"/>
              </w:rPr>
            </w:pPr>
            <w:r w:rsidRPr="00387A7B">
              <w:rPr>
                <w:b/>
                <w:bCs/>
                <w:sz w:val="22"/>
                <w:szCs w:val="22"/>
              </w:rPr>
              <w:t>2023</w:t>
            </w:r>
          </w:p>
        </w:tc>
        <w:tc>
          <w:tcPr>
            <w:tcW w:w="682" w:type="pct"/>
            <w:shd w:val="clear" w:color="auto" w:fill="FFFFFF" w:themeFill="background1"/>
            <w:vAlign w:val="center"/>
            <w:hideMark/>
          </w:tcPr>
          <w:p w14:paraId="6A02BE19" w14:textId="77777777" w:rsidR="00835C96" w:rsidRPr="00387A7B" w:rsidRDefault="00835C96" w:rsidP="001733C9">
            <w:pPr>
              <w:jc w:val="center"/>
              <w:rPr>
                <w:b/>
                <w:bCs/>
                <w:sz w:val="22"/>
                <w:szCs w:val="22"/>
              </w:rPr>
            </w:pPr>
            <w:r w:rsidRPr="00387A7B">
              <w:rPr>
                <w:b/>
                <w:bCs/>
                <w:sz w:val="22"/>
                <w:szCs w:val="22"/>
              </w:rPr>
              <w:t>2024</w:t>
            </w:r>
          </w:p>
        </w:tc>
        <w:tc>
          <w:tcPr>
            <w:tcW w:w="680" w:type="pct"/>
            <w:shd w:val="clear" w:color="auto" w:fill="FFFFFF" w:themeFill="background1"/>
            <w:vAlign w:val="center"/>
            <w:hideMark/>
          </w:tcPr>
          <w:p w14:paraId="0643A5E5" w14:textId="77777777" w:rsidR="00835C96" w:rsidRPr="00387A7B" w:rsidRDefault="00835C96" w:rsidP="001733C9">
            <w:pPr>
              <w:jc w:val="center"/>
              <w:rPr>
                <w:b/>
                <w:bCs/>
                <w:sz w:val="22"/>
                <w:szCs w:val="22"/>
              </w:rPr>
            </w:pPr>
            <w:r w:rsidRPr="00387A7B">
              <w:rPr>
                <w:b/>
                <w:bCs/>
                <w:sz w:val="22"/>
                <w:szCs w:val="22"/>
              </w:rPr>
              <w:t>2025</w:t>
            </w:r>
          </w:p>
        </w:tc>
      </w:tr>
      <w:tr w:rsidR="00387A7B" w:rsidRPr="00387A7B" w14:paraId="52C6DBA1" w14:textId="77777777" w:rsidTr="001733C9">
        <w:trPr>
          <w:trHeight w:val="288"/>
        </w:trPr>
        <w:tc>
          <w:tcPr>
            <w:tcW w:w="2196" w:type="pct"/>
            <w:shd w:val="clear" w:color="auto" w:fill="FFFFFF" w:themeFill="background1"/>
            <w:vAlign w:val="center"/>
            <w:hideMark/>
          </w:tcPr>
          <w:p w14:paraId="6AE90800" w14:textId="77777777" w:rsidR="00835C96" w:rsidRPr="00387A7B" w:rsidRDefault="00835C96" w:rsidP="001733C9">
            <w:pPr>
              <w:rPr>
                <w:b/>
                <w:bCs/>
                <w:sz w:val="22"/>
                <w:szCs w:val="22"/>
              </w:rPr>
            </w:pPr>
            <w:r w:rsidRPr="00387A7B">
              <w:rPr>
                <w:b/>
                <w:bCs/>
                <w:sz w:val="22"/>
                <w:szCs w:val="22"/>
              </w:rPr>
              <w:t>ДОХОДЫ</w:t>
            </w:r>
          </w:p>
        </w:tc>
        <w:tc>
          <w:tcPr>
            <w:tcW w:w="683" w:type="pct"/>
            <w:shd w:val="clear" w:color="auto" w:fill="FFFFFF" w:themeFill="background1"/>
            <w:vAlign w:val="center"/>
            <w:hideMark/>
          </w:tcPr>
          <w:p w14:paraId="08E4D938" w14:textId="77777777" w:rsidR="00835C96" w:rsidRPr="00387A7B" w:rsidRDefault="00835C96" w:rsidP="001733C9">
            <w:pPr>
              <w:jc w:val="center"/>
              <w:rPr>
                <w:b/>
                <w:bCs/>
                <w:sz w:val="22"/>
                <w:szCs w:val="22"/>
              </w:rPr>
            </w:pPr>
            <w:r w:rsidRPr="00387A7B">
              <w:rPr>
                <w:b/>
                <w:bCs/>
                <w:sz w:val="22"/>
                <w:szCs w:val="22"/>
              </w:rPr>
              <w:t>27 693,10</w:t>
            </w:r>
          </w:p>
        </w:tc>
        <w:tc>
          <w:tcPr>
            <w:tcW w:w="758" w:type="pct"/>
            <w:shd w:val="clear" w:color="auto" w:fill="FFFFFF" w:themeFill="background1"/>
            <w:vAlign w:val="center"/>
            <w:hideMark/>
          </w:tcPr>
          <w:p w14:paraId="4E6DFE81" w14:textId="77777777" w:rsidR="00835C96" w:rsidRPr="00387A7B" w:rsidRDefault="00835C96" w:rsidP="001733C9">
            <w:pPr>
              <w:jc w:val="center"/>
              <w:rPr>
                <w:b/>
                <w:bCs/>
                <w:sz w:val="22"/>
                <w:szCs w:val="22"/>
              </w:rPr>
            </w:pPr>
            <w:r w:rsidRPr="00387A7B">
              <w:rPr>
                <w:b/>
                <w:bCs/>
                <w:sz w:val="22"/>
                <w:szCs w:val="22"/>
              </w:rPr>
              <w:t>26 130,30</w:t>
            </w:r>
          </w:p>
        </w:tc>
        <w:tc>
          <w:tcPr>
            <w:tcW w:w="682" w:type="pct"/>
            <w:shd w:val="clear" w:color="auto" w:fill="FFFFFF" w:themeFill="background1"/>
            <w:vAlign w:val="center"/>
            <w:hideMark/>
          </w:tcPr>
          <w:p w14:paraId="6CC96770" w14:textId="77777777" w:rsidR="00835C96" w:rsidRPr="00387A7B" w:rsidRDefault="00835C96" w:rsidP="001733C9">
            <w:pPr>
              <w:jc w:val="center"/>
              <w:rPr>
                <w:b/>
                <w:bCs/>
                <w:sz w:val="22"/>
                <w:szCs w:val="22"/>
              </w:rPr>
            </w:pPr>
            <w:r w:rsidRPr="00387A7B">
              <w:rPr>
                <w:b/>
                <w:bCs/>
                <w:sz w:val="22"/>
                <w:szCs w:val="22"/>
              </w:rPr>
              <w:t>27 239,80</w:t>
            </w:r>
          </w:p>
        </w:tc>
        <w:tc>
          <w:tcPr>
            <w:tcW w:w="680" w:type="pct"/>
            <w:shd w:val="clear" w:color="auto" w:fill="FFFFFF" w:themeFill="background1"/>
            <w:vAlign w:val="center"/>
            <w:hideMark/>
          </w:tcPr>
          <w:p w14:paraId="059225F5" w14:textId="77777777" w:rsidR="00835C96" w:rsidRPr="00387A7B" w:rsidRDefault="00835C96" w:rsidP="001733C9">
            <w:pPr>
              <w:jc w:val="center"/>
              <w:rPr>
                <w:b/>
                <w:bCs/>
                <w:sz w:val="22"/>
                <w:szCs w:val="22"/>
              </w:rPr>
            </w:pPr>
            <w:r w:rsidRPr="00387A7B">
              <w:rPr>
                <w:b/>
                <w:bCs/>
                <w:sz w:val="22"/>
                <w:szCs w:val="22"/>
              </w:rPr>
              <w:t>27 979,40</w:t>
            </w:r>
          </w:p>
        </w:tc>
      </w:tr>
      <w:tr w:rsidR="00387A7B" w:rsidRPr="00387A7B" w14:paraId="54A2F31B" w14:textId="77777777" w:rsidTr="001733C9">
        <w:trPr>
          <w:trHeight w:val="288"/>
        </w:trPr>
        <w:tc>
          <w:tcPr>
            <w:tcW w:w="2196" w:type="pct"/>
            <w:shd w:val="clear" w:color="auto" w:fill="FFFFFF" w:themeFill="background1"/>
            <w:vAlign w:val="center"/>
            <w:hideMark/>
          </w:tcPr>
          <w:p w14:paraId="31E48F19" w14:textId="77777777" w:rsidR="00835C96" w:rsidRPr="00387A7B" w:rsidRDefault="00835C96" w:rsidP="001733C9">
            <w:pPr>
              <w:rPr>
                <w:i/>
                <w:iCs/>
                <w:sz w:val="22"/>
                <w:szCs w:val="22"/>
              </w:rPr>
            </w:pPr>
            <w:r w:rsidRPr="00387A7B">
              <w:rPr>
                <w:i/>
                <w:iCs/>
                <w:sz w:val="22"/>
                <w:szCs w:val="22"/>
              </w:rPr>
              <w:t>%% ВВП</w:t>
            </w:r>
          </w:p>
        </w:tc>
        <w:tc>
          <w:tcPr>
            <w:tcW w:w="683" w:type="pct"/>
            <w:shd w:val="clear" w:color="auto" w:fill="FFFFFF" w:themeFill="background1"/>
            <w:vAlign w:val="center"/>
            <w:hideMark/>
          </w:tcPr>
          <w:p w14:paraId="2852833B" w14:textId="77777777" w:rsidR="00835C96" w:rsidRPr="00387A7B" w:rsidRDefault="00835C96" w:rsidP="001733C9">
            <w:pPr>
              <w:jc w:val="center"/>
              <w:rPr>
                <w:i/>
                <w:iCs/>
                <w:sz w:val="22"/>
                <w:szCs w:val="22"/>
              </w:rPr>
            </w:pPr>
            <w:r w:rsidRPr="00387A7B">
              <w:rPr>
                <w:i/>
                <w:iCs/>
                <w:sz w:val="22"/>
                <w:szCs w:val="22"/>
              </w:rPr>
              <w:t>19</w:t>
            </w:r>
          </w:p>
        </w:tc>
        <w:tc>
          <w:tcPr>
            <w:tcW w:w="758" w:type="pct"/>
            <w:shd w:val="clear" w:color="auto" w:fill="FFFFFF" w:themeFill="background1"/>
            <w:vAlign w:val="center"/>
            <w:hideMark/>
          </w:tcPr>
          <w:p w14:paraId="00813D6A" w14:textId="77777777" w:rsidR="00835C96" w:rsidRPr="00387A7B" w:rsidRDefault="00835C96" w:rsidP="001733C9">
            <w:pPr>
              <w:jc w:val="center"/>
              <w:rPr>
                <w:i/>
                <w:iCs/>
                <w:sz w:val="22"/>
                <w:szCs w:val="22"/>
              </w:rPr>
            </w:pPr>
            <w:r w:rsidRPr="00387A7B">
              <w:rPr>
                <w:i/>
                <w:iCs/>
                <w:sz w:val="22"/>
                <w:szCs w:val="22"/>
              </w:rPr>
              <w:t>17,4</w:t>
            </w:r>
          </w:p>
        </w:tc>
        <w:tc>
          <w:tcPr>
            <w:tcW w:w="682" w:type="pct"/>
            <w:shd w:val="clear" w:color="auto" w:fill="FFFFFF" w:themeFill="background1"/>
            <w:vAlign w:val="center"/>
            <w:hideMark/>
          </w:tcPr>
          <w:p w14:paraId="791DA9DA" w14:textId="77777777" w:rsidR="00835C96" w:rsidRPr="00387A7B" w:rsidRDefault="00835C96" w:rsidP="001733C9">
            <w:pPr>
              <w:jc w:val="center"/>
              <w:rPr>
                <w:i/>
                <w:iCs/>
                <w:sz w:val="22"/>
                <w:szCs w:val="22"/>
              </w:rPr>
            </w:pPr>
            <w:r w:rsidRPr="00387A7B">
              <w:rPr>
                <w:i/>
                <w:iCs/>
                <w:sz w:val="22"/>
                <w:szCs w:val="22"/>
              </w:rPr>
              <w:t>17,1</w:t>
            </w:r>
          </w:p>
        </w:tc>
        <w:tc>
          <w:tcPr>
            <w:tcW w:w="680" w:type="pct"/>
            <w:shd w:val="clear" w:color="auto" w:fill="FFFFFF" w:themeFill="background1"/>
            <w:vAlign w:val="center"/>
            <w:hideMark/>
          </w:tcPr>
          <w:p w14:paraId="0209FFB2" w14:textId="77777777" w:rsidR="00835C96" w:rsidRPr="00387A7B" w:rsidRDefault="00835C96" w:rsidP="001733C9">
            <w:pPr>
              <w:jc w:val="center"/>
              <w:rPr>
                <w:i/>
                <w:iCs/>
                <w:sz w:val="22"/>
                <w:szCs w:val="22"/>
              </w:rPr>
            </w:pPr>
            <w:r w:rsidRPr="00387A7B">
              <w:rPr>
                <w:i/>
                <w:iCs/>
                <w:sz w:val="22"/>
                <w:szCs w:val="22"/>
              </w:rPr>
              <w:t>16,4</w:t>
            </w:r>
          </w:p>
        </w:tc>
      </w:tr>
      <w:tr w:rsidR="00387A7B" w:rsidRPr="00387A7B" w14:paraId="45B12329" w14:textId="77777777" w:rsidTr="001733C9">
        <w:trPr>
          <w:trHeight w:val="288"/>
        </w:trPr>
        <w:tc>
          <w:tcPr>
            <w:tcW w:w="2196" w:type="pct"/>
            <w:shd w:val="clear" w:color="auto" w:fill="FFFFFF" w:themeFill="background1"/>
            <w:vAlign w:val="center"/>
            <w:hideMark/>
          </w:tcPr>
          <w:p w14:paraId="0A55296F" w14:textId="77777777" w:rsidR="00835C96" w:rsidRPr="00387A7B" w:rsidRDefault="00835C96" w:rsidP="001733C9">
            <w:pPr>
              <w:rPr>
                <w:sz w:val="22"/>
                <w:szCs w:val="22"/>
              </w:rPr>
            </w:pPr>
            <w:r w:rsidRPr="00387A7B">
              <w:rPr>
                <w:sz w:val="22"/>
                <w:szCs w:val="22"/>
              </w:rPr>
              <w:lastRenderedPageBreak/>
              <w:t xml:space="preserve">Нефтегазовые доходы </w:t>
            </w:r>
            <w:r w:rsidRPr="00387A7B">
              <w:rPr>
                <w:i/>
                <w:iCs/>
                <w:sz w:val="22"/>
                <w:szCs w:val="22"/>
              </w:rPr>
              <w:t>(НГД)</w:t>
            </w:r>
          </w:p>
        </w:tc>
        <w:tc>
          <w:tcPr>
            <w:tcW w:w="683" w:type="pct"/>
            <w:shd w:val="clear" w:color="auto" w:fill="FFFFFF" w:themeFill="background1"/>
            <w:vAlign w:val="center"/>
            <w:hideMark/>
          </w:tcPr>
          <w:p w14:paraId="00232A8B" w14:textId="77777777" w:rsidR="00835C96" w:rsidRPr="00387A7B" w:rsidRDefault="00835C96" w:rsidP="001733C9">
            <w:pPr>
              <w:jc w:val="center"/>
              <w:rPr>
                <w:sz w:val="22"/>
                <w:szCs w:val="22"/>
              </w:rPr>
            </w:pPr>
            <w:r w:rsidRPr="00387A7B">
              <w:rPr>
                <w:sz w:val="22"/>
                <w:szCs w:val="22"/>
              </w:rPr>
              <w:t>11 666,20</w:t>
            </w:r>
          </w:p>
        </w:tc>
        <w:tc>
          <w:tcPr>
            <w:tcW w:w="758" w:type="pct"/>
            <w:shd w:val="clear" w:color="auto" w:fill="FFFFFF" w:themeFill="background1"/>
            <w:vAlign w:val="center"/>
            <w:hideMark/>
          </w:tcPr>
          <w:p w14:paraId="6023D835" w14:textId="77777777" w:rsidR="00835C96" w:rsidRPr="00387A7B" w:rsidRDefault="00835C96" w:rsidP="001733C9">
            <w:pPr>
              <w:jc w:val="center"/>
              <w:rPr>
                <w:sz w:val="22"/>
                <w:szCs w:val="22"/>
              </w:rPr>
            </w:pPr>
            <w:r w:rsidRPr="00387A7B">
              <w:rPr>
                <w:sz w:val="22"/>
                <w:szCs w:val="22"/>
              </w:rPr>
              <w:t>8 939,00</w:t>
            </w:r>
          </w:p>
        </w:tc>
        <w:tc>
          <w:tcPr>
            <w:tcW w:w="682" w:type="pct"/>
            <w:shd w:val="clear" w:color="auto" w:fill="FFFFFF" w:themeFill="background1"/>
            <w:vAlign w:val="center"/>
            <w:hideMark/>
          </w:tcPr>
          <w:p w14:paraId="5A2A4E8F" w14:textId="77777777" w:rsidR="00835C96" w:rsidRPr="00387A7B" w:rsidRDefault="00835C96" w:rsidP="001733C9">
            <w:pPr>
              <w:jc w:val="center"/>
              <w:rPr>
                <w:sz w:val="22"/>
                <w:szCs w:val="22"/>
              </w:rPr>
            </w:pPr>
            <w:r w:rsidRPr="00387A7B">
              <w:rPr>
                <w:sz w:val="22"/>
                <w:szCs w:val="22"/>
              </w:rPr>
              <w:t>8 656,30</w:t>
            </w:r>
          </w:p>
        </w:tc>
        <w:tc>
          <w:tcPr>
            <w:tcW w:w="680" w:type="pct"/>
            <w:shd w:val="clear" w:color="auto" w:fill="FFFFFF" w:themeFill="background1"/>
            <w:vAlign w:val="center"/>
            <w:hideMark/>
          </w:tcPr>
          <w:p w14:paraId="24149BFE" w14:textId="77777777" w:rsidR="00835C96" w:rsidRPr="00387A7B" w:rsidRDefault="00835C96" w:rsidP="001733C9">
            <w:pPr>
              <w:jc w:val="center"/>
              <w:rPr>
                <w:sz w:val="22"/>
                <w:szCs w:val="22"/>
              </w:rPr>
            </w:pPr>
            <w:r w:rsidRPr="00387A7B">
              <w:rPr>
                <w:sz w:val="22"/>
                <w:szCs w:val="22"/>
              </w:rPr>
              <w:t>8 488,50</w:t>
            </w:r>
          </w:p>
        </w:tc>
      </w:tr>
      <w:tr w:rsidR="00387A7B" w:rsidRPr="00387A7B" w14:paraId="61DA3ED2" w14:textId="77777777" w:rsidTr="001733C9">
        <w:trPr>
          <w:trHeight w:val="288"/>
        </w:trPr>
        <w:tc>
          <w:tcPr>
            <w:tcW w:w="2196" w:type="pct"/>
            <w:shd w:val="clear" w:color="auto" w:fill="FFFFFF" w:themeFill="background1"/>
            <w:vAlign w:val="center"/>
            <w:hideMark/>
          </w:tcPr>
          <w:p w14:paraId="379EA51A" w14:textId="77777777" w:rsidR="00835C96" w:rsidRPr="00387A7B" w:rsidRDefault="00835C96" w:rsidP="001733C9">
            <w:pPr>
              <w:rPr>
                <w:i/>
                <w:iCs/>
                <w:sz w:val="22"/>
                <w:szCs w:val="22"/>
              </w:rPr>
            </w:pPr>
            <w:r w:rsidRPr="00387A7B">
              <w:rPr>
                <w:i/>
                <w:iCs/>
                <w:sz w:val="22"/>
                <w:szCs w:val="22"/>
              </w:rPr>
              <w:t xml:space="preserve">    базовые НГД</w:t>
            </w:r>
          </w:p>
        </w:tc>
        <w:tc>
          <w:tcPr>
            <w:tcW w:w="683" w:type="pct"/>
            <w:shd w:val="clear" w:color="auto" w:fill="FFFFFF" w:themeFill="background1"/>
            <w:vAlign w:val="center"/>
            <w:hideMark/>
          </w:tcPr>
          <w:p w14:paraId="5C309BAD" w14:textId="77777777" w:rsidR="00835C96" w:rsidRPr="00387A7B" w:rsidRDefault="00835C96" w:rsidP="001733C9">
            <w:pPr>
              <w:jc w:val="center"/>
              <w:rPr>
                <w:i/>
                <w:iCs/>
                <w:sz w:val="22"/>
                <w:szCs w:val="22"/>
              </w:rPr>
            </w:pPr>
            <w:r w:rsidRPr="00387A7B">
              <w:rPr>
                <w:i/>
                <w:iCs/>
                <w:sz w:val="22"/>
                <w:szCs w:val="22"/>
              </w:rPr>
              <w:t>6 563,60</w:t>
            </w:r>
          </w:p>
        </w:tc>
        <w:tc>
          <w:tcPr>
            <w:tcW w:w="758" w:type="pct"/>
            <w:shd w:val="clear" w:color="auto" w:fill="FFFFFF" w:themeFill="background1"/>
            <w:vAlign w:val="center"/>
            <w:hideMark/>
          </w:tcPr>
          <w:p w14:paraId="4FD135C1" w14:textId="77777777" w:rsidR="00835C96" w:rsidRPr="00387A7B" w:rsidRDefault="00835C96" w:rsidP="001733C9">
            <w:pPr>
              <w:jc w:val="center"/>
              <w:rPr>
                <w:i/>
                <w:iCs/>
                <w:sz w:val="22"/>
                <w:szCs w:val="22"/>
              </w:rPr>
            </w:pPr>
            <w:r w:rsidRPr="00387A7B">
              <w:rPr>
                <w:i/>
                <w:iCs/>
                <w:sz w:val="22"/>
                <w:szCs w:val="22"/>
              </w:rPr>
              <w:t>8 000,00</w:t>
            </w:r>
          </w:p>
        </w:tc>
        <w:tc>
          <w:tcPr>
            <w:tcW w:w="682" w:type="pct"/>
            <w:shd w:val="clear" w:color="auto" w:fill="FFFFFF" w:themeFill="background1"/>
            <w:vAlign w:val="center"/>
            <w:hideMark/>
          </w:tcPr>
          <w:p w14:paraId="28081B42" w14:textId="77777777" w:rsidR="00835C96" w:rsidRPr="00387A7B" w:rsidRDefault="00835C96" w:rsidP="001733C9">
            <w:pPr>
              <w:jc w:val="center"/>
              <w:rPr>
                <w:i/>
                <w:iCs/>
                <w:sz w:val="22"/>
                <w:szCs w:val="22"/>
              </w:rPr>
            </w:pPr>
            <w:r w:rsidRPr="00387A7B">
              <w:rPr>
                <w:i/>
                <w:iCs/>
                <w:sz w:val="22"/>
                <w:szCs w:val="22"/>
              </w:rPr>
              <w:t>8 000,00</w:t>
            </w:r>
          </w:p>
        </w:tc>
        <w:tc>
          <w:tcPr>
            <w:tcW w:w="680" w:type="pct"/>
            <w:shd w:val="clear" w:color="auto" w:fill="FFFFFF" w:themeFill="background1"/>
            <w:vAlign w:val="center"/>
            <w:hideMark/>
          </w:tcPr>
          <w:p w14:paraId="5A0A8D44" w14:textId="77777777" w:rsidR="00835C96" w:rsidRPr="00387A7B" w:rsidRDefault="00835C96" w:rsidP="001733C9">
            <w:pPr>
              <w:jc w:val="center"/>
              <w:rPr>
                <w:i/>
                <w:iCs/>
                <w:sz w:val="22"/>
                <w:szCs w:val="22"/>
              </w:rPr>
            </w:pPr>
            <w:r w:rsidRPr="00387A7B">
              <w:rPr>
                <w:i/>
                <w:iCs/>
                <w:sz w:val="22"/>
                <w:szCs w:val="22"/>
              </w:rPr>
              <w:t>8 000,00</w:t>
            </w:r>
          </w:p>
        </w:tc>
      </w:tr>
      <w:tr w:rsidR="00387A7B" w:rsidRPr="00387A7B" w14:paraId="2220472B" w14:textId="77777777" w:rsidTr="001733C9">
        <w:trPr>
          <w:trHeight w:val="288"/>
        </w:trPr>
        <w:tc>
          <w:tcPr>
            <w:tcW w:w="2196" w:type="pct"/>
            <w:shd w:val="clear" w:color="auto" w:fill="FFFFFF" w:themeFill="background1"/>
            <w:vAlign w:val="center"/>
            <w:hideMark/>
          </w:tcPr>
          <w:p w14:paraId="0CA8E552" w14:textId="77777777" w:rsidR="00835C96" w:rsidRPr="00387A7B" w:rsidRDefault="00835C96" w:rsidP="001733C9">
            <w:pPr>
              <w:rPr>
                <w:i/>
                <w:iCs/>
                <w:sz w:val="22"/>
                <w:szCs w:val="22"/>
              </w:rPr>
            </w:pPr>
            <w:r w:rsidRPr="00387A7B">
              <w:rPr>
                <w:i/>
                <w:iCs/>
                <w:sz w:val="22"/>
                <w:szCs w:val="22"/>
              </w:rPr>
              <w:t xml:space="preserve">  %% ВВП</w:t>
            </w:r>
          </w:p>
        </w:tc>
        <w:tc>
          <w:tcPr>
            <w:tcW w:w="683" w:type="pct"/>
            <w:shd w:val="clear" w:color="auto" w:fill="FFFFFF" w:themeFill="background1"/>
            <w:vAlign w:val="center"/>
            <w:hideMark/>
          </w:tcPr>
          <w:p w14:paraId="467224E6" w14:textId="77777777" w:rsidR="00835C96" w:rsidRPr="00387A7B" w:rsidRDefault="00835C96" w:rsidP="001733C9">
            <w:pPr>
              <w:jc w:val="center"/>
              <w:rPr>
                <w:i/>
                <w:iCs/>
                <w:sz w:val="22"/>
                <w:szCs w:val="22"/>
              </w:rPr>
            </w:pPr>
            <w:r w:rsidRPr="00387A7B">
              <w:rPr>
                <w:i/>
                <w:iCs/>
                <w:sz w:val="22"/>
                <w:szCs w:val="22"/>
              </w:rPr>
              <w:t>8</w:t>
            </w:r>
          </w:p>
        </w:tc>
        <w:tc>
          <w:tcPr>
            <w:tcW w:w="758" w:type="pct"/>
            <w:shd w:val="clear" w:color="auto" w:fill="FFFFFF" w:themeFill="background1"/>
            <w:vAlign w:val="center"/>
            <w:hideMark/>
          </w:tcPr>
          <w:p w14:paraId="23FE688B" w14:textId="77777777" w:rsidR="00835C96" w:rsidRPr="00387A7B" w:rsidRDefault="00835C96" w:rsidP="001733C9">
            <w:pPr>
              <w:jc w:val="center"/>
              <w:rPr>
                <w:i/>
                <w:iCs/>
                <w:sz w:val="22"/>
                <w:szCs w:val="22"/>
              </w:rPr>
            </w:pPr>
            <w:r w:rsidRPr="00387A7B">
              <w:rPr>
                <w:i/>
                <w:iCs/>
                <w:sz w:val="22"/>
                <w:szCs w:val="22"/>
              </w:rPr>
              <w:t>6</w:t>
            </w:r>
          </w:p>
        </w:tc>
        <w:tc>
          <w:tcPr>
            <w:tcW w:w="682" w:type="pct"/>
            <w:shd w:val="clear" w:color="auto" w:fill="FFFFFF" w:themeFill="background1"/>
            <w:vAlign w:val="center"/>
            <w:hideMark/>
          </w:tcPr>
          <w:p w14:paraId="71FD5FEE" w14:textId="77777777" w:rsidR="00835C96" w:rsidRPr="00387A7B" w:rsidRDefault="00835C96" w:rsidP="001733C9">
            <w:pPr>
              <w:jc w:val="center"/>
              <w:rPr>
                <w:i/>
                <w:iCs/>
                <w:sz w:val="22"/>
                <w:szCs w:val="22"/>
              </w:rPr>
            </w:pPr>
            <w:r w:rsidRPr="00387A7B">
              <w:rPr>
                <w:i/>
                <w:iCs/>
                <w:sz w:val="22"/>
                <w:szCs w:val="22"/>
              </w:rPr>
              <w:t>5,4</w:t>
            </w:r>
          </w:p>
        </w:tc>
        <w:tc>
          <w:tcPr>
            <w:tcW w:w="680" w:type="pct"/>
            <w:shd w:val="clear" w:color="auto" w:fill="FFFFFF" w:themeFill="background1"/>
            <w:vAlign w:val="center"/>
            <w:hideMark/>
          </w:tcPr>
          <w:p w14:paraId="20561996" w14:textId="77777777" w:rsidR="00835C96" w:rsidRPr="00387A7B" w:rsidRDefault="00835C96" w:rsidP="001733C9">
            <w:pPr>
              <w:jc w:val="center"/>
              <w:rPr>
                <w:i/>
                <w:iCs/>
                <w:sz w:val="22"/>
                <w:szCs w:val="22"/>
              </w:rPr>
            </w:pPr>
            <w:r w:rsidRPr="00387A7B">
              <w:rPr>
                <w:i/>
                <w:iCs/>
                <w:sz w:val="22"/>
                <w:szCs w:val="22"/>
              </w:rPr>
              <w:t>5</w:t>
            </w:r>
          </w:p>
        </w:tc>
      </w:tr>
      <w:tr w:rsidR="00387A7B" w:rsidRPr="00387A7B" w14:paraId="0EC51B1E" w14:textId="77777777" w:rsidTr="001733C9">
        <w:trPr>
          <w:trHeight w:val="288"/>
        </w:trPr>
        <w:tc>
          <w:tcPr>
            <w:tcW w:w="2196" w:type="pct"/>
            <w:shd w:val="clear" w:color="auto" w:fill="FFFFFF" w:themeFill="background1"/>
            <w:vAlign w:val="center"/>
            <w:hideMark/>
          </w:tcPr>
          <w:p w14:paraId="4B56EE86" w14:textId="77777777" w:rsidR="00835C96" w:rsidRPr="00387A7B" w:rsidRDefault="00835C96" w:rsidP="001733C9">
            <w:pPr>
              <w:rPr>
                <w:sz w:val="22"/>
                <w:szCs w:val="22"/>
              </w:rPr>
            </w:pPr>
            <w:r w:rsidRPr="00387A7B">
              <w:rPr>
                <w:sz w:val="22"/>
                <w:szCs w:val="22"/>
              </w:rPr>
              <w:t>Ненефтегазовые доходы</w:t>
            </w:r>
          </w:p>
        </w:tc>
        <w:tc>
          <w:tcPr>
            <w:tcW w:w="683" w:type="pct"/>
            <w:shd w:val="clear" w:color="auto" w:fill="FFFFFF" w:themeFill="background1"/>
            <w:vAlign w:val="center"/>
            <w:hideMark/>
          </w:tcPr>
          <w:p w14:paraId="61096378" w14:textId="77777777" w:rsidR="00835C96" w:rsidRPr="00387A7B" w:rsidRDefault="00835C96" w:rsidP="001733C9">
            <w:pPr>
              <w:jc w:val="center"/>
              <w:rPr>
                <w:sz w:val="22"/>
                <w:szCs w:val="22"/>
              </w:rPr>
            </w:pPr>
            <w:r w:rsidRPr="00387A7B">
              <w:rPr>
                <w:sz w:val="22"/>
                <w:szCs w:val="22"/>
              </w:rPr>
              <w:t>16 027,00</w:t>
            </w:r>
          </w:p>
        </w:tc>
        <w:tc>
          <w:tcPr>
            <w:tcW w:w="758" w:type="pct"/>
            <w:shd w:val="clear" w:color="auto" w:fill="FFFFFF" w:themeFill="background1"/>
            <w:vAlign w:val="center"/>
            <w:hideMark/>
          </w:tcPr>
          <w:p w14:paraId="4039D5CD" w14:textId="77777777" w:rsidR="00835C96" w:rsidRPr="00387A7B" w:rsidRDefault="00835C96" w:rsidP="001733C9">
            <w:pPr>
              <w:jc w:val="center"/>
              <w:rPr>
                <w:sz w:val="22"/>
                <w:szCs w:val="22"/>
              </w:rPr>
            </w:pPr>
            <w:r w:rsidRPr="00387A7B">
              <w:rPr>
                <w:sz w:val="22"/>
                <w:szCs w:val="22"/>
              </w:rPr>
              <w:t>17 191,30</w:t>
            </w:r>
          </w:p>
        </w:tc>
        <w:tc>
          <w:tcPr>
            <w:tcW w:w="682" w:type="pct"/>
            <w:shd w:val="clear" w:color="auto" w:fill="FFFFFF" w:themeFill="background1"/>
            <w:vAlign w:val="center"/>
            <w:hideMark/>
          </w:tcPr>
          <w:p w14:paraId="05CBDFD6" w14:textId="77777777" w:rsidR="00835C96" w:rsidRPr="00387A7B" w:rsidRDefault="00835C96" w:rsidP="001733C9">
            <w:pPr>
              <w:jc w:val="center"/>
              <w:rPr>
                <w:sz w:val="22"/>
                <w:szCs w:val="22"/>
              </w:rPr>
            </w:pPr>
            <w:r w:rsidRPr="00387A7B">
              <w:rPr>
                <w:sz w:val="22"/>
                <w:szCs w:val="22"/>
              </w:rPr>
              <w:t>18 583,50</w:t>
            </w:r>
          </w:p>
        </w:tc>
        <w:tc>
          <w:tcPr>
            <w:tcW w:w="680" w:type="pct"/>
            <w:shd w:val="clear" w:color="auto" w:fill="FFFFFF" w:themeFill="background1"/>
            <w:vAlign w:val="center"/>
            <w:hideMark/>
          </w:tcPr>
          <w:p w14:paraId="7956B75B" w14:textId="77777777" w:rsidR="00835C96" w:rsidRPr="00387A7B" w:rsidRDefault="00835C96" w:rsidP="001733C9">
            <w:pPr>
              <w:jc w:val="center"/>
              <w:rPr>
                <w:sz w:val="22"/>
                <w:szCs w:val="22"/>
              </w:rPr>
            </w:pPr>
            <w:r w:rsidRPr="00387A7B">
              <w:rPr>
                <w:sz w:val="22"/>
                <w:szCs w:val="22"/>
              </w:rPr>
              <w:t>19 490,90</w:t>
            </w:r>
          </w:p>
        </w:tc>
      </w:tr>
      <w:tr w:rsidR="00387A7B" w:rsidRPr="00387A7B" w14:paraId="79772934" w14:textId="77777777" w:rsidTr="001733C9">
        <w:trPr>
          <w:trHeight w:val="288"/>
        </w:trPr>
        <w:tc>
          <w:tcPr>
            <w:tcW w:w="2196" w:type="pct"/>
            <w:shd w:val="clear" w:color="auto" w:fill="FFFFFF" w:themeFill="background1"/>
            <w:vAlign w:val="center"/>
            <w:hideMark/>
          </w:tcPr>
          <w:p w14:paraId="3AAE0785" w14:textId="77777777" w:rsidR="00835C96" w:rsidRPr="00387A7B" w:rsidRDefault="00835C96" w:rsidP="001733C9">
            <w:pPr>
              <w:rPr>
                <w:i/>
                <w:iCs/>
                <w:sz w:val="22"/>
                <w:szCs w:val="22"/>
              </w:rPr>
            </w:pPr>
            <w:r w:rsidRPr="00387A7B">
              <w:rPr>
                <w:i/>
                <w:iCs/>
                <w:sz w:val="22"/>
                <w:szCs w:val="22"/>
              </w:rPr>
              <w:t xml:space="preserve">  %% ВВП</w:t>
            </w:r>
          </w:p>
        </w:tc>
        <w:tc>
          <w:tcPr>
            <w:tcW w:w="683" w:type="pct"/>
            <w:shd w:val="clear" w:color="auto" w:fill="FFFFFF" w:themeFill="background1"/>
            <w:vAlign w:val="center"/>
            <w:hideMark/>
          </w:tcPr>
          <w:p w14:paraId="416346F1" w14:textId="77777777" w:rsidR="00835C96" w:rsidRPr="00387A7B" w:rsidRDefault="00835C96" w:rsidP="001733C9">
            <w:pPr>
              <w:jc w:val="center"/>
              <w:rPr>
                <w:i/>
                <w:iCs/>
                <w:sz w:val="22"/>
                <w:szCs w:val="22"/>
              </w:rPr>
            </w:pPr>
            <w:r w:rsidRPr="00387A7B">
              <w:rPr>
                <w:i/>
                <w:iCs/>
                <w:sz w:val="22"/>
                <w:szCs w:val="22"/>
              </w:rPr>
              <w:t>11</w:t>
            </w:r>
          </w:p>
        </w:tc>
        <w:tc>
          <w:tcPr>
            <w:tcW w:w="758" w:type="pct"/>
            <w:shd w:val="clear" w:color="auto" w:fill="FFFFFF" w:themeFill="background1"/>
            <w:vAlign w:val="center"/>
            <w:hideMark/>
          </w:tcPr>
          <w:p w14:paraId="18A56C49" w14:textId="77777777" w:rsidR="00835C96" w:rsidRPr="00387A7B" w:rsidRDefault="00835C96" w:rsidP="001733C9">
            <w:pPr>
              <w:jc w:val="center"/>
              <w:rPr>
                <w:i/>
                <w:iCs/>
                <w:sz w:val="22"/>
                <w:szCs w:val="22"/>
              </w:rPr>
            </w:pPr>
            <w:r w:rsidRPr="00387A7B">
              <w:rPr>
                <w:i/>
                <w:iCs/>
                <w:sz w:val="22"/>
                <w:szCs w:val="22"/>
              </w:rPr>
              <w:t>11,5</w:t>
            </w:r>
          </w:p>
        </w:tc>
        <w:tc>
          <w:tcPr>
            <w:tcW w:w="682" w:type="pct"/>
            <w:shd w:val="clear" w:color="auto" w:fill="FFFFFF" w:themeFill="background1"/>
            <w:vAlign w:val="center"/>
            <w:hideMark/>
          </w:tcPr>
          <w:p w14:paraId="1D37F31B" w14:textId="77777777" w:rsidR="00835C96" w:rsidRPr="00387A7B" w:rsidRDefault="00835C96" w:rsidP="001733C9">
            <w:pPr>
              <w:jc w:val="center"/>
              <w:rPr>
                <w:i/>
                <w:iCs/>
                <w:sz w:val="22"/>
                <w:szCs w:val="22"/>
              </w:rPr>
            </w:pPr>
            <w:r w:rsidRPr="00387A7B">
              <w:rPr>
                <w:i/>
                <w:iCs/>
                <w:sz w:val="22"/>
                <w:szCs w:val="22"/>
              </w:rPr>
              <w:t>11,6</w:t>
            </w:r>
          </w:p>
        </w:tc>
        <w:tc>
          <w:tcPr>
            <w:tcW w:w="680" w:type="pct"/>
            <w:shd w:val="clear" w:color="auto" w:fill="FFFFFF" w:themeFill="background1"/>
            <w:vAlign w:val="center"/>
            <w:hideMark/>
          </w:tcPr>
          <w:p w14:paraId="06760A56" w14:textId="77777777" w:rsidR="00835C96" w:rsidRPr="00387A7B" w:rsidRDefault="00835C96" w:rsidP="001733C9">
            <w:pPr>
              <w:jc w:val="center"/>
              <w:rPr>
                <w:i/>
                <w:iCs/>
                <w:sz w:val="22"/>
                <w:szCs w:val="22"/>
              </w:rPr>
            </w:pPr>
            <w:r w:rsidRPr="00387A7B">
              <w:rPr>
                <w:i/>
                <w:iCs/>
                <w:sz w:val="22"/>
                <w:szCs w:val="22"/>
              </w:rPr>
              <w:t>11,4</w:t>
            </w:r>
          </w:p>
        </w:tc>
      </w:tr>
      <w:tr w:rsidR="00387A7B" w:rsidRPr="00387A7B" w14:paraId="709143B4" w14:textId="77777777" w:rsidTr="001733C9">
        <w:trPr>
          <w:trHeight w:val="288"/>
        </w:trPr>
        <w:tc>
          <w:tcPr>
            <w:tcW w:w="2196" w:type="pct"/>
            <w:shd w:val="clear" w:color="auto" w:fill="FFFFFF" w:themeFill="background1"/>
            <w:vAlign w:val="center"/>
            <w:hideMark/>
          </w:tcPr>
          <w:p w14:paraId="6B74B749" w14:textId="77777777" w:rsidR="00835C96" w:rsidRPr="00387A7B" w:rsidRDefault="00835C96" w:rsidP="001733C9">
            <w:pPr>
              <w:rPr>
                <w:b/>
                <w:bCs/>
                <w:sz w:val="22"/>
                <w:szCs w:val="22"/>
              </w:rPr>
            </w:pPr>
            <w:r w:rsidRPr="00387A7B">
              <w:rPr>
                <w:b/>
                <w:bCs/>
                <w:sz w:val="22"/>
                <w:szCs w:val="22"/>
              </w:rPr>
              <w:t>РАСХОДЫ</w:t>
            </w:r>
          </w:p>
        </w:tc>
        <w:tc>
          <w:tcPr>
            <w:tcW w:w="683" w:type="pct"/>
            <w:shd w:val="clear" w:color="auto" w:fill="FFFFFF" w:themeFill="background1"/>
            <w:vAlign w:val="center"/>
            <w:hideMark/>
          </w:tcPr>
          <w:p w14:paraId="77A84E0C" w14:textId="77777777" w:rsidR="00835C96" w:rsidRPr="00387A7B" w:rsidRDefault="00835C96" w:rsidP="001733C9">
            <w:pPr>
              <w:jc w:val="center"/>
              <w:rPr>
                <w:b/>
                <w:bCs/>
                <w:sz w:val="22"/>
                <w:szCs w:val="22"/>
              </w:rPr>
            </w:pPr>
            <w:r w:rsidRPr="00387A7B">
              <w:rPr>
                <w:b/>
                <w:bCs/>
                <w:sz w:val="22"/>
                <w:szCs w:val="22"/>
              </w:rPr>
              <w:t>29 006,20</w:t>
            </w:r>
          </w:p>
        </w:tc>
        <w:tc>
          <w:tcPr>
            <w:tcW w:w="758" w:type="pct"/>
            <w:shd w:val="clear" w:color="auto" w:fill="FFFFFF" w:themeFill="background1"/>
            <w:vAlign w:val="center"/>
            <w:hideMark/>
          </w:tcPr>
          <w:p w14:paraId="0EC71D2C" w14:textId="77777777" w:rsidR="00835C96" w:rsidRPr="00387A7B" w:rsidRDefault="00835C96" w:rsidP="001733C9">
            <w:pPr>
              <w:jc w:val="center"/>
              <w:rPr>
                <w:b/>
                <w:bCs/>
                <w:sz w:val="22"/>
                <w:szCs w:val="22"/>
              </w:rPr>
            </w:pPr>
            <w:r w:rsidRPr="00387A7B">
              <w:rPr>
                <w:b/>
                <w:bCs/>
                <w:sz w:val="22"/>
                <w:szCs w:val="22"/>
              </w:rPr>
              <w:t>29 055,60</w:t>
            </w:r>
          </w:p>
        </w:tc>
        <w:tc>
          <w:tcPr>
            <w:tcW w:w="682" w:type="pct"/>
            <w:shd w:val="clear" w:color="auto" w:fill="FFFFFF" w:themeFill="background1"/>
            <w:vAlign w:val="center"/>
            <w:hideMark/>
          </w:tcPr>
          <w:p w14:paraId="07B6C960" w14:textId="77777777" w:rsidR="00835C96" w:rsidRPr="00387A7B" w:rsidRDefault="00835C96" w:rsidP="001733C9">
            <w:pPr>
              <w:jc w:val="center"/>
              <w:rPr>
                <w:b/>
                <w:bCs/>
                <w:sz w:val="22"/>
                <w:szCs w:val="22"/>
              </w:rPr>
            </w:pPr>
            <w:r w:rsidRPr="00387A7B">
              <w:rPr>
                <w:b/>
                <w:bCs/>
                <w:sz w:val="22"/>
                <w:szCs w:val="22"/>
              </w:rPr>
              <w:t>29 432,50</w:t>
            </w:r>
          </w:p>
        </w:tc>
        <w:tc>
          <w:tcPr>
            <w:tcW w:w="680" w:type="pct"/>
            <w:shd w:val="clear" w:color="auto" w:fill="FFFFFF" w:themeFill="background1"/>
            <w:vAlign w:val="center"/>
            <w:hideMark/>
          </w:tcPr>
          <w:p w14:paraId="0A5817AF" w14:textId="77777777" w:rsidR="00835C96" w:rsidRPr="00387A7B" w:rsidRDefault="00835C96" w:rsidP="001733C9">
            <w:pPr>
              <w:jc w:val="center"/>
              <w:rPr>
                <w:b/>
                <w:bCs/>
                <w:sz w:val="22"/>
                <w:szCs w:val="22"/>
              </w:rPr>
            </w:pPr>
            <w:r w:rsidRPr="00387A7B">
              <w:rPr>
                <w:b/>
                <w:bCs/>
                <w:sz w:val="22"/>
                <w:szCs w:val="22"/>
              </w:rPr>
              <w:t>29 243,70</w:t>
            </w:r>
          </w:p>
        </w:tc>
      </w:tr>
      <w:tr w:rsidR="00387A7B" w:rsidRPr="00387A7B" w14:paraId="1E52E4C6" w14:textId="77777777" w:rsidTr="001733C9">
        <w:trPr>
          <w:trHeight w:val="288"/>
        </w:trPr>
        <w:tc>
          <w:tcPr>
            <w:tcW w:w="2196" w:type="pct"/>
            <w:shd w:val="clear" w:color="auto" w:fill="FFFFFF" w:themeFill="background1"/>
            <w:vAlign w:val="center"/>
            <w:hideMark/>
          </w:tcPr>
          <w:p w14:paraId="0FDF33E6" w14:textId="77777777" w:rsidR="00835C96" w:rsidRPr="00387A7B" w:rsidRDefault="00835C96" w:rsidP="001733C9">
            <w:pPr>
              <w:rPr>
                <w:i/>
                <w:iCs/>
                <w:sz w:val="22"/>
                <w:szCs w:val="22"/>
              </w:rPr>
            </w:pPr>
            <w:r w:rsidRPr="00387A7B">
              <w:rPr>
                <w:i/>
                <w:iCs/>
                <w:sz w:val="22"/>
                <w:szCs w:val="22"/>
              </w:rPr>
              <w:t>%% ВВП</w:t>
            </w:r>
          </w:p>
        </w:tc>
        <w:tc>
          <w:tcPr>
            <w:tcW w:w="683" w:type="pct"/>
            <w:shd w:val="clear" w:color="auto" w:fill="FFFFFF" w:themeFill="background1"/>
            <w:vAlign w:val="center"/>
            <w:hideMark/>
          </w:tcPr>
          <w:p w14:paraId="00D6BA6D" w14:textId="77777777" w:rsidR="00835C96" w:rsidRPr="00387A7B" w:rsidRDefault="00835C96" w:rsidP="001733C9">
            <w:pPr>
              <w:jc w:val="center"/>
              <w:rPr>
                <w:i/>
                <w:iCs/>
                <w:sz w:val="22"/>
                <w:szCs w:val="22"/>
              </w:rPr>
            </w:pPr>
            <w:r w:rsidRPr="00387A7B">
              <w:rPr>
                <w:i/>
                <w:iCs/>
                <w:sz w:val="22"/>
                <w:szCs w:val="22"/>
              </w:rPr>
              <w:t>19,9</w:t>
            </w:r>
          </w:p>
        </w:tc>
        <w:tc>
          <w:tcPr>
            <w:tcW w:w="758" w:type="pct"/>
            <w:shd w:val="clear" w:color="auto" w:fill="FFFFFF" w:themeFill="background1"/>
            <w:vAlign w:val="center"/>
            <w:hideMark/>
          </w:tcPr>
          <w:p w14:paraId="48BAA018" w14:textId="77777777" w:rsidR="00835C96" w:rsidRPr="00387A7B" w:rsidRDefault="00835C96" w:rsidP="001733C9">
            <w:pPr>
              <w:jc w:val="center"/>
              <w:rPr>
                <w:i/>
                <w:iCs/>
                <w:sz w:val="22"/>
                <w:szCs w:val="22"/>
              </w:rPr>
            </w:pPr>
            <w:r w:rsidRPr="00387A7B">
              <w:rPr>
                <w:i/>
                <w:iCs/>
                <w:sz w:val="22"/>
                <w:szCs w:val="22"/>
              </w:rPr>
              <w:t>19,4</w:t>
            </w:r>
          </w:p>
        </w:tc>
        <w:tc>
          <w:tcPr>
            <w:tcW w:w="682" w:type="pct"/>
            <w:shd w:val="clear" w:color="auto" w:fill="FFFFFF" w:themeFill="background1"/>
            <w:vAlign w:val="center"/>
            <w:hideMark/>
          </w:tcPr>
          <w:p w14:paraId="3A9C90E9" w14:textId="77777777" w:rsidR="00835C96" w:rsidRPr="00387A7B" w:rsidRDefault="00835C96" w:rsidP="001733C9">
            <w:pPr>
              <w:jc w:val="center"/>
              <w:rPr>
                <w:i/>
                <w:iCs/>
                <w:sz w:val="22"/>
                <w:szCs w:val="22"/>
              </w:rPr>
            </w:pPr>
            <w:r w:rsidRPr="00387A7B">
              <w:rPr>
                <w:i/>
                <w:iCs/>
                <w:sz w:val="22"/>
                <w:szCs w:val="22"/>
              </w:rPr>
              <w:t>18,4</w:t>
            </w:r>
          </w:p>
        </w:tc>
        <w:tc>
          <w:tcPr>
            <w:tcW w:w="680" w:type="pct"/>
            <w:shd w:val="clear" w:color="auto" w:fill="FFFFFF" w:themeFill="background1"/>
            <w:vAlign w:val="center"/>
            <w:hideMark/>
          </w:tcPr>
          <w:p w14:paraId="237017EF" w14:textId="77777777" w:rsidR="00835C96" w:rsidRPr="00387A7B" w:rsidRDefault="00835C96" w:rsidP="001733C9">
            <w:pPr>
              <w:jc w:val="center"/>
              <w:rPr>
                <w:i/>
                <w:iCs/>
                <w:sz w:val="22"/>
                <w:szCs w:val="22"/>
              </w:rPr>
            </w:pPr>
            <w:r w:rsidRPr="00387A7B">
              <w:rPr>
                <w:i/>
                <w:iCs/>
                <w:sz w:val="22"/>
                <w:szCs w:val="22"/>
              </w:rPr>
              <w:t>17,1</w:t>
            </w:r>
          </w:p>
        </w:tc>
      </w:tr>
      <w:tr w:rsidR="00387A7B" w:rsidRPr="00387A7B" w14:paraId="75DDD271" w14:textId="77777777" w:rsidTr="001733C9">
        <w:trPr>
          <w:trHeight w:val="456"/>
        </w:trPr>
        <w:tc>
          <w:tcPr>
            <w:tcW w:w="2196" w:type="pct"/>
            <w:shd w:val="clear" w:color="auto" w:fill="FFFFFF" w:themeFill="background1"/>
            <w:vAlign w:val="center"/>
            <w:hideMark/>
          </w:tcPr>
          <w:p w14:paraId="6D1F3534" w14:textId="77777777" w:rsidR="00835C96" w:rsidRPr="00387A7B" w:rsidRDefault="00835C96" w:rsidP="001733C9">
            <w:pPr>
              <w:rPr>
                <w:i/>
                <w:iCs/>
                <w:sz w:val="22"/>
                <w:szCs w:val="22"/>
              </w:rPr>
            </w:pPr>
            <w:r w:rsidRPr="00387A7B">
              <w:rPr>
                <w:i/>
                <w:iCs/>
                <w:sz w:val="22"/>
                <w:szCs w:val="22"/>
              </w:rPr>
              <w:t>в т.ч.  Расходы на обслуживание государственного долга</w:t>
            </w:r>
          </w:p>
        </w:tc>
        <w:tc>
          <w:tcPr>
            <w:tcW w:w="683" w:type="pct"/>
            <w:shd w:val="clear" w:color="auto" w:fill="FFFFFF" w:themeFill="background1"/>
            <w:noWrap/>
            <w:vAlign w:val="bottom"/>
            <w:hideMark/>
          </w:tcPr>
          <w:p w14:paraId="6148EB59" w14:textId="77777777" w:rsidR="00835C96" w:rsidRPr="00387A7B" w:rsidRDefault="00835C96" w:rsidP="001733C9">
            <w:pPr>
              <w:jc w:val="center"/>
              <w:rPr>
                <w:sz w:val="22"/>
                <w:szCs w:val="22"/>
              </w:rPr>
            </w:pPr>
            <w:r w:rsidRPr="00387A7B">
              <w:rPr>
                <w:sz w:val="22"/>
                <w:szCs w:val="22"/>
              </w:rPr>
              <w:t>1 403,36</w:t>
            </w:r>
          </w:p>
        </w:tc>
        <w:tc>
          <w:tcPr>
            <w:tcW w:w="758" w:type="pct"/>
            <w:shd w:val="clear" w:color="auto" w:fill="FFFFFF" w:themeFill="background1"/>
            <w:noWrap/>
            <w:vAlign w:val="bottom"/>
            <w:hideMark/>
          </w:tcPr>
          <w:p w14:paraId="45799F0E" w14:textId="77777777" w:rsidR="00835C96" w:rsidRPr="00387A7B" w:rsidRDefault="00835C96" w:rsidP="001733C9">
            <w:pPr>
              <w:jc w:val="center"/>
              <w:rPr>
                <w:sz w:val="22"/>
                <w:szCs w:val="22"/>
              </w:rPr>
            </w:pPr>
            <w:r w:rsidRPr="00387A7B">
              <w:rPr>
                <w:sz w:val="22"/>
                <w:szCs w:val="22"/>
              </w:rPr>
              <w:t>1 519,32</w:t>
            </w:r>
          </w:p>
        </w:tc>
        <w:tc>
          <w:tcPr>
            <w:tcW w:w="682" w:type="pct"/>
            <w:shd w:val="clear" w:color="auto" w:fill="FFFFFF" w:themeFill="background1"/>
            <w:noWrap/>
            <w:vAlign w:val="bottom"/>
            <w:hideMark/>
          </w:tcPr>
          <w:p w14:paraId="65D7C13D" w14:textId="77777777" w:rsidR="00835C96" w:rsidRPr="00387A7B" w:rsidRDefault="00835C96" w:rsidP="001733C9">
            <w:pPr>
              <w:jc w:val="center"/>
              <w:rPr>
                <w:sz w:val="22"/>
                <w:szCs w:val="22"/>
              </w:rPr>
            </w:pPr>
            <w:r w:rsidRPr="00387A7B">
              <w:rPr>
                <w:sz w:val="22"/>
                <w:szCs w:val="22"/>
              </w:rPr>
              <w:t>1 625, 16</w:t>
            </w:r>
          </w:p>
        </w:tc>
        <w:tc>
          <w:tcPr>
            <w:tcW w:w="680" w:type="pct"/>
            <w:shd w:val="clear" w:color="auto" w:fill="FFFFFF" w:themeFill="background1"/>
            <w:noWrap/>
            <w:vAlign w:val="bottom"/>
            <w:hideMark/>
          </w:tcPr>
          <w:p w14:paraId="211D233E" w14:textId="77777777" w:rsidR="00835C96" w:rsidRPr="00387A7B" w:rsidRDefault="00835C96" w:rsidP="001733C9">
            <w:pPr>
              <w:jc w:val="center"/>
              <w:rPr>
                <w:sz w:val="22"/>
                <w:szCs w:val="22"/>
              </w:rPr>
            </w:pPr>
            <w:r w:rsidRPr="00387A7B">
              <w:rPr>
                <w:sz w:val="22"/>
                <w:szCs w:val="22"/>
              </w:rPr>
              <w:t>1 878,28</w:t>
            </w:r>
          </w:p>
        </w:tc>
      </w:tr>
      <w:tr w:rsidR="00387A7B" w:rsidRPr="00387A7B" w14:paraId="54058951" w14:textId="77777777" w:rsidTr="001733C9">
        <w:trPr>
          <w:trHeight w:val="288"/>
        </w:trPr>
        <w:tc>
          <w:tcPr>
            <w:tcW w:w="2196" w:type="pct"/>
            <w:shd w:val="clear" w:color="auto" w:fill="F2F2F2" w:themeFill="background1" w:themeFillShade="F2"/>
            <w:vAlign w:val="center"/>
            <w:hideMark/>
          </w:tcPr>
          <w:p w14:paraId="59DF3FD8" w14:textId="77777777" w:rsidR="00835C96" w:rsidRPr="00387A7B" w:rsidRDefault="00835C96" w:rsidP="001733C9">
            <w:pPr>
              <w:rPr>
                <w:b/>
                <w:bCs/>
                <w:sz w:val="22"/>
                <w:szCs w:val="22"/>
              </w:rPr>
            </w:pPr>
            <w:r w:rsidRPr="00387A7B">
              <w:rPr>
                <w:b/>
                <w:bCs/>
                <w:sz w:val="22"/>
                <w:szCs w:val="22"/>
              </w:rPr>
              <w:t>ПЕРВИЧНЫЙ СТРУКТУРНЫЙ</w:t>
            </w:r>
            <w:r w:rsidRPr="00387A7B">
              <w:rPr>
                <w:i/>
                <w:iCs/>
                <w:sz w:val="22"/>
                <w:szCs w:val="22"/>
              </w:rPr>
              <w:t xml:space="preserve"> </w:t>
            </w:r>
            <w:r w:rsidRPr="00387A7B">
              <w:rPr>
                <w:b/>
                <w:bCs/>
                <w:sz w:val="22"/>
                <w:szCs w:val="22"/>
              </w:rPr>
              <w:t>БАЛАНС</w:t>
            </w:r>
          </w:p>
        </w:tc>
        <w:tc>
          <w:tcPr>
            <w:tcW w:w="683" w:type="pct"/>
            <w:shd w:val="clear" w:color="auto" w:fill="F2F2F2" w:themeFill="background1" w:themeFillShade="F2"/>
            <w:vAlign w:val="center"/>
            <w:hideMark/>
          </w:tcPr>
          <w:p w14:paraId="64A138FA" w14:textId="77777777" w:rsidR="00835C96" w:rsidRPr="00387A7B" w:rsidRDefault="00835C96" w:rsidP="001733C9">
            <w:pPr>
              <w:jc w:val="center"/>
              <w:rPr>
                <w:b/>
                <w:bCs/>
                <w:sz w:val="22"/>
                <w:szCs w:val="22"/>
              </w:rPr>
            </w:pPr>
            <w:r w:rsidRPr="00387A7B">
              <w:rPr>
                <w:b/>
                <w:bCs/>
                <w:sz w:val="22"/>
                <w:szCs w:val="22"/>
              </w:rPr>
              <w:t>-5 012,30</w:t>
            </w:r>
          </w:p>
        </w:tc>
        <w:tc>
          <w:tcPr>
            <w:tcW w:w="758" w:type="pct"/>
            <w:shd w:val="clear" w:color="auto" w:fill="F2F2F2" w:themeFill="background1" w:themeFillShade="F2"/>
            <w:vAlign w:val="center"/>
            <w:hideMark/>
          </w:tcPr>
          <w:p w14:paraId="1813C429" w14:textId="77777777" w:rsidR="00835C96" w:rsidRPr="00387A7B" w:rsidRDefault="00835C96" w:rsidP="001733C9">
            <w:pPr>
              <w:jc w:val="center"/>
              <w:rPr>
                <w:b/>
                <w:bCs/>
                <w:sz w:val="22"/>
                <w:szCs w:val="22"/>
              </w:rPr>
            </w:pPr>
            <w:r w:rsidRPr="00387A7B">
              <w:rPr>
                <w:b/>
                <w:bCs/>
                <w:sz w:val="22"/>
                <w:szCs w:val="22"/>
              </w:rPr>
              <w:t>-2 900,00</w:t>
            </w:r>
          </w:p>
        </w:tc>
        <w:tc>
          <w:tcPr>
            <w:tcW w:w="682" w:type="pct"/>
            <w:shd w:val="clear" w:color="auto" w:fill="F2F2F2" w:themeFill="background1" w:themeFillShade="F2"/>
            <w:vAlign w:val="center"/>
            <w:hideMark/>
          </w:tcPr>
          <w:p w14:paraId="49591D9B" w14:textId="77777777" w:rsidR="00835C96" w:rsidRPr="00387A7B" w:rsidRDefault="00835C96" w:rsidP="001733C9">
            <w:pPr>
              <w:jc w:val="center"/>
              <w:rPr>
                <w:b/>
                <w:bCs/>
                <w:sz w:val="22"/>
                <w:szCs w:val="22"/>
              </w:rPr>
            </w:pPr>
            <w:r w:rsidRPr="00387A7B">
              <w:rPr>
                <w:b/>
                <w:bCs/>
                <w:sz w:val="22"/>
                <w:szCs w:val="22"/>
              </w:rPr>
              <w:t>-1 600,00</w:t>
            </w:r>
          </w:p>
        </w:tc>
        <w:tc>
          <w:tcPr>
            <w:tcW w:w="680" w:type="pct"/>
            <w:shd w:val="clear" w:color="auto" w:fill="F2F2F2" w:themeFill="background1" w:themeFillShade="F2"/>
            <w:vAlign w:val="center"/>
            <w:hideMark/>
          </w:tcPr>
          <w:p w14:paraId="7AD18C6F" w14:textId="77777777" w:rsidR="00835C96" w:rsidRPr="00387A7B" w:rsidRDefault="00835C96" w:rsidP="001733C9">
            <w:pPr>
              <w:jc w:val="center"/>
              <w:rPr>
                <w:b/>
                <w:bCs/>
                <w:sz w:val="22"/>
                <w:szCs w:val="22"/>
              </w:rPr>
            </w:pPr>
            <w:r w:rsidRPr="00387A7B">
              <w:rPr>
                <w:b/>
                <w:bCs/>
                <w:sz w:val="22"/>
                <w:szCs w:val="22"/>
              </w:rPr>
              <w:t>0</w:t>
            </w:r>
          </w:p>
        </w:tc>
      </w:tr>
      <w:tr w:rsidR="00387A7B" w:rsidRPr="00387A7B" w14:paraId="203E76E0" w14:textId="77777777" w:rsidTr="001733C9">
        <w:trPr>
          <w:trHeight w:val="288"/>
        </w:trPr>
        <w:tc>
          <w:tcPr>
            <w:tcW w:w="2196" w:type="pct"/>
            <w:shd w:val="clear" w:color="auto" w:fill="FFFFFF" w:themeFill="background1"/>
            <w:vAlign w:val="center"/>
            <w:hideMark/>
          </w:tcPr>
          <w:p w14:paraId="7371C02A" w14:textId="77777777" w:rsidR="00835C96" w:rsidRPr="00387A7B" w:rsidRDefault="00835C96" w:rsidP="001733C9">
            <w:pPr>
              <w:rPr>
                <w:i/>
                <w:iCs/>
                <w:sz w:val="22"/>
                <w:szCs w:val="22"/>
              </w:rPr>
            </w:pPr>
            <w:r w:rsidRPr="00387A7B">
              <w:rPr>
                <w:i/>
                <w:iCs/>
                <w:sz w:val="22"/>
                <w:szCs w:val="22"/>
              </w:rPr>
              <w:t>%% ВВП</w:t>
            </w:r>
          </w:p>
        </w:tc>
        <w:tc>
          <w:tcPr>
            <w:tcW w:w="683" w:type="pct"/>
            <w:shd w:val="clear" w:color="auto" w:fill="FFFFFF" w:themeFill="background1"/>
            <w:vAlign w:val="center"/>
            <w:hideMark/>
          </w:tcPr>
          <w:p w14:paraId="6DE5FFFE" w14:textId="77777777" w:rsidR="00835C96" w:rsidRPr="00387A7B" w:rsidRDefault="00835C96" w:rsidP="001733C9">
            <w:pPr>
              <w:jc w:val="center"/>
              <w:rPr>
                <w:i/>
                <w:iCs/>
                <w:sz w:val="22"/>
                <w:szCs w:val="22"/>
              </w:rPr>
            </w:pPr>
            <w:r w:rsidRPr="00387A7B">
              <w:rPr>
                <w:i/>
                <w:iCs/>
                <w:sz w:val="22"/>
                <w:szCs w:val="22"/>
              </w:rPr>
              <w:t>-3,4</w:t>
            </w:r>
          </w:p>
        </w:tc>
        <w:tc>
          <w:tcPr>
            <w:tcW w:w="758" w:type="pct"/>
            <w:shd w:val="clear" w:color="auto" w:fill="FFFFFF" w:themeFill="background1"/>
            <w:vAlign w:val="center"/>
            <w:hideMark/>
          </w:tcPr>
          <w:p w14:paraId="2B9AB37A" w14:textId="77777777" w:rsidR="00835C96" w:rsidRPr="00387A7B" w:rsidRDefault="00835C96" w:rsidP="001733C9">
            <w:pPr>
              <w:jc w:val="center"/>
              <w:rPr>
                <w:i/>
                <w:iCs/>
                <w:sz w:val="22"/>
                <w:szCs w:val="22"/>
              </w:rPr>
            </w:pPr>
            <w:r w:rsidRPr="00387A7B">
              <w:rPr>
                <w:i/>
                <w:iCs/>
                <w:sz w:val="22"/>
                <w:szCs w:val="22"/>
              </w:rPr>
              <w:t>-1,9</w:t>
            </w:r>
          </w:p>
        </w:tc>
        <w:tc>
          <w:tcPr>
            <w:tcW w:w="682" w:type="pct"/>
            <w:shd w:val="clear" w:color="auto" w:fill="FFFFFF" w:themeFill="background1"/>
            <w:vAlign w:val="center"/>
            <w:hideMark/>
          </w:tcPr>
          <w:p w14:paraId="68E42111" w14:textId="77777777" w:rsidR="00835C96" w:rsidRPr="00387A7B" w:rsidRDefault="00835C96" w:rsidP="001733C9">
            <w:pPr>
              <w:jc w:val="center"/>
              <w:rPr>
                <w:i/>
                <w:iCs/>
                <w:sz w:val="22"/>
                <w:szCs w:val="22"/>
              </w:rPr>
            </w:pPr>
            <w:r w:rsidRPr="00387A7B">
              <w:rPr>
                <w:i/>
                <w:iCs/>
                <w:sz w:val="22"/>
                <w:szCs w:val="22"/>
              </w:rPr>
              <w:t>-1</w:t>
            </w:r>
          </w:p>
        </w:tc>
        <w:tc>
          <w:tcPr>
            <w:tcW w:w="680" w:type="pct"/>
            <w:shd w:val="clear" w:color="auto" w:fill="FFFFFF" w:themeFill="background1"/>
            <w:vAlign w:val="center"/>
            <w:hideMark/>
          </w:tcPr>
          <w:p w14:paraId="12D56989" w14:textId="77777777" w:rsidR="00835C96" w:rsidRPr="00387A7B" w:rsidRDefault="00835C96" w:rsidP="001733C9">
            <w:pPr>
              <w:jc w:val="center"/>
              <w:rPr>
                <w:i/>
                <w:iCs/>
                <w:sz w:val="22"/>
                <w:szCs w:val="22"/>
              </w:rPr>
            </w:pPr>
            <w:r w:rsidRPr="00387A7B">
              <w:rPr>
                <w:i/>
                <w:iCs/>
                <w:sz w:val="22"/>
                <w:szCs w:val="22"/>
              </w:rPr>
              <w:t>0</w:t>
            </w:r>
          </w:p>
        </w:tc>
      </w:tr>
      <w:tr w:rsidR="00387A7B" w:rsidRPr="00387A7B" w14:paraId="67534D0B" w14:textId="77777777" w:rsidTr="001733C9">
        <w:trPr>
          <w:trHeight w:val="288"/>
        </w:trPr>
        <w:tc>
          <w:tcPr>
            <w:tcW w:w="2196" w:type="pct"/>
            <w:shd w:val="clear" w:color="auto" w:fill="FFFFFF" w:themeFill="background1"/>
            <w:vAlign w:val="center"/>
          </w:tcPr>
          <w:p w14:paraId="17633B81" w14:textId="77777777" w:rsidR="00835C96" w:rsidRPr="00387A7B" w:rsidRDefault="00835C96" w:rsidP="001733C9">
            <w:pPr>
              <w:rPr>
                <w:i/>
                <w:iCs/>
                <w:sz w:val="22"/>
                <w:szCs w:val="22"/>
              </w:rPr>
            </w:pPr>
            <w:r w:rsidRPr="00387A7B">
              <w:rPr>
                <w:iCs/>
                <w:sz w:val="22"/>
                <w:szCs w:val="22"/>
              </w:rPr>
              <w:t>СТРУКТУРНЫЙ БАЛАНС, РАССЧИТАННЫЙ ПО ДЕЙСТВУЮЩЕМУ БЮДЖЕТНОМУ ПРАВИЛУ</w:t>
            </w:r>
          </w:p>
        </w:tc>
        <w:tc>
          <w:tcPr>
            <w:tcW w:w="683" w:type="pct"/>
            <w:shd w:val="clear" w:color="auto" w:fill="FFFFFF" w:themeFill="background1"/>
            <w:vAlign w:val="bottom"/>
          </w:tcPr>
          <w:p w14:paraId="54EE8C51" w14:textId="77777777" w:rsidR="00835C96" w:rsidRPr="00387A7B" w:rsidRDefault="00835C96" w:rsidP="001733C9">
            <w:pPr>
              <w:jc w:val="center"/>
              <w:rPr>
                <w:i/>
                <w:iCs/>
                <w:sz w:val="22"/>
                <w:szCs w:val="22"/>
              </w:rPr>
            </w:pPr>
            <w:r w:rsidRPr="00387A7B">
              <w:rPr>
                <w:sz w:val="22"/>
                <w:szCs w:val="22"/>
              </w:rPr>
              <w:t>-5 012,24</w:t>
            </w:r>
          </w:p>
        </w:tc>
        <w:tc>
          <w:tcPr>
            <w:tcW w:w="758" w:type="pct"/>
            <w:shd w:val="clear" w:color="auto" w:fill="FFFFFF" w:themeFill="background1"/>
            <w:vAlign w:val="bottom"/>
          </w:tcPr>
          <w:p w14:paraId="5E89F211" w14:textId="77777777" w:rsidR="00835C96" w:rsidRPr="00387A7B" w:rsidRDefault="00835C96" w:rsidP="001733C9">
            <w:pPr>
              <w:jc w:val="center"/>
              <w:rPr>
                <w:i/>
                <w:iCs/>
                <w:sz w:val="22"/>
                <w:szCs w:val="22"/>
              </w:rPr>
            </w:pPr>
            <w:r w:rsidRPr="00387A7B">
              <w:rPr>
                <w:sz w:val="22"/>
                <w:szCs w:val="22"/>
              </w:rPr>
              <w:t>-2 344,98</w:t>
            </w:r>
          </w:p>
        </w:tc>
        <w:tc>
          <w:tcPr>
            <w:tcW w:w="682" w:type="pct"/>
            <w:shd w:val="clear" w:color="auto" w:fill="FFFFFF" w:themeFill="background1"/>
            <w:vAlign w:val="bottom"/>
          </w:tcPr>
          <w:p w14:paraId="6D184C91" w14:textId="77777777" w:rsidR="00835C96" w:rsidRPr="00387A7B" w:rsidRDefault="00835C96" w:rsidP="001733C9">
            <w:pPr>
              <w:jc w:val="center"/>
              <w:rPr>
                <w:i/>
                <w:iCs/>
                <w:sz w:val="22"/>
                <w:szCs w:val="22"/>
              </w:rPr>
            </w:pPr>
            <w:r w:rsidRPr="00387A7B">
              <w:rPr>
                <w:sz w:val="22"/>
                <w:szCs w:val="22"/>
              </w:rPr>
              <w:t>-1 223,84</w:t>
            </w:r>
          </w:p>
        </w:tc>
        <w:tc>
          <w:tcPr>
            <w:tcW w:w="680" w:type="pct"/>
            <w:shd w:val="clear" w:color="auto" w:fill="FFFFFF" w:themeFill="background1"/>
            <w:vAlign w:val="bottom"/>
          </w:tcPr>
          <w:p w14:paraId="583E4113" w14:textId="77777777" w:rsidR="00835C96" w:rsidRPr="00387A7B" w:rsidRDefault="00835C96" w:rsidP="001733C9">
            <w:pPr>
              <w:jc w:val="center"/>
              <w:rPr>
                <w:i/>
                <w:iCs/>
                <w:sz w:val="22"/>
                <w:szCs w:val="22"/>
              </w:rPr>
            </w:pPr>
            <w:r w:rsidRPr="00387A7B">
              <w:rPr>
                <w:sz w:val="22"/>
                <w:szCs w:val="22"/>
              </w:rPr>
              <w:t>125,48</w:t>
            </w:r>
          </w:p>
        </w:tc>
      </w:tr>
      <w:tr w:rsidR="00387A7B" w:rsidRPr="00387A7B" w14:paraId="38FC28AD" w14:textId="77777777" w:rsidTr="001733C9">
        <w:trPr>
          <w:trHeight w:val="288"/>
        </w:trPr>
        <w:tc>
          <w:tcPr>
            <w:tcW w:w="2196" w:type="pct"/>
            <w:shd w:val="clear" w:color="auto" w:fill="F2F2F2" w:themeFill="background1" w:themeFillShade="F2"/>
            <w:vAlign w:val="center"/>
          </w:tcPr>
          <w:p w14:paraId="01BF825B" w14:textId="77777777" w:rsidR="00835C96" w:rsidRPr="00387A7B" w:rsidRDefault="00835C96" w:rsidP="001733C9">
            <w:pPr>
              <w:rPr>
                <w:i/>
                <w:iCs/>
                <w:sz w:val="22"/>
                <w:szCs w:val="22"/>
              </w:rPr>
            </w:pPr>
            <w:r w:rsidRPr="00387A7B">
              <w:rPr>
                <w:i/>
                <w:iCs/>
                <w:sz w:val="22"/>
                <w:szCs w:val="22"/>
              </w:rPr>
              <w:t>Отклонение структурного баланса от действующего бюджетного правила</w:t>
            </w:r>
          </w:p>
        </w:tc>
        <w:tc>
          <w:tcPr>
            <w:tcW w:w="683" w:type="pct"/>
            <w:shd w:val="clear" w:color="auto" w:fill="F2F2F2" w:themeFill="background1" w:themeFillShade="F2"/>
            <w:vAlign w:val="bottom"/>
          </w:tcPr>
          <w:p w14:paraId="2AF88AFE" w14:textId="77777777" w:rsidR="00835C96" w:rsidRPr="00387A7B" w:rsidRDefault="00835C96" w:rsidP="001733C9">
            <w:pPr>
              <w:jc w:val="center"/>
              <w:rPr>
                <w:i/>
                <w:iCs/>
                <w:sz w:val="22"/>
                <w:szCs w:val="22"/>
              </w:rPr>
            </w:pPr>
            <w:r w:rsidRPr="00387A7B">
              <w:rPr>
                <w:sz w:val="22"/>
                <w:szCs w:val="22"/>
              </w:rPr>
              <w:t>-0,10</w:t>
            </w:r>
          </w:p>
        </w:tc>
        <w:tc>
          <w:tcPr>
            <w:tcW w:w="758" w:type="pct"/>
            <w:shd w:val="clear" w:color="auto" w:fill="F2F2F2" w:themeFill="background1" w:themeFillShade="F2"/>
            <w:vAlign w:val="bottom"/>
          </w:tcPr>
          <w:p w14:paraId="1BF8F304" w14:textId="77777777" w:rsidR="00835C96" w:rsidRPr="00387A7B" w:rsidRDefault="00835C96" w:rsidP="001733C9">
            <w:pPr>
              <w:jc w:val="center"/>
              <w:rPr>
                <w:i/>
                <w:iCs/>
                <w:sz w:val="22"/>
                <w:szCs w:val="22"/>
              </w:rPr>
            </w:pPr>
            <w:r w:rsidRPr="00387A7B">
              <w:rPr>
                <w:sz w:val="22"/>
                <w:szCs w:val="22"/>
              </w:rPr>
              <w:t>-555,00</w:t>
            </w:r>
          </w:p>
        </w:tc>
        <w:tc>
          <w:tcPr>
            <w:tcW w:w="682" w:type="pct"/>
            <w:shd w:val="clear" w:color="auto" w:fill="F2F2F2" w:themeFill="background1" w:themeFillShade="F2"/>
            <w:vAlign w:val="bottom"/>
          </w:tcPr>
          <w:p w14:paraId="388FA889" w14:textId="77777777" w:rsidR="00835C96" w:rsidRPr="00387A7B" w:rsidRDefault="00835C96" w:rsidP="001733C9">
            <w:pPr>
              <w:jc w:val="center"/>
              <w:rPr>
                <w:i/>
                <w:iCs/>
                <w:sz w:val="22"/>
                <w:szCs w:val="22"/>
              </w:rPr>
            </w:pPr>
            <w:r w:rsidRPr="00387A7B">
              <w:rPr>
                <w:sz w:val="22"/>
                <w:szCs w:val="22"/>
              </w:rPr>
              <w:t>-376,20</w:t>
            </w:r>
          </w:p>
        </w:tc>
        <w:tc>
          <w:tcPr>
            <w:tcW w:w="680" w:type="pct"/>
            <w:shd w:val="clear" w:color="auto" w:fill="F2F2F2" w:themeFill="background1" w:themeFillShade="F2"/>
            <w:vAlign w:val="bottom"/>
          </w:tcPr>
          <w:p w14:paraId="7A415F91" w14:textId="77777777" w:rsidR="00835C96" w:rsidRPr="00387A7B" w:rsidRDefault="00835C96" w:rsidP="001733C9">
            <w:pPr>
              <w:jc w:val="center"/>
              <w:rPr>
                <w:i/>
                <w:iCs/>
                <w:sz w:val="22"/>
                <w:szCs w:val="22"/>
              </w:rPr>
            </w:pPr>
            <w:r w:rsidRPr="00387A7B">
              <w:rPr>
                <w:sz w:val="22"/>
                <w:szCs w:val="22"/>
              </w:rPr>
              <w:t>125,50</w:t>
            </w:r>
          </w:p>
        </w:tc>
      </w:tr>
      <w:tr w:rsidR="00387A7B" w:rsidRPr="00387A7B" w14:paraId="7EF6E165" w14:textId="77777777" w:rsidTr="001733C9">
        <w:trPr>
          <w:trHeight w:val="288"/>
        </w:trPr>
        <w:tc>
          <w:tcPr>
            <w:tcW w:w="2196" w:type="pct"/>
            <w:shd w:val="clear" w:color="auto" w:fill="FFFFFF" w:themeFill="background1"/>
            <w:vAlign w:val="center"/>
            <w:hideMark/>
          </w:tcPr>
          <w:p w14:paraId="3CB13703" w14:textId="77777777" w:rsidR="00835C96" w:rsidRPr="00387A7B" w:rsidRDefault="00835C96" w:rsidP="001733C9">
            <w:pPr>
              <w:rPr>
                <w:sz w:val="22"/>
                <w:szCs w:val="22"/>
              </w:rPr>
            </w:pPr>
            <w:r w:rsidRPr="00387A7B">
              <w:rPr>
                <w:sz w:val="22"/>
                <w:szCs w:val="22"/>
              </w:rPr>
              <w:t>НЕНЕФТЕГАЗОВЫЙ БАЛАНС</w:t>
            </w:r>
          </w:p>
        </w:tc>
        <w:tc>
          <w:tcPr>
            <w:tcW w:w="683" w:type="pct"/>
            <w:shd w:val="clear" w:color="auto" w:fill="FFFFFF" w:themeFill="background1"/>
            <w:vAlign w:val="center"/>
            <w:hideMark/>
          </w:tcPr>
          <w:p w14:paraId="75983079" w14:textId="77777777" w:rsidR="00835C96" w:rsidRPr="00387A7B" w:rsidRDefault="00835C96" w:rsidP="001733C9">
            <w:pPr>
              <w:jc w:val="center"/>
              <w:rPr>
                <w:sz w:val="22"/>
                <w:szCs w:val="22"/>
              </w:rPr>
            </w:pPr>
            <w:r w:rsidRPr="00387A7B">
              <w:rPr>
                <w:sz w:val="22"/>
                <w:szCs w:val="22"/>
              </w:rPr>
              <w:t>-12 979,2</w:t>
            </w:r>
          </w:p>
        </w:tc>
        <w:tc>
          <w:tcPr>
            <w:tcW w:w="758" w:type="pct"/>
            <w:shd w:val="clear" w:color="auto" w:fill="FFFFFF" w:themeFill="background1"/>
            <w:vAlign w:val="center"/>
            <w:hideMark/>
          </w:tcPr>
          <w:p w14:paraId="6A888F9C" w14:textId="77777777" w:rsidR="00835C96" w:rsidRPr="00387A7B" w:rsidRDefault="00835C96" w:rsidP="001733C9">
            <w:pPr>
              <w:jc w:val="center"/>
              <w:rPr>
                <w:sz w:val="22"/>
                <w:szCs w:val="22"/>
              </w:rPr>
            </w:pPr>
            <w:r w:rsidRPr="00387A7B">
              <w:rPr>
                <w:sz w:val="22"/>
                <w:szCs w:val="22"/>
              </w:rPr>
              <w:t>-11 864,2</w:t>
            </w:r>
          </w:p>
        </w:tc>
        <w:tc>
          <w:tcPr>
            <w:tcW w:w="682" w:type="pct"/>
            <w:shd w:val="clear" w:color="auto" w:fill="FFFFFF" w:themeFill="background1"/>
            <w:vAlign w:val="center"/>
            <w:hideMark/>
          </w:tcPr>
          <w:p w14:paraId="13FA450B" w14:textId="77777777" w:rsidR="00835C96" w:rsidRPr="00387A7B" w:rsidRDefault="00835C96" w:rsidP="001733C9">
            <w:pPr>
              <w:jc w:val="center"/>
              <w:rPr>
                <w:sz w:val="22"/>
                <w:szCs w:val="22"/>
              </w:rPr>
            </w:pPr>
            <w:r w:rsidRPr="00387A7B">
              <w:rPr>
                <w:sz w:val="22"/>
                <w:szCs w:val="22"/>
              </w:rPr>
              <w:t>-10 849,0</w:t>
            </w:r>
          </w:p>
        </w:tc>
        <w:tc>
          <w:tcPr>
            <w:tcW w:w="680" w:type="pct"/>
            <w:shd w:val="clear" w:color="auto" w:fill="FFFFFF" w:themeFill="background1"/>
            <w:vAlign w:val="center"/>
            <w:hideMark/>
          </w:tcPr>
          <w:p w14:paraId="033763A8" w14:textId="77777777" w:rsidR="00835C96" w:rsidRPr="00387A7B" w:rsidRDefault="00835C96" w:rsidP="001733C9">
            <w:pPr>
              <w:jc w:val="center"/>
              <w:rPr>
                <w:sz w:val="22"/>
                <w:szCs w:val="22"/>
              </w:rPr>
            </w:pPr>
            <w:r w:rsidRPr="00387A7B">
              <w:rPr>
                <w:sz w:val="22"/>
                <w:szCs w:val="22"/>
              </w:rPr>
              <w:t>-9 752,8</w:t>
            </w:r>
          </w:p>
        </w:tc>
      </w:tr>
      <w:tr w:rsidR="00387A7B" w:rsidRPr="00387A7B" w14:paraId="1FC7E5FB" w14:textId="77777777" w:rsidTr="001733C9">
        <w:trPr>
          <w:trHeight w:val="288"/>
        </w:trPr>
        <w:tc>
          <w:tcPr>
            <w:tcW w:w="2196" w:type="pct"/>
            <w:shd w:val="clear" w:color="auto" w:fill="FFFFFF" w:themeFill="background1"/>
            <w:vAlign w:val="center"/>
            <w:hideMark/>
          </w:tcPr>
          <w:p w14:paraId="6031D6D4" w14:textId="77777777" w:rsidR="00835C96" w:rsidRPr="00387A7B" w:rsidRDefault="00835C96" w:rsidP="001733C9">
            <w:pPr>
              <w:rPr>
                <w:i/>
                <w:iCs/>
                <w:sz w:val="22"/>
                <w:szCs w:val="22"/>
              </w:rPr>
            </w:pPr>
            <w:r w:rsidRPr="00387A7B">
              <w:rPr>
                <w:i/>
                <w:iCs/>
                <w:sz w:val="22"/>
                <w:szCs w:val="22"/>
              </w:rPr>
              <w:t>%% ВВП</w:t>
            </w:r>
          </w:p>
        </w:tc>
        <w:tc>
          <w:tcPr>
            <w:tcW w:w="683" w:type="pct"/>
            <w:shd w:val="clear" w:color="auto" w:fill="FFFFFF" w:themeFill="background1"/>
            <w:vAlign w:val="center"/>
            <w:hideMark/>
          </w:tcPr>
          <w:p w14:paraId="730B6C96" w14:textId="77777777" w:rsidR="00835C96" w:rsidRPr="00387A7B" w:rsidRDefault="00835C96" w:rsidP="001733C9">
            <w:pPr>
              <w:jc w:val="center"/>
              <w:rPr>
                <w:i/>
                <w:iCs/>
                <w:sz w:val="22"/>
                <w:szCs w:val="22"/>
              </w:rPr>
            </w:pPr>
            <w:r w:rsidRPr="00387A7B">
              <w:rPr>
                <w:i/>
                <w:iCs/>
                <w:sz w:val="22"/>
                <w:szCs w:val="22"/>
              </w:rPr>
              <w:t>-8,9</w:t>
            </w:r>
          </w:p>
        </w:tc>
        <w:tc>
          <w:tcPr>
            <w:tcW w:w="758" w:type="pct"/>
            <w:shd w:val="clear" w:color="auto" w:fill="FFFFFF" w:themeFill="background1"/>
            <w:vAlign w:val="center"/>
            <w:hideMark/>
          </w:tcPr>
          <w:p w14:paraId="1851B413" w14:textId="77777777" w:rsidR="00835C96" w:rsidRPr="00387A7B" w:rsidRDefault="00835C96" w:rsidP="001733C9">
            <w:pPr>
              <w:jc w:val="center"/>
              <w:rPr>
                <w:i/>
                <w:iCs/>
                <w:sz w:val="22"/>
                <w:szCs w:val="22"/>
              </w:rPr>
            </w:pPr>
            <w:r w:rsidRPr="00387A7B">
              <w:rPr>
                <w:i/>
                <w:iCs/>
                <w:sz w:val="22"/>
                <w:szCs w:val="22"/>
              </w:rPr>
              <w:t>-7,9</w:t>
            </w:r>
          </w:p>
        </w:tc>
        <w:tc>
          <w:tcPr>
            <w:tcW w:w="682" w:type="pct"/>
            <w:shd w:val="clear" w:color="auto" w:fill="FFFFFF" w:themeFill="background1"/>
            <w:vAlign w:val="center"/>
            <w:hideMark/>
          </w:tcPr>
          <w:p w14:paraId="117600DE" w14:textId="77777777" w:rsidR="00835C96" w:rsidRPr="00387A7B" w:rsidRDefault="00835C96" w:rsidP="001733C9">
            <w:pPr>
              <w:jc w:val="center"/>
              <w:rPr>
                <w:i/>
                <w:iCs/>
                <w:sz w:val="22"/>
                <w:szCs w:val="22"/>
              </w:rPr>
            </w:pPr>
            <w:r w:rsidRPr="00387A7B">
              <w:rPr>
                <w:i/>
                <w:iCs/>
                <w:sz w:val="22"/>
                <w:szCs w:val="22"/>
              </w:rPr>
              <w:t>-6,8</w:t>
            </w:r>
          </w:p>
        </w:tc>
        <w:tc>
          <w:tcPr>
            <w:tcW w:w="680" w:type="pct"/>
            <w:shd w:val="clear" w:color="auto" w:fill="FFFFFF" w:themeFill="background1"/>
            <w:vAlign w:val="center"/>
            <w:hideMark/>
          </w:tcPr>
          <w:p w14:paraId="770BEE75" w14:textId="77777777" w:rsidR="00835C96" w:rsidRPr="00387A7B" w:rsidRDefault="00835C96" w:rsidP="001733C9">
            <w:pPr>
              <w:jc w:val="center"/>
              <w:rPr>
                <w:i/>
                <w:iCs/>
                <w:sz w:val="22"/>
                <w:szCs w:val="22"/>
              </w:rPr>
            </w:pPr>
            <w:r w:rsidRPr="00387A7B">
              <w:rPr>
                <w:i/>
                <w:iCs/>
                <w:sz w:val="22"/>
                <w:szCs w:val="22"/>
              </w:rPr>
              <w:t>-5,7</w:t>
            </w:r>
          </w:p>
        </w:tc>
      </w:tr>
      <w:tr w:rsidR="00387A7B" w:rsidRPr="00387A7B" w14:paraId="74FD87DB" w14:textId="77777777" w:rsidTr="001733C9">
        <w:trPr>
          <w:trHeight w:val="288"/>
        </w:trPr>
        <w:tc>
          <w:tcPr>
            <w:tcW w:w="2196" w:type="pct"/>
            <w:shd w:val="clear" w:color="auto" w:fill="FFFFFF" w:themeFill="background1"/>
            <w:vAlign w:val="center"/>
            <w:hideMark/>
          </w:tcPr>
          <w:p w14:paraId="52CEA22D" w14:textId="77777777" w:rsidR="00835C96" w:rsidRPr="00387A7B" w:rsidRDefault="00835C96" w:rsidP="001733C9">
            <w:pPr>
              <w:rPr>
                <w:b/>
                <w:bCs/>
                <w:sz w:val="22"/>
                <w:szCs w:val="22"/>
              </w:rPr>
            </w:pPr>
            <w:r w:rsidRPr="00387A7B">
              <w:rPr>
                <w:b/>
                <w:bCs/>
                <w:sz w:val="22"/>
                <w:szCs w:val="22"/>
              </w:rPr>
              <w:t>БАЛАНС</w:t>
            </w:r>
          </w:p>
        </w:tc>
        <w:tc>
          <w:tcPr>
            <w:tcW w:w="683" w:type="pct"/>
            <w:shd w:val="clear" w:color="auto" w:fill="FFFFFF" w:themeFill="background1"/>
            <w:vAlign w:val="center"/>
            <w:hideMark/>
          </w:tcPr>
          <w:p w14:paraId="5C3089F0" w14:textId="77777777" w:rsidR="00835C96" w:rsidRPr="00387A7B" w:rsidRDefault="00835C96" w:rsidP="001733C9">
            <w:pPr>
              <w:jc w:val="center"/>
              <w:rPr>
                <w:b/>
                <w:bCs/>
                <w:sz w:val="22"/>
                <w:szCs w:val="22"/>
              </w:rPr>
            </w:pPr>
            <w:r w:rsidRPr="00387A7B">
              <w:rPr>
                <w:b/>
                <w:bCs/>
                <w:sz w:val="22"/>
                <w:szCs w:val="22"/>
              </w:rPr>
              <w:t>-1 313,10</w:t>
            </w:r>
          </w:p>
        </w:tc>
        <w:tc>
          <w:tcPr>
            <w:tcW w:w="758" w:type="pct"/>
            <w:shd w:val="clear" w:color="auto" w:fill="FFFFFF" w:themeFill="background1"/>
            <w:vAlign w:val="center"/>
            <w:hideMark/>
          </w:tcPr>
          <w:p w14:paraId="4D28A41D" w14:textId="77777777" w:rsidR="00835C96" w:rsidRPr="00387A7B" w:rsidRDefault="00835C96" w:rsidP="001733C9">
            <w:pPr>
              <w:jc w:val="center"/>
              <w:rPr>
                <w:b/>
                <w:bCs/>
                <w:sz w:val="22"/>
                <w:szCs w:val="22"/>
              </w:rPr>
            </w:pPr>
            <w:r w:rsidRPr="00387A7B">
              <w:rPr>
                <w:b/>
                <w:bCs/>
                <w:sz w:val="22"/>
                <w:szCs w:val="22"/>
              </w:rPr>
              <w:t>-2 925,30</w:t>
            </w:r>
          </w:p>
        </w:tc>
        <w:tc>
          <w:tcPr>
            <w:tcW w:w="682" w:type="pct"/>
            <w:shd w:val="clear" w:color="auto" w:fill="FFFFFF" w:themeFill="background1"/>
            <w:vAlign w:val="center"/>
            <w:hideMark/>
          </w:tcPr>
          <w:p w14:paraId="2B2CC3E7" w14:textId="77777777" w:rsidR="00835C96" w:rsidRPr="00387A7B" w:rsidRDefault="00835C96" w:rsidP="001733C9">
            <w:pPr>
              <w:jc w:val="center"/>
              <w:rPr>
                <w:b/>
                <w:bCs/>
                <w:sz w:val="22"/>
                <w:szCs w:val="22"/>
              </w:rPr>
            </w:pPr>
            <w:r w:rsidRPr="00387A7B">
              <w:rPr>
                <w:b/>
                <w:bCs/>
                <w:sz w:val="22"/>
                <w:szCs w:val="22"/>
              </w:rPr>
              <w:t>-2 192,60</w:t>
            </w:r>
          </w:p>
        </w:tc>
        <w:tc>
          <w:tcPr>
            <w:tcW w:w="680" w:type="pct"/>
            <w:shd w:val="clear" w:color="auto" w:fill="FFFFFF" w:themeFill="background1"/>
            <w:vAlign w:val="center"/>
            <w:hideMark/>
          </w:tcPr>
          <w:p w14:paraId="6F6446D0" w14:textId="77777777" w:rsidR="00835C96" w:rsidRPr="00387A7B" w:rsidRDefault="00835C96" w:rsidP="001733C9">
            <w:pPr>
              <w:jc w:val="center"/>
              <w:rPr>
                <w:b/>
                <w:bCs/>
                <w:sz w:val="22"/>
                <w:szCs w:val="22"/>
              </w:rPr>
            </w:pPr>
            <w:r w:rsidRPr="00387A7B">
              <w:rPr>
                <w:b/>
                <w:bCs/>
                <w:sz w:val="22"/>
                <w:szCs w:val="22"/>
              </w:rPr>
              <w:t>-1 264,30</w:t>
            </w:r>
          </w:p>
        </w:tc>
      </w:tr>
      <w:tr w:rsidR="00387A7B" w:rsidRPr="00387A7B" w14:paraId="569BBED7" w14:textId="77777777" w:rsidTr="001733C9">
        <w:trPr>
          <w:trHeight w:val="300"/>
        </w:trPr>
        <w:tc>
          <w:tcPr>
            <w:tcW w:w="2196" w:type="pct"/>
            <w:shd w:val="clear" w:color="auto" w:fill="FFFFFF" w:themeFill="background1"/>
            <w:vAlign w:val="center"/>
            <w:hideMark/>
          </w:tcPr>
          <w:p w14:paraId="3D51C4C9" w14:textId="77777777" w:rsidR="00835C96" w:rsidRPr="00387A7B" w:rsidRDefault="00835C96" w:rsidP="001733C9">
            <w:pPr>
              <w:rPr>
                <w:i/>
                <w:iCs/>
                <w:sz w:val="22"/>
                <w:szCs w:val="22"/>
              </w:rPr>
            </w:pPr>
            <w:r w:rsidRPr="00387A7B">
              <w:rPr>
                <w:i/>
                <w:iCs/>
                <w:sz w:val="22"/>
                <w:szCs w:val="22"/>
              </w:rPr>
              <w:t>%% ВВП</w:t>
            </w:r>
          </w:p>
        </w:tc>
        <w:tc>
          <w:tcPr>
            <w:tcW w:w="683" w:type="pct"/>
            <w:shd w:val="clear" w:color="auto" w:fill="FFFFFF" w:themeFill="background1"/>
            <w:vAlign w:val="center"/>
            <w:hideMark/>
          </w:tcPr>
          <w:p w14:paraId="04F71FFA" w14:textId="77777777" w:rsidR="00835C96" w:rsidRPr="00387A7B" w:rsidRDefault="00835C96" w:rsidP="001733C9">
            <w:pPr>
              <w:jc w:val="center"/>
              <w:rPr>
                <w:i/>
                <w:iCs/>
                <w:sz w:val="22"/>
                <w:szCs w:val="22"/>
              </w:rPr>
            </w:pPr>
            <w:r w:rsidRPr="00387A7B">
              <w:rPr>
                <w:i/>
                <w:iCs/>
                <w:sz w:val="22"/>
                <w:szCs w:val="22"/>
              </w:rPr>
              <w:t>-0,9</w:t>
            </w:r>
          </w:p>
        </w:tc>
        <w:tc>
          <w:tcPr>
            <w:tcW w:w="758" w:type="pct"/>
            <w:shd w:val="clear" w:color="auto" w:fill="FFFFFF" w:themeFill="background1"/>
            <w:vAlign w:val="center"/>
            <w:hideMark/>
          </w:tcPr>
          <w:p w14:paraId="17925BD7" w14:textId="77777777" w:rsidR="00835C96" w:rsidRPr="00387A7B" w:rsidRDefault="00835C96" w:rsidP="001733C9">
            <w:pPr>
              <w:jc w:val="center"/>
              <w:rPr>
                <w:i/>
                <w:iCs/>
                <w:sz w:val="22"/>
                <w:szCs w:val="22"/>
              </w:rPr>
            </w:pPr>
            <w:r w:rsidRPr="00387A7B">
              <w:rPr>
                <w:i/>
                <w:iCs/>
                <w:sz w:val="22"/>
                <w:szCs w:val="22"/>
              </w:rPr>
              <w:t>-2</w:t>
            </w:r>
          </w:p>
        </w:tc>
        <w:tc>
          <w:tcPr>
            <w:tcW w:w="682" w:type="pct"/>
            <w:shd w:val="clear" w:color="auto" w:fill="FFFFFF" w:themeFill="background1"/>
            <w:vAlign w:val="center"/>
            <w:hideMark/>
          </w:tcPr>
          <w:p w14:paraId="64DA0C6A" w14:textId="77777777" w:rsidR="00835C96" w:rsidRPr="00387A7B" w:rsidRDefault="00835C96" w:rsidP="001733C9">
            <w:pPr>
              <w:jc w:val="center"/>
              <w:rPr>
                <w:i/>
                <w:iCs/>
                <w:sz w:val="22"/>
                <w:szCs w:val="22"/>
              </w:rPr>
            </w:pPr>
            <w:r w:rsidRPr="00387A7B">
              <w:rPr>
                <w:i/>
                <w:iCs/>
                <w:sz w:val="22"/>
                <w:szCs w:val="22"/>
              </w:rPr>
              <w:t>-1,4</w:t>
            </w:r>
          </w:p>
        </w:tc>
        <w:tc>
          <w:tcPr>
            <w:tcW w:w="680" w:type="pct"/>
            <w:shd w:val="clear" w:color="auto" w:fill="FFFFFF" w:themeFill="background1"/>
            <w:vAlign w:val="center"/>
            <w:hideMark/>
          </w:tcPr>
          <w:p w14:paraId="1C1B1906" w14:textId="77777777" w:rsidR="00835C96" w:rsidRPr="00387A7B" w:rsidRDefault="00835C96" w:rsidP="001733C9">
            <w:pPr>
              <w:jc w:val="center"/>
              <w:rPr>
                <w:i/>
                <w:iCs/>
                <w:sz w:val="22"/>
                <w:szCs w:val="22"/>
              </w:rPr>
            </w:pPr>
            <w:r w:rsidRPr="00387A7B">
              <w:rPr>
                <w:i/>
                <w:iCs/>
                <w:sz w:val="22"/>
                <w:szCs w:val="22"/>
              </w:rPr>
              <w:t>-0,7</w:t>
            </w:r>
          </w:p>
        </w:tc>
      </w:tr>
    </w:tbl>
    <w:p w14:paraId="56EB3709" w14:textId="5B69EF3A" w:rsidR="00B713CE" w:rsidRPr="00B713CE" w:rsidRDefault="00E56BC6" w:rsidP="00B713CE">
      <w:pPr>
        <w:autoSpaceDE w:val="0"/>
        <w:autoSpaceDN w:val="0"/>
        <w:adjustRightInd w:val="0"/>
        <w:spacing w:line="360" w:lineRule="auto"/>
        <w:rPr>
          <w:i/>
          <w:iCs/>
          <w:sz w:val="24"/>
          <w:szCs w:val="24"/>
        </w:rPr>
      </w:pPr>
      <w:r>
        <w:rPr>
          <w:i/>
          <w:iCs/>
          <w:sz w:val="24"/>
          <w:szCs w:val="24"/>
        </w:rPr>
        <w:t xml:space="preserve">Источник: </w:t>
      </w:r>
      <w:r w:rsidR="00B713CE" w:rsidRPr="00B713CE">
        <w:rPr>
          <w:i/>
          <w:iCs/>
          <w:sz w:val="24"/>
          <w:szCs w:val="24"/>
        </w:rPr>
        <w:t>Составлено на основе данных в пояснительной записке к законопроекту</w:t>
      </w:r>
    </w:p>
    <w:p w14:paraId="35CA13D8" w14:textId="246821DB" w:rsidR="00B713CE" w:rsidRPr="00387A7B" w:rsidRDefault="00B713CE" w:rsidP="00B713CE">
      <w:pPr>
        <w:pStyle w:val="aa"/>
        <w:autoSpaceDE w:val="0"/>
        <w:autoSpaceDN w:val="0"/>
        <w:adjustRightInd w:val="0"/>
        <w:spacing w:line="360" w:lineRule="auto"/>
        <w:ind w:left="0" w:firstLine="708"/>
        <w:jc w:val="both"/>
        <w:rPr>
          <w:rFonts w:ascii="Times New Roman" w:hAnsi="Times New Roman"/>
          <w:sz w:val="24"/>
          <w:szCs w:val="24"/>
        </w:rPr>
      </w:pPr>
      <w:r w:rsidRPr="00387A7B">
        <w:rPr>
          <w:rFonts w:ascii="Times New Roman" w:hAnsi="Times New Roman"/>
          <w:sz w:val="24"/>
          <w:szCs w:val="24"/>
        </w:rPr>
        <w:t>В целом такое временное отступление от «бюджетного правила» следует оценить положительно, так как данная мера позволит через расходы федерального бюджета обеспечить необходимое стимулирование бизнеса и граждан в указанных выше целях. Обратной стороной такой меры может явиться быстрое исчерпание средств в ФНБ, объем которого будет оценен далее. Вместе с тем следует позитивно оценить существенное повышение сбалансированности федерального бюджета к концу прогнозного бюджетного цикла с возвратом к принципам «бюджетных правил» и выходом на первичный структурный профицит бюджета к 2025 году.</w:t>
      </w:r>
    </w:p>
    <w:p w14:paraId="189629C8" w14:textId="1AE0CAC7" w:rsidR="00835C96" w:rsidRPr="00672516" w:rsidRDefault="00284EFC" w:rsidP="00735A54">
      <w:pPr>
        <w:pStyle w:val="aa"/>
        <w:numPr>
          <w:ilvl w:val="0"/>
          <w:numId w:val="30"/>
        </w:numPr>
        <w:autoSpaceDE w:val="0"/>
        <w:autoSpaceDN w:val="0"/>
        <w:adjustRightInd w:val="0"/>
        <w:spacing w:after="0" w:line="360" w:lineRule="auto"/>
        <w:ind w:left="0" w:firstLine="426"/>
        <w:jc w:val="both"/>
        <w:rPr>
          <w:rFonts w:ascii="Times New Roman" w:hAnsi="Times New Roman"/>
          <w:sz w:val="24"/>
          <w:szCs w:val="24"/>
        </w:rPr>
      </w:pPr>
      <w:r w:rsidRPr="00387A7B">
        <w:rPr>
          <w:rFonts w:ascii="Times New Roman" w:hAnsi="Times New Roman"/>
          <w:i/>
          <w:iCs/>
          <w:sz w:val="24"/>
          <w:szCs w:val="24"/>
        </w:rPr>
        <w:t>Значительное сокращение</w:t>
      </w:r>
      <w:r w:rsidRPr="00387A7B">
        <w:rPr>
          <w:rFonts w:ascii="Times New Roman" w:hAnsi="Times New Roman"/>
          <w:sz w:val="24"/>
          <w:szCs w:val="24"/>
        </w:rPr>
        <w:t xml:space="preserve"> </w:t>
      </w:r>
      <w:r w:rsidR="00C7505E" w:rsidRPr="00387A7B">
        <w:rPr>
          <w:rFonts w:ascii="Times New Roman" w:hAnsi="Times New Roman"/>
          <w:sz w:val="24"/>
          <w:szCs w:val="24"/>
        </w:rPr>
        <w:t xml:space="preserve">в 2023 году (на 23,4% или на 2% к ВВП) </w:t>
      </w:r>
      <w:r w:rsidR="00C7505E" w:rsidRPr="00387A7B">
        <w:rPr>
          <w:rFonts w:ascii="Times New Roman" w:hAnsi="Times New Roman"/>
          <w:i/>
          <w:iCs/>
          <w:sz w:val="24"/>
          <w:szCs w:val="24"/>
        </w:rPr>
        <w:t>нефтегазовых доходов федерального бюджета</w:t>
      </w:r>
      <w:r w:rsidR="00C7505E" w:rsidRPr="00387A7B">
        <w:rPr>
          <w:rFonts w:ascii="Times New Roman" w:hAnsi="Times New Roman"/>
          <w:sz w:val="24"/>
          <w:szCs w:val="24"/>
        </w:rPr>
        <w:t xml:space="preserve"> к их уровню в 2022 году</w:t>
      </w:r>
      <w:r w:rsidR="00B61F82" w:rsidRPr="00387A7B">
        <w:rPr>
          <w:rFonts w:ascii="Times New Roman" w:hAnsi="Times New Roman"/>
          <w:sz w:val="24"/>
          <w:szCs w:val="24"/>
        </w:rPr>
        <w:t xml:space="preserve"> (несмотря на повышение ставок НДПИ на газ природный и усиления налогообложения нефтяной отрасли)</w:t>
      </w:r>
      <w:r w:rsidR="00C7505E" w:rsidRPr="00387A7B">
        <w:rPr>
          <w:rFonts w:ascii="Times New Roman" w:hAnsi="Times New Roman"/>
          <w:sz w:val="24"/>
          <w:szCs w:val="24"/>
        </w:rPr>
        <w:t xml:space="preserve"> с сохранением отрицательной их динамики до конца прогнозного бюджетного цикла. В целом прогнозируемое сокращение нефтегазовых доходов федерального бюджета за 3 года составит более 27% или 3 % ВВП.</w:t>
      </w:r>
      <w:r w:rsidR="0057534D" w:rsidRPr="00387A7B">
        <w:rPr>
          <w:rFonts w:ascii="Times New Roman" w:hAnsi="Times New Roman"/>
          <w:sz w:val="24"/>
          <w:szCs w:val="24"/>
        </w:rPr>
        <w:t xml:space="preserve"> Одновременно </w:t>
      </w:r>
      <w:r w:rsidR="0057534D" w:rsidRPr="00387A7B">
        <w:rPr>
          <w:rFonts w:ascii="Times New Roman" w:hAnsi="Times New Roman"/>
          <w:i/>
          <w:iCs/>
          <w:sz w:val="24"/>
          <w:szCs w:val="24"/>
        </w:rPr>
        <w:t>динамика ненефтегазовых доходов прогнозируется с ежегодным номинальным ростом</w:t>
      </w:r>
      <w:r w:rsidR="0057534D" w:rsidRPr="00387A7B">
        <w:rPr>
          <w:rFonts w:ascii="Times New Roman" w:hAnsi="Times New Roman"/>
          <w:sz w:val="24"/>
          <w:szCs w:val="24"/>
        </w:rPr>
        <w:t xml:space="preserve"> на уровне </w:t>
      </w:r>
      <w:r w:rsidR="00B713CE" w:rsidRPr="00387A7B">
        <w:rPr>
          <w:rFonts w:ascii="Times New Roman" w:hAnsi="Times New Roman"/>
          <w:sz w:val="24"/>
          <w:szCs w:val="24"/>
        </w:rPr>
        <w:t>7–8</w:t>
      </w:r>
      <w:r w:rsidR="0057534D" w:rsidRPr="00387A7B">
        <w:rPr>
          <w:rFonts w:ascii="Times New Roman" w:hAnsi="Times New Roman"/>
          <w:sz w:val="24"/>
          <w:szCs w:val="24"/>
        </w:rPr>
        <w:t>%</w:t>
      </w:r>
      <w:r w:rsidRPr="00387A7B">
        <w:rPr>
          <w:rFonts w:ascii="Times New Roman" w:hAnsi="Times New Roman"/>
          <w:sz w:val="24"/>
          <w:szCs w:val="24"/>
        </w:rPr>
        <w:t xml:space="preserve"> </w:t>
      </w:r>
      <w:r w:rsidR="0057534D" w:rsidRPr="00387A7B">
        <w:rPr>
          <w:rFonts w:ascii="Times New Roman" w:hAnsi="Times New Roman"/>
          <w:sz w:val="24"/>
          <w:szCs w:val="24"/>
        </w:rPr>
        <w:t xml:space="preserve">в </w:t>
      </w:r>
      <w:r w:rsidR="00B713CE" w:rsidRPr="00387A7B">
        <w:rPr>
          <w:rFonts w:ascii="Times New Roman" w:hAnsi="Times New Roman"/>
          <w:sz w:val="24"/>
          <w:szCs w:val="24"/>
        </w:rPr>
        <w:t xml:space="preserve">2023–2024 </w:t>
      </w:r>
      <w:r w:rsidR="0057534D" w:rsidRPr="00387A7B">
        <w:rPr>
          <w:rFonts w:ascii="Times New Roman" w:hAnsi="Times New Roman"/>
          <w:sz w:val="24"/>
          <w:szCs w:val="24"/>
        </w:rPr>
        <w:t>год</w:t>
      </w:r>
      <w:r w:rsidR="00B713CE">
        <w:rPr>
          <w:rFonts w:ascii="Times New Roman" w:hAnsi="Times New Roman"/>
          <w:sz w:val="24"/>
          <w:szCs w:val="24"/>
        </w:rPr>
        <w:t>ы</w:t>
      </w:r>
      <w:r w:rsidR="0057534D" w:rsidRPr="00387A7B">
        <w:rPr>
          <w:rFonts w:ascii="Times New Roman" w:hAnsi="Times New Roman"/>
          <w:sz w:val="24"/>
          <w:szCs w:val="24"/>
        </w:rPr>
        <w:t xml:space="preserve"> 5% в 2025 году или </w:t>
      </w:r>
      <w:r w:rsidR="004D711E" w:rsidRPr="00387A7B">
        <w:rPr>
          <w:rFonts w:ascii="Times New Roman" w:hAnsi="Times New Roman"/>
          <w:sz w:val="24"/>
          <w:szCs w:val="24"/>
        </w:rPr>
        <w:t xml:space="preserve">в среднем </w:t>
      </w:r>
      <w:r w:rsidR="0057534D" w:rsidRPr="00387A7B">
        <w:rPr>
          <w:rFonts w:ascii="Times New Roman" w:hAnsi="Times New Roman"/>
          <w:sz w:val="24"/>
          <w:szCs w:val="24"/>
        </w:rPr>
        <w:t>на уровне 11,5% к ВВП</w:t>
      </w:r>
      <w:r w:rsidR="004D711E" w:rsidRPr="00387A7B">
        <w:rPr>
          <w:rFonts w:ascii="Times New Roman" w:hAnsi="Times New Roman"/>
          <w:sz w:val="24"/>
          <w:szCs w:val="24"/>
        </w:rPr>
        <w:t xml:space="preserve"> ежегодно</w:t>
      </w:r>
      <w:r w:rsidR="0057534D" w:rsidRPr="00387A7B">
        <w:rPr>
          <w:rFonts w:ascii="Times New Roman" w:hAnsi="Times New Roman"/>
          <w:sz w:val="24"/>
          <w:szCs w:val="24"/>
        </w:rPr>
        <w:t>. Накопленный номинальный рост указанной группы доходов за три года бюджетного цикла составит 21,6%</w:t>
      </w:r>
      <w:r w:rsidR="00C34544" w:rsidRPr="00387A7B">
        <w:rPr>
          <w:rFonts w:ascii="Times New Roman" w:hAnsi="Times New Roman"/>
          <w:sz w:val="24"/>
          <w:szCs w:val="24"/>
        </w:rPr>
        <w:t xml:space="preserve">, а </w:t>
      </w:r>
      <w:r w:rsidR="0057534D" w:rsidRPr="00387A7B">
        <w:rPr>
          <w:rFonts w:ascii="Times New Roman" w:hAnsi="Times New Roman"/>
          <w:sz w:val="24"/>
          <w:szCs w:val="24"/>
        </w:rPr>
        <w:t>их доля в совокупных доходах федерального бюджета вырастет с 59 до почти 70%.</w:t>
      </w:r>
      <w:r w:rsidR="001A257D" w:rsidRPr="00387A7B">
        <w:rPr>
          <w:rFonts w:ascii="Times New Roman" w:hAnsi="Times New Roman"/>
          <w:sz w:val="24"/>
          <w:szCs w:val="24"/>
        </w:rPr>
        <w:t xml:space="preserve"> Не в последнюю очередь рост ненефтегазовых доходов федерального бюджета обусловлен усилением их фискальной функции в части </w:t>
      </w:r>
      <w:r w:rsidR="00DB1574" w:rsidRPr="00387A7B">
        <w:rPr>
          <w:rFonts w:ascii="Times New Roman" w:hAnsi="Times New Roman"/>
          <w:sz w:val="24"/>
          <w:szCs w:val="24"/>
        </w:rPr>
        <w:t xml:space="preserve">увеличения ставок и повышающих коэффициентов по НДПИ на нефть, индексации ставок отдельных видов акцизов, установление </w:t>
      </w:r>
      <w:r w:rsidR="00DB1574" w:rsidRPr="00387A7B">
        <w:rPr>
          <w:rFonts w:ascii="Times New Roman" w:hAnsi="Times New Roman"/>
          <w:sz w:val="24"/>
          <w:szCs w:val="24"/>
        </w:rPr>
        <w:lastRenderedPageBreak/>
        <w:t>повышенной ставки НДПИ и в</w:t>
      </w:r>
      <w:r w:rsidR="00D17D6E" w:rsidRPr="00387A7B">
        <w:rPr>
          <w:rFonts w:ascii="Times New Roman" w:hAnsi="Times New Roman"/>
          <w:sz w:val="24"/>
          <w:szCs w:val="24"/>
        </w:rPr>
        <w:t>ывозной таможенной пошлины на уголь и удобрения</w:t>
      </w:r>
      <w:r w:rsidR="00735A54">
        <w:rPr>
          <w:rFonts w:ascii="Times New Roman" w:hAnsi="Times New Roman"/>
          <w:sz w:val="24"/>
          <w:szCs w:val="24"/>
        </w:rPr>
        <w:t xml:space="preserve"> </w:t>
      </w:r>
      <w:r w:rsidR="00D17D6E" w:rsidRPr="00387A7B">
        <w:rPr>
          <w:rFonts w:ascii="Times New Roman" w:hAnsi="Times New Roman"/>
          <w:sz w:val="24"/>
          <w:szCs w:val="24"/>
        </w:rPr>
        <w:t xml:space="preserve">и др. </w:t>
      </w:r>
      <w:r w:rsidR="00D17D6E" w:rsidRPr="00672516">
        <w:rPr>
          <w:rFonts w:ascii="Times New Roman" w:hAnsi="Times New Roman"/>
          <w:sz w:val="24"/>
          <w:szCs w:val="24"/>
        </w:rPr>
        <w:t xml:space="preserve">Таким образом, </w:t>
      </w:r>
      <w:r w:rsidR="004D711E" w:rsidRPr="00672516">
        <w:rPr>
          <w:rFonts w:ascii="Times New Roman" w:hAnsi="Times New Roman"/>
          <w:sz w:val="24"/>
          <w:szCs w:val="24"/>
        </w:rPr>
        <w:t xml:space="preserve">в </w:t>
      </w:r>
      <w:r w:rsidR="00672516" w:rsidRPr="00672516">
        <w:rPr>
          <w:rFonts w:ascii="Times New Roman" w:hAnsi="Times New Roman"/>
          <w:sz w:val="24"/>
          <w:szCs w:val="24"/>
        </w:rPr>
        <w:t xml:space="preserve">структуре </w:t>
      </w:r>
      <w:r w:rsidR="004D711E" w:rsidRPr="00672516">
        <w:rPr>
          <w:rFonts w:ascii="Times New Roman" w:hAnsi="Times New Roman"/>
          <w:sz w:val="24"/>
          <w:szCs w:val="24"/>
        </w:rPr>
        <w:t>доход</w:t>
      </w:r>
      <w:r w:rsidR="00672516" w:rsidRPr="00672516">
        <w:rPr>
          <w:rFonts w:ascii="Times New Roman" w:hAnsi="Times New Roman"/>
          <w:sz w:val="24"/>
          <w:szCs w:val="24"/>
        </w:rPr>
        <w:t>ов</w:t>
      </w:r>
      <w:r w:rsidR="004D711E" w:rsidRPr="00672516">
        <w:rPr>
          <w:rFonts w:ascii="Times New Roman" w:hAnsi="Times New Roman"/>
          <w:sz w:val="24"/>
          <w:szCs w:val="24"/>
        </w:rPr>
        <w:t xml:space="preserve"> </w:t>
      </w:r>
      <w:r w:rsidR="00D17D6E" w:rsidRPr="00672516">
        <w:rPr>
          <w:rFonts w:ascii="Times New Roman" w:hAnsi="Times New Roman"/>
          <w:sz w:val="24"/>
          <w:szCs w:val="24"/>
        </w:rPr>
        <w:t xml:space="preserve">федерального бюджета </w:t>
      </w:r>
      <w:r w:rsidR="004D711E" w:rsidRPr="00672516">
        <w:rPr>
          <w:rFonts w:ascii="Times New Roman" w:hAnsi="Times New Roman"/>
          <w:sz w:val="24"/>
          <w:szCs w:val="24"/>
        </w:rPr>
        <w:t xml:space="preserve">прослеживается устойчивая тенденция вытеснения нефтегазовых доходов </w:t>
      </w:r>
      <w:r w:rsidR="00D17D6E" w:rsidRPr="00672516">
        <w:rPr>
          <w:rFonts w:ascii="Times New Roman" w:hAnsi="Times New Roman"/>
          <w:sz w:val="24"/>
          <w:szCs w:val="24"/>
        </w:rPr>
        <w:t xml:space="preserve"> </w:t>
      </w:r>
      <w:r w:rsidR="004D711E" w:rsidRPr="00672516">
        <w:rPr>
          <w:rFonts w:ascii="Times New Roman" w:hAnsi="Times New Roman"/>
          <w:sz w:val="24"/>
          <w:szCs w:val="24"/>
        </w:rPr>
        <w:t>ненефтегазовыми.</w:t>
      </w:r>
    </w:p>
    <w:p w14:paraId="1F29640A" w14:textId="10E3F6C6" w:rsidR="00B713CE" w:rsidRPr="00404515" w:rsidRDefault="00720DE9" w:rsidP="005C26DA">
      <w:pPr>
        <w:pStyle w:val="aa"/>
        <w:numPr>
          <w:ilvl w:val="0"/>
          <w:numId w:val="30"/>
        </w:numPr>
        <w:autoSpaceDE w:val="0"/>
        <w:autoSpaceDN w:val="0"/>
        <w:adjustRightInd w:val="0"/>
        <w:spacing w:after="0" w:line="360" w:lineRule="auto"/>
        <w:ind w:left="0" w:firstLine="360"/>
        <w:jc w:val="both"/>
        <w:rPr>
          <w:sz w:val="24"/>
          <w:szCs w:val="24"/>
        </w:rPr>
      </w:pPr>
      <w:r w:rsidRPr="00404515">
        <w:rPr>
          <w:rFonts w:ascii="Times New Roman" w:hAnsi="Times New Roman"/>
          <w:i/>
          <w:iCs/>
          <w:sz w:val="24"/>
          <w:szCs w:val="24"/>
        </w:rPr>
        <w:t>С</w:t>
      </w:r>
      <w:r w:rsidR="00E921AA" w:rsidRPr="00404515">
        <w:rPr>
          <w:rFonts w:ascii="Times New Roman" w:hAnsi="Times New Roman"/>
          <w:i/>
          <w:iCs/>
          <w:sz w:val="24"/>
          <w:szCs w:val="24"/>
        </w:rPr>
        <w:t>ущественное изменение с</w:t>
      </w:r>
      <w:r w:rsidRPr="00404515">
        <w:rPr>
          <w:rFonts w:ascii="Times New Roman" w:hAnsi="Times New Roman"/>
          <w:i/>
          <w:iCs/>
          <w:sz w:val="24"/>
          <w:szCs w:val="24"/>
        </w:rPr>
        <w:t>труктур</w:t>
      </w:r>
      <w:r w:rsidR="00E921AA" w:rsidRPr="00404515">
        <w:rPr>
          <w:rFonts w:ascii="Times New Roman" w:hAnsi="Times New Roman"/>
          <w:i/>
          <w:iCs/>
          <w:sz w:val="24"/>
          <w:szCs w:val="24"/>
        </w:rPr>
        <w:t>ы</w:t>
      </w:r>
      <w:r w:rsidRPr="00404515">
        <w:rPr>
          <w:rFonts w:ascii="Times New Roman" w:hAnsi="Times New Roman"/>
          <w:i/>
          <w:iCs/>
          <w:sz w:val="24"/>
          <w:szCs w:val="24"/>
        </w:rPr>
        <w:t xml:space="preserve"> расходов федерального бюджета </w:t>
      </w:r>
      <w:r w:rsidR="00E921AA" w:rsidRPr="00404515">
        <w:rPr>
          <w:rFonts w:ascii="Times New Roman" w:hAnsi="Times New Roman"/>
          <w:i/>
          <w:iCs/>
          <w:sz w:val="24"/>
          <w:szCs w:val="24"/>
        </w:rPr>
        <w:t>и их приоритетов</w:t>
      </w:r>
      <w:r w:rsidRPr="00404515">
        <w:rPr>
          <w:rFonts w:ascii="Times New Roman" w:hAnsi="Times New Roman"/>
          <w:sz w:val="24"/>
          <w:szCs w:val="24"/>
        </w:rPr>
        <w:t xml:space="preserve">. В сравнении с 2022 годом </w:t>
      </w:r>
      <w:r w:rsidR="00553D04" w:rsidRPr="00404515">
        <w:rPr>
          <w:rFonts w:ascii="Times New Roman" w:hAnsi="Times New Roman"/>
          <w:sz w:val="24"/>
          <w:szCs w:val="24"/>
        </w:rPr>
        <w:t xml:space="preserve">в 2023 году </w:t>
      </w:r>
      <w:r w:rsidRPr="00404515">
        <w:rPr>
          <w:rFonts w:ascii="Times New Roman" w:hAnsi="Times New Roman"/>
          <w:i/>
          <w:iCs/>
          <w:sz w:val="24"/>
          <w:szCs w:val="24"/>
        </w:rPr>
        <w:t>значительно (на 26% или более чем на 1,9 трлн руб.) увеличены расходы на военно-силовой блок</w:t>
      </w:r>
      <w:r w:rsidRPr="00404515">
        <w:rPr>
          <w:rFonts w:ascii="Times New Roman" w:hAnsi="Times New Roman"/>
          <w:sz w:val="24"/>
          <w:szCs w:val="24"/>
        </w:rPr>
        <w:t xml:space="preserve"> (по разделам «Национальная оборона» и «Национальная безопасность и правоохранительная деятельность»</w:t>
      </w:r>
      <w:r w:rsidR="00CD0A26" w:rsidRPr="00404515">
        <w:rPr>
          <w:rFonts w:ascii="Times New Roman" w:hAnsi="Times New Roman"/>
          <w:sz w:val="24"/>
          <w:szCs w:val="24"/>
        </w:rPr>
        <w:t xml:space="preserve"> соответственно на 43 и 4</w:t>
      </w:r>
      <w:r w:rsidR="00BC3C02" w:rsidRPr="00404515">
        <w:rPr>
          <w:rFonts w:ascii="Times New Roman" w:hAnsi="Times New Roman"/>
          <w:sz w:val="24"/>
          <w:szCs w:val="24"/>
        </w:rPr>
        <w:t>9</w:t>
      </w:r>
      <w:r w:rsidR="00CD0A26" w:rsidRPr="00404515">
        <w:rPr>
          <w:rFonts w:ascii="Times New Roman" w:hAnsi="Times New Roman"/>
          <w:sz w:val="24"/>
          <w:szCs w:val="24"/>
        </w:rPr>
        <w:t xml:space="preserve"> процентов</w:t>
      </w:r>
      <w:r w:rsidRPr="00404515">
        <w:rPr>
          <w:rFonts w:ascii="Times New Roman" w:hAnsi="Times New Roman"/>
          <w:sz w:val="24"/>
          <w:szCs w:val="24"/>
        </w:rPr>
        <w:t>)</w:t>
      </w:r>
      <w:r w:rsidR="00553D04" w:rsidRPr="00404515">
        <w:rPr>
          <w:rFonts w:ascii="Times New Roman" w:hAnsi="Times New Roman"/>
          <w:sz w:val="24"/>
          <w:szCs w:val="24"/>
        </w:rPr>
        <w:t xml:space="preserve"> при общей динамике роста совокупных расходов </w:t>
      </w:r>
      <w:r w:rsidR="00B54991" w:rsidRPr="00404515">
        <w:rPr>
          <w:rFonts w:ascii="Times New Roman" w:hAnsi="Times New Roman"/>
          <w:sz w:val="24"/>
          <w:szCs w:val="24"/>
        </w:rPr>
        <w:t xml:space="preserve">федерального бюджета </w:t>
      </w:r>
      <w:r w:rsidR="00553D04" w:rsidRPr="00404515">
        <w:rPr>
          <w:rFonts w:ascii="Times New Roman" w:hAnsi="Times New Roman"/>
          <w:sz w:val="24"/>
          <w:szCs w:val="24"/>
        </w:rPr>
        <w:t>на 5,2 процента. Кроме указанных расходов, существенно возрастают расходы по направлениям «Социальная политика» (на 890 млрд руб. или на 13,8%</w:t>
      </w:r>
      <w:r w:rsidR="001E102F" w:rsidRPr="00404515">
        <w:rPr>
          <w:rFonts w:ascii="Times New Roman" w:hAnsi="Times New Roman"/>
          <w:sz w:val="24"/>
          <w:szCs w:val="24"/>
        </w:rPr>
        <w:t>, в том числе за счет индексации ряда социальных выплат населению, прежде всего, пособий семьям с детьми</w:t>
      </w:r>
      <w:r w:rsidR="00553D04" w:rsidRPr="00404515">
        <w:rPr>
          <w:rFonts w:ascii="Times New Roman" w:hAnsi="Times New Roman"/>
          <w:sz w:val="24"/>
          <w:szCs w:val="24"/>
        </w:rPr>
        <w:t xml:space="preserve">) и «Обслуживание государственного долга» (116 млрд руб. или на 8,3%). Незначительный рост (ниже общей динамики расходов и уровня инфляции) в 2023 году предусмотрен также по направлениям </w:t>
      </w:r>
      <w:r w:rsidR="00B54991" w:rsidRPr="00404515">
        <w:rPr>
          <w:rFonts w:ascii="Times New Roman" w:hAnsi="Times New Roman"/>
          <w:sz w:val="24"/>
          <w:szCs w:val="24"/>
        </w:rPr>
        <w:t xml:space="preserve">«Образование» (на 43,6 млрд руб. или на 3,3%) и «Межбюджетные трансферты» (на 25,3 млрд руб. или 2,4%). По остальным 8 из 14 направлений расходов федерального бюджета предусмотрено сокращение их финансирования. Наибольшее сокращение </w:t>
      </w:r>
      <w:r w:rsidR="00345ADA" w:rsidRPr="00404515">
        <w:rPr>
          <w:rFonts w:ascii="Times New Roman" w:hAnsi="Times New Roman"/>
          <w:sz w:val="24"/>
          <w:szCs w:val="24"/>
        </w:rPr>
        <w:t xml:space="preserve">в абсолютном выражении в 2023 году в сравнении с 2022 годом </w:t>
      </w:r>
      <w:r w:rsidR="00B54991" w:rsidRPr="00404515">
        <w:rPr>
          <w:rFonts w:ascii="Times New Roman" w:hAnsi="Times New Roman"/>
          <w:sz w:val="24"/>
          <w:szCs w:val="24"/>
        </w:rPr>
        <w:t xml:space="preserve">запланировано по </w:t>
      </w:r>
      <w:r w:rsidR="00345ADA" w:rsidRPr="00404515">
        <w:rPr>
          <w:rFonts w:ascii="Times New Roman" w:hAnsi="Times New Roman"/>
          <w:sz w:val="24"/>
          <w:szCs w:val="24"/>
        </w:rPr>
        <w:t xml:space="preserve">таким </w:t>
      </w:r>
      <w:r w:rsidR="00B54991" w:rsidRPr="00404515">
        <w:rPr>
          <w:rFonts w:ascii="Times New Roman" w:hAnsi="Times New Roman"/>
          <w:sz w:val="24"/>
          <w:szCs w:val="24"/>
        </w:rPr>
        <w:t>направлениям</w:t>
      </w:r>
      <w:r w:rsidR="00345ADA" w:rsidRPr="00404515">
        <w:rPr>
          <w:rFonts w:ascii="Times New Roman" w:hAnsi="Times New Roman"/>
          <w:sz w:val="24"/>
          <w:szCs w:val="24"/>
        </w:rPr>
        <w:t>, как</w:t>
      </w:r>
      <w:r w:rsidR="00B54991" w:rsidRPr="00404515">
        <w:rPr>
          <w:rFonts w:ascii="Times New Roman" w:hAnsi="Times New Roman"/>
          <w:sz w:val="24"/>
          <w:szCs w:val="24"/>
        </w:rPr>
        <w:t xml:space="preserve"> </w:t>
      </w:r>
      <w:r w:rsidR="00345ADA" w:rsidRPr="00404515">
        <w:rPr>
          <w:rFonts w:ascii="Times New Roman" w:hAnsi="Times New Roman"/>
          <w:sz w:val="24"/>
          <w:szCs w:val="24"/>
        </w:rPr>
        <w:t xml:space="preserve">«Национальная экономика» (на 804 млрд руб. или на 8,6%) и </w:t>
      </w:r>
      <w:r w:rsidR="00B54991" w:rsidRPr="00404515">
        <w:rPr>
          <w:rFonts w:ascii="Times New Roman" w:hAnsi="Times New Roman"/>
          <w:sz w:val="24"/>
          <w:szCs w:val="24"/>
        </w:rPr>
        <w:t>«Общегосударственные вопросы» (на 635 млрд руб. или на 24,1%)</w:t>
      </w:r>
      <w:r w:rsidR="001E102F" w:rsidRPr="00404515">
        <w:rPr>
          <w:rFonts w:ascii="Times New Roman" w:hAnsi="Times New Roman"/>
          <w:sz w:val="24"/>
          <w:szCs w:val="24"/>
        </w:rPr>
        <w:t xml:space="preserve"> за счет сокращения финансирования </w:t>
      </w:r>
      <w:r w:rsidR="00497F96" w:rsidRPr="00404515">
        <w:rPr>
          <w:rFonts w:ascii="Times New Roman" w:hAnsi="Times New Roman"/>
          <w:sz w:val="24"/>
          <w:szCs w:val="24"/>
        </w:rPr>
        <w:t>стимулирующих и антикризисных мер</w:t>
      </w:r>
      <w:r w:rsidR="00345ADA" w:rsidRPr="00404515">
        <w:rPr>
          <w:rFonts w:ascii="Times New Roman" w:hAnsi="Times New Roman"/>
          <w:sz w:val="24"/>
          <w:szCs w:val="24"/>
        </w:rPr>
        <w:t xml:space="preserve">. </w:t>
      </w:r>
      <w:r w:rsidR="001E102F" w:rsidRPr="00404515">
        <w:rPr>
          <w:rFonts w:ascii="Times New Roman" w:hAnsi="Times New Roman"/>
          <w:sz w:val="24"/>
          <w:szCs w:val="24"/>
        </w:rPr>
        <w:t>Следует отметить и</w:t>
      </w:r>
      <w:r w:rsidR="00345ADA" w:rsidRPr="00404515">
        <w:rPr>
          <w:rFonts w:ascii="Times New Roman" w:hAnsi="Times New Roman"/>
          <w:sz w:val="24"/>
          <w:szCs w:val="24"/>
        </w:rPr>
        <w:t xml:space="preserve"> с</w:t>
      </w:r>
      <w:r w:rsidR="00AD48BD" w:rsidRPr="00404515">
        <w:rPr>
          <w:rFonts w:ascii="Times New Roman" w:hAnsi="Times New Roman"/>
          <w:sz w:val="24"/>
          <w:szCs w:val="24"/>
        </w:rPr>
        <w:t xml:space="preserve">окращение расходов </w:t>
      </w:r>
      <w:r w:rsidR="001E102F" w:rsidRPr="00404515">
        <w:rPr>
          <w:rFonts w:ascii="Times New Roman" w:hAnsi="Times New Roman"/>
          <w:sz w:val="24"/>
          <w:szCs w:val="24"/>
        </w:rPr>
        <w:t xml:space="preserve">по направлению «Здравоохранение» </w:t>
      </w:r>
      <w:r w:rsidR="00AD48BD" w:rsidRPr="00404515">
        <w:rPr>
          <w:rFonts w:ascii="Times New Roman" w:hAnsi="Times New Roman"/>
          <w:sz w:val="24"/>
          <w:szCs w:val="24"/>
        </w:rPr>
        <w:t xml:space="preserve">в предстоящем бюджетном цикле на </w:t>
      </w:r>
      <w:r w:rsidR="00345ADA" w:rsidRPr="00404515">
        <w:rPr>
          <w:rFonts w:ascii="Times New Roman" w:hAnsi="Times New Roman"/>
          <w:sz w:val="24"/>
          <w:szCs w:val="24"/>
        </w:rPr>
        <w:t xml:space="preserve">4,1% или на 64 млрд руб. к </w:t>
      </w:r>
      <w:r w:rsidR="00AD48BD" w:rsidRPr="00404515">
        <w:rPr>
          <w:rFonts w:ascii="Times New Roman" w:hAnsi="Times New Roman"/>
          <w:sz w:val="24"/>
          <w:szCs w:val="24"/>
        </w:rPr>
        <w:t>их уровню в 202</w:t>
      </w:r>
      <w:r w:rsidR="00345ADA" w:rsidRPr="00404515">
        <w:rPr>
          <w:rFonts w:ascii="Times New Roman" w:hAnsi="Times New Roman"/>
          <w:sz w:val="24"/>
          <w:szCs w:val="24"/>
        </w:rPr>
        <w:t>2 году</w:t>
      </w:r>
      <w:r w:rsidR="001E102F" w:rsidRPr="00404515">
        <w:rPr>
          <w:rFonts w:ascii="Times New Roman" w:hAnsi="Times New Roman"/>
          <w:bCs/>
          <w:sz w:val="24"/>
          <w:szCs w:val="24"/>
        </w:rPr>
        <w:t xml:space="preserve">. </w:t>
      </w:r>
      <w:r w:rsidR="00345ADA" w:rsidRPr="00404515">
        <w:rPr>
          <w:rFonts w:ascii="Times New Roman" w:hAnsi="Times New Roman"/>
          <w:sz w:val="24"/>
          <w:szCs w:val="24"/>
        </w:rPr>
        <w:t xml:space="preserve">Таким образом, </w:t>
      </w:r>
      <w:r w:rsidR="00497F96" w:rsidRPr="00404515">
        <w:rPr>
          <w:rFonts w:ascii="Times New Roman" w:hAnsi="Times New Roman"/>
          <w:sz w:val="24"/>
          <w:szCs w:val="24"/>
        </w:rPr>
        <w:t xml:space="preserve">в структуре расходов федерального бюджета </w:t>
      </w:r>
      <w:r w:rsidR="00CD0A26" w:rsidRPr="00404515">
        <w:rPr>
          <w:rFonts w:ascii="Times New Roman" w:hAnsi="Times New Roman"/>
          <w:sz w:val="24"/>
          <w:szCs w:val="24"/>
        </w:rPr>
        <w:t xml:space="preserve">в 2023 году </w:t>
      </w:r>
      <w:r w:rsidR="00735A54" w:rsidRPr="00404515">
        <w:rPr>
          <w:rFonts w:ascii="Times New Roman" w:hAnsi="Times New Roman"/>
          <w:sz w:val="24"/>
          <w:szCs w:val="24"/>
        </w:rPr>
        <w:t xml:space="preserve">прослеживается </w:t>
      </w:r>
      <w:r w:rsidR="00AD48BD" w:rsidRPr="00404515">
        <w:rPr>
          <w:rFonts w:ascii="Times New Roman" w:hAnsi="Times New Roman"/>
          <w:i/>
          <w:iCs/>
          <w:sz w:val="24"/>
          <w:szCs w:val="24"/>
        </w:rPr>
        <w:t>перераспределение</w:t>
      </w:r>
      <w:r w:rsidR="00CD0A26" w:rsidRPr="00404515">
        <w:rPr>
          <w:rFonts w:ascii="Times New Roman" w:hAnsi="Times New Roman"/>
          <w:i/>
          <w:iCs/>
          <w:sz w:val="24"/>
          <w:szCs w:val="24"/>
        </w:rPr>
        <w:t xml:space="preserve"> </w:t>
      </w:r>
      <w:r w:rsidR="00AD48BD" w:rsidRPr="00404515">
        <w:rPr>
          <w:rFonts w:ascii="Times New Roman" w:hAnsi="Times New Roman"/>
          <w:i/>
          <w:iCs/>
          <w:sz w:val="24"/>
          <w:szCs w:val="24"/>
        </w:rPr>
        <w:t>в пользу условно-непроизводительных направлений</w:t>
      </w:r>
      <w:r w:rsidR="00BC3C02" w:rsidRPr="00404515">
        <w:rPr>
          <w:rFonts w:ascii="Times New Roman" w:hAnsi="Times New Roman"/>
          <w:i/>
          <w:iCs/>
          <w:sz w:val="24"/>
          <w:szCs w:val="24"/>
        </w:rPr>
        <w:t>.</w:t>
      </w:r>
    </w:p>
    <w:p w14:paraId="2169ED76" w14:textId="10817264" w:rsidR="003E2AC7" w:rsidRPr="00735A54" w:rsidRDefault="00E921AA" w:rsidP="0062652F">
      <w:pPr>
        <w:pStyle w:val="aa"/>
        <w:numPr>
          <w:ilvl w:val="0"/>
          <w:numId w:val="30"/>
        </w:numPr>
        <w:autoSpaceDE w:val="0"/>
        <w:autoSpaceDN w:val="0"/>
        <w:adjustRightInd w:val="0"/>
        <w:spacing w:after="0" w:line="360" w:lineRule="auto"/>
        <w:ind w:left="0" w:firstLine="708"/>
        <w:jc w:val="both"/>
        <w:rPr>
          <w:rFonts w:ascii="Times New Roman" w:hAnsi="Times New Roman"/>
          <w:sz w:val="24"/>
          <w:szCs w:val="24"/>
        </w:rPr>
      </w:pPr>
      <w:r w:rsidRPr="00735A54">
        <w:rPr>
          <w:rFonts w:ascii="Times New Roman" w:hAnsi="Times New Roman"/>
          <w:i/>
          <w:iCs/>
          <w:sz w:val="24"/>
          <w:szCs w:val="24"/>
        </w:rPr>
        <w:t>С</w:t>
      </w:r>
      <w:r w:rsidR="00FB187C" w:rsidRPr="00735A54">
        <w:rPr>
          <w:rFonts w:ascii="Times New Roman" w:hAnsi="Times New Roman"/>
          <w:i/>
          <w:iCs/>
          <w:sz w:val="24"/>
          <w:szCs w:val="24"/>
        </w:rPr>
        <w:t>ниж</w:t>
      </w:r>
      <w:r w:rsidRPr="00735A54">
        <w:rPr>
          <w:rFonts w:ascii="Times New Roman" w:hAnsi="Times New Roman"/>
          <w:i/>
          <w:iCs/>
          <w:sz w:val="24"/>
          <w:szCs w:val="24"/>
        </w:rPr>
        <w:t>ение</w:t>
      </w:r>
      <w:r w:rsidR="00FB187C" w:rsidRPr="00735A54">
        <w:rPr>
          <w:rFonts w:ascii="Times New Roman" w:hAnsi="Times New Roman"/>
          <w:i/>
          <w:iCs/>
          <w:sz w:val="24"/>
          <w:szCs w:val="24"/>
        </w:rPr>
        <w:t xml:space="preserve"> дол</w:t>
      </w:r>
      <w:r w:rsidRPr="00735A54">
        <w:rPr>
          <w:rFonts w:ascii="Times New Roman" w:hAnsi="Times New Roman"/>
          <w:i/>
          <w:iCs/>
          <w:sz w:val="24"/>
          <w:szCs w:val="24"/>
        </w:rPr>
        <w:t>и</w:t>
      </w:r>
      <w:r w:rsidR="00FB187C" w:rsidRPr="00735A54">
        <w:rPr>
          <w:rFonts w:ascii="Times New Roman" w:hAnsi="Times New Roman"/>
          <w:i/>
          <w:iCs/>
          <w:sz w:val="24"/>
          <w:szCs w:val="24"/>
        </w:rPr>
        <w:t xml:space="preserve"> программных расходов федерального бюджета</w:t>
      </w:r>
      <w:r w:rsidRPr="00735A54">
        <w:rPr>
          <w:rFonts w:ascii="Times New Roman" w:hAnsi="Times New Roman"/>
          <w:i/>
          <w:iCs/>
          <w:sz w:val="24"/>
          <w:szCs w:val="24"/>
        </w:rPr>
        <w:t xml:space="preserve"> в общем их объеме. </w:t>
      </w:r>
      <w:bookmarkStart w:id="3" w:name="_Hlk116318074"/>
      <w:r w:rsidRPr="00735A54">
        <w:rPr>
          <w:rFonts w:ascii="Times New Roman" w:hAnsi="Times New Roman"/>
          <w:sz w:val="24"/>
          <w:szCs w:val="24"/>
        </w:rPr>
        <w:t>З</w:t>
      </w:r>
      <w:r w:rsidR="00FB187C" w:rsidRPr="00735A54">
        <w:rPr>
          <w:rFonts w:ascii="Times New Roman" w:hAnsi="Times New Roman"/>
          <w:sz w:val="24"/>
          <w:szCs w:val="24"/>
        </w:rPr>
        <w:t xml:space="preserve">а 3 года удельный вес расходов на финансирование государственных программ снизится с 78,3% в 2022 г. до 69,4% в 2025 году. При этом динамика программных расходов </w:t>
      </w:r>
      <w:r w:rsidR="003E2AC7" w:rsidRPr="00735A54">
        <w:rPr>
          <w:rFonts w:ascii="Times New Roman" w:hAnsi="Times New Roman"/>
          <w:sz w:val="24"/>
          <w:szCs w:val="24"/>
        </w:rPr>
        <w:t xml:space="preserve">в 2023 и 2025 годах показывает отрицательные значения (снижение к предыдущему году соответственно на 9,1 и 2,8 процентов), что противоречит поставленной в Бюджетном прогнозе цели довести уровень расходов на финансирование государственных программ в общих расходах федерального бюджета </w:t>
      </w:r>
      <w:r w:rsidRPr="00735A54">
        <w:rPr>
          <w:rFonts w:ascii="Times New Roman" w:hAnsi="Times New Roman"/>
          <w:sz w:val="24"/>
          <w:szCs w:val="24"/>
        </w:rPr>
        <w:t>до</w:t>
      </w:r>
      <w:r w:rsidR="003E2AC7" w:rsidRPr="00735A54">
        <w:rPr>
          <w:rFonts w:ascii="Times New Roman" w:hAnsi="Times New Roman"/>
          <w:sz w:val="24"/>
          <w:szCs w:val="24"/>
        </w:rPr>
        <w:t xml:space="preserve"> </w:t>
      </w:r>
      <w:r w:rsidR="009A106F" w:rsidRPr="00735A54">
        <w:rPr>
          <w:rFonts w:ascii="Times New Roman" w:hAnsi="Times New Roman"/>
          <w:sz w:val="24"/>
          <w:szCs w:val="24"/>
        </w:rPr>
        <w:t xml:space="preserve">93,4 и 93,6 </w:t>
      </w:r>
      <w:r w:rsidR="003E2AC7" w:rsidRPr="00735A54">
        <w:rPr>
          <w:rFonts w:ascii="Times New Roman" w:hAnsi="Times New Roman"/>
          <w:sz w:val="24"/>
          <w:szCs w:val="24"/>
        </w:rPr>
        <w:t>процентов</w:t>
      </w:r>
      <w:r w:rsidR="009A106F" w:rsidRPr="00735A54">
        <w:rPr>
          <w:rFonts w:ascii="Times New Roman" w:hAnsi="Times New Roman"/>
          <w:sz w:val="24"/>
          <w:szCs w:val="24"/>
        </w:rPr>
        <w:t xml:space="preserve"> в 2023 и 2024 годах соответственно</w:t>
      </w:r>
      <w:bookmarkEnd w:id="3"/>
      <w:r w:rsidR="003E2AC7" w:rsidRPr="00735A54">
        <w:rPr>
          <w:rFonts w:ascii="Times New Roman" w:hAnsi="Times New Roman"/>
          <w:sz w:val="24"/>
          <w:szCs w:val="24"/>
        </w:rPr>
        <w:t xml:space="preserve">. В отношении расходов на реализацию национальных проектов также отмечается снижение их относительной доли в общих расходах федерального бюджета в 2023 году почти до 9,75% процентов (против 10,94% в 2022 году) </w:t>
      </w:r>
      <w:r w:rsidR="00EA6649" w:rsidRPr="00735A54">
        <w:rPr>
          <w:rFonts w:ascii="Times New Roman" w:hAnsi="Times New Roman"/>
          <w:sz w:val="24"/>
          <w:szCs w:val="24"/>
        </w:rPr>
        <w:t xml:space="preserve">за счет сокращения абсолютных объемов их финансирования на 9,8%. В сравнении с июньским вариантом Основных направлений финансирование расходов на национальные </w:t>
      </w:r>
      <w:r w:rsidR="00EA6649" w:rsidRPr="00735A54">
        <w:rPr>
          <w:rFonts w:ascii="Times New Roman" w:hAnsi="Times New Roman"/>
          <w:sz w:val="24"/>
          <w:szCs w:val="24"/>
        </w:rPr>
        <w:lastRenderedPageBreak/>
        <w:t xml:space="preserve">проекты также снижено на 2% в 2023 году и на 3% в 2024 году (в 2025 году финансирование национальных проектов </w:t>
      </w:r>
      <w:r w:rsidR="009329DA" w:rsidRPr="00735A54">
        <w:rPr>
          <w:rFonts w:ascii="Times New Roman" w:hAnsi="Times New Roman"/>
          <w:sz w:val="24"/>
          <w:szCs w:val="24"/>
        </w:rPr>
        <w:t xml:space="preserve">в Основных направлениях и Пояснительной записке </w:t>
      </w:r>
      <w:r w:rsidR="00EA6649" w:rsidRPr="00735A54">
        <w:rPr>
          <w:rFonts w:ascii="Times New Roman" w:hAnsi="Times New Roman"/>
          <w:sz w:val="24"/>
          <w:szCs w:val="24"/>
        </w:rPr>
        <w:t>не предусмотрено).</w:t>
      </w:r>
    </w:p>
    <w:p w14:paraId="1703273C" w14:textId="6A49AE2D" w:rsidR="00D11333" w:rsidRPr="00387A7B" w:rsidRDefault="00F02B71" w:rsidP="00735A54">
      <w:pPr>
        <w:pStyle w:val="aa"/>
        <w:numPr>
          <w:ilvl w:val="0"/>
          <w:numId w:val="30"/>
        </w:numPr>
        <w:autoSpaceDE w:val="0"/>
        <w:autoSpaceDN w:val="0"/>
        <w:adjustRightInd w:val="0"/>
        <w:spacing w:after="0" w:line="360" w:lineRule="auto"/>
        <w:ind w:left="0" w:firstLine="709"/>
        <w:jc w:val="both"/>
        <w:rPr>
          <w:sz w:val="24"/>
          <w:szCs w:val="24"/>
        </w:rPr>
      </w:pPr>
      <w:r w:rsidRPr="00387A7B">
        <w:rPr>
          <w:rFonts w:ascii="Times New Roman" w:hAnsi="Times New Roman"/>
          <w:i/>
          <w:iCs/>
          <w:sz w:val="24"/>
          <w:szCs w:val="24"/>
        </w:rPr>
        <w:t>Существенное увеличение в законопроекте объёма привлекаемых источников финансирования дефицита</w:t>
      </w:r>
      <w:r w:rsidRPr="00387A7B">
        <w:rPr>
          <w:rFonts w:ascii="Times New Roman" w:hAnsi="Times New Roman"/>
          <w:sz w:val="24"/>
          <w:szCs w:val="24"/>
        </w:rPr>
        <w:t xml:space="preserve"> в сравнении с их проектируемой величиной в первичном варианте Основных направлений</w:t>
      </w:r>
      <w:r w:rsidR="00D855AF" w:rsidRPr="00387A7B">
        <w:rPr>
          <w:rFonts w:ascii="Times New Roman" w:hAnsi="Times New Roman"/>
          <w:sz w:val="24"/>
          <w:szCs w:val="24"/>
        </w:rPr>
        <w:t xml:space="preserve"> и ожидаемым объемом по итогам 2022 года (более чем на 84% и более чем в 2,2 раза соответственно). </w:t>
      </w:r>
      <w:r w:rsidR="002C4EF4" w:rsidRPr="00387A7B">
        <w:rPr>
          <w:rFonts w:ascii="Times New Roman" w:hAnsi="Times New Roman"/>
          <w:sz w:val="24"/>
          <w:szCs w:val="24"/>
        </w:rPr>
        <w:t xml:space="preserve">Это обусловлено модификацией параметров «бюджетных правил», предполагающих наличие дополнительных источников финансирования бюджетных обязательств в объеме 2-х трлн руб. </w:t>
      </w:r>
      <w:r w:rsidR="00472AC6" w:rsidRPr="00387A7B">
        <w:rPr>
          <w:rFonts w:ascii="Times New Roman" w:hAnsi="Times New Roman"/>
          <w:sz w:val="24"/>
          <w:szCs w:val="24"/>
        </w:rPr>
        <w:t xml:space="preserve">Вместе с тем, в Пояснительной записке к законопроекту наблюдаются существенные расхождения в значениях привлечения средств посредством эмиссии государственных ценных бумаг, используемых дополнительных нефтегазовых доходов из ФНБ и некоторых других источников в сравнении с их величиной, представленной в новом варианте Основных направлений. Если ориентироваться на проектировки источников финансирования дефицита федерального бюджета в Пояснительной записке, </w:t>
      </w:r>
      <w:r w:rsidR="004D711E" w:rsidRPr="00387A7B">
        <w:rPr>
          <w:rFonts w:ascii="Times New Roman" w:hAnsi="Times New Roman"/>
          <w:sz w:val="24"/>
          <w:szCs w:val="24"/>
        </w:rPr>
        <w:t>то большая их часть (</w:t>
      </w:r>
      <w:r w:rsidR="008D7291" w:rsidRPr="00387A7B">
        <w:rPr>
          <w:rFonts w:ascii="Times New Roman" w:hAnsi="Times New Roman"/>
          <w:sz w:val="24"/>
          <w:szCs w:val="24"/>
        </w:rPr>
        <w:t xml:space="preserve">или </w:t>
      </w:r>
      <w:r w:rsidR="004D711E" w:rsidRPr="00387A7B">
        <w:rPr>
          <w:rFonts w:ascii="Times New Roman" w:hAnsi="Times New Roman"/>
          <w:sz w:val="24"/>
          <w:szCs w:val="24"/>
        </w:rPr>
        <w:t xml:space="preserve">около </w:t>
      </w:r>
      <w:r w:rsidR="008A4D97" w:rsidRPr="00387A7B">
        <w:rPr>
          <w:rFonts w:ascii="Times New Roman" w:hAnsi="Times New Roman"/>
          <w:sz w:val="24"/>
          <w:szCs w:val="24"/>
        </w:rPr>
        <w:t>3-х</w:t>
      </w:r>
      <w:r w:rsidR="004D711E" w:rsidRPr="00387A7B">
        <w:rPr>
          <w:rFonts w:ascii="Times New Roman" w:hAnsi="Times New Roman"/>
          <w:sz w:val="24"/>
          <w:szCs w:val="24"/>
        </w:rPr>
        <w:t xml:space="preserve"> трлн руб.) </w:t>
      </w:r>
      <w:r w:rsidR="002C4EF4" w:rsidRPr="00387A7B">
        <w:rPr>
          <w:rFonts w:ascii="Times New Roman" w:hAnsi="Times New Roman"/>
          <w:sz w:val="24"/>
          <w:szCs w:val="24"/>
        </w:rPr>
        <w:t xml:space="preserve">в 2023 году </w:t>
      </w:r>
      <w:r w:rsidR="008A4D97" w:rsidRPr="00387A7B">
        <w:rPr>
          <w:rFonts w:ascii="Times New Roman" w:hAnsi="Times New Roman"/>
          <w:sz w:val="24"/>
          <w:szCs w:val="24"/>
        </w:rPr>
        <w:t>приходится на</w:t>
      </w:r>
      <w:r w:rsidR="004D711E" w:rsidRPr="00387A7B">
        <w:rPr>
          <w:rFonts w:ascii="Times New Roman" w:hAnsi="Times New Roman"/>
          <w:sz w:val="24"/>
          <w:szCs w:val="24"/>
        </w:rPr>
        <w:t xml:space="preserve"> </w:t>
      </w:r>
      <w:r w:rsidR="008A4D97" w:rsidRPr="00387A7B">
        <w:rPr>
          <w:rFonts w:ascii="Times New Roman" w:hAnsi="Times New Roman"/>
          <w:sz w:val="24"/>
          <w:szCs w:val="24"/>
        </w:rPr>
        <w:t>накопленные средства</w:t>
      </w:r>
      <w:r w:rsidR="004D711E" w:rsidRPr="00387A7B">
        <w:rPr>
          <w:rFonts w:ascii="Times New Roman" w:hAnsi="Times New Roman"/>
          <w:sz w:val="24"/>
          <w:szCs w:val="24"/>
        </w:rPr>
        <w:t xml:space="preserve"> из ФНБ</w:t>
      </w:r>
      <w:r w:rsidR="0008182A" w:rsidRPr="00387A7B">
        <w:rPr>
          <w:rFonts w:ascii="Times New Roman" w:hAnsi="Times New Roman"/>
          <w:sz w:val="24"/>
          <w:szCs w:val="24"/>
        </w:rPr>
        <w:t xml:space="preserve">. </w:t>
      </w:r>
      <w:r w:rsidR="008A4D97" w:rsidRPr="00387A7B">
        <w:rPr>
          <w:rFonts w:ascii="Times New Roman" w:hAnsi="Times New Roman"/>
          <w:sz w:val="24"/>
          <w:szCs w:val="24"/>
        </w:rPr>
        <w:t xml:space="preserve">В связи с приостановкой «бюджетных правил» </w:t>
      </w:r>
      <w:r w:rsidR="00387A7B" w:rsidRPr="00387A7B">
        <w:rPr>
          <w:rFonts w:ascii="Times New Roman" w:hAnsi="Times New Roman"/>
          <w:sz w:val="24"/>
          <w:szCs w:val="24"/>
        </w:rPr>
        <w:t xml:space="preserve">на период до 2025 года, </w:t>
      </w:r>
      <w:r w:rsidR="008A4D97" w:rsidRPr="00387A7B">
        <w:rPr>
          <w:rFonts w:ascii="Times New Roman" w:hAnsi="Times New Roman"/>
          <w:sz w:val="24"/>
          <w:szCs w:val="24"/>
        </w:rPr>
        <w:t>а также увеличением расходов, связанных с поддержкой экономики и граждан в условиях геополитического и санкционного давления, пополнение Фонда национального благосостояния за счет дополнительных нефтегазовых доходов в 2023 году не планируется, что в целом является обоснованным шагом. С другой стороны, э</w:t>
      </w:r>
      <w:r w:rsidR="002C4EF4" w:rsidRPr="00387A7B">
        <w:rPr>
          <w:rFonts w:ascii="Times New Roman" w:hAnsi="Times New Roman"/>
          <w:sz w:val="24"/>
          <w:szCs w:val="24"/>
        </w:rPr>
        <w:t xml:space="preserve">то приведет </w:t>
      </w:r>
      <w:r w:rsidR="002C4EF4" w:rsidRPr="00B713CE">
        <w:rPr>
          <w:rFonts w:ascii="Times New Roman" w:hAnsi="Times New Roman"/>
          <w:i/>
          <w:iCs/>
          <w:sz w:val="24"/>
          <w:szCs w:val="24"/>
        </w:rPr>
        <w:t>к резкому сокращению накопленных суверенных резервов</w:t>
      </w:r>
      <w:r w:rsidR="008A4D97" w:rsidRPr="00B713CE">
        <w:rPr>
          <w:rFonts w:ascii="Times New Roman" w:hAnsi="Times New Roman"/>
          <w:i/>
          <w:iCs/>
          <w:sz w:val="24"/>
          <w:szCs w:val="24"/>
        </w:rPr>
        <w:t xml:space="preserve"> в ФНБ</w:t>
      </w:r>
      <w:r w:rsidR="002C4EF4" w:rsidRPr="00387A7B">
        <w:rPr>
          <w:rFonts w:ascii="Times New Roman" w:hAnsi="Times New Roman"/>
          <w:sz w:val="24"/>
          <w:szCs w:val="24"/>
        </w:rPr>
        <w:t xml:space="preserve">, объем которого в относительном выражении уже начиная с 2024 года </w:t>
      </w:r>
      <w:r w:rsidR="008A4D97" w:rsidRPr="00387A7B">
        <w:rPr>
          <w:rFonts w:ascii="Times New Roman" w:hAnsi="Times New Roman"/>
          <w:sz w:val="24"/>
          <w:szCs w:val="24"/>
        </w:rPr>
        <w:t xml:space="preserve">снизится до уровня ниже 5%, а к концу 2025 года – ниже 4-х процентов ВВП. </w:t>
      </w:r>
      <w:r w:rsidR="0008182A" w:rsidRPr="00387A7B">
        <w:rPr>
          <w:rFonts w:ascii="Times New Roman" w:hAnsi="Times New Roman"/>
          <w:sz w:val="24"/>
          <w:szCs w:val="24"/>
        </w:rPr>
        <w:t xml:space="preserve">В </w:t>
      </w:r>
      <w:r w:rsidR="008A4D97" w:rsidRPr="00387A7B">
        <w:rPr>
          <w:rFonts w:ascii="Times New Roman" w:hAnsi="Times New Roman"/>
          <w:sz w:val="24"/>
          <w:szCs w:val="24"/>
        </w:rPr>
        <w:t xml:space="preserve">этой связи в </w:t>
      </w:r>
      <w:r w:rsidR="00B713CE" w:rsidRPr="00387A7B">
        <w:rPr>
          <w:rFonts w:ascii="Times New Roman" w:hAnsi="Times New Roman"/>
          <w:sz w:val="24"/>
          <w:szCs w:val="24"/>
        </w:rPr>
        <w:t xml:space="preserve">2024–2025 </w:t>
      </w:r>
      <w:r w:rsidR="0008182A" w:rsidRPr="00387A7B">
        <w:rPr>
          <w:rFonts w:ascii="Times New Roman" w:hAnsi="Times New Roman"/>
          <w:sz w:val="24"/>
          <w:szCs w:val="24"/>
        </w:rPr>
        <w:t xml:space="preserve">годы роль накопленных суверенных резервов </w:t>
      </w:r>
      <w:r w:rsidR="008D7291" w:rsidRPr="00387A7B">
        <w:rPr>
          <w:rFonts w:ascii="Times New Roman" w:hAnsi="Times New Roman"/>
          <w:sz w:val="24"/>
          <w:szCs w:val="24"/>
        </w:rPr>
        <w:t xml:space="preserve">в качестве источника финансирования </w:t>
      </w:r>
      <w:r w:rsidR="0008182A" w:rsidRPr="00387A7B">
        <w:rPr>
          <w:rFonts w:ascii="Times New Roman" w:hAnsi="Times New Roman"/>
          <w:sz w:val="24"/>
          <w:szCs w:val="24"/>
        </w:rPr>
        <w:t xml:space="preserve">резко снижается, </w:t>
      </w:r>
      <w:r w:rsidR="008D7291" w:rsidRPr="00387A7B">
        <w:rPr>
          <w:rFonts w:ascii="Times New Roman" w:hAnsi="Times New Roman"/>
          <w:sz w:val="24"/>
          <w:szCs w:val="24"/>
        </w:rPr>
        <w:t>уступая место государственным займам. Чистое сальдо последних (</w:t>
      </w:r>
      <w:r w:rsidR="00B713CE" w:rsidRPr="00387A7B">
        <w:rPr>
          <w:rFonts w:ascii="Times New Roman" w:hAnsi="Times New Roman"/>
          <w:sz w:val="24"/>
          <w:szCs w:val="24"/>
        </w:rPr>
        <w:t>т. е.</w:t>
      </w:r>
      <w:r w:rsidR="008D7291" w:rsidRPr="00387A7B">
        <w:rPr>
          <w:rFonts w:ascii="Times New Roman" w:hAnsi="Times New Roman"/>
          <w:sz w:val="24"/>
          <w:szCs w:val="24"/>
        </w:rPr>
        <w:t xml:space="preserve"> </w:t>
      </w:r>
      <w:r w:rsidR="00D11333" w:rsidRPr="00387A7B">
        <w:rPr>
          <w:rFonts w:ascii="Times New Roman" w:hAnsi="Times New Roman"/>
          <w:sz w:val="24"/>
          <w:szCs w:val="24"/>
        </w:rPr>
        <w:t xml:space="preserve">объем привлеченных средств за вычетом средств на погашение) составит к концу 2025 года 2 трлн руб. </w:t>
      </w:r>
    </w:p>
    <w:p w14:paraId="728073DC" w14:textId="6EBB9462" w:rsidR="004B43C7" w:rsidRPr="00387A7B" w:rsidRDefault="00AD48BD" w:rsidP="00735A54">
      <w:pPr>
        <w:pStyle w:val="aa"/>
        <w:numPr>
          <w:ilvl w:val="0"/>
          <w:numId w:val="30"/>
        </w:numPr>
        <w:autoSpaceDE w:val="0"/>
        <w:autoSpaceDN w:val="0"/>
        <w:adjustRightInd w:val="0"/>
        <w:spacing w:after="0" w:line="360" w:lineRule="auto"/>
        <w:ind w:left="0" w:firstLine="567"/>
        <w:jc w:val="both"/>
        <w:rPr>
          <w:rFonts w:ascii="Times New Roman" w:hAnsi="Times New Roman"/>
          <w:sz w:val="24"/>
          <w:szCs w:val="24"/>
        </w:rPr>
      </w:pPr>
      <w:r w:rsidRPr="00387A7B">
        <w:rPr>
          <w:rFonts w:ascii="Times New Roman" w:hAnsi="Times New Roman"/>
          <w:i/>
          <w:iCs/>
          <w:sz w:val="24"/>
          <w:szCs w:val="24"/>
        </w:rPr>
        <w:t xml:space="preserve">Продолжение </w:t>
      </w:r>
      <w:r w:rsidR="008A4D97" w:rsidRPr="00387A7B">
        <w:rPr>
          <w:rFonts w:ascii="Times New Roman" w:hAnsi="Times New Roman"/>
          <w:i/>
          <w:iCs/>
          <w:sz w:val="24"/>
          <w:szCs w:val="24"/>
        </w:rPr>
        <w:t xml:space="preserve">умеренного </w:t>
      </w:r>
      <w:r w:rsidRPr="00387A7B">
        <w:rPr>
          <w:rFonts w:ascii="Times New Roman" w:hAnsi="Times New Roman"/>
          <w:i/>
          <w:iCs/>
          <w:sz w:val="24"/>
          <w:szCs w:val="24"/>
        </w:rPr>
        <w:t>роста объемов государственного долга за счет государственных внутренних заимствований в пределах безопасных целевых значений</w:t>
      </w:r>
      <w:r w:rsidRPr="00387A7B">
        <w:rPr>
          <w:rFonts w:ascii="Times New Roman" w:hAnsi="Times New Roman"/>
          <w:sz w:val="24"/>
          <w:szCs w:val="24"/>
        </w:rPr>
        <w:t xml:space="preserve"> </w:t>
      </w:r>
      <w:r w:rsidR="004B43C7" w:rsidRPr="00387A7B">
        <w:rPr>
          <w:rFonts w:ascii="Times New Roman" w:hAnsi="Times New Roman"/>
          <w:sz w:val="24"/>
          <w:szCs w:val="24"/>
        </w:rPr>
        <w:t xml:space="preserve">(мнее 20% к ВВП) </w:t>
      </w:r>
      <w:r w:rsidRPr="00387A7B">
        <w:rPr>
          <w:rFonts w:ascii="Times New Roman" w:hAnsi="Times New Roman"/>
          <w:sz w:val="24"/>
          <w:szCs w:val="24"/>
        </w:rPr>
        <w:t xml:space="preserve">с установлением в </w:t>
      </w:r>
      <w:r w:rsidR="00B713CE" w:rsidRPr="00387A7B">
        <w:rPr>
          <w:rFonts w:ascii="Times New Roman" w:hAnsi="Times New Roman"/>
          <w:sz w:val="24"/>
          <w:szCs w:val="24"/>
        </w:rPr>
        <w:t xml:space="preserve">2023–2024 </w:t>
      </w:r>
      <w:r w:rsidR="00B713CE">
        <w:rPr>
          <w:rFonts w:ascii="Times New Roman" w:hAnsi="Times New Roman"/>
          <w:sz w:val="24"/>
          <w:szCs w:val="24"/>
        </w:rPr>
        <w:t>годы</w:t>
      </w:r>
      <w:r w:rsidRPr="00387A7B">
        <w:rPr>
          <w:rFonts w:ascii="Times New Roman" w:hAnsi="Times New Roman"/>
          <w:sz w:val="24"/>
          <w:szCs w:val="24"/>
        </w:rPr>
        <w:t xml:space="preserve"> более высоких </w:t>
      </w:r>
      <w:r w:rsidR="008A4D97" w:rsidRPr="00387A7B">
        <w:rPr>
          <w:rFonts w:ascii="Times New Roman" w:hAnsi="Times New Roman"/>
          <w:sz w:val="24"/>
          <w:szCs w:val="24"/>
        </w:rPr>
        <w:t xml:space="preserve">абсолютных </w:t>
      </w:r>
      <w:r w:rsidRPr="00387A7B">
        <w:rPr>
          <w:rFonts w:ascii="Times New Roman" w:hAnsi="Times New Roman"/>
          <w:sz w:val="24"/>
          <w:szCs w:val="24"/>
        </w:rPr>
        <w:t xml:space="preserve">лимитов для государственного внутреннего долга в сравнении с предыдущим бюджетным циклом. </w:t>
      </w:r>
      <w:bookmarkEnd w:id="2"/>
      <w:r w:rsidR="008A4D97" w:rsidRPr="00387A7B">
        <w:rPr>
          <w:rFonts w:ascii="Times New Roman" w:hAnsi="Times New Roman"/>
          <w:sz w:val="24"/>
          <w:szCs w:val="24"/>
        </w:rPr>
        <w:t xml:space="preserve">Анализ показателей государственного долга Российской Федерации позволяет оценить долговую политику на федеральном уровне как взвешенную и обоснованную. В условиях повышенных процентных и валютных рисков </w:t>
      </w:r>
      <w:r w:rsidR="004B43C7" w:rsidRPr="00387A7B">
        <w:rPr>
          <w:rFonts w:ascii="Times New Roman" w:hAnsi="Times New Roman"/>
          <w:sz w:val="24"/>
          <w:szCs w:val="24"/>
        </w:rPr>
        <w:t xml:space="preserve">увеличение доли облигаций с постоянным купонным доходом и дальнейшее сокращение доли государственных внешних займов в структуре обязательств видится нам обоснованным и целесообразным. </w:t>
      </w:r>
    </w:p>
    <w:p w14:paraId="707275E8" w14:textId="2D3858D5" w:rsidR="00C43853" w:rsidRPr="00387A7B" w:rsidRDefault="00C43853" w:rsidP="00735A54">
      <w:pPr>
        <w:pStyle w:val="aa"/>
        <w:numPr>
          <w:ilvl w:val="0"/>
          <w:numId w:val="30"/>
        </w:numPr>
        <w:autoSpaceDE w:val="0"/>
        <w:autoSpaceDN w:val="0"/>
        <w:adjustRightInd w:val="0"/>
        <w:spacing w:after="0" w:line="360" w:lineRule="auto"/>
        <w:ind w:left="0" w:firstLine="567"/>
        <w:jc w:val="both"/>
        <w:rPr>
          <w:rFonts w:ascii="Times New Roman" w:hAnsi="Times New Roman"/>
          <w:sz w:val="24"/>
          <w:szCs w:val="24"/>
        </w:rPr>
      </w:pPr>
      <w:r w:rsidRPr="00387A7B">
        <w:rPr>
          <w:rFonts w:ascii="Times New Roman" w:hAnsi="Times New Roman"/>
          <w:i/>
          <w:iCs/>
          <w:sz w:val="24"/>
          <w:szCs w:val="24"/>
        </w:rPr>
        <w:t xml:space="preserve">В сфере инструментария реализации межбюджетных отношений следует позитивно оценить повышение прозрачности межбюджетных трансфертов </w:t>
      </w:r>
      <w:r w:rsidRPr="00387A7B">
        <w:rPr>
          <w:rFonts w:ascii="Times New Roman" w:hAnsi="Times New Roman"/>
          <w:sz w:val="24"/>
          <w:szCs w:val="24"/>
        </w:rPr>
        <w:t xml:space="preserve">в части перевода </w:t>
      </w:r>
      <w:r w:rsidRPr="00387A7B">
        <w:rPr>
          <w:rFonts w:ascii="Times New Roman" w:hAnsi="Times New Roman"/>
          <w:sz w:val="24"/>
          <w:szCs w:val="24"/>
        </w:rPr>
        <w:lastRenderedPageBreak/>
        <w:t xml:space="preserve">иных межбюджетных трансфертов в формат субсидий с установлением четких правил их предоставления, а также усиление инвестиционной направленности межбюджетных трансфертов и бюджетных кредитов субъектам Российской Федерации из федерального бюджета, повышение финансовой самостоятельности субъектов Федерации при использовании трансфертов на цели инфраструктурного развития. </w:t>
      </w:r>
    </w:p>
    <w:p w14:paraId="3399F5FA" w14:textId="77777777" w:rsidR="00544425" w:rsidRPr="00387A7B" w:rsidRDefault="00544425" w:rsidP="00544425">
      <w:pPr>
        <w:autoSpaceDE w:val="0"/>
        <w:autoSpaceDN w:val="0"/>
        <w:adjustRightInd w:val="0"/>
        <w:spacing w:line="360" w:lineRule="auto"/>
        <w:ind w:firstLine="360"/>
        <w:jc w:val="both"/>
        <w:rPr>
          <w:sz w:val="24"/>
          <w:szCs w:val="24"/>
          <w:shd w:val="clear" w:color="auto" w:fill="FFFFFF"/>
        </w:rPr>
      </w:pPr>
    </w:p>
    <w:p w14:paraId="41A8D8F0" w14:textId="5817FD36" w:rsidR="004856EE" w:rsidRPr="004856EE" w:rsidRDefault="00B920C9" w:rsidP="001733C9">
      <w:pPr>
        <w:pStyle w:val="aa"/>
        <w:numPr>
          <w:ilvl w:val="0"/>
          <w:numId w:val="23"/>
        </w:numPr>
        <w:autoSpaceDE w:val="0"/>
        <w:autoSpaceDN w:val="0"/>
        <w:adjustRightInd w:val="0"/>
        <w:spacing w:after="0" w:line="360" w:lineRule="auto"/>
        <w:jc w:val="both"/>
        <w:rPr>
          <w:rFonts w:ascii="Times New Roman" w:hAnsi="Times New Roman"/>
          <w:sz w:val="24"/>
          <w:szCs w:val="24"/>
        </w:rPr>
      </w:pPr>
      <w:r w:rsidRPr="004856EE">
        <w:rPr>
          <w:rFonts w:ascii="Times New Roman" w:hAnsi="Times New Roman"/>
          <w:b/>
          <w:bCs/>
          <w:i/>
          <w:iCs/>
          <w:sz w:val="24"/>
          <w:szCs w:val="24"/>
        </w:rPr>
        <w:t xml:space="preserve">Оценка источников доходов федерального бюджета </w:t>
      </w:r>
      <w:r w:rsidR="00F042DA" w:rsidRPr="002B4D4D">
        <w:rPr>
          <w:rFonts w:ascii="Times New Roman" w:hAnsi="Times New Roman"/>
          <w:b/>
          <w:i/>
          <w:iCs/>
          <w:sz w:val="24"/>
          <w:szCs w:val="32"/>
        </w:rPr>
        <w:t>на 2023 год и на плановый период 2024 и 2025 годов</w:t>
      </w:r>
      <w:r w:rsidR="00F042DA" w:rsidRPr="004856EE">
        <w:rPr>
          <w:rFonts w:ascii="Times New Roman" w:hAnsi="Times New Roman"/>
          <w:b/>
          <w:bCs/>
          <w:i/>
          <w:iCs/>
          <w:sz w:val="24"/>
          <w:szCs w:val="24"/>
        </w:rPr>
        <w:t xml:space="preserve"> </w:t>
      </w:r>
      <w:r w:rsidR="004856EE" w:rsidRPr="004856EE">
        <w:rPr>
          <w:rFonts w:ascii="Times New Roman" w:hAnsi="Times New Roman"/>
          <w:b/>
          <w:bCs/>
          <w:i/>
          <w:iCs/>
          <w:sz w:val="24"/>
          <w:szCs w:val="24"/>
        </w:rPr>
        <w:t>и их соответствия сценарным условиям прогноза социально-экономического развития</w:t>
      </w:r>
    </w:p>
    <w:p w14:paraId="1F96088F" w14:textId="77777777" w:rsidR="004856EE" w:rsidRDefault="004856EE" w:rsidP="004856EE">
      <w:pPr>
        <w:pStyle w:val="af9"/>
        <w:spacing w:line="360" w:lineRule="auto"/>
        <w:ind w:firstLine="708"/>
        <w:jc w:val="both"/>
        <w:rPr>
          <w:rFonts w:ascii="Times New Roman" w:hAnsi="Times New Roman" w:cs="Times New Roman"/>
          <w:sz w:val="24"/>
          <w:szCs w:val="24"/>
        </w:rPr>
      </w:pPr>
    </w:p>
    <w:p w14:paraId="059748E1" w14:textId="79B7E9EC" w:rsidR="004856EE" w:rsidRPr="004856EE" w:rsidRDefault="004856EE" w:rsidP="004856EE">
      <w:pPr>
        <w:pStyle w:val="af9"/>
        <w:spacing w:line="360" w:lineRule="auto"/>
        <w:ind w:firstLine="708"/>
        <w:jc w:val="both"/>
        <w:rPr>
          <w:rFonts w:ascii="Times New Roman" w:hAnsi="Times New Roman" w:cs="Times New Roman"/>
          <w:sz w:val="24"/>
          <w:szCs w:val="24"/>
        </w:rPr>
      </w:pPr>
      <w:r w:rsidRPr="004856EE">
        <w:rPr>
          <w:rFonts w:ascii="Times New Roman" w:hAnsi="Times New Roman" w:cs="Times New Roman"/>
          <w:sz w:val="24"/>
          <w:szCs w:val="24"/>
        </w:rPr>
        <w:t>Доходы федерального бюджета в прогнозируемом бюджетном цикле 2023–2025 годов сформированы с учетом воздействия негативного влияния на них следующих внешних факторов:</w:t>
      </w:r>
    </w:p>
    <w:p w14:paraId="17D3A37A" w14:textId="27ABD1C9" w:rsidR="004856EE" w:rsidRPr="004856EE" w:rsidRDefault="004856EE" w:rsidP="004856EE">
      <w:pPr>
        <w:pStyle w:val="af9"/>
        <w:numPr>
          <w:ilvl w:val="0"/>
          <w:numId w:val="31"/>
        </w:numPr>
        <w:spacing w:line="360" w:lineRule="auto"/>
        <w:ind w:left="426" w:hanging="426"/>
        <w:jc w:val="both"/>
        <w:rPr>
          <w:rFonts w:ascii="Times New Roman" w:hAnsi="Times New Roman" w:cs="Times New Roman"/>
          <w:sz w:val="24"/>
          <w:szCs w:val="24"/>
        </w:rPr>
      </w:pPr>
      <w:r w:rsidRPr="004856EE">
        <w:rPr>
          <w:rFonts w:ascii="Times New Roman" w:hAnsi="Times New Roman" w:cs="Times New Roman"/>
          <w:sz w:val="24"/>
          <w:szCs w:val="24"/>
        </w:rPr>
        <w:t>усиление санкционного давления со стороны недружественных стран, в т. ч. введение нефтяного эмбарго на экспорт</w:t>
      </w:r>
      <w:r w:rsidR="00735A54">
        <w:rPr>
          <w:rFonts w:ascii="Times New Roman" w:hAnsi="Times New Roman" w:cs="Times New Roman"/>
          <w:sz w:val="24"/>
          <w:szCs w:val="24"/>
        </w:rPr>
        <w:t xml:space="preserve"> </w:t>
      </w:r>
      <w:r w:rsidR="00735A54" w:rsidRPr="00180E45">
        <w:rPr>
          <w:rFonts w:ascii="Times New Roman" w:hAnsi="Times New Roman" w:cs="Times New Roman"/>
          <w:sz w:val="24"/>
          <w:szCs w:val="24"/>
        </w:rPr>
        <w:t>углеводородов</w:t>
      </w:r>
      <w:r w:rsidRPr="004856EE">
        <w:rPr>
          <w:rFonts w:ascii="Times New Roman" w:hAnsi="Times New Roman" w:cs="Times New Roman"/>
          <w:sz w:val="24"/>
          <w:szCs w:val="24"/>
        </w:rPr>
        <w:t>;</w:t>
      </w:r>
    </w:p>
    <w:p w14:paraId="2D333A97" w14:textId="77777777" w:rsidR="004856EE" w:rsidRPr="004856EE" w:rsidRDefault="004856EE" w:rsidP="004856EE">
      <w:pPr>
        <w:pStyle w:val="af9"/>
        <w:numPr>
          <w:ilvl w:val="0"/>
          <w:numId w:val="31"/>
        </w:numPr>
        <w:spacing w:line="360" w:lineRule="auto"/>
        <w:ind w:left="426" w:hanging="426"/>
        <w:jc w:val="both"/>
        <w:rPr>
          <w:rFonts w:ascii="Times New Roman" w:hAnsi="Times New Roman" w:cs="Times New Roman"/>
          <w:sz w:val="24"/>
          <w:szCs w:val="24"/>
        </w:rPr>
      </w:pPr>
      <w:r w:rsidRPr="004856EE">
        <w:rPr>
          <w:rFonts w:ascii="Times New Roman" w:hAnsi="Times New Roman" w:cs="Times New Roman"/>
          <w:sz w:val="24"/>
          <w:szCs w:val="24"/>
        </w:rPr>
        <w:t>замедление роста мировой экономики (снижение темпов роста мирового ВВП до 2,9% в 2023 году с последующим постепенным увеличением до 3,4% в 2024 и 2025 годах соответственно, а также повышенный мировой инфляционный фон - около 8,3% и 5,7% в 2022–2023  соответственно);</w:t>
      </w:r>
    </w:p>
    <w:p w14:paraId="215B8055" w14:textId="77777777" w:rsidR="004856EE" w:rsidRPr="004856EE" w:rsidRDefault="004856EE" w:rsidP="004856EE">
      <w:pPr>
        <w:pStyle w:val="af9"/>
        <w:numPr>
          <w:ilvl w:val="0"/>
          <w:numId w:val="31"/>
        </w:numPr>
        <w:spacing w:line="360" w:lineRule="auto"/>
        <w:ind w:left="426" w:hanging="426"/>
        <w:jc w:val="both"/>
        <w:rPr>
          <w:rFonts w:ascii="Times New Roman" w:hAnsi="Times New Roman" w:cs="Times New Roman"/>
          <w:sz w:val="24"/>
          <w:szCs w:val="24"/>
        </w:rPr>
      </w:pPr>
      <w:r w:rsidRPr="004856EE">
        <w:rPr>
          <w:rFonts w:ascii="Times New Roman" w:hAnsi="Times New Roman" w:cs="Times New Roman"/>
          <w:sz w:val="24"/>
          <w:szCs w:val="24"/>
        </w:rPr>
        <w:t xml:space="preserve">вынужденное сокращение импорта основных российских сырьевых товаров ввиду нарушения логистических цепочек, </w:t>
      </w:r>
      <w:r w:rsidRPr="004856EE">
        <w:rPr>
          <w:rFonts w:ascii="Times New Roman" w:hAnsi="Times New Roman" w:cs="Times New Roman"/>
          <w:iCs/>
          <w:sz w:val="24"/>
          <w:szCs w:val="24"/>
        </w:rPr>
        <w:t>ограничения внешней торговли, затруднений в закупках и сырья, и комплектующих, объявления о прекращении поставок ряда зарубежных товаров на российский рынок и ухода с него ряда ведущих иностранных компаний.</w:t>
      </w:r>
    </w:p>
    <w:p w14:paraId="4E570FAD" w14:textId="77777777" w:rsidR="004856EE" w:rsidRPr="004856EE" w:rsidRDefault="004856EE" w:rsidP="004856EE">
      <w:pPr>
        <w:pStyle w:val="af9"/>
        <w:spacing w:line="360" w:lineRule="auto"/>
        <w:jc w:val="both"/>
        <w:rPr>
          <w:rFonts w:ascii="Times New Roman" w:hAnsi="Times New Roman" w:cs="Times New Roman"/>
          <w:sz w:val="24"/>
          <w:szCs w:val="24"/>
        </w:rPr>
      </w:pPr>
      <w:r w:rsidRPr="004856EE">
        <w:rPr>
          <w:rFonts w:ascii="Times New Roman" w:hAnsi="Times New Roman" w:cs="Times New Roman"/>
          <w:sz w:val="24"/>
          <w:szCs w:val="24"/>
        </w:rPr>
        <w:t xml:space="preserve"> </w:t>
      </w:r>
      <w:r w:rsidRPr="004856EE">
        <w:rPr>
          <w:rFonts w:ascii="Times New Roman" w:hAnsi="Times New Roman" w:cs="Times New Roman"/>
          <w:sz w:val="24"/>
          <w:szCs w:val="24"/>
        </w:rPr>
        <w:tab/>
        <w:t xml:space="preserve">Ввиду отмеченных выше негативных факторов в проекте федерального бюджета на 2023–2025 годы прогнозируется уменьшение доходов федерального бюджета в номинальном выражении в первый год бюджетного цикла на 5,6 процента относительно ожидаемой оценки их исполнения в 2022 году. Действие неблагоприятных макроэкономических факторов прежде всего отразится на сокращении прогнозируемых нефтегазовых доходов федерального бюджета: на 2,4 трлн руб. в 2023 году, 261 млрд руб. в 2024 году, и 408 млрд руб. в 2025 году. Главными факторами неблагоприятной динамики указанной группы доходов федерального бюджета стало изменение цен на энергоносители и обменного курса рубля (82,5%, 46,3% и 98,4% выпадающих доходов федерального бюджета в 2023–2025 годах соответственно). Кроме того, изменение объемов добычи, переработки и экспорта нефти и газа согласно пояснительной записке на законопроект снизит нефтегазовые доходы федерального бюджета только в 2023 году на 426 млрд руб., после чего в 2024 и 2025 годах прогнозируется положительное влияние указанных </w:t>
      </w:r>
      <w:r w:rsidRPr="004856EE">
        <w:rPr>
          <w:rFonts w:ascii="Times New Roman" w:hAnsi="Times New Roman" w:cs="Times New Roman"/>
          <w:sz w:val="24"/>
          <w:szCs w:val="24"/>
        </w:rPr>
        <w:lastRenderedPageBreak/>
        <w:t>факторов за счет постепенного восстановления их положительной динамики на рост нефтегазовых доходов на 57 и 112 млрд рублей соответственно.</w:t>
      </w:r>
    </w:p>
    <w:p w14:paraId="7D012EAB" w14:textId="6F86AE86" w:rsidR="004856EE" w:rsidRPr="004856EE" w:rsidRDefault="004856EE" w:rsidP="004856EE">
      <w:pPr>
        <w:pStyle w:val="af9"/>
        <w:spacing w:line="360" w:lineRule="auto"/>
        <w:ind w:firstLine="708"/>
        <w:jc w:val="both"/>
        <w:rPr>
          <w:rFonts w:ascii="Times New Roman" w:hAnsi="Times New Roman" w:cs="Times New Roman"/>
          <w:sz w:val="24"/>
          <w:szCs w:val="24"/>
        </w:rPr>
      </w:pPr>
      <w:r w:rsidRPr="004856EE">
        <w:rPr>
          <w:rFonts w:ascii="Times New Roman" w:hAnsi="Times New Roman" w:cs="Times New Roman"/>
          <w:sz w:val="24"/>
          <w:szCs w:val="24"/>
        </w:rPr>
        <w:t>Несмотря на то, что в законопроекте  прогнозные объемы доходов федерального бюджета в 2023 и 2024 году были увеличены по сравнению с их значениями в указанные периоды в Законе №390-ФЗ</w:t>
      </w:r>
      <w:r w:rsidRPr="004856EE">
        <w:rPr>
          <w:rStyle w:val="af0"/>
          <w:rFonts w:ascii="Times New Roman" w:hAnsi="Times New Roman" w:cs="Times New Roman"/>
          <w:sz w:val="24"/>
          <w:szCs w:val="24"/>
        </w:rPr>
        <w:footnoteReference w:id="3"/>
      </w:r>
      <w:r w:rsidRPr="004856EE">
        <w:rPr>
          <w:rFonts w:ascii="Times New Roman" w:hAnsi="Times New Roman" w:cs="Times New Roman"/>
          <w:sz w:val="24"/>
          <w:szCs w:val="24"/>
        </w:rPr>
        <w:t xml:space="preserve"> (на 2,3% и на 5,5% соответственно), их уровень не превысит ожидаемых фактических показателей доходов 2022 года. Только в 2025 году прогнозируемый номинальный объем доходов федерального бюджета окажется выше их ожидаемого объема в 2022 году; при этом их рост по сравнению с 2024 годом должен составить 2,7%. </w:t>
      </w:r>
    </w:p>
    <w:p w14:paraId="49D32F5E" w14:textId="77777777" w:rsidR="00735A54" w:rsidRDefault="004856EE" w:rsidP="004856EE">
      <w:pPr>
        <w:pStyle w:val="af9"/>
        <w:spacing w:line="360" w:lineRule="auto"/>
        <w:jc w:val="both"/>
        <w:rPr>
          <w:rFonts w:ascii="Times New Roman" w:hAnsi="Times New Roman" w:cs="Times New Roman"/>
          <w:sz w:val="24"/>
          <w:szCs w:val="24"/>
        </w:rPr>
      </w:pPr>
      <w:r w:rsidRPr="004856EE">
        <w:rPr>
          <w:rFonts w:ascii="Times New Roman" w:hAnsi="Times New Roman" w:cs="Times New Roman"/>
          <w:sz w:val="24"/>
          <w:szCs w:val="24"/>
        </w:rPr>
        <w:tab/>
        <w:t xml:space="preserve">Прогнозируемый номинальный рост доходов в течение 2024 и 2025 годов, как следует из пояснительной записки, будет обусловлен как внутренними макроэкономическими факторами, так и определенными изменениями в налоговом законодательстве, предполагающими повышение налоговой нагрузки на предприятия сырьевого сектора, а также традиционно в части налогообложения подакцизной продукции. К макроэкономическим факторам, прогнозируемая динамика которых позитивно скажется на росте доходов федерального бюджета, будут относиться: </w:t>
      </w:r>
    </w:p>
    <w:p w14:paraId="02C98ADA" w14:textId="77777777" w:rsidR="00735A54" w:rsidRDefault="004856EE" w:rsidP="00735A54">
      <w:pPr>
        <w:pStyle w:val="af9"/>
        <w:numPr>
          <w:ilvl w:val="0"/>
          <w:numId w:val="42"/>
        </w:numPr>
        <w:spacing w:line="360" w:lineRule="auto"/>
        <w:jc w:val="both"/>
        <w:rPr>
          <w:rFonts w:ascii="Times New Roman" w:hAnsi="Times New Roman" w:cs="Times New Roman"/>
          <w:sz w:val="24"/>
          <w:szCs w:val="24"/>
        </w:rPr>
      </w:pPr>
      <w:r w:rsidRPr="004856EE">
        <w:rPr>
          <w:rFonts w:ascii="Times New Roman" w:hAnsi="Times New Roman" w:cs="Times New Roman"/>
          <w:sz w:val="24"/>
          <w:szCs w:val="24"/>
        </w:rPr>
        <w:t xml:space="preserve">повышение номинального объема ВВП в сравнении с его значениями в Законе №390-ФЗ на 5,7 и 5,4 процентов в 2023-2024 годы соответственно (несмотря на скорректированную в сторону понижения динамику его роста); </w:t>
      </w:r>
    </w:p>
    <w:p w14:paraId="04747699" w14:textId="77777777" w:rsidR="00735A54" w:rsidRDefault="004856EE" w:rsidP="00735A54">
      <w:pPr>
        <w:pStyle w:val="af9"/>
        <w:numPr>
          <w:ilvl w:val="0"/>
          <w:numId w:val="42"/>
        </w:numPr>
        <w:spacing w:line="360" w:lineRule="auto"/>
        <w:jc w:val="both"/>
        <w:rPr>
          <w:rFonts w:ascii="Times New Roman" w:hAnsi="Times New Roman" w:cs="Times New Roman"/>
          <w:sz w:val="24"/>
          <w:szCs w:val="24"/>
        </w:rPr>
      </w:pPr>
      <w:r w:rsidRPr="004856EE">
        <w:rPr>
          <w:rFonts w:ascii="Times New Roman" w:hAnsi="Times New Roman" w:cs="Times New Roman"/>
          <w:sz w:val="24"/>
          <w:szCs w:val="24"/>
        </w:rPr>
        <w:t xml:space="preserve">рост объемов прибыли прибыльных организаций (на 36,1 и 36,6% процентов соответственно), </w:t>
      </w:r>
    </w:p>
    <w:p w14:paraId="6240682F" w14:textId="77777777" w:rsidR="00735A54" w:rsidRDefault="004856EE" w:rsidP="00735A54">
      <w:pPr>
        <w:pStyle w:val="af9"/>
        <w:numPr>
          <w:ilvl w:val="0"/>
          <w:numId w:val="42"/>
        </w:numPr>
        <w:spacing w:line="360" w:lineRule="auto"/>
        <w:jc w:val="both"/>
        <w:rPr>
          <w:rFonts w:ascii="Times New Roman" w:hAnsi="Times New Roman" w:cs="Times New Roman"/>
          <w:sz w:val="24"/>
          <w:szCs w:val="24"/>
        </w:rPr>
      </w:pPr>
      <w:r w:rsidRPr="004856EE">
        <w:rPr>
          <w:rFonts w:ascii="Times New Roman" w:hAnsi="Times New Roman" w:cs="Times New Roman"/>
          <w:sz w:val="24"/>
          <w:szCs w:val="24"/>
        </w:rPr>
        <w:t xml:space="preserve">рост реальных заработных плат </w:t>
      </w:r>
      <w:r w:rsidRPr="004856EE">
        <w:rPr>
          <w:rFonts w:ascii="Times New Roman" w:hAnsi="Times New Roman" w:cs="Times New Roman"/>
          <w:iCs/>
          <w:sz w:val="24"/>
          <w:szCs w:val="24"/>
        </w:rPr>
        <w:t xml:space="preserve">(+2,6% в 2023 г., + 2,9% в 2024 г., +2,8% в 2025 г.) </w:t>
      </w:r>
      <w:r w:rsidRPr="004856EE">
        <w:rPr>
          <w:rFonts w:ascii="Times New Roman" w:hAnsi="Times New Roman" w:cs="Times New Roman"/>
          <w:sz w:val="24"/>
          <w:szCs w:val="24"/>
        </w:rPr>
        <w:t xml:space="preserve">и реальных располагаемых доходов населения (+1,6% после -2,2% годом ранее). </w:t>
      </w:r>
    </w:p>
    <w:p w14:paraId="3168599F" w14:textId="22A5DF70" w:rsidR="004856EE" w:rsidRDefault="004856EE" w:rsidP="00735A54">
      <w:pPr>
        <w:pStyle w:val="af9"/>
        <w:spacing w:line="360" w:lineRule="auto"/>
        <w:ind w:firstLine="709"/>
        <w:jc w:val="both"/>
        <w:rPr>
          <w:rFonts w:ascii="Times New Roman" w:hAnsi="Times New Roman" w:cs="Times New Roman"/>
          <w:sz w:val="24"/>
          <w:szCs w:val="24"/>
        </w:rPr>
      </w:pPr>
      <w:r w:rsidRPr="004856EE">
        <w:rPr>
          <w:rFonts w:ascii="Times New Roman" w:hAnsi="Times New Roman" w:cs="Times New Roman"/>
          <w:sz w:val="24"/>
          <w:szCs w:val="24"/>
        </w:rPr>
        <w:t xml:space="preserve">В пояснительной записке к законопроекту позитивное влияние указанных факторов на доходы федерального бюджета обосновано благоприятным влиянием реализованного в 2022 году комплекса мер экономической политики, направленных на содействие адаптации российского бизнеса к происходящим структурным изменениям и внешним шокам, а также действием стимулирующих программ </w:t>
      </w:r>
      <w:r w:rsidRPr="00180E45">
        <w:rPr>
          <w:rFonts w:ascii="Times New Roman" w:hAnsi="Times New Roman" w:cs="Times New Roman"/>
          <w:sz w:val="24"/>
          <w:szCs w:val="24"/>
        </w:rPr>
        <w:t xml:space="preserve">для </w:t>
      </w:r>
      <w:r w:rsidR="00735A54" w:rsidRPr="00180E45">
        <w:rPr>
          <w:rFonts w:ascii="Times New Roman" w:hAnsi="Times New Roman" w:cs="Times New Roman"/>
          <w:sz w:val="24"/>
          <w:szCs w:val="24"/>
        </w:rPr>
        <w:t xml:space="preserve">населения </w:t>
      </w:r>
      <w:r w:rsidRPr="00180E45">
        <w:rPr>
          <w:rFonts w:ascii="Times New Roman" w:hAnsi="Times New Roman" w:cs="Times New Roman"/>
          <w:sz w:val="24"/>
          <w:szCs w:val="24"/>
        </w:rPr>
        <w:t>России.</w:t>
      </w:r>
      <w:r w:rsidRPr="004856EE">
        <w:rPr>
          <w:rFonts w:ascii="Times New Roman" w:hAnsi="Times New Roman" w:cs="Times New Roman"/>
          <w:sz w:val="24"/>
          <w:szCs w:val="24"/>
        </w:rPr>
        <w:t xml:space="preserve"> Вместе с тем, не отрицая важности и своевременности введенных экономических мер и их благоприятного влияния на экономику и население, по нашему мнению, в прогнозируемой динамике прибыли прибыльных организаций, а таже в темпах роста реальных располагаемых доходов населения в указанные периоды недостаточно учтены риски негативного отложенного влияния международных санкций, как ранее введенных, так и предстоящих к введению декабре 2022 - феврале 2023 годов, </w:t>
      </w:r>
      <w:r w:rsidRPr="004856EE">
        <w:rPr>
          <w:rFonts w:ascii="Times New Roman" w:hAnsi="Times New Roman" w:cs="Times New Roman"/>
          <w:sz w:val="24"/>
          <w:szCs w:val="24"/>
        </w:rPr>
        <w:lastRenderedPageBreak/>
        <w:t>существенного ослабления инвестиционной активности бизнеса ввиду усиливающейся экономической неопределенности и сжатия внутреннего спроса населения. Реализация указанных рисков в большем объеме, чем заложено в параметры прогноза СЭР, может привести к большему объему выпадающих доходов федерального бюджета и необходимости их замещения государственными займами.</w:t>
      </w:r>
    </w:p>
    <w:p w14:paraId="754BF302" w14:textId="5079884E" w:rsidR="00BB705D" w:rsidRPr="004856EE" w:rsidRDefault="00BB705D" w:rsidP="00BB705D">
      <w:pPr>
        <w:pStyle w:val="af9"/>
        <w:spacing w:line="360" w:lineRule="auto"/>
        <w:ind w:firstLine="708"/>
        <w:jc w:val="both"/>
        <w:rPr>
          <w:rFonts w:ascii="Times New Roman" w:hAnsi="Times New Roman" w:cs="Times New Roman"/>
          <w:sz w:val="24"/>
          <w:szCs w:val="24"/>
        </w:rPr>
      </w:pPr>
      <w:r w:rsidRPr="004856EE">
        <w:rPr>
          <w:rFonts w:ascii="Times New Roman" w:hAnsi="Times New Roman" w:cs="Times New Roman"/>
          <w:sz w:val="24"/>
          <w:szCs w:val="24"/>
        </w:rPr>
        <w:t xml:space="preserve">Общий эффект влияния макроэкономических факторов </w:t>
      </w:r>
      <w:r w:rsidR="00735A54" w:rsidRPr="00180E45">
        <w:rPr>
          <w:rFonts w:ascii="Times New Roman" w:hAnsi="Times New Roman" w:cs="Times New Roman"/>
          <w:sz w:val="24"/>
          <w:szCs w:val="24"/>
        </w:rPr>
        <w:t>дифференцирован по различным</w:t>
      </w:r>
      <w:r w:rsidRPr="00180E45">
        <w:rPr>
          <w:rFonts w:ascii="Times New Roman" w:hAnsi="Times New Roman" w:cs="Times New Roman"/>
          <w:sz w:val="24"/>
          <w:szCs w:val="24"/>
        </w:rPr>
        <w:t xml:space="preserve"> групп</w:t>
      </w:r>
      <w:r w:rsidR="00735A54" w:rsidRPr="00180E45">
        <w:rPr>
          <w:rFonts w:ascii="Times New Roman" w:hAnsi="Times New Roman" w:cs="Times New Roman"/>
          <w:sz w:val="24"/>
          <w:szCs w:val="24"/>
        </w:rPr>
        <w:t>ам</w:t>
      </w:r>
      <w:r w:rsidRPr="00180E45">
        <w:rPr>
          <w:rFonts w:ascii="Times New Roman" w:hAnsi="Times New Roman" w:cs="Times New Roman"/>
          <w:sz w:val="24"/>
          <w:szCs w:val="24"/>
        </w:rPr>
        <w:t xml:space="preserve"> </w:t>
      </w:r>
      <w:r w:rsidR="00735A54" w:rsidRPr="00180E45">
        <w:rPr>
          <w:rFonts w:ascii="Times New Roman" w:hAnsi="Times New Roman" w:cs="Times New Roman"/>
          <w:sz w:val="24"/>
          <w:szCs w:val="24"/>
        </w:rPr>
        <w:t xml:space="preserve">статей </w:t>
      </w:r>
      <w:r w:rsidRPr="00180E45">
        <w:rPr>
          <w:rFonts w:ascii="Times New Roman" w:hAnsi="Times New Roman" w:cs="Times New Roman"/>
          <w:sz w:val="24"/>
          <w:szCs w:val="24"/>
        </w:rPr>
        <w:t>доходов федерального бюджета. В отношении налоговых и таможенных платежей, относящихся к группе нефтегазовых доходов, он отрицательный и составляет за 3 года бюджетного цикла соответственно -2,4 трлн руб., -0,25 трлн руб. и – 0,41 трлн руб. (в совокупности – более 3-х трлн руб. за 3 года). При этом, есл</w:t>
      </w:r>
      <w:r w:rsidRPr="004856EE">
        <w:rPr>
          <w:rFonts w:ascii="Times New Roman" w:hAnsi="Times New Roman" w:cs="Times New Roman"/>
          <w:sz w:val="24"/>
          <w:szCs w:val="24"/>
        </w:rPr>
        <w:t>и в предыдущие периоды наибольшее влияние на объем нефтегазовых доходов оказывало изменение средней мировой цены на нефть сырую марки "Юралс", величина экспортной цены на газ природный, а также обменный курс доллара США к рублю, то в текущем и прогнозном периодах набольшая зависимость их поступлений наблюдается от изменения объемов добычи и экспорта углеводородов</w:t>
      </w:r>
      <w:r>
        <w:rPr>
          <w:rFonts w:ascii="Times New Roman" w:hAnsi="Times New Roman" w:cs="Times New Roman"/>
          <w:sz w:val="24"/>
          <w:szCs w:val="24"/>
        </w:rPr>
        <w:t xml:space="preserve"> (рис. 3)</w:t>
      </w:r>
      <w:r w:rsidRPr="004856EE">
        <w:rPr>
          <w:rFonts w:ascii="Times New Roman" w:hAnsi="Times New Roman" w:cs="Times New Roman"/>
          <w:sz w:val="24"/>
          <w:szCs w:val="24"/>
        </w:rPr>
        <w:t xml:space="preserve">. В отношении налоговых и таможенных платежей, относящихся к группе ненефтегазовых доходов, эффект влияния положительный и составляет за 3 года бюджетного цикла соответственно более 1 трлн руб., 0,98 трлн руб., и 0,91 трлн руб. (в совокупности – около 2,9 трлн руб. за три года). </w:t>
      </w:r>
    </w:p>
    <w:p w14:paraId="6AB322D3" w14:textId="77777777" w:rsidR="00BB705D" w:rsidRPr="004856EE" w:rsidRDefault="00BB705D" w:rsidP="004856EE">
      <w:pPr>
        <w:pStyle w:val="af9"/>
        <w:spacing w:line="360" w:lineRule="auto"/>
        <w:jc w:val="both"/>
        <w:rPr>
          <w:rFonts w:ascii="Times New Roman" w:hAnsi="Times New Roman" w:cs="Times New Roman"/>
          <w:sz w:val="24"/>
          <w:szCs w:val="24"/>
        </w:rPr>
      </w:pPr>
    </w:p>
    <w:p w14:paraId="0B42FA36" w14:textId="77777777" w:rsidR="004856EE" w:rsidRPr="004856EE" w:rsidRDefault="004856EE" w:rsidP="004856EE">
      <w:pPr>
        <w:pStyle w:val="af9"/>
        <w:spacing w:line="360" w:lineRule="auto"/>
        <w:jc w:val="both"/>
        <w:rPr>
          <w:rFonts w:ascii="Times New Roman" w:hAnsi="Times New Roman" w:cs="Times New Roman"/>
          <w:sz w:val="24"/>
          <w:szCs w:val="24"/>
        </w:rPr>
      </w:pPr>
      <w:r w:rsidRPr="004856EE">
        <w:rPr>
          <w:rFonts w:ascii="Times New Roman" w:hAnsi="Times New Roman" w:cs="Times New Roman"/>
          <w:noProof/>
          <w:lang w:eastAsia="ru-RU"/>
        </w:rPr>
        <w:drawing>
          <wp:inline distT="0" distB="0" distL="0" distR="0" wp14:anchorId="66BF9F0D" wp14:editId="336FB961">
            <wp:extent cx="5551805" cy="3680460"/>
            <wp:effectExtent l="0" t="0" r="10795" b="15240"/>
            <wp:docPr id="7" name="Диаграмма 7">
              <a:extLst xmlns:a="http://schemas.openxmlformats.org/drawingml/2006/main">
                <a:ext uri="{FF2B5EF4-FFF2-40B4-BE49-F238E27FC236}">
                  <a16:creationId xmlns:a16="http://schemas.microsoft.com/office/drawing/2014/main" id="{8B582685-1A48-516B-5089-E8E9018F6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74F608" w14:textId="564D3E5C" w:rsidR="004856EE" w:rsidRPr="002F6A16" w:rsidRDefault="004856EE" w:rsidP="004856EE">
      <w:pPr>
        <w:pStyle w:val="af9"/>
        <w:spacing w:line="360" w:lineRule="auto"/>
        <w:jc w:val="both"/>
        <w:rPr>
          <w:rFonts w:ascii="Times New Roman" w:hAnsi="Times New Roman" w:cs="Times New Roman"/>
          <w:i/>
          <w:iCs/>
          <w:sz w:val="24"/>
          <w:szCs w:val="24"/>
        </w:rPr>
      </w:pPr>
      <w:r w:rsidRPr="002F6A16">
        <w:rPr>
          <w:rFonts w:ascii="Times New Roman" w:hAnsi="Times New Roman" w:cs="Times New Roman"/>
          <w:i/>
          <w:iCs/>
          <w:sz w:val="24"/>
          <w:szCs w:val="24"/>
        </w:rPr>
        <w:t>Рис</w:t>
      </w:r>
      <w:r w:rsidR="00BB705D" w:rsidRPr="002F6A16">
        <w:rPr>
          <w:rFonts w:ascii="Times New Roman" w:hAnsi="Times New Roman" w:cs="Times New Roman"/>
          <w:i/>
          <w:iCs/>
          <w:sz w:val="24"/>
          <w:szCs w:val="24"/>
        </w:rPr>
        <w:t>унок</w:t>
      </w:r>
      <w:r w:rsidRPr="002F6A16">
        <w:rPr>
          <w:rFonts w:ascii="Times New Roman" w:hAnsi="Times New Roman" w:cs="Times New Roman"/>
          <w:i/>
          <w:iCs/>
          <w:sz w:val="24"/>
          <w:szCs w:val="24"/>
        </w:rPr>
        <w:t xml:space="preserve"> </w:t>
      </w:r>
      <w:r w:rsidR="00BB705D" w:rsidRPr="002F6A16">
        <w:rPr>
          <w:rFonts w:ascii="Times New Roman" w:hAnsi="Times New Roman" w:cs="Times New Roman"/>
          <w:i/>
          <w:iCs/>
          <w:sz w:val="24"/>
          <w:szCs w:val="24"/>
        </w:rPr>
        <w:t>3</w:t>
      </w:r>
      <w:r w:rsidRPr="002F6A16">
        <w:rPr>
          <w:rFonts w:ascii="Times New Roman" w:hAnsi="Times New Roman" w:cs="Times New Roman"/>
          <w:i/>
          <w:iCs/>
          <w:sz w:val="24"/>
          <w:szCs w:val="24"/>
        </w:rPr>
        <w:t xml:space="preserve"> </w:t>
      </w:r>
      <w:r w:rsidR="00BB705D" w:rsidRPr="002F6A16">
        <w:rPr>
          <w:rFonts w:ascii="Times New Roman" w:hAnsi="Times New Roman" w:cs="Times New Roman"/>
          <w:i/>
          <w:iCs/>
          <w:sz w:val="24"/>
          <w:szCs w:val="24"/>
        </w:rPr>
        <w:t xml:space="preserve">- </w:t>
      </w:r>
      <w:r w:rsidRPr="002F6A16">
        <w:rPr>
          <w:rFonts w:ascii="Times New Roman" w:hAnsi="Times New Roman" w:cs="Times New Roman"/>
          <w:i/>
          <w:iCs/>
          <w:sz w:val="24"/>
          <w:szCs w:val="24"/>
        </w:rPr>
        <w:t xml:space="preserve">Наиболее значимые факторы, определяющие изменение </w:t>
      </w:r>
      <w:r w:rsidR="00BB705D" w:rsidRPr="002F6A16">
        <w:rPr>
          <w:rFonts w:ascii="Times New Roman" w:hAnsi="Times New Roman" w:cs="Times New Roman"/>
          <w:i/>
          <w:iCs/>
          <w:sz w:val="24"/>
          <w:szCs w:val="24"/>
        </w:rPr>
        <w:t xml:space="preserve">нефтегазовых </w:t>
      </w:r>
      <w:r w:rsidRPr="002F6A16">
        <w:rPr>
          <w:rFonts w:ascii="Times New Roman" w:hAnsi="Times New Roman" w:cs="Times New Roman"/>
          <w:i/>
          <w:iCs/>
          <w:sz w:val="24"/>
          <w:szCs w:val="24"/>
        </w:rPr>
        <w:t xml:space="preserve">доходов федерального бюджета в </w:t>
      </w:r>
      <w:r w:rsidR="002C308F" w:rsidRPr="002F6A16">
        <w:rPr>
          <w:rFonts w:ascii="Times New Roman" w:hAnsi="Times New Roman" w:cs="Times New Roman"/>
          <w:i/>
          <w:iCs/>
          <w:sz w:val="24"/>
          <w:szCs w:val="24"/>
        </w:rPr>
        <w:t xml:space="preserve">2023–2025 </w:t>
      </w:r>
      <w:r w:rsidRPr="002F6A16">
        <w:rPr>
          <w:rFonts w:ascii="Times New Roman" w:hAnsi="Times New Roman" w:cs="Times New Roman"/>
          <w:i/>
          <w:iCs/>
          <w:sz w:val="24"/>
          <w:szCs w:val="24"/>
        </w:rPr>
        <w:t>годах</w:t>
      </w:r>
    </w:p>
    <w:p w14:paraId="540F81E6" w14:textId="2A10FFA7" w:rsidR="004856EE" w:rsidRPr="00BB705D" w:rsidRDefault="00E56BC6" w:rsidP="004856EE">
      <w:pPr>
        <w:pStyle w:val="af9"/>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Источник: </w:t>
      </w:r>
      <w:r w:rsidR="004856EE" w:rsidRPr="00BB705D">
        <w:rPr>
          <w:rFonts w:ascii="Times New Roman" w:hAnsi="Times New Roman" w:cs="Times New Roman"/>
          <w:i/>
          <w:iCs/>
          <w:sz w:val="24"/>
          <w:szCs w:val="24"/>
        </w:rPr>
        <w:t xml:space="preserve">Составлено </w:t>
      </w:r>
      <w:r>
        <w:rPr>
          <w:rFonts w:ascii="Times New Roman" w:hAnsi="Times New Roman" w:cs="Times New Roman"/>
          <w:i/>
          <w:iCs/>
          <w:sz w:val="24"/>
          <w:szCs w:val="24"/>
        </w:rPr>
        <w:t>н</w:t>
      </w:r>
      <w:r w:rsidR="004856EE" w:rsidRPr="00BB705D">
        <w:rPr>
          <w:rFonts w:ascii="Times New Roman" w:hAnsi="Times New Roman" w:cs="Times New Roman"/>
          <w:i/>
          <w:iCs/>
          <w:sz w:val="24"/>
          <w:szCs w:val="24"/>
        </w:rPr>
        <w:t>а основе данных пояснительной записки к законопроекту</w:t>
      </w:r>
    </w:p>
    <w:p w14:paraId="4DDDDC1E" w14:textId="77777777" w:rsidR="00BB705D" w:rsidRDefault="00BB705D" w:rsidP="00BB705D">
      <w:pPr>
        <w:pStyle w:val="af9"/>
        <w:spacing w:line="360" w:lineRule="auto"/>
        <w:ind w:firstLine="708"/>
        <w:jc w:val="both"/>
        <w:rPr>
          <w:rFonts w:ascii="Times New Roman" w:hAnsi="Times New Roman" w:cs="Times New Roman"/>
          <w:sz w:val="24"/>
          <w:szCs w:val="24"/>
        </w:rPr>
      </w:pPr>
    </w:p>
    <w:p w14:paraId="7B5F1BD4" w14:textId="616EF026" w:rsidR="004856EE" w:rsidRDefault="004856EE" w:rsidP="002C308F">
      <w:pPr>
        <w:pStyle w:val="af9"/>
        <w:spacing w:line="360" w:lineRule="auto"/>
        <w:ind w:firstLine="708"/>
        <w:jc w:val="both"/>
        <w:rPr>
          <w:rFonts w:ascii="Times New Roman" w:hAnsi="Times New Roman" w:cs="Times New Roman"/>
          <w:sz w:val="24"/>
          <w:szCs w:val="24"/>
        </w:rPr>
      </w:pPr>
      <w:r w:rsidRPr="004856EE">
        <w:rPr>
          <w:rFonts w:ascii="Times New Roman" w:hAnsi="Times New Roman" w:cs="Times New Roman"/>
          <w:sz w:val="24"/>
          <w:szCs w:val="24"/>
        </w:rPr>
        <w:t xml:space="preserve">К ключевым законодательным факторам, оказывающим наибольшее влияние на поступления нефтегазовых доходов федерального бюджета, относятся: повышение ставок НДПИ на нефть и газовый конденсат и отрицательного акциза на нефтяное сырье, направленное на переработку, а также снижение ставки вывозной таможенной пошлины на нефть и нефтепродукты в рамках завершения «налогового маневра»; повышение ставки экспортной пошлины и акциза на природный газ; </w:t>
      </w:r>
      <w:r w:rsidR="00293AE0" w:rsidRPr="00180E45">
        <w:rPr>
          <w:rFonts w:ascii="Times New Roman" w:hAnsi="Times New Roman" w:cs="Times New Roman"/>
          <w:sz w:val="24"/>
          <w:szCs w:val="24"/>
        </w:rPr>
        <w:t>корректировка коэффициентов</w:t>
      </w:r>
      <w:r w:rsidRPr="00180E45">
        <w:rPr>
          <w:rFonts w:ascii="Times New Roman" w:hAnsi="Times New Roman" w:cs="Times New Roman"/>
          <w:sz w:val="24"/>
          <w:szCs w:val="24"/>
        </w:rPr>
        <w:t xml:space="preserve"> к ставке НДПИ на нефть. Действие указанных факторов на доходы федерал</w:t>
      </w:r>
      <w:r w:rsidRPr="004856EE">
        <w:rPr>
          <w:rFonts w:ascii="Times New Roman" w:hAnsi="Times New Roman" w:cs="Times New Roman"/>
          <w:sz w:val="24"/>
          <w:szCs w:val="24"/>
        </w:rPr>
        <w:t>ьного бюджета оценивается в пояснительной записке к законопроекту в положительном значении и составляет за трехлетний период в совокупности более 1 трлн руб. Однако указанные меры не смогут компенсировать выпадающие нефтегазовые доходы бюджета вследствие негативного действия макроэкономических факторов (сокращение добычи и экспорта нефти и газа, а также прогнозируемое постепенное снижения цен на нефть). В результате наблюдается сокращение нефтегазовых доходов на всем прогнозируемом периоде бюджетного цикла</w:t>
      </w:r>
      <w:r w:rsidR="002C308F">
        <w:rPr>
          <w:rFonts w:ascii="Times New Roman" w:hAnsi="Times New Roman" w:cs="Times New Roman"/>
          <w:sz w:val="24"/>
          <w:szCs w:val="24"/>
        </w:rPr>
        <w:t xml:space="preserve"> (рис. 4)</w:t>
      </w:r>
      <w:r w:rsidRPr="004856EE">
        <w:rPr>
          <w:rFonts w:ascii="Times New Roman" w:hAnsi="Times New Roman" w:cs="Times New Roman"/>
          <w:sz w:val="24"/>
          <w:szCs w:val="24"/>
        </w:rPr>
        <w:t>. Прогнозные значения нефтегазовых доходов в 2023 году будут ниже ожидаемых в 2022 году на 23,4%, в 2024 и 2025 годах ожидается уменьшение объема нефтегазовых доходов на 3,2% и 1,9% соответственно.</w:t>
      </w:r>
    </w:p>
    <w:p w14:paraId="3D6C8C43" w14:textId="77777777" w:rsidR="002C308F" w:rsidRPr="004856EE" w:rsidRDefault="002C308F" w:rsidP="002C308F">
      <w:pPr>
        <w:pStyle w:val="af9"/>
        <w:spacing w:line="360" w:lineRule="auto"/>
        <w:jc w:val="both"/>
        <w:rPr>
          <w:rFonts w:ascii="Times New Roman" w:hAnsi="Times New Roman" w:cs="Times New Roman"/>
          <w:sz w:val="24"/>
          <w:szCs w:val="24"/>
        </w:rPr>
      </w:pPr>
      <w:r w:rsidRPr="004856EE">
        <w:rPr>
          <w:rFonts w:ascii="Times New Roman" w:hAnsi="Times New Roman" w:cs="Times New Roman"/>
          <w:noProof/>
          <w:lang w:eastAsia="ru-RU"/>
        </w:rPr>
        <w:drawing>
          <wp:inline distT="0" distB="0" distL="0" distR="0" wp14:anchorId="17A2DDA8" wp14:editId="5E1E253C">
            <wp:extent cx="5924550" cy="3067050"/>
            <wp:effectExtent l="0" t="0" r="0" b="0"/>
            <wp:docPr id="4" name="Диаграмма 4">
              <a:extLst xmlns:a="http://schemas.openxmlformats.org/drawingml/2006/main">
                <a:ext uri="{FF2B5EF4-FFF2-40B4-BE49-F238E27FC236}">
                  <a16:creationId xmlns:a16="http://schemas.microsoft.com/office/drawing/2014/main" id="{5063D0F9-B641-C39A-CE9A-7E46BE456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4DC953" w14:textId="41178BE0" w:rsidR="002C308F" w:rsidRPr="00BB705D" w:rsidRDefault="002C308F" w:rsidP="002C308F">
      <w:pPr>
        <w:pStyle w:val="af9"/>
        <w:spacing w:line="360" w:lineRule="auto"/>
        <w:jc w:val="both"/>
        <w:rPr>
          <w:rFonts w:ascii="Times New Roman" w:hAnsi="Times New Roman" w:cs="Times New Roman"/>
          <w:i/>
          <w:iCs/>
          <w:sz w:val="24"/>
          <w:szCs w:val="24"/>
        </w:rPr>
      </w:pPr>
      <w:r w:rsidRPr="00BB705D">
        <w:rPr>
          <w:rFonts w:ascii="Times New Roman" w:hAnsi="Times New Roman" w:cs="Times New Roman"/>
          <w:i/>
          <w:iCs/>
          <w:sz w:val="24"/>
          <w:szCs w:val="24"/>
        </w:rPr>
        <w:t xml:space="preserve">Рисунок </w:t>
      </w:r>
      <w:r>
        <w:rPr>
          <w:rFonts w:ascii="Times New Roman" w:hAnsi="Times New Roman" w:cs="Times New Roman"/>
          <w:i/>
          <w:iCs/>
          <w:sz w:val="24"/>
          <w:szCs w:val="24"/>
        </w:rPr>
        <w:t>4</w:t>
      </w:r>
      <w:r w:rsidRPr="00BB705D">
        <w:rPr>
          <w:rFonts w:ascii="Times New Roman" w:hAnsi="Times New Roman" w:cs="Times New Roman"/>
          <w:i/>
          <w:iCs/>
          <w:sz w:val="24"/>
          <w:szCs w:val="24"/>
        </w:rPr>
        <w:t xml:space="preserve"> - Динамика нефтегазовых доходов федерального бюджета в 2023–2025 годы</w:t>
      </w:r>
    </w:p>
    <w:p w14:paraId="2B31269B" w14:textId="13A9B6AE" w:rsidR="002C308F" w:rsidRPr="00BB705D" w:rsidRDefault="00E56BC6" w:rsidP="002C308F">
      <w:pPr>
        <w:pStyle w:val="af9"/>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Источник: </w:t>
      </w:r>
      <w:r w:rsidR="002C308F" w:rsidRPr="00BB705D">
        <w:rPr>
          <w:rFonts w:ascii="Times New Roman" w:hAnsi="Times New Roman" w:cs="Times New Roman"/>
          <w:i/>
          <w:iCs/>
          <w:sz w:val="24"/>
          <w:szCs w:val="24"/>
        </w:rPr>
        <w:t>Составлено на основе данных пояснительной записки к законопроекту</w:t>
      </w:r>
    </w:p>
    <w:p w14:paraId="5ECBAC9A" w14:textId="77777777" w:rsidR="002C308F" w:rsidRPr="004856EE" w:rsidRDefault="002C308F" w:rsidP="002C308F">
      <w:pPr>
        <w:pStyle w:val="af9"/>
        <w:spacing w:line="360" w:lineRule="auto"/>
        <w:ind w:firstLine="708"/>
        <w:jc w:val="both"/>
        <w:rPr>
          <w:rFonts w:ascii="Times New Roman" w:hAnsi="Times New Roman" w:cs="Times New Roman"/>
          <w:sz w:val="24"/>
          <w:szCs w:val="24"/>
        </w:rPr>
      </w:pPr>
    </w:p>
    <w:p w14:paraId="3F5DD48F" w14:textId="30872937" w:rsidR="002C308F" w:rsidRPr="004856EE" w:rsidRDefault="002C308F" w:rsidP="002C308F">
      <w:pPr>
        <w:pStyle w:val="af9"/>
        <w:spacing w:line="360" w:lineRule="auto"/>
        <w:ind w:firstLine="708"/>
        <w:jc w:val="both"/>
        <w:rPr>
          <w:rFonts w:ascii="Times New Roman" w:hAnsi="Times New Roman" w:cs="Times New Roman"/>
          <w:sz w:val="24"/>
          <w:szCs w:val="24"/>
        </w:rPr>
      </w:pPr>
      <w:r w:rsidRPr="004856EE">
        <w:rPr>
          <w:rFonts w:ascii="Times New Roman" w:hAnsi="Times New Roman" w:cs="Times New Roman"/>
          <w:sz w:val="24"/>
          <w:szCs w:val="24"/>
        </w:rPr>
        <w:t xml:space="preserve">Несмотря на устойчивое сокращение нефтегазовых доходов федерального бюджета в прогнозном бюджетном цикле, с учетом модификации «бюджетного правила», в законопроекте запланированы дополнительные доходы, которые составят соответственно 939,0 млрд рублей в 2023 году, 656,3 млрд рублей в 2024 году и 488,5 млрд рублей в 2025 году. </w:t>
      </w:r>
    </w:p>
    <w:p w14:paraId="08F9BADA" w14:textId="5DBF3C1F" w:rsidR="002F6A16" w:rsidRPr="002F6A16" w:rsidRDefault="004856EE" w:rsidP="002F6A16">
      <w:pPr>
        <w:pStyle w:val="af9"/>
        <w:spacing w:line="360" w:lineRule="auto"/>
        <w:ind w:firstLine="708"/>
        <w:jc w:val="both"/>
        <w:rPr>
          <w:rFonts w:ascii="Times New Roman" w:hAnsi="Times New Roman" w:cs="Times New Roman"/>
          <w:i/>
          <w:iCs/>
          <w:sz w:val="24"/>
          <w:szCs w:val="24"/>
        </w:rPr>
      </w:pPr>
      <w:r w:rsidRPr="004856EE">
        <w:rPr>
          <w:rFonts w:ascii="Times New Roman" w:hAnsi="Times New Roman" w:cs="Times New Roman"/>
          <w:sz w:val="24"/>
          <w:szCs w:val="24"/>
        </w:rPr>
        <w:lastRenderedPageBreak/>
        <w:t xml:space="preserve">На поступления налоговых и таможенных платежей в составе ненефтегазовых доходов будут оказывать </w:t>
      </w:r>
      <w:r w:rsidR="00180E45" w:rsidRPr="004856EE">
        <w:rPr>
          <w:rFonts w:ascii="Times New Roman" w:hAnsi="Times New Roman" w:cs="Times New Roman"/>
          <w:sz w:val="24"/>
          <w:szCs w:val="24"/>
        </w:rPr>
        <w:t xml:space="preserve">существенное </w:t>
      </w:r>
      <w:r w:rsidRPr="004856EE">
        <w:rPr>
          <w:rFonts w:ascii="Times New Roman" w:hAnsi="Times New Roman" w:cs="Times New Roman"/>
          <w:sz w:val="24"/>
          <w:szCs w:val="24"/>
        </w:rPr>
        <w:t xml:space="preserve">влияние следующие изменения налогового законодательства: установление повышенной вывозной таможенной пошлины на уголь и удобрения с 2023 года, </w:t>
      </w:r>
      <w:r w:rsidRPr="00180E45">
        <w:rPr>
          <w:rFonts w:ascii="Times New Roman" w:hAnsi="Times New Roman" w:cs="Times New Roman"/>
          <w:sz w:val="24"/>
          <w:szCs w:val="24"/>
        </w:rPr>
        <w:t>введение повышенной налоговой ставки по налогу на прибыль организаций, подлежащему зачислению в федеральный бюджет, для ряда организаций, производящих газ природный в сжиженном состоянии, начало обложения НДФЛ доходов по вкладам в 2023 года,</w:t>
      </w:r>
      <w:r w:rsidRPr="004856EE">
        <w:rPr>
          <w:rFonts w:ascii="Times New Roman" w:hAnsi="Times New Roman" w:cs="Times New Roman"/>
          <w:sz w:val="24"/>
          <w:szCs w:val="24"/>
        </w:rPr>
        <w:t xml:space="preserve"> индексация акцизов на табачную и никотин-содержащую продукцию, поэтапным завершением действия нулевых ставок ввозных таможенных пошлин/тарифных льгот на ввоз товаров критического импорта и др</w:t>
      </w:r>
      <w:r w:rsidR="0081504D">
        <w:rPr>
          <w:rFonts w:ascii="Times New Roman" w:hAnsi="Times New Roman" w:cs="Times New Roman"/>
          <w:sz w:val="24"/>
          <w:szCs w:val="24"/>
        </w:rPr>
        <w:t>. (рис. 5)</w:t>
      </w:r>
      <w:r w:rsidRPr="004856EE">
        <w:rPr>
          <w:rFonts w:ascii="Times New Roman" w:hAnsi="Times New Roman" w:cs="Times New Roman"/>
          <w:sz w:val="24"/>
          <w:szCs w:val="24"/>
        </w:rPr>
        <w:t xml:space="preserve">. Действие указанных факторов будет оказывать разнонаправленное влияние на ненефтегазовые доходы федерального бюджета, обеспечив в совокупности положительный эффект их прироста за 3 года бюджетного цикла в сумме около 627 млрд руб., уступая положительному эффекту влияния макроэкономических факторов на их объем.  </w:t>
      </w:r>
      <w:r w:rsidR="00964E25">
        <w:rPr>
          <w:noProof/>
          <w:lang w:eastAsia="ru-RU"/>
        </w:rPr>
        <w:drawing>
          <wp:inline distT="0" distB="0" distL="0" distR="0" wp14:anchorId="4C5B51CA" wp14:editId="5ADD90AA">
            <wp:extent cx="5897880" cy="3970020"/>
            <wp:effectExtent l="0" t="0" r="7620" b="11430"/>
            <wp:docPr id="9" name="Диаграмма 9">
              <a:extLst xmlns:a="http://schemas.openxmlformats.org/drawingml/2006/main">
                <a:ext uri="{FF2B5EF4-FFF2-40B4-BE49-F238E27FC236}">
                  <a16:creationId xmlns:a16="http://schemas.microsoft.com/office/drawing/2014/main" id="{6C746DB2-B522-1E04-23E9-FC90E4FC1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F6A16" w:rsidRPr="002F6A16">
        <w:rPr>
          <w:rFonts w:ascii="Times New Roman" w:hAnsi="Times New Roman" w:cs="Times New Roman"/>
          <w:sz w:val="24"/>
          <w:szCs w:val="24"/>
        </w:rPr>
        <w:t xml:space="preserve"> </w:t>
      </w:r>
      <w:r w:rsidR="002F6A16" w:rsidRPr="002F6A16">
        <w:rPr>
          <w:rFonts w:ascii="Times New Roman" w:hAnsi="Times New Roman" w:cs="Times New Roman"/>
          <w:i/>
          <w:iCs/>
          <w:sz w:val="24"/>
          <w:szCs w:val="24"/>
        </w:rPr>
        <w:t>Рисунок 5 - Наиболее значимые факторы, определяющие изменение ненефтегазовых доходов федерального бюджета в 2023–2025 годах</w:t>
      </w:r>
    </w:p>
    <w:p w14:paraId="6F81F517" w14:textId="1E0F2DAA" w:rsidR="002F6A16" w:rsidRPr="00BB705D" w:rsidRDefault="00E56BC6" w:rsidP="002F6A16">
      <w:pPr>
        <w:pStyle w:val="af9"/>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Источник: </w:t>
      </w:r>
      <w:r w:rsidR="002F6A16" w:rsidRPr="00BB705D">
        <w:rPr>
          <w:rFonts w:ascii="Times New Roman" w:hAnsi="Times New Roman" w:cs="Times New Roman"/>
          <w:i/>
          <w:iCs/>
          <w:sz w:val="24"/>
          <w:szCs w:val="24"/>
        </w:rPr>
        <w:t>Составлено на основе данных пояснительной записки к законопроекту</w:t>
      </w:r>
    </w:p>
    <w:p w14:paraId="26ADAA7A" w14:textId="77777777" w:rsidR="002F6A16" w:rsidRDefault="002F6A16" w:rsidP="00964E25">
      <w:pPr>
        <w:pStyle w:val="af9"/>
        <w:spacing w:line="360" w:lineRule="auto"/>
        <w:ind w:firstLine="708"/>
        <w:jc w:val="both"/>
        <w:rPr>
          <w:rFonts w:ascii="Times New Roman" w:hAnsi="Times New Roman" w:cs="Times New Roman"/>
          <w:sz w:val="24"/>
          <w:szCs w:val="24"/>
        </w:rPr>
      </w:pPr>
    </w:p>
    <w:p w14:paraId="5934D9E3" w14:textId="130736F0" w:rsidR="004856EE" w:rsidRPr="004856EE" w:rsidRDefault="004856EE" w:rsidP="00964E25">
      <w:pPr>
        <w:pStyle w:val="af9"/>
        <w:spacing w:line="360" w:lineRule="auto"/>
        <w:ind w:firstLine="708"/>
        <w:jc w:val="both"/>
        <w:rPr>
          <w:rFonts w:ascii="Times New Roman" w:hAnsi="Times New Roman" w:cs="Times New Roman"/>
          <w:sz w:val="24"/>
          <w:szCs w:val="24"/>
        </w:rPr>
      </w:pPr>
      <w:r w:rsidRPr="004856EE">
        <w:rPr>
          <w:rFonts w:ascii="Times New Roman" w:hAnsi="Times New Roman" w:cs="Times New Roman"/>
          <w:sz w:val="24"/>
          <w:szCs w:val="24"/>
        </w:rPr>
        <w:t xml:space="preserve">Указанные выше тенденции в формировании различных групп доходов федерального бюджета изменят их соотношение в общем объеме доходов в прогнозируемом бюджетном цикле. </w:t>
      </w:r>
    </w:p>
    <w:p w14:paraId="5B97AEBB" w14:textId="77777777" w:rsidR="004856EE" w:rsidRPr="004856EE" w:rsidRDefault="004856EE" w:rsidP="004856EE">
      <w:pPr>
        <w:pStyle w:val="af9"/>
        <w:spacing w:line="360" w:lineRule="auto"/>
        <w:jc w:val="both"/>
        <w:rPr>
          <w:rFonts w:ascii="Times New Roman" w:hAnsi="Times New Roman" w:cs="Times New Roman"/>
          <w:sz w:val="24"/>
          <w:szCs w:val="24"/>
        </w:rPr>
      </w:pPr>
      <w:r w:rsidRPr="004856EE">
        <w:rPr>
          <w:rFonts w:ascii="Times New Roman" w:hAnsi="Times New Roman" w:cs="Times New Roman"/>
          <w:noProof/>
          <w:sz w:val="24"/>
          <w:szCs w:val="24"/>
          <w:lang w:eastAsia="ru-RU"/>
        </w:rPr>
        <w:lastRenderedPageBreak/>
        <w:drawing>
          <wp:inline distT="0" distB="0" distL="0" distR="0" wp14:anchorId="16A547D9" wp14:editId="706E5552">
            <wp:extent cx="5696585" cy="2400300"/>
            <wp:effectExtent l="0" t="0" r="18415" b="0"/>
            <wp:docPr id="22" name="Диаграмма 22">
              <a:extLst xmlns:a="http://schemas.openxmlformats.org/drawingml/2006/main">
                <a:ext uri="{FF2B5EF4-FFF2-40B4-BE49-F238E27FC236}">
                  <a16:creationId xmlns:a16="http://schemas.microsoft.com/office/drawing/2014/main" id="{0E4B514E-7F77-3227-6C50-D563DCE300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1730E5" w14:textId="7C42AD7B" w:rsidR="004856EE" w:rsidRPr="00BB705D" w:rsidRDefault="004856EE" w:rsidP="004856EE">
      <w:pPr>
        <w:pStyle w:val="af9"/>
        <w:spacing w:line="360" w:lineRule="auto"/>
        <w:jc w:val="both"/>
        <w:rPr>
          <w:rFonts w:ascii="Times New Roman" w:hAnsi="Times New Roman" w:cs="Times New Roman"/>
          <w:i/>
          <w:iCs/>
          <w:sz w:val="24"/>
          <w:szCs w:val="24"/>
        </w:rPr>
      </w:pPr>
      <w:r w:rsidRPr="002F6A16">
        <w:rPr>
          <w:rFonts w:ascii="Times New Roman" w:hAnsi="Times New Roman" w:cs="Times New Roman"/>
          <w:i/>
          <w:iCs/>
          <w:sz w:val="24"/>
          <w:szCs w:val="24"/>
        </w:rPr>
        <w:t>Рис</w:t>
      </w:r>
      <w:r w:rsidR="00BB705D" w:rsidRPr="002F6A16">
        <w:rPr>
          <w:rFonts w:ascii="Times New Roman" w:hAnsi="Times New Roman" w:cs="Times New Roman"/>
          <w:i/>
          <w:iCs/>
          <w:sz w:val="24"/>
          <w:szCs w:val="24"/>
        </w:rPr>
        <w:t xml:space="preserve">унок </w:t>
      </w:r>
      <w:r w:rsidR="002F6A16" w:rsidRPr="002F6A16">
        <w:rPr>
          <w:rFonts w:ascii="Times New Roman" w:hAnsi="Times New Roman" w:cs="Times New Roman"/>
          <w:i/>
          <w:iCs/>
          <w:sz w:val="24"/>
          <w:szCs w:val="24"/>
        </w:rPr>
        <w:t>6</w:t>
      </w:r>
      <w:r w:rsidR="00BB705D" w:rsidRPr="002F6A16">
        <w:rPr>
          <w:rFonts w:ascii="Times New Roman" w:hAnsi="Times New Roman" w:cs="Times New Roman"/>
          <w:i/>
          <w:iCs/>
          <w:sz w:val="24"/>
          <w:szCs w:val="24"/>
        </w:rPr>
        <w:t xml:space="preserve"> -</w:t>
      </w:r>
      <w:r w:rsidR="00BB705D">
        <w:rPr>
          <w:rFonts w:ascii="Times New Roman" w:hAnsi="Times New Roman" w:cs="Times New Roman"/>
          <w:sz w:val="24"/>
          <w:szCs w:val="24"/>
        </w:rPr>
        <w:t xml:space="preserve"> </w:t>
      </w:r>
      <w:r w:rsidRPr="00BB705D">
        <w:rPr>
          <w:rFonts w:ascii="Times New Roman" w:hAnsi="Times New Roman" w:cs="Times New Roman"/>
          <w:i/>
          <w:iCs/>
          <w:sz w:val="24"/>
          <w:szCs w:val="24"/>
        </w:rPr>
        <w:t>Прогноз структуры доходов федерального бюджета на 2023–2025 годы</w:t>
      </w:r>
    </w:p>
    <w:p w14:paraId="602B152E" w14:textId="77777777" w:rsidR="00E56BC6" w:rsidRPr="002C308F" w:rsidRDefault="00E56BC6" w:rsidP="00E56BC6">
      <w:pPr>
        <w:autoSpaceDE w:val="0"/>
        <w:autoSpaceDN w:val="0"/>
        <w:adjustRightInd w:val="0"/>
        <w:spacing w:line="360" w:lineRule="auto"/>
        <w:rPr>
          <w:sz w:val="24"/>
          <w:szCs w:val="24"/>
        </w:rPr>
      </w:pPr>
      <w:r>
        <w:rPr>
          <w:i/>
          <w:iCs/>
          <w:sz w:val="24"/>
          <w:szCs w:val="24"/>
        </w:rPr>
        <w:t xml:space="preserve">Источник: </w:t>
      </w:r>
      <w:r w:rsidRPr="002C308F">
        <w:rPr>
          <w:i/>
          <w:iCs/>
          <w:sz w:val="24"/>
          <w:szCs w:val="24"/>
        </w:rPr>
        <w:t>Составлено на основе данных пояснительной записки к законопроекту</w:t>
      </w:r>
    </w:p>
    <w:p w14:paraId="16D345BE" w14:textId="77777777" w:rsidR="00BC3C02" w:rsidRPr="004856EE" w:rsidRDefault="00BC3C02" w:rsidP="00BC3C02">
      <w:pPr>
        <w:pStyle w:val="af9"/>
        <w:spacing w:line="360" w:lineRule="auto"/>
        <w:ind w:firstLine="708"/>
        <w:jc w:val="both"/>
        <w:rPr>
          <w:rFonts w:ascii="Times New Roman" w:hAnsi="Times New Roman" w:cs="Times New Roman"/>
          <w:sz w:val="24"/>
          <w:szCs w:val="24"/>
        </w:rPr>
      </w:pPr>
      <w:r w:rsidRPr="004856EE">
        <w:rPr>
          <w:rFonts w:ascii="Times New Roman" w:hAnsi="Times New Roman" w:cs="Times New Roman"/>
          <w:sz w:val="24"/>
          <w:szCs w:val="24"/>
        </w:rPr>
        <w:t xml:space="preserve">Оценка соотношения нефтегазовых и ненефтегазовых доходов в проекте федерального бюджета на 2023–2025 годы, представленное на рисунке </w:t>
      </w:r>
      <w:r>
        <w:rPr>
          <w:rFonts w:ascii="Times New Roman" w:hAnsi="Times New Roman" w:cs="Times New Roman"/>
          <w:sz w:val="24"/>
          <w:szCs w:val="24"/>
        </w:rPr>
        <w:t>6</w:t>
      </w:r>
      <w:r w:rsidRPr="004856EE">
        <w:rPr>
          <w:rFonts w:ascii="Times New Roman" w:hAnsi="Times New Roman" w:cs="Times New Roman"/>
          <w:sz w:val="24"/>
          <w:szCs w:val="24"/>
        </w:rPr>
        <w:t xml:space="preserve">, позволяет судить об устойчивой тенденции превалирования последних в общем объеме доходов. </w:t>
      </w:r>
    </w:p>
    <w:p w14:paraId="7D204AEB" w14:textId="7276B9AE" w:rsidR="004856EE" w:rsidRPr="004856EE" w:rsidRDefault="004856EE" w:rsidP="004856EE">
      <w:pPr>
        <w:pStyle w:val="af9"/>
        <w:spacing w:line="360" w:lineRule="auto"/>
        <w:ind w:firstLine="708"/>
        <w:jc w:val="both"/>
        <w:rPr>
          <w:rFonts w:ascii="Times New Roman" w:hAnsi="Times New Roman" w:cs="Times New Roman"/>
          <w:sz w:val="24"/>
          <w:szCs w:val="24"/>
        </w:rPr>
      </w:pPr>
      <w:r w:rsidRPr="004856EE">
        <w:rPr>
          <w:rFonts w:ascii="Times New Roman" w:hAnsi="Times New Roman" w:cs="Times New Roman"/>
          <w:sz w:val="24"/>
          <w:szCs w:val="24"/>
        </w:rPr>
        <w:t xml:space="preserve">Структура нефтегазовых доходов на анализируемый прогнозный период представлена на рисунке </w:t>
      </w:r>
      <w:r w:rsidR="002F6A16">
        <w:rPr>
          <w:rFonts w:ascii="Times New Roman" w:hAnsi="Times New Roman" w:cs="Times New Roman"/>
          <w:sz w:val="24"/>
          <w:szCs w:val="24"/>
        </w:rPr>
        <w:t>7</w:t>
      </w:r>
      <w:r w:rsidRPr="004856EE">
        <w:rPr>
          <w:rFonts w:ascii="Times New Roman" w:hAnsi="Times New Roman" w:cs="Times New Roman"/>
          <w:sz w:val="24"/>
          <w:szCs w:val="24"/>
        </w:rPr>
        <w:t xml:space="preserve">. Основная доля доходов, как и в прошлые периоды, приходится на поступления от НДПИ, при этом главным образом за счет НДПИ на нефть. По прогнозу доходы от обложения нефти составят соответственно 87,5%, 85,9% и 85,1% поступлений НДПИ по углеводородам в 2023–2025 годах. </w:t>
      </w:r>
    </w:p>
    <w:p w14:paraId="5AE72171" w14:textId="77777777" w:rsidR="004856EE" w:rsidRPr="004856EE" w:rsidRDefault="004856EE" w:rsidP="004856EE">
      <w:pPr>
        <w:pStyle w:val="af9"/>
        <w:spacing w:line="360" w:lineRule="auto"/>
        <w:jc w:val="both"/>
        <w:rPr>
          <w:rFonts w:ascii="Times New Roman" w:hAnsi="Times New Roman" w:cs="Times New Roman"/>
          <w:sz w:val="24"/>
          <w:szCs w:val="24"/>
        </w:rPr>
      </w:pPr>
      <w:r w:rsidRPr="004856EE">
        <w:rPr>
          <w:rFonts w:ascii="Times New Roman" w:hAnsi="Times New Roman" w:cs="Times New Roman"/>
          <w:noProof/>
          <w:sz w:val="24"/>
          <w:szCs w:val="24"/>
          <w:lang w:eastAsia="ru-RU"/>
        </w:rPr>
        <w:drawing>
          <wp:inline distT="0" distB="0" distL="0" distR="0" wp14:anchorId="7A8976E4" wp14:editId="61B46FC4">
            <wp:extent cx="5916930" cy="2964180"/>
            <wp:effectExtent l="0" t="0" r="7620" b="7620"/>
            <wp:docPr id="1" name="Диаграмма 1">
              <a:extLst xmlns:a="http://schemas.openxmlformats.org/drawingml/2006/main">
                <a:ext uri="{FF2B5EF4-FFF2-40B4-BE49-F238E27FC236}">
                  <a16:creationId xmlns:a16="http://schemas.microsoft.com/office/drawing/2014/main" id="{08F69A4B-F6B6-7FA0-C447-A79884BDDE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FAC07E" w14:textId="7C3AE8E1" w:rsidR="004856EE" w:rsidRPr="002C308F" w:rsidRDefault="004856EE" w:rsidP="004856EE">
      <w:pPr>
        <w:pStyle w:val="af9"/>
        <w:spacing w:line="360" w:lineRule="auto"/>
        <w:jc w:val="both"/>
        <w:rPr>
          <w:rFonts w:ascii="Times New Roman" w:hAnsi="Times New Roman" w:cs="Times New Roman"/>
          <w:i/>
          <w:iCs/>
          <w:sz w:val="24"/>
          <w:szCs w:val="24"/>
        </w:rPr>
      </w:pPr>
      <w:r w:rsidRPr="002C308F">
        <w:rPr>
          <w:rFonts w:ascii="Times New Roman" w:hAnsi="Times New Roman" w:cs="Times New Roman"/>
          <w:i/>
          <w:iCs/>
          <w:sz w:val="24"/>
          <w:szCs w:val="24"/>
        </w:rPr>
        <w:t>Рис</w:t>
      </w:r>
      <w:r w:rsidR="002C308F" w:rsidRPr="002C308F">
        <w:rPr>
          <w:rFonts w:ascii="Times New Roman" w:hAnsi="Times New Roman" w:cs="Times New Roman"/>
          <w:i/>
          <w:iCs/>
          <w:sz w:val="24"/>
          <w:szCs w:val="24"/>
        </w:rPr>
        <w:t xml:space="preserve">унок </w:t>
      </w:r>
      <w:r w:rsidR="002F6A16">
        <w:rPr>
          <w:rFonts w:ascii="Times New Roman" w:hAnsi="Times New Roman" w:cs="Times New Roman"/>
          <w:i/>
          <w:iCs/>
          <w:sz w:val="24"/>
          <w:szCs w:val="24"/>
        </w:rPr>
        <w:t>7</w:t>
      </w:r>
      <w:r w:rsidR="002C308F" w:rsidRPr="002C308F">
        <w:rPr>
          <w:rFonts w:ascii="Times New Roman" w:hAnsi="Times New Roman" w:cs="Times New Roman"/>
          <w:i/>
          <w:iCs/>
          <w:sz w:val="24"/>
          <w:szCs w:val="24"/>
        </w:rPr>
        <w:t xml:space="preserve"> -</w:t>
      </w:r>
      <w:r w:rsidRPr="002C308F">
        <w:rPr>
          <w:rFonts w:ascii="Times New Roman" w:hAnsi="Times New Roman" w:cs="Times New Roman"/>
          <w:i/>
          <w:iCs/>
          <w:sz w:val="24"/>
          <w:szCs w:val="24"/>
        </w:rPr>
        <w:t xml:space="preserve"> Прогноз структуры поступления нефтегазовых доходов в федеральный бюджет на 2023–2025 годы</w:t>
      </w:r>
    </w:p>
    <w:p w14:paraId="509F6B41" w14:textId="77777777" w:rsidR="00E56BC6" w:rsidRPr="002C308F" w:rsidRDefault="00E56BC6" w:rsidP="00E56BC6">
      <w:pPr>
        <w:autoSpaceDE w:val="0"/>
        <w:autoSpaceDN w:val="0"/>
        <w:adjustRightInd w:val="0"/>
        <w:spacing w:line="360" w:lineRule="auto"/>
        <w:rPr>
          <w:sz w:val="24"/>
          <w:szCs w:val="24"/>
        </w:rPr>
      </w:pPr>
      <w:r>
        <w:rPr>
          <w:i/>
          <w:iCs/>
          <w:sz w:val="24"/>
          <w:szCs w:val="24"/>
        </w:rPr>
        <w:t xml:space="preserve">Источник: </w:t>
      </w:r>
      <w:r w:rsidRPr="002C308F">
        <w:rPr>
          <w:i/>
          <w:iCs/>
          <w:sz w:val="24"/>
          <w:szCs w:val="24"/>
        </w:rPr>
        <w:t>Составлено на основе данных пояснительной записки к законопроекту</w:t>
      </w:r>
    </w:p>
    <w:p w14:paraId="57EE02CC" w14:textId="77777777" w:rsidR="002F6A16" w:rsidRDefault="002F6A16" w:rsidP="002F6A16">
      <w:pPr>
        <w:pStyle w:val="af9"/>
        <w:spacing w:line="360" w:lineRule="auto"/>
        <w:ind w:firstLine="708"/>
        <w:jc w:val="both"/>
        <w:rPr>
          <w:rFonts w:ascii="Times New Roman" w:hAnsi="Times New Roman" w:cs="Times New Roman"/>
          <w:sz w:val="24"/>
          <w:szCs w:val="24"/>
        </w:rPr>
      </w:pPr>
    </w:p>
    <w:p w14:paraId="7B04FE28" w14:textId="53CC1928" w:rsidR="002F6A16" w:rsidRPr="004856EE" w:rsidRDefault="002F6A16" w:rsidP="002F6A16">
      <w:pPr>
        <w:pStyle w:val="af9"/>
        <w:spacing w:line="360" w:lineRule="auto"/>
        <w:ind w:firstLine="708"/>
        <w:jc w:val="both"/>
        <w:rPr>
          <w:rFonts w:ascii="Times New Roman" w:hAnsi="Times New Roman" w:cs="Times New Roman"/>
          <w:sz w:val="24"/>
          <w:szCs w:val="24"/>
        </w:rPr>
      </w:pPr>
      <w:r w:rsidRPr="004856EE">
        <w:rPr>
          <w:rFonts w:ascii="Times New Roman" w:hAnsi="Times New Roman" w:cs="Times New Roman"/>
          <w:sz w:val="24"/>
          <w:szCs w:val="24"/>
        </w:rPr>
        <w:lastRenderedPageBreak/>
        <w:t>Остальная доля приходится на поступления НДПИ по газу горючему природному и газовому конденсату. Вывозные таможенные пошлины формируются большей частью за счет обложения газа природного. На его долю по прогнозу приходится 82,9%, 100% и 100% всех вывозных таможенных пошлин в 2023–2025 годах соответственно. В 2024 и 2025 годах вывозная таможенная пошлина на природный газ становится единственным квази-фискальным платежом, взимаемым при экспорте углеводородов, доходы от которого пополняют федеральный бюджет. Такая динамика поступлений нефтегазовых доходов обусловлена планируемыми изменениями основных параметров прогноза социально-экономического развития и налогового законодательства.</w:t>
      </w:r>
    </w:p>
    <w:p w14:paraId="4E286A32" w14:textId="0C7263FB" w:rsidR="004856EE" w:rsidRPr="004856EE" w:rsidRDefault="004856EE" w:rsidP="004856EE">
      <w:pPr>
        <w:pStyle w:val="af9"/>
        <w:spacing w:line="360" w:lineRule="auto"/>
        <w:jc w:val="both"/>
        <w:rPr>
          <w:rFonts w:ascii="Times New Roman" w:hAnsi="Times New Roman" w:cs="Times New Roman"/>
          <w:sz w:val="24"/>
          <w:szCs w:val="24"/>
        </w:rPr>
      </w:pPr>
      <w:r w:rsidRPr="004856EE">
        <w:rPr>
          <w:rFonts w:ascii="Times New Roman" w:hAnsi="Times New Roman" w:cs="Times New Roman"/>
          <w:sz w:val="24"/>
          <w:szCs w:val="24"/>
        </w:rPr>
        <w:tab/>
        <w:t>Относительно прогнозных значений ненефтегазовых доходов, наоборот, наблюдаются стабильно растущая динамика (выше темпов роста инфляции) и неизменность их структуры</w:t>
      </w:r>
      <w:r w:rsidR="002C308F">
        <w:rPr>
          <w:rFonts w:ascii="Times New Roman" w:hAnsi="Times New Roman" w:cs="Times New Roman"/>
          <w:sz w:val="24"/>
          <w:szCs w:val="24"/>
        </w:rPr>
        <w:t xml:space="preserve"> (рис. </w:t>
      </w:r>
      <w:r w:rsidR="002F6A16">
        <w:rPr>
          <w:rFonts w:ascii="Times New Roman" w:hAnsi="Times New Roman" w:cs="Times New Roman"/>
          <w:sz w:val="24"/>
          <w:szCs w:val="24"/>
        </w:rPr>
        <w:t>8</w:t>
      </w:r>
      <w:r w:rsidR="002C308F">
        <w:rPr>
          <w:rFonts w:ascii="Times New Roman" w:hAnsi="Times New Roman" w:cs="Times New Roman"/>
          <w:sz w:val="24"/>
          <w:szCs w:val="24"/>
        </w:rPr>
        <w:t>)</w:t>
      </w:r>
      <w:r w:rsidRPr="002C308F">
        <w:rPr>
          <w:rFonts w:ascii="Times New Roman" w:hAnsi="Times New Roman" w:cs="Times New Roman"/>
          <w:sz w:val="24"/>
          <w:szCs w:val="24"/>
        </w:rPr>
        <w:t>.</w:t>
      </w:r>
      <w:r w:rsidRPr="004856EE">
        <w:rPr>
          <w:rFonts w:ascii="Times New Roman" w:hAnsi="Times New Roman" w:cs="Times New Roman"/>
          <w:sz w:val="24"/>
          <w:szCs w:val="24"/>
        </w:rPr>
        <w:t xml:space="preserve"> </w:t>
      </w:r>
    </w:p>
    <w:p w14:paraId="7F7EF220" w14:textId="77777777" w:rsidR="004856EE" w:rsidRPr="004856EE" w:rsidRDefault="004856EE" w:rsidP="004856EE">
      <w:pPr>
        <w:pStyle w:val="af9"/>
        <w:spacing w:line="360" w:lineRule="auto"/>
        <w:jc w:val="both"/>
        <w:rPr>
          <w:rFonts w:ascii="Times New Roman" w:hAnsi="Times New Roman" w:cs="Times New Roman"/>
          <w:sz w:val="24"/>
          <w:szCs w:val="24"/>
        </w:rPr>
      </w:pPr>
      <w:r w:rsidRPr="004856EE">
        <w:rPr>
          <w:rFonts w:ascii="Times New Roman" w:hAnsi="Times New Roman" w:cs="Times New Roman"/>
          <w:noProof/>
          <w:lang w:eastAsia="ru-RU"/>
        </w:rPr>
        <w:drawing>
          <wp:inline distT="0" distB="0" distL="0" distR="0" wp14:anchorId="33F813C3" wp14:editId="12146FA1">
            <wp:extent cx="5755005" cy="2872740"/>
            <wp:effectExtent l="0" t="0" r="17145" b="3810"/>
            <wp:docPr id="5" name="Диаграмма 5">
              <a:extLst xmlns:a="http://schemas.openxmlformats.org/drawingml/2006/main">
                <a:ext uri="{FF2B5EF4-FFF2-40B4-BE49-F238E27FC236}">
                  <a16:creationId xmlns:a16="http://schemas.microsoft.com/office/drawing/2014/main" id="{6128B69D-0EA7-57A5-9770-7C58065B7B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1BC064" w14:textId="17A334B0" w:rsidR="004856EE" w:rsidRPr="002C308F" w:rsidRDefault="004856EE" w:rsidP="004856EE">
      <w:pPr>
        <w:pStyle w:val="af9"/>
        <w:spacing w:line="360" w:lineRule="auto"/>
        <w:jc w:val="both"/>
        <w:rPr>
          <w:rFonts w:ascii="Times New Roman" w:hAnsi="Times New Roman" w:cs="Times New Roman"/>
          <w:i/>
          <w:iCs/>
          <w:sz w:val="24"/>
          <w:szCs w:val="24"/>
        </w:rPr>
      </w:pPr>
      <w:r w:rsidRPr="002C308F">
        <w:rPr>
          <w:rFonts w:ascii="Times New Roman" w:hAnsi="Times New Roman" w:cs="Times New Roman"/>
          <w:i/>
          <w:iCs/>
          <w:sz w:val="24"/>
          <w:szCs w:val="24"/>
        </w:rPr>
        <w:t>Рис</w:t>
      </w:r>
      <w:r w:rsidR="002C308F" w:rsidRPr="002C308F">
        <w:rPr>
          <w:rFonts w:ascii="Times New Roman" w:hAnsi="Times New Roman" w:cs="Times New Roman"/>
          <w:i/>
          <w:iCs/>
          <w:sz w:val="24"/>
          <w:szCs w:val="24"/>
        </w:rPr>
        <w:t xml:space="preserve">унок </w:t>
      </w:r>
      <w:r w:rsidR="002F6A16">
        <w:rPr>
          <w:rFonts w:ascii="Times New Roman" w:hAnsi="Times New Roman" w:cs="Times New Roman"/>
          <w:i/>
          <w:iCs/>
          <w:sz w:val="24"/>
          <w:szCs w:val="24"/>
        </w:rPr>
        <w:t>8</w:t>
      </w:r>
      <w:r w:rsidR="002C308F" w:rsidRPr="002C308F">
        <w:rPr>
          <w:rFonts w:ascii="Times New Roman" w:hAnsi="Times New Roman" w:cs="Times New Roman"/>
          <w:i/>
          <w:iCs/>
          <w:sz w:val="24"/>
          <w:szCs w:val="24"/>
        </w:rPr>
        <w:t xml:space="preserve"> -</w:t>
      </w:r>
      <w:r w:rsidRPr="002C308F">
        <w:rPr>
          <w:rFonts w:ascii="Times New Roman" w:hAnsi="Times New Roman" w:cs="Times New Roman"/>
          <w:i/>
          <w:iCs/>
          <w:sz w:val="24"/>
          <w:szCs w:val="24"/>
        </w:rPr>
        <w:t xml:space="preserve"> Прогноз структуры поступления ненефтегазовых доходов в федеральный бюджет на 2023–2025 годы</w:t>
      </w:r>
    </w:p>
    <w:p w14:paraId="4E9381FD" w14:textId="77777777" w:rsidR="00E56BC6" w:rsidRPr="002C308F" w:rsidRDefault="00E56BC6" w:rsidP="00E56BC6">
      <w:pPr>
        <w:autoSpaceDE w:val="0"/>
        <w:autoSpaceDN w:val="0"/>
        <w:adjustRightInd w:val="0"/>
        <w:spacing w:line="360" w:lineRule="auto"/>
        <w:rPr>
          <w:sz w:val="24"/>
          <w:szCs w:val="24"/>
        </w:rPr>
      </w:pPr>
      <w:r>
        <w:rPr>
          <w:i/>
          <w:iCs/>
          <w:sz w:val="24"/>
          <w:szCs w:val="24"/>
        </w:rPr>
        <w:t xml:space="preserve">Источник: </w:t>
      </w:r>
      <w:r w:rsidRPr="002C308F">
        <w:rPr>
          <w:i/>
          <w:iCs/>
          <w:sz w:val="24"/>
          <w:szCs w:val="24"/>
        </w:rPr>
        <w:t>Составлено на основе данных пояснительной записки к законопроекту</w:t>
      </w:r>
    </w:p>
    <w:p w14:paraId="1FE194BB" w14:textId="77777777" w:rsidR="001E26A1" w:rsidRDefault="004856EE" w:rsidP="006C1C7A">
      <w:pPr>
        <w:pStyle w:val="af9"/>
        <w:spacing w:line="360" w:lineRule="auto"/>
        <w:jc w:val="both"/>
        <w:rPr>
          <w:rFonts w:ascii="Times New Roman" w:hAnsi="Times New Roman" w:cs="Times New Roman"/>
          <w:sz w:val="24"/>
          <w:szCs w:val="24"/>
        </w:rPr>
      </w:pPr>
      <w:r w:rsidRPr="004856EE">
        <w:rPr>
          <w:rFonts w:ascii="Times New Roman" w:hAnsi="Times New Roman" w:cs="Times New Roman"/>
          <w:sz w:val="24"/>
          <w:szCs w:val="24"/>
        </w:rPr>
        <w:t xml:space="preserve">   </w:t>
      </w:r>
      <w:r w:rsidRPr="004856EE">
        <w:rPr>
          <w:rFonts w:ascii="Times New Roman" w:hAnsi="Times New Roman" w:cs="Times New Roman"/>
          <w:sz w:val="24"/>
          <w:szCs w:val="24"/>
        </w:rPr>
        <w:tab/>
      </w:r>
    </w:p>
    <w:p w14:paraId="6F89957A" w14:textId="1B724B2F" w:rsidR="004856EE" w:rsidRPr="004856EE" w:rsidRDefault="004856EE" w:rsidP="001E26A1">
      <w:pPr>
        <w:pStyle w:val="af9"/>
        <w:spacing w:line="360" w:lineRule="auto"/>
        <w:ind w:firstLine="567"/>
        <w:jc w:val="both"/>
        <w:rPr>
          <w:rFonts w:ascii="Times New Roman" w:hAnsi="Times New Roman" w:cs="Times New Roman"/>
          <w:sz w:val="24"/>
          <w:szCs w:val="24"/>
        </w:rPr>
      </w:pPr>
      <w:r w:rsidRPr="004856EE">
        <w:rPr>
          <w:rFonts w:ascii="Times New Roman" w:hAnsi="Times New Roman" w:cs="Times New Roman"/>
          <w:sz w:val="24"/>
          <w:szCs w:val="24"/>
        </w:rPr>
        <w:t>Принятые изменения в налоговом законодательстве и разовые факторы должны дополнительно увеличить объем ненефтегазовых доходов федерального бюджета 2,9 трлн руб. за 2023–2025 годы. Положительная динамика этого показателя достигается главным образом за счет:</w:t>
      </w:r>
    </w:p>
    <w:p w14:paraId="0C386B8D" w14:textId="77777777" w:rsidR="004856EE" w:rsidRPr="004856EE" w:rsidRDefault="004856EE" w:rsidP="004856EE">
      <w:pPr>
        <w:pStyle w:val="af9"/>
        <w:numPr>
          <w:ilvl w:val="0"/>
          <w:numId w:val="32"/>
        </w:numPr>
        <w:spacing w:line="360" w:lineRule="auto"/>
        <w:ind w:left="567" w:hanging="567"/>
        <w:jc w:val="both"/>
        <w:rPr>
          <w:rFonts w:ascii="Times New Roman" w:hAnsi="Times New Roman" w:cs="Times New Roman"/>
          <w:sz w:val="24"/>
          <w:szCs w:val="24"/>
        </w:rPr>
      </w:pPr>
      <w:r w:rsidRPr="004856EE">
        <w:rPr>
          <w:rFonts w:ascii="Times New Roman" w:hAnsi="Times New Roman" w:cs="Times New Roman"/>
          <w:sz w:val="24"/>
          <w:szCs w:val="24"/>
        </w:rPr>
        <w:t xml:space="preserve">планируемого роста поступлений налога на прибыль организаций с доходов, полученных в виде процентов по облигациям российских организаций, на фоне роста соответствующей налоговой базы; </w:t>
      </w:r>
    </w:p>
    <w:p w14:paraId="6B82A802" w14:textId="57577D4D" w:rsidR="004856EE" w:rsidRPr="00180E45" w:rsidRDefault="00180E45" w:rsidP="004856EE">
      <w:pPr>
        <w:pStyle w:val="af9"/>
        <w:numPr>
          <w:ilvl w:val="0"/>
          <w:numId w:val="32"/>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 </w:t>
      </w:r>
      <w:r w:rsidR="004856EE" w:rsidRPr="00180E45">
        <w:rPr>
          <w:rFonts w:ascii="Times New Roman" w:hAnsi="Times New Roman" w:cs="Times New Roman"/>
          <w:sz w:val="24"/>
          <w:szCs w:val="24"/>
        </w:rPr>
        <w:t xml:space="preserve">поступлений НДФЛ </w:t>
      </w:r>
      <w:r>
        <w:rPr>
          <w:rFonts w:ascii="Times New Roman" w:hAnsi="Times New Roman" w:cs="Times New Roman"/>
          <w:sz w:val="24"/>
          <w:szCs w:val="24"/>
        </w:rPr>
        <w:t xml:space="preserve">в части превышения доходов, облагаемых </w:t>
      </w:r>
      <w:r w:rsidR="004856EE" w:rsidRPr="00180E45">
        <w:rPr>
          <w:rFonts w:ascii="Times New Roman" w:hAnsi="Times New Roman" w:cs="Times New Roman"/>
          <w:sz w:val="24"/>
          <w:szCs w:val="24"/>
        </w:rPr>
        <w:t xml:space="preserve">по </w:t>
      </w:r>
      <w:r>
        <w:rPr>
          <w:rFonts w:ascii="Times New Roman" w:hAnsi="Times New Roman" w:cs="Times New Roman"/>
          <w:sz w:val="24"/>
          <w:szCs w:val="24"/>
        </w:rPr>
        <w:t xml:space="preserve">прогрессивной ставке </w:t>
      </w:r>
      <w:r w:rsidR="004856EE" w:rsidRPr="00180E45">
        <w:rPr>
          <w:rFonts w:ascii="Times New Roman" w:hAnsi="Times New Roman" w:cs="Times New Roman"/>
          <w:sz w:val="24"/>
          <w:szCs w:val="24"/>
        </w:rPr>
        <w:t xml:space="preserve">15%, а также </w:t>
      </w:r>
      <w:r>
        <w:rPr>
          <w:rFonts w:ascii="Times New Roman" w:hAnsi="Times New Roman" w:cs="Times New Roman"/>
          <w:sz w:val="24"/>
          <w:szCs w:val="24"/>
        </w:rPr>
        <w:t>за счет</w:t>
      </w:r>
      <w:r w:rsidR="004856EE" w:rsidRPr="00180E45">
        <w:rPr>
          <w:rFonts w:ascii="Times New Roman" w:hAnsi="Times New Roman" w:cs="Times New Roman"/>
          <w:sz w:val="24"/>
          <w:szCs w:val="24"/>
        </w:rPr>
        <w:t xml:space="preserve"> обложения депозитов и процентов в связи с ростом налоговой базы;</w:t>
      </w:r>
    </w:p>
    <w:p w14:paraId="0E743FE1" w14:textId="7EFF0161" w:rsidR="004856EE" w:rsidRPr="00180E45" w:rsidRDefault="004856EE" w:rsidP="004856EE">
      <w:pPr>
        <w:pStyle w:val="af9"/>
        <w:numPr>
          <w:ilvl w:val="0"/>
          <w:numId w:val="32"/>
        </w:numPr>
        <w:spacing w:line="360" w:lineRule="auto"/>
        <w:ind w:left="567" w:hanging="567"/>
        <w:jc w:val="both"/>
        <w:rPr>
          <w:rFonts w:ascii="Times New Roman" w:hAnsi="Times New Roman" w:cs="Times New Roman"/>
          <w:sz w:val="24"/>
          <w:szCs w:val="24"/>
        </w:rPr>
      </w:pPr>
      <w:r w:rsidRPr="004856EE">
        <w:rPr>
          <w:rFonts w:ascii="Times New Roman" w:hAnsi="Times New Roman" w:cs="Times New Roman"/>
          <w:sz w:val="24"/>
          <w:szCs w:val="24"/>
        </w:rPr>
        <w:t>увеличения поступлений внутреннего НДС за счет роста номинального объема ВВП</w:t>
      </w:r>
      <w:r w:rsidRPr="00180E45">
        <w:rPr>
          <w:rFonts w:ascii="Times New Roman" w:hAnsi="Times New Roman" w:cs="Times New Roman"/>
          <w:sz w:val="24"/>
          <w:szCs w:val="24"/>
        </w:rPr>
        <w:t xml:space="preserve">; </w:t>
      </w:r>
    </w:p>
    <w:p w14:paraId="1CC344A0" w14:textId="77777777" w:rsidR="004856EE" w:rsidRPr="004856EE" w:rsidRDefault="004856EE" w:rsidP="004856EE">
      <w:pPr>
        <w:pStyle w:val="af9"/>
        <w:numPr>
          <w:ilvl w:val="0"/>
          <w:numId w:val="32"/>
        </w:numPr>
        <w:spacing w:line="360" w:lineRule="auto"/>
        <w:ind w:left="567" w:hanging="567"/>
        <w:jc w:val="both"/>
        <w:rPr>
          <w:rFonts w:ascii="Times New Roman" w:hAnsi="Times New Roman" w:cs="Times New Roman"/>
          <w:sz w:val="24"/>
          <w:szCs w:val="24"/>
        </w:rPr>
      </w:pPr>
      <w:r w:rsidRPr="004856EE">
        <w:rPr>
          <w:rFonts w:ascii="Times New Roman" w:hAnsi="Times New Roman" w:cs="Times New Roman"/>
          <w:sz w:val="24"/>
          <w:szCs w:val="24"/>
        </w:rPr>
        <w:t>увеличения поступлений ввозного НДС за счет увеличения объемов импорта, изменения его структуры при положительном влиянии курса доллара США;</w:t>
      </w:r>
    </w:p>
    <w:p w14:paraId="0A2C7636" w14:textId="77777777" w:rsidR="004856EE" w:rsidRPr="004856EE" w:rsidRDefault="004856EE" w:rsidP="004856EE">
      <w:pPr>
        <w:pStyle w:val="aa"/>
        <w:numPr>
          <w:ilvl w:val="0"/>
          <w:numId w:val="32"/>
        </w:numPr>
        <w:autoSpaceDE w:val="0"/>
        <w:autoSpaceDN w:val="0"/>
        <w:adjustRightInd w:val="0"/>
        <w:spacing w:after="0" w:line="360" w:lineRule="auto"/>
        <w:ind w:left="567" w:hanging="567"/>
        <w:jc w:val="both"/>
        <w:rPr>
          <w:rFonts w:ascii="Times New Roman" w:eastAsiaTheme="minorHAnsi" w:hAnsi="Times New Roman"/>
          <w:sz w:val="24"/>
          <w:szCs w:val="24"/>
        </w:rPr>
      </w:pPr>
      <w:r w:rsidRPr="004856EE">
        <w:rPr>
          <w:rFonts w:ascii="Times New Roman" w:eastAsiaTheme="minorHAnsi" w:hAnsi="Times New Roman"/>
          <w:sz w:val="24"/>
          <w:szCs w:val="24"/>
        </w:rPr>
        <w:t>увеличения поступлений акцизов по подакцизным товарам (продукции), производимым на территории Российской Федерации и ввозимым на территорию Российской Федерации посредством введения с 1 января 2023 года акциза на сахаросодержащие напитки, индексации ставок на табачную и никотин-содержащую продукцию, изменения единых розничных цен на сигареты с фильтром, индексации ставок на алкогольную продукцию, Изменение законодательства в части взимания акциза на природный газ, предусмотренного международными договорами Российской Федерации, а также улучшения администрирования этого налога.</w:t>
      </w:r>
    </w:p>
    <w:p w14:paraId="4201FF0A" w14:textId="77777777" w:rsidR="00180E45" w:rsidRDefault="00180E45" w:rsidP="008553E6">
      <w:pPr>
        <w:shd w:val="clear" w:color="auto" w:fill="FFFFFF"/>
        <w:spacing w:line="360" w:lineRule="auto"/>
        <w:contextualSpacing/>
        <w:jc w:val="both"/>
        <w:textAlignment w:val="baseline"/>
        <w:rPr>
          <w:sz w:val="24"/>
          <w:szCs w:val="24"/>
        </w:rPr>
      </w:pPr>
    </w:p>
    <w:p w14:paraId="624099BD" w14:textId="2798E909" w:rsidR="006C1C7A" w:rsidRPr="002B4D4D" w:rsidRDefault="006C1C7A" w:rsidP="004775E0">
      <w:pPr>
        <w:pStyle w:val="aa"/>
        <w:numPr>
          <w:ilvl w:val="0"/>
          <w:numId w:val="39"/>
        </w:numPr>
        <w:spacing w:line="360" w:lineRule="auto"/>
        <w:ind w:left="924" w:hanging="357"/>
        <w:jc w:val="both"/>
        <w:rPr>
          <w:rFonts w:ascii="Times New Roman" w:hAnsi="Times New Roman"/>
          <w:b/>
          <w:i/>
          <w:iCs/>
          <w:color w:val="2C2D2E"/>
          <w:sz w:val="24"/>
          <w:szCs w:val="24"/>
          <w:shd w:val="clear" w:color="auto" w:fill="FFFFFF"/>
        </w:rPr>
      </w:pPr>
      <w:r w:rsidRPr="002B4D4D">
        <w:rPr>
          <w:rFonts w:ascii="Times New Roman" w:hAnsi="Times New Roman"/>
          <w:b/>
          <w:i/>
          <w:iCs/>
          <w:color w:val="2C2D2E"/>
          <w:sz w:val="24"/>
          <w:szCs w:val="24"/>
          <w:shd w:val="clear" w:color="auto" w:fill="FFFFFF"/>
        </w:rPr>
        <w:t xml:space="preserve">Оценка налоговых нововведений в 2023–2025 </w:t>
      </w:r>
      <w:r w:rsidR="00F042DA">
        <w:rPr>
          <w:rFonts w:ascii="Times New Roman" w:hAnsi="Times New Roman"/>
          <w:b/>
          <w:i/>
          <w:iCs/>
          <w:color w:val="2C2D2E"/>
          <w:sz w:val="24"/>
          <w:szCs w:val="24"/>
          <w:shd w:val="clear" w:color="auto" w:fill="FFFFFF"/>
        </w:rPr>
        <w:t>гг.</w:t>
      </w:r>
      <w:r w:rsidRPr="002B4D4D">
        <w:rPr>
          <w:rFonts w:ascii="Times New Roman" w:hAnsi="Times New Roman"/>
          <w:b/>
          <w:i/>
          <w:iCs/>
          <w:color w:val="2C2D2E"/>
          <w:sz w:val="24"/>
          <w:szCs w:val="24"/>
          <w:shd w:val="clear" w:color="auto" w:fill="FFFFFF"/>
        </w:rPr>
        <w:t xml:space="preserve"> и их влияни</w:t>
      </w:r>
      <w:r w:rsidR="00F042DA">
        <w:rPr>
          <w:rFonts w:ascii="Times New Roman" w:hAnsi="Times New Roman"/>
          <w:b/>
          <w:i/>
          <w:iCs/>
          <w:color w:val="2C2D2E"/>
          <w:sz w:val="24"/>
          <w:szCs w:val="24"/>
          <w:shd w:val="clear" w:color="auto" w:fill="FFFFFF"/>
        </w:rPr>
        <w:t>я</w:t>
      </w:r>
      <w:r w:rsidRPr="002B4D4D">
        <w:rPr>
          <w:rFonts w:ascii="Times New Roman" w:hAnsi="Times New Roman"/>
          <w:b/>
          <w:i/>
          <w:iCs/>
          <w:color w:val="2C2D2E"/>
          <w:sz w:val="24"/>
          <w:szCs w:val="24"/>
          <w:shd w:val="clear" w:color="auto" w:fill="FFFFFF"/>
        </w:rPr>
        <w:t xml:space="preserve"> на доходы федерального бюджета и развитие экономики</w:t>
      </w:r>
    </w:p>
    <w:p w14:paraId="12F6956A" w14:textId="77777777" w:rsidR="006C1C7A" w:rsidRPr="00054621" w:rsidRDefault="006C1C7A" w:rsidP="006C1C7A">
      <w:pPr>
        <w:autoSpaceDE w:val="0"/>
        <w:autoSpaceDN w:val="0"/>
        <w:adjustRightInd w:val="0"/>
        <w:spacing w:line="360" w:lineRule="auto"/>
        <w:ind w:firstLine="709"/>
        <w:jc w:val="both"/>
        <w:rPr>
          <w:sz w:val="24"/>
          <w:szCs w:val="24"/>
        </w:rPr>
      </w:pPr>
      <w:r>
        <w:rPr>
          <w:sz w:val="24"/>
          <w:szCs w:val="24"/>
        </w:rPr>
        <w:t xml:space="preserve">При оценке </w:t>
      </w:r>
      <w:r w:rsidRPr="00054621">
        <w:rPr>
          <w:sz w:val="24"/>
          <w:szCs w:val="24"/>
        </w:rPr>
        <w:t>основных направлений налогов</w:t>
      </w:r>
      <w:r>
        <w:rPr>
          <w:sz w:val="24"/>
          <w:szCs w:val="24"/>
        </w:rPr>
        <w:t>ых мер, воздействующих на доходы федерального бюджета и на стимулирование развития российской экономики</w:t>
      </w:r>
      <w:r w:rsidRPr="00054621">
        <w:rPr>
          <w:sz w:val="24"/>
          <w:szCs w:val="24"/>
        </w:rPr>
        <w:t xml:space="preserve"> на плановый период 2023-2025 гг. </w:t>
      </w:r>
      <w:r>
        <w:rPr>
          <w:sz w:val="24"/>
          <w:szCs w:val="24"/>
        </w:rPr>
        <w:t xml:space="preserve">принималось во внимание </w:t>
      </w:r>
      <w:r w:rsidRPr="00054621">
        <w:rPr>
          <w:sz w:val="24"/>
          <w:szCs w:val="24"/>
        </w:rPr>
        <w:t>сохранени</w:t>
      </w:r>
      <w:r>
        <w:rPr>
          <w:sz w:val="24"/>
          <w:szCs w:val="24"/>
        </w:rPr>
        <w:t>е</w:t>
      </w:r>
      <w:r w:rsidRPr="00054621">
        <w:rPr>
          <w:sz w:val="24"/>
          <w:szCs w:val="24"/>
        </w:rPr>
        <w:t xml:space="preserve"> </w:t>
      </w:r>
      <w:proofErr w:type="spellStart"/>
      <w:r w:rsidRPr="00054621">
        <w:rPr>
          <w:sz w:val="24"/>
          <w:szCs w:val="24"/>
        </w:rPr>
        <w:t>контрциклической</w:t>
      </w:r>
      <w:proofErr w:type="spellEnd"/>
      <w:r w:rsidRPr="00054621">
        <w:rPr>
          <w:sz w:val="24"/>
          <w:szCs w:val="24"/>
        </w:rPr>
        <w:t xml:space="preserve"> направленности проводимой бюджетной политики</w:t>
      </w:r>
      <w:r>
        <w:rPr>
          <w:sz w:val="24"/>
          <w:szCs w:val="24"/>
        </w:rPr>
        <w:t xml:space="preserve">, направленной на </w:t>
      </w:r>
      <w:r w:rsidRPr="00054621">
        <w:rPr>
          <w:sz w:val="24"/>
          <w:szCs w:val="24"/>
        </w:rPr>
        <w:t>постепенн</w:t>
      </w:r>
      <w:r>
        <w:rPr>
          <w:sz w:val="24"/>
          <w:szCs w:val="24"/>
        </w:rPr>
        <w:t>ую</w:t>
      </w:r>
      <w:r w:rsidRPr="00054621">
        <w:rPr>
          <w:sz w:val="24"/>
          <w:szCs w:val="24"/>
        </w:rPr>
        <w:t xml:space="preserve"> адаптаци</w:t>
      </w:r>
      <w:r>
        <w:rPr>
          <w:sz w:val="24"/>
          <w:szCs w:val="24"/>
        </w:rPr>
        <w:t>ю</w:t>
      </w:r>
      <w:r w:rsidRPr="00054621">
        <w:rPr>
          <w:sz w:val="24"/>
          <w:szCs w:val="24"/>
        </w:rPr>
        <w:t xml:space="preserve"> к 2025 году основных параметров федерального бюджета </w:t>
      </w:r>
      <w:r>
        <w:rPr>
          <w:sz w:val="24"/>
          <w:szCs w:val="24"/>
        </w:rPr>
        <w:t xml:space="preserve">к международным санкциям и внешним шокам, а также </w:t>
      </w:r>
      <w:r w:rsidRPr="00054621">
        <w:rPr>
          <w:sz w:val="24"/>
          <w:szCs w:val="24"/>
        </w:rPr>
        <w:t>стабилизаци</w:t>
      </w:r>
      <w:r>
        <w:rPr>
          <w:sz w:val="24"/>
          <w:szCs w:val="24"/>
        </w:rPr>
        <w:t>ю</w:t>
      </w:r>
      <w:r w:rsidRPr="00054621">
        <w:rPr>
          <w:sz w:val="24"/>
          <w:szCs w:val="24"/>
        </w:rPr>
        <w:t xml:space="preserve"> налоговых условий для бизнеса в независимости от динамики цен на углеводороды.</w:t>
      </w:r>
    </w:p>
    <w:p w14:paraId="18CECBD1" w14:textId="7943A1EA" w:rsidR="006C1C7A" w:rsidRDefault="006C1C7A" w:rsidP="006C1C7A">
      <w:pPr>
        <w:autoSpaceDE w:val="0"/>
        <w:autoSpaceDN w:val="0"/>
        <w:adjustRightInd w:val="0"/>
        <w:spacing w:line="360" w:lineRule="auto"/>
        <w:ind w:firstLine="709"/>
        <w:jc w:val="both"/>
        <w:rPr>
          <w:sz w:val="24"/>
          <w:szCs w:val="24"/>
        </w:rPr>
      </w:pPr>
      <w:r w:rsidRPr="00054621">
        <w:rPr>
          <w:sz w:val="24"/>
          <w:szCs w:val="24"/>
        </w:rPr>
        <w:t xml:space="preserve">В части </w:t>
      </w:r>
      <w:r>
        <w:rPr>
          <w:sz w:val="24"/>
          <w:szCs w:val="24"/>
        </w:rPr>
        <w:t>прогнозируемых к реализации мер</w:t>
      </w:r>
      <w:r w:rsidRPr="00054621">
        <w:rPr>
          <w:sz w:val="24"/>
          <w:szCs w:val="24"/>
        </w:rPr>
        <w:t xml:space="preserve"> таможенно-тарифной и налоговой политики следует отметить, что основная роль в </w:t>
      </w:r>
      <w:r>
        <w:rPr>
          <w:sz w:val="24"/>
          <w:szCs w:val="24"/>
        </w:rPr>
        <w:t>повышении</w:t>
      </w:r>
      <w:r w:rsidRPr="00054621">
        <w:rPr>
          <w:sz w:val="24"/>
          <w:szCs w:val="24"/>
        </w:rPr>
        <w:t xml:space="preserve"> </w:t>
      </w:r>
      <w:r>
        <w:rPr>
          <w:sz w:val="24"/>
          <w:szCs w:val="24"/>
        </w:rPr>
        <w:t xml:space="preserve">номинального объема </w:t>
      </w:r>
      <w:r w:rsidRPr="00054621">
        <w:rPr>
          <w:sz w:val="24"/>
          <w:szCs w:val="24"/>
        </w:rPr>
        <w:t>доходов федерального бюджета</w:t>
      </w:r>
      <w:r>
        <w:rPr>
          <w:sz w:val="24"/>
          <w:szCs w:val="24"/>
        </w:rPr>
        <w:t>, прежде всего</w:t>
      </w:r>
      <w:r w:rsidR="00293AE0">
        <w:rPr>
          <w:sz w:val="24"/>
          <w:szCs w:val="24"/>
        </w:rPr>
        <w:t xml:space="preserve"> </w:t>
      </w:r>
      <w:r>
        <w:rPr>
          <w:sz w:val="24"/>
          <w:szCs w:val="24"/>
        </w:rPr>
        <w:t>ненефтегазовых доходов,</w:t>
      </w:r>
      <w:r w:rsidRPr="00054621">
        <w:rPr>
          <w:sz w:val="24"/>
          <w:szCs w:val="24"/>
        </w:rPr>
        <w:t xml:space="preserve"> на </w:t>
      </w:r>
      <w:r>
        <w:rPr>
          <w:sz w:val="24"/>
          <w:szCs w:val="24"/>
        </w:rPr>
        <w:t>всем г</w:t>
      </w:r>
      <w:r w:rsidRPr="00054621">
        <w:rPr>
          <w:sz w:val="24"/>
          <w:szCs w:val="24"/>
        </w:rPr>
        <w:t xml:space="preserve">оризонте </w:t>
      </w:r>
      <w:r>
        <w:rPr>
          <w:sz w:val="24"/>
          <w:szCs w:val="24"/>
        </w:rPr>
        <w:t>бюджетного цикла 2023-2025 годов принадлежит</w:t>
      </w:r>
      <w:r w:rsidRPr="00054621">
        <w:rPr>
          <w:sz w:val="24"/>
          <w:szCs w:val="24"/>
        </w:rPr>
        <w:t xml:space="preserve"> косвенны</w:t>
      </w:r>
      <w:r>
        <w:rPr>
          <w:sz w:val="24"/>
          <w:szCs w:val="24"/>
        </w:rPr>
        <w:t>м</w:t>
      </w:r>
      <w:r w:rsidRPr="00054621">
        <w:rPr>
          <w:sz w:val="24"/>
          <w:szCs w:val="24"/>
        </w:rPr>
        <w:t xml:space="preserve"> налог</w:t>
      </w:r>
      <w:r>
        <w:rPr>
          <w:sz w:val="24"/>
          <w:szCs w:val="24"/>
        </w:rPr>
        <w:t>ам</w:t>
      </w:r>
      <w:r w:rsidRPr="00054621">
        <w:rPr>
          <w:sz w:val="24"/>
          <w:szCs w:val="24"/>
        </w:rPr>
        <w:t>: НДС</w:t>
      </w:r>
      <w:r>
        <w:rPr>
          <w:sz w:val="24"/>
          <w:szCs w:val="24"/>
        </w:rPr>
        <w:t xml:space="preserve"> и </w:t>
      </w:r>
      <w:r w:rsidRPr="00054621">
        <w:rPr>
          <w:sz w:val="24"/>
          <w:szCs w:val="24"/>
        </w:rPr>
        <w:t>акциз</w:t>
      </w:r>
      <w:r>
        <w:rPr>
          <w:sz w:val="24"/>
          <w:szCs w:val="24"/>
        </w:rPr>
        <w:t xml:space="preserve">ам (их доля в совокупных доходах устойчиво растет с 45,6% в 2023 году до 48,2% в 2025 году; при этом отношение поступлений от косвенных налогов к ВВП в течение всего бюджетного цикла будет стабильным на уровне 7,9%), </w:t>
      </w:r>
      <w:r w:rsidRPr="00054621">
        <w:rPr>
          <w:rFonts w:eastAsiaTheme="minorHAnsi"/>
          <w:sz w:val="24"/>
          <w:szCs w:val="24"/>
        </w:rPr>
        <w:t xml:space="preserve"> </w:t>
      </w:r>
      <w:r w:rsidRPr="00054621">
        <w:rPr>
          <w:sz w:val="24"/>
          <w:szCs w:val="24"/>
        </w:rPr>
        <w:t xml:space="preserve">налогам и платежам за природные ресурсы </w:t>
      </w:r>
      <w:r>
        <w:rPr>
          <w:sz w:val="24"/>
          <w:szCs w:val="24"/>
        </w:rPr>
        <w:t xml:space="preserve">(с долей </w:t>
      </w:r>
      <w:r w:rsidRPr="00054621">
        <w:rPr>
          <w:sz w:val="24"/>
          <w:szCs w:val="24"/>
        </w:rPr>
        <w:t xml:space="preserve">в </w:t>
      </w:r>
      <w:r>
        <w:rPr>
          <w:sz w:val="24"/>
          <w:szCs w:val="24"/>
        </w:rPr>
        <w:t xml:space="preserve">доходах федерального бюджета </w:t>
      </w:r>
      <w:r w:rsidRPr="00054621">
        <w:rPr>
          <w:sz w:val="24"/>
          <w:szCs w:val="24"/>
        </w:rPr>
        <w:t xml:space="preserve">45,4% </w:t>
      </w:r>
      <w:r>
        <w:rPr>
          <w:sz w:val="24"/>
          <w:szCs w:val="24"/>
        </w:rPr>
        <w:t xml:space="preserve">в </w:t>
      </w:r>
      <w:r w:rsidRPr="00054621">
        <w:rPr>
          <w:sz w:val="24"/>
          <w:szCs w:val="24"/>
        </w:rPr>
        <w:t xml:space="preserve">2023 г. </w:t>
      </w:r>
      <w:r>
        <w:rPr>
          <w:sz w:val="24"/>
          <w:szCs w:val="24"/>
        </w:rPr>
        <w:t>с п</w:t>
      </w:r>
      <w:r w:rsidRPr="00054621">
        <w:rPr>
          <w:sz w:val="24"/>
          <w:szCs w:val="24"/>
        </w:rPr>
        <w:t>оследующ</w:t>
      </w:r>
      <w:r>
        <w:rPr>
          <w:sz w:val="24"/>
          <w:szCs w:val="24"/>
        </w:rPr>
        <w:t>им ее</w:t>
      </w:r>
      <w:r w:rsidRPr="00054621">
        <w:rPr>
          <w:sz w:val="24"/>
          <w:szCs w:val="24"/>
        </w:rPr>
        <w:t xml:space="preserve"> снижение</w:t>
      </w:r>
      <w:r>
        <w:rPr>
          <w:sz w:val="24"/>
          <w:szCs w:val="24"/>
        </w:rPr>
        <w:t>м</w:t>
      </w:r>
      <w:r w:rsidRPr="00054621">
        <w:rPr>
          <w:sz w:val="24"/>
          <w:szCs w:val="24"/>
        </w:rPr>
        <w:t xml:space="preserve"> до 34,5% в 2025</w:t>
      </w:r>
      <w:r>
        <w:rPr>
          <w:sz w:val="24"/>
          <w:szCs w:val="24"/>
        </w:rPr>
        <w:t xml:space="preserve"> </w:t>
      </w:r>
      <w:r w:rsidRPr="00054621">
        <w:rPr>
          <w:sz w:val="24"/>
          <w:szCs w:val="24"/>
        </w:rPr>
        <w:t>г.</w:t>
      </w:r>
      <w:r>
        <w:rPr>
          <w:sz w:val="24"/>
          <w:szCs w:val="24"/>
        </w:rPr>
        <w:t>)</w:t>
      </w:r>
      <w:r w:rsidRPr="00054621">
        <w:rPr>
          <w:sz w:val="24"/>
          <w:szCs w:val="24"/>
        </w:rPr>
        <w:t xml:space="preserve"> (рис. </w:t>
      </w:r>
      <w:r w:rsidR="002F6A16">
        <w:rPr>
          <w:sz w:val="24"/>
          <w:szCs w:val="24"/>
        </w:rPr>
        <w:t>9</w:t>
      </w:r>
      <w:r w:rsidRPr="00054621">
        <w:rPr>
          <w:sz w:val="24"/>
          <w:szCs w:val="24"/>
        </w:rPr>
        <w:t xml:space="preserve">). </w:t>
      </w:r>
    </w:p>
    <w:p w14:paraId="48BD2EBC" w14:textId="77777777" w:rsidR="00853A6D" w:rsidRPr="00853A6D" w:rsidRDefault="00853A6D" w:rsidP="00853A6D">
      <w:pPr>
        <w:autoSpaceDE w:val="0"/>
        <w:autoSpaceDN w:val="0"/>
        <w:adjustRightInd w:val="0"/>
        <w:spacing w:line="360" w:lineRule="auto"/>
        <w:ind w:firstLine="709"/>
        <w:jc w:val="both"/>
        <w:rPr>
          <w:sz w:val="24"/>
          <w:szCs w:val="24"/>
        </w:rPr>
      </w:pPr>
      <w:r w:rsidRPr="00853A6D">
        <w:rPr>
          <w:sz w:val="24"/>
          <w:szCs w:val="24"/>
        </w:rPr>
        <w:t xml:space="preserve">Проведённая выше оценка </w:t>
      </w:r>
      <w:r w:rsidRPr="00853A6D">
        <w:rPr>
          <w:rStyle w:val="cf01"/>
          <w:rFonts w:ascii="Times New Roman" w:hAnsi="Times New Roman" w:cs="Times New Roman"/>
          <w:sz w:val="24"/>
          <w:szCs w:val="24"/>
        </w:rPr>
        <w:t xml:space="preserve">роли налоговых и таможенных платежей в формировании доходов федерального бюджета </w:t>
      </w:r>
      <w:r w:rsidRPr="00853A6D">
        <w:rPr>
          <w:sz w:val="24"/>
          <w:szCs w:val="24"/>
        </w:rPr>
        <w:t xml:space="preserve">позволяет выявить фискальные мероприятия, способные </w:t>
      </w:r>
      <w:r w:rsidRPr="00853A6D">
        <w:rPr>
          <w:sz w:val="24"/>
          <w:szCs w:val="24"/>
        </w:rPr>
        <w:lastRenderedPageBreak/>
        <w:t>существенно повлиять на уровень экономической активности различных категорий плательщиков. Выделим наиболее значимые из них.</w:t>
      </w:r>
    </w:p>
    <w:p w14:paraId="1CB6CBF3" w14:textId="77777777" w:rsidR="00853A6D" w:rsidRPr="00853A6D" w:rsidRDefault="00853A6D" w:rsidP="00853A6D">
      <w:pPr>
        <w:pStyle w:val="aa"/>
        <w:numPr>
          <w:ilvl w:val="0"/>
          <w:numId w:val="35"/>
        </w:numPr>
        <w:autoSpaceDE w:val="0"/>
        <w:autoSpaceDN w:val="0"/>
        <w:adjustRightInd w:val="0"/>
        <w:spacing w:line="360" w:lineRule="auto"/>
        <w:ind w:left="284" w:firstLine="0"/>
        <w:jc w:val="both"/>
        <w:rPr>
          <w:rFonts w:ascii="Times New Roman" w:hAnsi="Times New Roman"/>
          <w:sz w:val="24"/>
          <w:szCs w:val="24"/>
        </w:rPr>
      </w:pPr>
      <w:r w:rsidRPr="00853A6D">
        <w:rPr>
          <w:rFonts w:ascii="Times New Roman" w:hAnsi="Times New Roman"/>
          <w:sz w:val="24"/>
          <w:szCs w:val="24"/>
        </w:rPr>
        <w:t>Совершенствование порядка взимания косвенных налогов (совокупный рост налоговых поступлений в бюджетную систему на 54,3% к 2025 году по сравнению с 2022 годом):</w:t>
      </w:r>
    </w:p>
    <w:p w14:paraId="2BBAE11A" w14:textId="77777777" w:rsidR="00853A6D" w:rsidRPr="00853A6D" w:rsidRDefault="00853A6D" w:rsidP="00853A6D">
      <w:pPr>
        <w:pStyle w:val="aa"/>
        <w:numPr>
          <w:ilvl w:val="0"/>
          <w:numId w:val="33"/>
        </w:numPr>
        <w:autoSpaceDE w:val="0"/>
        <w:autoSpaceDN w:val="0"/>
        <w:adjustRightInd w:val="0"/>
        <w:spacing w:after="0" w:line="360" w:lineRule="auto"/>
        <w:ind w:left="0" w:firstLine="0"/>
        <w:jc w:val="both"/>
        <w:rPr>
          <w:rFonts w:ascii="Times New Roman" w:hAnsi="Times New Roman"/>
          <w:sz w:val="24"/>
          <w:szCs w:val="24"/>
        </w:rPr>
      </w:pPr>
      <w:r w:rsidRPr="00853A6D">
        <w:rPr>
          <w:rFonts w:ascii="Times New Roman" w:hAnsi="Times New Roman"/>
          <w:sz w:val="24"/>
          <w:szCs w:val="24"/>
        </w:rPr>
        <w:t>в отношении электронной торговли товарами, реализуемыми физическим лицам в целях урегулирования спорных вопросов, связанных с двойным налогообложением НДС;</w:t>
      </w:r>
    </w:p>
    <w:p w14:paraId="3B5A6249" w14:textId="77777777" w:rsidR="00853A6D" w:rsidRPr="00853A6D" w:rsidRDefault="00853A6D" w:rsidP="00853A6D">
      <w:pPr>
        <w:pStyle w:val="aa"/>
        <w:numPr>
          <w:ilvl w:val="0"/>
          <w:numId w:val="33"/>
        </w:numPr>
        <w:autoSpaceDE w:val="0"/>
        <w:autoSpaceDN w:val="0"/>
        <w:adjustRightInd w:val="0"/>
        <w:spacing w:after="0" w:line="360" w:lineRule="auto"/>
        <w:ind w:left="0" w:firstLine="0"/>
        <w:jc w:val="both"/>
        <w:rPr>
          <w:rFonts w:ascii="Times New Roman" w:hAnsi="Times New Roman"/>
          <w:sz w:val="24"/>
          <w:szCs w:val="24"/>
        </w:rPr>
      </w:pPr>
      <w:r w:rsidRPr="00853A6D">
        <w:rPr>
          <w:rFonts w:ascii="Times New Roman" w:hAnsi="Times New Roman"/>
          <w:sz w:val="24"/>
          <w:szCs w:val="24"/>
        </w:rPr>
        <w:t>возможность предоставления банковской гарантии для лиц, осуществляющих ввоз на территорию Российской Федерации алкогольной продукции с территории государств ЕАЭС.</w:t>
      </w:r>
    </w:p>
    <w:p w14:paraId="506DCF44" w14:textId="77777777" w:rsidR="006C1C7A" w:rsidRPr="00054621" w:rsidRDefault="006C1C7A" w:rsidP="006C1C7A">
      <w:pPr>
        <w:autoSpaceDE w:val="0"/>
        <w:autoSpaceDN w:val="0"/>
        <w:adjustRightInd w:val="0"/>
        <w:spacing w:line="360" w:lineRule="auto"/>
        <w:jc w:val="both"/>
        <w:rPr>
          <w:noProof/>
          <w:sz w:val="24"/>
          <w:szCs w:val="24"/>
        </w:rPr>
      </w:pPr>
      <w:r w:rsidRPr="00054621">
        <w:rPr>
          <w:noProof/>
          <w:sz w:val="24"/>
          <w:szCs w:val="24"/>
        </w:rPr>
        <w:drawing>
          <wp:inline distT="0" distB="0" distL="0" distR="0" wp14:anchorId="5DFAD5B8" wp14:editId="7877E532">
            <wp:extent cx="6009005" cy="3108960"/>
            <wp:effectExtent l="0" t="0" r="10795"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B54257" w14:textId="36A0935E" w:rsidR="006C1C7A" w:rsidRPr="00054621" w:rsidRDefault="006C1C7A" w:rsidP="006C1C7A">
      <w:pPr>
        <w:autoSpaceDE w:val="0"/>
        <w:autoSpaceDN w:val="0"/>
        <w:adjustRightInd w:val="0"/>
        <w:spacing w:line="360" w:lineRule="auto"/>
        <w:jc w:val="both"/>
        <w:rPr>
          <w:sz w:val="24"/>
          <w:szCs w:val="24"/>
        </w:rPr>
      </w:pPr>
      <w:r w:rsidRPr="006C1C7A">
        <w:rPr>
          <w:i/>
          <w:iCs/>
          <w:sz w:val="24"/>
          <w:szCs w:val="24"/>
        </w:rPr>
        <w:t xml:space="preserve">Рисунок </w:t>
      </w:r>
      <w:r w:rsidR="002F6A16">
        <w:rPr>
          <w:i/>
          <w:iCs/>
          <w:sz w:val="24"/>
          <w:szCs w:val="24"/>
        </w:rPr>
        <w:t>9</w:t>
      </w:r>
      <w:r w:rsidRPr="006C1C7A">
        <w:rPr>
          <w:i/>
          <w:iCs/>
          <w:sz w:val="24"/>
          <w:szCs w:val="24"/>
        </w:rPr>
        <w:t xml:space="preserve"> - Соотношение динамики планируемых поступлений в доходную часть федерального бюджета по группам взимаемых налогов и сборов, тыс. руб</w:t>
      </w:r>
      <w:r w:rsidRPr="00054621">
        <w:rPr>
          <w:sz w:val="24"/>
          <w:szCs w:val="24"/>
        </w:rPr>
        <w:t>.</w:t>
      </w:r>
    </w:p>
    <w:p w14:paraId="2C1393D0" w14:textId="77777777" w:rsidR="001E26A1" w:rsidRPr="002C308F" w:rsidRDefault="001E26A1" w:rsidP="001E26A1">
      <w:pPr>
        <w:autoSpaceDE w:val="0"/>
        <w:autoSpaceDN w:val="0"/>
        <w:adjustRightInd w:val="0"/>
        <w:spacing w:line="360" w:lineRule="auto"/>
        <w:rPr>
          <w:sz w:val="24"/>
          <w:szCs w:val="24"/>
        </w:rPr>
      </w:pPr>
      <w:r>
        <w:rPr>
          <w:i/>
          <w:iCs/>
          <w:sz w:val="24"/>
          <w:szCs w:val="24"/>
        </w:rPr>
        <w:t xml:space="preserve">Источник: </w:t>
      </w:r>
      <w:r w:rsidRPr="002C308F">
        <w:rPr>
          <w:i/>
          <w:iCs/>
          <w:sz w:val="24"/>
          <w:szCs w:val="24"/>
        </w:rPr>
        <w:t>Составлено на основе данных пояснительной записки к законопроекту</w:t>
      </w:r>
    </w:p>
    <w:p w14:paraId="07BEC6E5" w14:textId="77777777" w:rsidR="006C1C7A" w:rsidRPr="00054621" w:rsidRDefault="006C1C7A" w:rsidP="006C1C7A">
      <w:pPr>
        <w:autoSpaceDE w:val="0"/>
        <w:autoSpaceDN w:val="0"/>
        <w:adjustRightInd w:val="0"/>
        <w:spacing w:line="360" w:lineRule="auto"/>
        <w:jc w:val="both"/>
        <w:rPr>
          <w:sz w:val="24"/>
          <w:szCs w:val="24"/>
        </w:rPr>
      </w:pPr>
    </w:p>
    <w:p w14:paraId="37CF1A43" w14:textId="77777777" w:rsidR="00853A6D" w:rsidRPr="00054621" w:rsidRDefault="00853A6D" w:rsidP="00853A6D">
      <w:pPr>
        <w:pStyle w:val="aa"/>
        <w:numPr>
          <w:ilvl w:val="0"/>
          <w:numId w:val="35"/>
        </w:numPr>
        <w:autoSpaceDE w:val="0"/>
        <w:autoSpaceDN w:val="0"/>
        <w:adjustRightInd w:val="0"/>
        <w:spacing w:line="360" w:lineRule="auto"/>
        <w:ind w:left="0" w:firstLine="0"/>
        <w:jc w:val="both"/>
        <w:rPr>
          <w:rFonts w:ascii="Times New Roman" w:hAnsi="Times New Roman"/>
          <w:sz w:val="24"/>
          <w:szCs w:val="24"/>
        </w:rPr>
      </w:pPr>
      <w:r w:rsidRPr="00054621">
        <w:rPr>
          <w:rFonts w:ascii="Times New Roman" w:hAnsi="Times New Roman"/>
          <w:sz w:val="24"/>
          <w:szCs w:val="24"/>
        </w:rPr>
        <w:t>Мероприяти</w:t>
      </w:r>
      <w:r>
        <w:rPr>
          <w:rFonts w:ascii="Times New Roman" w:hAnsi="Times New Roman"/>
          <w:sz w:val="24"/>
          <w:szCs w:val="24"/>
        </w:rPr>
        <w:t>я</w:t>
      </w:r>
      <w:r w:rsidRPr="00054621">
        <w:rPr>
          <w:rFonts w:ascii="Times New Roman" w:hAnsi="Times New Roman"/>
          <w:sz w:val="24"/>
          <w:szCs w:val="24"/>
        </w:rPr>
        <w:t xml:space="preserve"> стимулирующего характера по отдельным прямым налогам (совокупный рост </w:t>
      </w:r>
      <w:r>
        <w:rPr>
          <w:rFonts w:ascii="Times New Roman" w:hAnsi="Times New Roman"/>
          <w:sz w:val="24"/>
          <w:szCs w:val="24"/>
        </w:rPr>
        <w:t>налоговых поступлений в бюджетную систему</w:t>
      </w:r>
      <w:r w:rsidRPr="00054621">
        <w:rPr>
          <w:rFonts w:ascii="Times New Roman" w:hAnsi="Times New Roman"/>
          <w:sz w:val="24"/>
          <w:szCs w:val="24"/>
        </w:rPr>
        <w:t xml:space="preserve"> на 32,0% к 2025 году по сравнению с 2022 годом):</w:t>
      </w:r>
    </w:p>
    <w:p w14:paraId="1F2F52E2" w14:textId="77777777" w:rsidR="00853A6D" w:rsidRPr="00054621" w:rsidRDefault="00853A6D" w:rsidP="00853A6D">
      <w:pPr>
        <w:pStyle w:val="aa"/>
        <w:numPr>
          <w:ilvl w:val="0"/>
          <w:numId w:val="34"/>
        </w:numPr>
        <w:tabs>
          <w:tab w:val="left" w:pos="709"/>
        </w:tabs>
        <w:spacing w:after="0" w:line="360" w:lineRule="auto"/>
        <w:ind w:left="0" w:firstLine="0"/>
        <w:jc w:val="both"/>
        <w:rPr>
          <w:rFonts w:ascii="Times New Roman" w:hAnsi="Times New Roman"/>
          <w:sz w:val="24"/>
          <w:szCs w:val="24"/>
        </w:rPr>
      </w:pPr>
      <w:r w:rsidRPr="00054621">
        <w:rPr>
          <w:rFonts w:ascii="Times New Roman" w:hAnsi="Times New Roman"/>
          <w:sz w:val="24"/>
          <w:szCs w:val="24"/>
        </w:rPr>
        <w:t xml:space="preserve">увеличение объема финансирования инвестиционных проектов, </w:t>
      </w:r>
      <w:r>
        <w:rPr>
          <w:rFonts w:ascii="Times New Roman" w:hAnsi="Times New Roman"/>
          <w:sz w:val="24"/>
          <w:szCs w:val="24"/>
        </w:rPr>
        <w:t>реализуемы</w:t>
      </w:r>
      <w:r w:rsidRPr="00054621">
        <w:rPr>
          <w:rFonts w:ascii="Times New Roman" w:hAnsi="Times New Roman"/>
          <w:sz w:val="24"/>
          <w:szCs w:val="24"/>
        </w:rPr>
        <w:t>х на территории Российской Федерации</w:t>
      </w:r>
      <w:r>
        <w:rPr>
          <w:rFonts w:ascii="Times New Roman" w:hAnsi="Times New Roman"/>
          <w:sz w:val="24"/>
          <w:szCs w:val="24"/>
        </w:rPr>
        <w:t>,</w:t>
      </w:r>
      <w:r w:rsidRPr="00054621">
        <w:rPr>
          <w:rFonts w:ascii="Times New Roman" w:hAnsi="Times New Roman"/>
          <w:sz w:val="24"/>
          <w:szCs w:val="24"/>
        </w:rPr>
        <w:t xml:space="preserve"> за счет доли собственной прибыли, направляемой на капитальные вложения;</w:t>
      </w:r>
    </w:p>
    <w:p w14:paraId="758B7A12" w14:textId="77777777" w:rsidR="00853A6D" w:rsidRPr="00054621" w:rsidRDefault="00853A6D" w:rsidP="00853A6D">
      <w:pPr>
        <w:pStyle w:val="aa"/>
        <w:numPr>
          <w:ilvl w:val="0"/>
          <w:numId w:val="34"/>
        </w:numPr>
        <w:tabs>
          <w:tab w:val="left" w:pos="709"/>
        </w:tabs>
        <w:spacing w:after="0" w:line="360" w:lineRule="auto"/>
        <w:ind w:left="0" w:firstLine="0"/>
        <w:jc w:val="both"/>
        <w:rPr>
          <w:rFonts w:ascii="Times New Roman" w:eastAsiaTheme="minorHAnsi" w:hAnsi="Times New Roman"/>
          <w:sz w:val="24"/>
          <w:szCs w:val="24"/>
        </w:rPr>
      </w:pPr>
      <w:r w:rsidRPr="00054621">
        <w:rPr>
          <w:rFonts w:ascii="Times New Roman" w:eastAsiaTheme="minorHAnsi" w:hAnsi="Times New Roman"/>
          <w:sz w:val="24"/>
          <w:szCs w:val="24"/>
        </w:rPr>
        <w:t>пересмотр норм расходов организаций на выплату компенсации за использование для служебных поездок личных легковых автомобилей и мотоциклов, учитываемых по налогу на прибыль организаций;</w:t>
      </w:r>
    </w:p>
    <w:p w14:paraId="02D6F9CE" w14:textId="77777777" w:rsidR="00853A6D" w:rsidRPr="00054621" w:rsidRDefault="00853A6D" w:rsidP="00853A6D">
      <w:pPr>
        <w:pStyle w:val="aa"/>
        <w:numPr>
          <w:ilvl w:val="0"/>
          <w:numId w:val="34"/>
        </w:numPr>
        <w:tabs>
          <w:tab w:val="left" w:pos="709"/>
        </w:tabs>
        <w:spacing w:after="0" w:line="360" w:lineRule="auto"/>
        <w:ind w:left="0" w:firstLine="0"/>
        <w:jc w:val="both"/>
        <w:rPr>
          <w:rFonts w:ascii="Times New Roman" w:eastAsiaTheme="minorHAnsi" w:hAnsi="Times New Roman"/>
          <w:sz w:val="24"/>
          <w:szCs w:val="24"/>
        </w:rPr>
      </w:pPr>
      <w:r w:rsidRPr="00054621">
        <w:rPr>
          <w:rFonts w:ascii="Times New Roman" w:eastAsiaTheme="minorHAnsi" w:hAnsi="Times New Roman"/>
          <w:sz w:val="24"/>
          <w:szCs w:val="24"/>
        </w:rPr>
        <w:t>введение дополнительных налоговых преференций по имущественным налогам для плательщиков, осуществляющих производство в сфере импортозамещения;</w:t>
      </w:r>
    </w:p>
    <w:p w14:paraId="0C3A11A8" w14:textId="77777777" w:rsidR="00853A6D" w:rsidRPr="00054621" w:rsidRDefault="00853A6D" w:rsidP="00853A6D">
      <w:pPr>
        <w:pStyle w:val="aa"/>
        <w:numPr>
          <w:ilvl w:val="0"/>
          <w:numId w:val="34"/>
        </w:numPr>
        <w:tabs>
          <w:tab w:val="left" w:pos="709"/>
        </w:tabs>
        <w:spacing w:after="0" w:line="360" w:lineRule="auto"/>
        <w:ind w:left="0" w:firstLine="0"/>
        <w:contextualSpacing w:val="0"/>
        <w:jc w:val="both"/>
        <w:rPr>
          <w:rFonts w:ascii="Times New Roman" w:hAnsi="Times New Roman"/>
          <w:sz w:val="24"/>
          <w:szCs w:val="24"/>
        </w:rPr>
      </w:pPr>
      <w:r w:rsidRPr="00054621">
        <w:rPr>
          <w:rFonts w:ascii="Times New Roman" w:hAnsi="Times New Roman"/>
          <w:sz w:val="24"/>
          <w:szCs w:val="24"/>
        </w:rPr>
        <w:lastRenderedPageBreak/>
        <w:t>совершенствование института налогового мониторинга в</w:t>
      </w:r>
      <w:r>
        <w:rPr>
          <w:rFonts w:ascii="Times New Roman" w:hAnsi="Times New Roman"/>
          <w:sz w:val="24"/>
          <w:szCs w:val="24"/>
        </w:rPr>
        <w:t xml:space="preserve"> </w:t>
      </w:r>
      <w:r w:rsidRPr="00054621">
        <w:rPr>
          <w:rFonts w:ascii="Times New Roman" w:hAnsi="Times New Roman"/>
          <w:sz w:val="24"/>
          <w:szCs w:val="24"/>
        </w:rPr>
        <w:t>част</w:t>
      </w:r>
      <w:r>
        <w:rPr>
          <w:rFonts w:ascii="Times New Roman" w:hAnsi="Times New Roman"/>
          <w:sz w:val="24"/>
          <w:szCs w:val="24"/>
        </w:rPr>
        <w:t>и</w:t>
      </w:r>
      <w:r w:rsidRPr="00054621">
        <w:rPr>
          <w:rFonts w:ascii="Times New Roman" w:hAnsi="Times New Roman"/>
          <w:sz w:val="24"/>
          <w:szCs w:val="24"/>
        </w:rPr>
        <w:t xml:space="preserve"> снижения пороговых значений, расширяющих потенциальный круга его участников и </w:t>
      </w:r>
      <w:r>
        <w:rPr>
          <w:rFonts w:ascii="Times New Roman" w:hAnsi="Times New Roman"/>
          <w:sz w:val="24"/>
          <w:szCs w:val="24"/>
        </w:rPr>
        <w:t>др.</w:t>
      </w:r>
    </w:p>
    <w:p w14:paraId="186FADD3" w14:textId="77777777" w:rsidR="006C1C7A" w:rsidRPr="00054621" w:rsidRDefault="006C1C7A" w:rsidP="006C1C7A">
      <w:pPr>
        <w:pStyle w:val="aa"/>
        <w:numPr>
          <w:ilvl w:val="0"/>
          <w:numId w:val="35"/>
        </w:numPr>
        <w:tabs>
          <w:tab w:val="left" w:pos="709"/>
        </w:tabs>
        <w:spacing w:after="0" w:line="360" w:lineRule="auto"/>
        <w:ind w:left="0" w:firstLine="0"/>
        <w:contextualSpacing w:val="0"/>
        <w:jc w:val="both"/>
        <w:rPr>
          <w:rFonts w:ascii="Times New Roman" w:hAnsi="Times New Roman"/>
          <w:sz w:val="24"/>
          <w:szCs w:val="24"/>
        </w:rPr>
      </w:pPr>
      <w:r w:rsidRPr="00054621">
        <w:rPr>
          <w:rFonts w:ascii="Times New Roman" w:hAnsi="Times New Roman"/>
          <w:sz w:val="24"/>
          <w:szCs w:val="24"/>
        </w:rPr>
        <w:t xml:space="preserve">Совершенствование администрирования инвестиционных налоговых льгот в отношении </w:t>
      </w:r>
      <w:proofErr w:type="spellStart"/>
      <w:r w:rsidRPr="00054621">
        <w:rPr>
          <w:rFonts w:ascii="Times New Roman" w:hAnsi="Times New Roman"/>
          <w:sz w:val="24"/>
          <w:szCs w:val="24"/>
        </w:rPr>
        <w:t>донастройки</w:t>
      </w:r>
      <w:proofErr w:type="spellEnd"/>
      <w:r w:rsidRPr="00054621">
        <w:rPr>
          <w:rFonts w:ascii="Times New Roman" w:hAnsi="Times New Roman"/>
          <w:sz w:val="24"/>
          <w:szCs w:val="24"/>
        </w:rPr>
        <w:t xml:space="preserve"> функционирования ТОСЭР в ДФО, моногородах и ЗАТО (выявление фискальных параметров «</w:t>
      </w:r>
      <w:proofErr w:type="spellStart"/>
      <w:r w:rsidRPr="00054621">
        <w:rPr>
          <w:rFonts w:ascii="Times New Roman" w:hAnsi="Times New Roman"/>
          <w:sz w:val="24"/>
          <w:szCs w:val="24"/>
        </w:rPr>
        <w:t>сверхдоходность</w:t>
      </w:r>
      <w:proofErr w:type="spellEnd"/>
      <w:r w:rsidRPr="00054621">
        <w:rPr>
          <w:rFonts w:ascii="Times New Roman" w:hAnsi="Times New Roman"/>
          <w:sz w:val="24"/>
          <w:szCs w:val="24"/>
        </w:rPr>
        <w:t xml:space="preserve"> / контролируемые плановые и фактические финансовые показатели), ОЭЗ, СПИК, </w:t>
      </w:r>
      <w:r>
        <w:rPr>
          <w:rFonts w:ascii="Times New Roman" w:hAnsi="Times New Roman"/>
          <w:sz w:val="24"/>
          <w:szCs w:val="24"/>
        </w:rPr>
        <w:t xml:space="preserve">сохранение </w:t>
      </w:r>
      <w:r w:rsidRPr="00054621">
        <w:rPr>
          <w:rFonts w:ascii="Times New Roman" w:hAnsi="Times New Roman"/>
          <w:sz w:val="24"/>
          <w:szCs w:val="24"/>
        </w:rPr>
        <w:t>инвестиционн</w:t>
      </w:r>
      <w:r>
        <w:rPr>
          <w:rFonts w:ascii="Times New Roman" w:hAnsi="Times New Roman"/>
          <w:sz w:val="24"/>
          <w:szCs w:val="24"/>
        </w:rPr>
        <w:t>ого</w:t>
      </w:r>
      <w:r w:rsidRPr="00054621">
        <w:rPr>
          <w:rFonts w:ascii="Times New Roman" w:hAnsi="Times New Roman"/>
          <w:sz w:val="24"/>
          <w:szCs w:val="24"/>
        </w:rPr>
        <w:t xml:space="preserve"> налогов</w:t>
      </w:r>
      <w:r>
        <w:rPr>
          <w:rFonts w:ascii="Times New Roman" w:hAnsi="Times New Roman"/>
          <w:sz w:val="24"/>
          <w:szCs w:val="24"/>
        </w:rPr>
        <w:t>ого</w:t>
      </w:r>
      <w:r w:rsidRPr="00054621">
        <w:rPr>
          <w:rFonts w:ascii="Times New Roman" w:hAnsi="Times New Roman"/>
          <w:sz w:val="24"/>
          <w:szCs w:val="24"/>
        </w:rPr>
        <w:t xml:space="preserve"> вычет</w:t>
      </w:r>
      <w:r>
        <w:rPr>
          <w:rFonts w:ascii="Times New Roman" w:hAnsi="Times New Roman"/>
          <w:sz w:val="24"/>
          <w:szCs w:val="24"/>
        </w:rPr>
        <w:t xml:space="preserve">а </w:t>
      </w:r>
      <w:r w:rsidRPr="00054621">
        <w:rPr>
          <w:rFonts w:ascii="Times New Roman" w:hAnsi="Times New Roman"/>
          <w:sz w:val="24"/>
          <w:szCs w:val="24"/>
        </w:rPr>
        <w:t>по налогу на прибыль (дополнительные обязательства по инвестициям, в частности расходы НИОКР).</w:t>
      </w:r>
    </w:p>
    <w:p w14:paraId="1D1AAE3F" w14:textId="77777777" w:rsidR="00180E45" w:rsidRDefault="00180E45" w:rsidP="006C1C7A">
      <w:pPr>
        <w:pStyle w:val="aa"/>
        <w:spacing w:after="120"/>
        <w:ind w:left="0"/>
        <w:contextualSpacing w:val="0"/>
        <w:rPr>
          <w:sz w:val="24"/>
          <w:szCs w:val="24"/>
        </w:rPr>
      </w:pPr>
    </w:p>
    <w:p w14:paraId="44A6C663" w14:textId="31A5A619" w:rsidR="008055FA" w:rsidRPr="002B4D4D" w:rsidRDefault="008055FA" w:rsidP="004775E0">
      <w:pPr>
        <w:pStyle w:val="aa"/>
        <w:numPr>
          <w:ilvl w:val="0"/>
          <w:numId w:val="38"/>
        </w:numPr>
        <w:spacing w:line="360" w:lineRule="auto"/>
        <w:ind w:left="924" w:hanging="357"/>
        <w:jc w:val="both"/>
        <w:rPr>
          <w:rFonts w:ascii="Times New Roman" w:hAnsi="Times New Roman"/>
          <w:b/>
          <w:i/>
          <w:iCs/>
          <w:color w:val="000000"/>
          <w:sz w:val="24"/>
          <w:szCs w:val="24"/>
          <w:shd w:val="clear" w:color="auto" w:fill="FFFFFF"/>
        </w:rPr>
      </w:pPr>
      <w:r w:rsidRPr="002B4D4D">
        <w:rPr>
          <w:rFonts w:ascii="Times New Roman" w:hAnsi="Times New Roman"/>
          <w:b/>
          <w:i/>
          <w:iCs/>
          <w:color w:val="000000"/>
          <w:sz w:val="24"/>
          <w:szCs w:val="24"/>
          <w:shd w:val="clear" w:color="auto" w:fill="FFFFFF"/>
        </w:rPr>
        <w:t>Оценка расходов федерального бюджета на поддержку бизнеса</w:t>
      </w:r>
      <w:r w:rsidR="006557E2" w:rsidRPr="002B4D4D">
        <w:rPr>
          <w:rFonts w:ascii="Times New Roman" w:hAnsi="Times New Roman"/>
          <w:b/>
          <w:i/>
          <w:iCs/>
          <w:color w:val="000000"/>
          <w:sz w:val="24"/>
          <w:szCs w:val="24"/>
          <w:shd w:val="clear" w:color="auto" w:fill="FFFFFF"/>
        </w:rPr>
        <w:t xml:space="preserve">, </w:t>
      </w:r>
      <w:r w:rsidRPr="002B4D4D">
        <w:rPr>
          <w:rFonts w:ascii="Times New Roman" w:hAnsi="Times New Roman"/>
          <w:b/>
          <w:i/>
          <w:iCs/>
          <w:color w:val="000000"/>
          <w:sz w:val="24"/>
          <w:szCs w:val="24"/>
          <w:shd w:val="clear" w:color="auto" w:fill="FFFFFF"/>
        </w:rPr>
        <w:t>развитие экономики</w:t>
      </w:r>
      <w:r w:rsidR="006557E2" w:rsidRPr="002B4D4D">
        <w:rPr>
          <w:rFonts w:ascii="Times New Roman" w:hAnsi="Times New Roman"/>
          <w:b/>
          <w:i/>
          <w:iCs/>
          <w:color w:val="000000"/>
          <w:sz w:val="24"/>
          <w:szCs w:val="24"/>
          <w:shd w:val="clear" w:color="auto" w:fill="FFFFFF"/>
        </w:rPr>
        <w:t xml:space="preserve"> и на сохранение и развитие человеческого капитала</w:t>
      </w:r>
      <w:r w:rsidR="00F042DA">
        <w:rPr>
          <w:rFonts w:ascii="Times New Roman" w:hAnsi="Times New Roman"/>
          <w:b/>
          <w:i/>
          <w:iCs/>
          <w:color w:val="000000"/>
          <w:sz w:val="24"/>
          <w:szCs w:val="24"/>
          <w:shd w:val="clear" w:color="auto" w:fill="FFFFFF"/>
        </w:rPr>
        <w:t xml:space="preserve"> </w:t>
      </w:r>
      <w:r w:rsidR="00F042DA" w:rsidRPr="002B4D4D">
        <w:rPr>
          <w:rFonts w:ascii="Times New Roman" w:hAnsi="Times New Roman"/>
          <w:b/>
          <w:i/>
          <w:iCs/>
          <w:sz w:val="24"/>
          <w:szCs w:val="32"/>
        </w:rPr>
        <w:t>на 2023 год и на плановый период 2024 и 2025 годов</w:t>
      </w:r>
    </w:p>
    <w:p w14:paraId="2C0BEDBC" w14:textId="77777777" w:rsidR="009A28A8" w:rsidRDefault="009A28A8" w:rsidP="009A28A8">
      <w:pPr>
        <w:spacing w:line="360" w:lineRule="auto"/>
        <w:ind w:firstLine="709"/>
        <w:jc w:val="both"/>
        <w:rPr>
          <w:sz w:val="24"/>
          <w:szCs w:val="24"/>
          <w:shd w:val="clear" w:color="auto" w:fill="FFFFFF"/>
        </w:rPr>
      </w:pPr>
      <w:r w:rsidRPr="00B86B87">
        <w:rPr>
          <w:color w:val="000000"/>
          <w:sz w:val="24"/>
          <w:szCs w:val="24"/>
          <w:shd w:val="clear" w:color="auto" w:fill="FFFFFF"/>
        </w:rPr>
        <w:t xml:space="preserve">С целью оценки воздействия федерального бюджета на социальную сферу и </w:t>
      </w:r>
      <w:r w:rsidRPr="00B86B87">
        <w:rPr>
          <w:sz w:val="24"/>
          <w:szCs w:val="24"/>
          <w:shd w:val="clear" w:color="auto" w:fill="FFFFFF"/>
        </w:rPr>
        <w:t xml:space="preserve">экономику России проанализируем его расходы на </w:t>
      </w:r>
      <w:r>
        <w:rPr>
          <w:sz w:val="24"/>
          <w:szCs w:val="24"/>
          <w:shd w:val="clear" w:color="auto" w:fill="FFFFFF"/>
        </w:rPr>
        <w:t xml:space="preserve">финансирование </w:t>
      </w:r>
      <w:r w:rsidRPr="00B86B87">
        <w:rPr>
          <w:sz w:val="24"/>
          <w:szCs w:val="24"/>
          <w:shd w:val="clear" w:color="auto" w:fill="FFFFFF"/>
        </w:rPr>
        <w:t>отраслей экономики, а также расходы на сохранение и развитие человеческого капитала</w:t>
      </w:r>
      <w:r>
        <w:rPr>
          <w:sz w:val="24"/>
          <w:szCs w:val="24"/>
          <w:shd w:val="clear" w:color="auto" w:fill="FFFFFF"/>
        </w:rPr>
        <w:t xml:space="preserve"> (расходы на социальную сферу)</w:t>
      </w:r>
      <w:r w:rsidRPr="00B86B87">
        <w:rPr>
          <w:sz w:val="24"/>
          <w:szCs w:val="24"/>
          <w:shd w:val="clear" w:color="auto" w:fill="FFFFFF"/>
        </w:rPr>
        <w:t>.</w:t>
      </w:r>
      <w:r>
        <w:rPr>
          <w:sz w:val="24"/>
          <w:szCs w:val="24"/>
          <w:shd w:val="clear" w:color="auto" w:fill="FFFFFF"/>
        </w:rPr>
        <w:t xml:space="preserve"> Оценка была проведена по открытой части расходов федерального бюджета (без учета секретных статей расходов) с группировкой отдельных разделов следующим образом: в группу расходов по финансированию развития человеческого капитала были отнесены расходы федерального бюджета по разделам «Образование», «Здравоохранение», «Культура, кинематография», «Социальная политика» и «Физическая культура и спорт»; расходы, связанные с финансированием экономики, оценивались только по разделу «Национальная экономика» </w:t>
      </w:r>
      <w:r w:rsidRPr="00B86B87">
        <w:rPr>
          <w:sz w:val="24"/>
          <w:szCs w:val="24"/>
          <w:shd w:val="clear" w:color="auto" w:fill="FFFFFF"/>
        </w:rPr>
        <w:t>(таблица 3)</w:t>
      </w:r>
      <w:r>
        <w:rPr>
          <w:sz w:val="24"/>
          <w:szCs w:val="24"/>
          <w:shd w:val="clear" w:color="auto" w:fill="FFFFFF"/>
        </w:rPr>
        <w:t xml:space="preserve">. </w:t>
      </w:r>
    </w:p>
    <w:p w14:paraId="60AC0163" w14:textId="49938129" w:rsidR="009A28A8" w:rsidRPr="00B86B87" w:rsidRDefault="009A28A8" w:rsidP="009A28A8">
      <w:pPr>
        <w:spacing w:line="360" w:lineRule="auto"/>
        <w:ind w:firstLine="709"/>
        <w:jc w:val="both"/>
        <w:rPr>
          <w:sz w:val="24"/>
          <w:szCs w:val="24"/>
          <w:shd w:val="clear" w:color="auto" w:fill="FFFFFF"/>
        </w:rPr>
      </w:pPr>
      <w:r w:rsidRPr="004560D2">
        <w:rPr>
          <w:sz w:val="24"/>
          <w:szCs w:val="24"/>
          <w:shd w:val="clear" w:color="auto" w:fill="FFFFFF"/>
        </w:rPr>
        <w:t xml:space="preserve">Оценка общего объема расходов, </w:t>
      </w:r>
      <w:r w:rsidRPr="00573B55">
        <w:rPr>
          <w:color w:val="000000"/>
          <w:sz w:val="24"/>
          <w:szCs w:val="24"/>
        </w:rPr>
        <w:t>связанны</w:t>
      </w:r>
      <w:r w:rsidRPr="004560D2">
        <w:rPr>
          <w:color w:val="000000"/>
          <w:sz w:val="24"/>
          <w:szCs w:val="24"/>
        </w:rPr>
        <w:t>х</w:t>
      </w:r>
      <w:r w:rsidRPr="00573B55">
        <w:rPr>
          <w:color w:val="000000"/>
          <w:sz w:val="24"/>
          <w:szCs w:val="24"/>
        </w:rPr>
        <w:t xml:space="preserve"> с </w:t>
      </w:r>
      <w:r>
        <w:rPr>
          <w:color w:val="000000"/>
          <w:sz w:val="24"/>
          <w:szCs w:val="24"/>
        </w:rPr>
        <w:t xml:space="preserve">финансированием </w:t>
      </w:r>
      <w:r w:rsidRPr="00573B55">
        <w:rPr>
          <w:color w:val="000000"/>
          <w:sz w:val="24"/>
          <w:szCs w:val="24"/>
        </w:rPr>
        <w:t>экономики и социальной сферы</w:t>
      </w:r>
      <w:r>
        <w:rPr>
          <w:sz w:val="24"/>
          <w:szCs w:val="24"/>
          <w:shd w:val="clear" w:color="auto" w:fill="FFFFFF"/>
        </w:rPr>
        <w:t>, до 2025 года имеет положительную динамику роста, хотя в реальном выражении с учетом прогнозируемого ежегодно индекса потребительских цен они увеличатся только в 2023 году (на 6,7%). По итогам трехлетнего бюджетного цикла в реальном выражении (с учетом накопленной динамики индекса потребительских цен) указанные расходы сократятся на 1,3 процента. Вместе с тем, доля расходов</w:t>
      </w:r>
      <w:r w:rsidRPr="00301BB6">
        <w:rPr>
          <w:sz w:val="24"/>
          <w:szCs w:val="24"/>
          <w:shd w:val="clear" w:color="auto" w:fill="FFFFFF"/>
        </w:rPr>
        <w:t>, связанны</w:t>
      </w:r>
      <w:r>
        <w:rPr>
          <w:sz w:val="24"/>
          <w:szCs w:val="24"/>
          <w:shd w:val="clear" w:color="auto" w:fill="FFFFFF"/>
        </w:rPr>
        <w:t>х</w:t>
      </w:r>
      <w:r w:rsidRPr="00301BB6">
        <w:rPr>
          <w:sz w:val="24"/>
          <w:szCs w:val="24"/>
          <w:shd w:val="clear" w:color="auto" w:fill="FFFFFF"/>
        </w:rPr>
        <w:t xml:space="preserve"> с развитием экономики и социальной сферы</w:t>
      </w:r>
      <w:r>
        <w:rPr>
          <w:sz w:val="24"/>
          <w:szCs w:val="24"/>
          <w:shd w:val="clear" w:color="auto" w:fill="FFFFFF"/>
        </w:rPr>
        <w:t xml:space="preserve">, в общих расходах федерального бюджета увеличится в 2023 году на 5 </w:t>
      </w:r>
      <w:proofErr w:type="spellStart"/>
      <w:r>
        <w:rPr>
          <w:sz w:val="24"/>
          <w:szCs w:val="24"/>
          <w:shd w:val="clear" w:color="auto" w:fill="FFFFFF"/>
        </w:rPr>
        <w:t>п.п</w:t>
      </w:r>
      <w:proofErr w:type="spellEnd"/>
      <w:r>
        <w:rPr>
          <w:sz w:val="24"/>
          <w:szCs w:val="24"/>
          <w:shd w:val="clear" w:color="auto" w:fill="FFFFFF"/>
        </w:rPr>
        <w:t>. в сравнении с ее значением в 2022 году – до 77,3%, с небольшим снижением ее до 76,8% в 2025 году.</w:t>
      </w:r>
    </w:p>
    <w:p w14:paraId="7A79FA9C" w14:textId="77777777" w:rsidR="00BC3C02" w:rsidRPr="004560D2" w:rsidRDefault="00BC3C02" w:rsidP="00BC3C02">
      <w:pPr>
        <w:autoSpaceDE w:val="0"/>
        <w:autoSpaceDN w:val="0"/>
        <w:adjustRightInd w:val="0"/>
        <w:spacing w:line="360" w:lineRule="auto"/>
        <w:ind w:firstLine="709"/>
        <w:contextualSpacing/>
        <w:jc w:val="both"/>
        <w:rPr>
          <w:sz w:val="24"/>
          <w:szCs w:val="24"/>
          <w:shd w:val="clear" w:color="auto" w:fill="FFFFFF"/>
        </w:rPr>
      </w:pPr>
      <w:r>
        <w:rPr>
          <w:sz w:val="24"/>
          <w:szCs w:val="24"/>
          <w:shd w:val="clear" w:color="auto" w:fill="FFFFFF"/>
        </w:rPr>
        <w:t xml:space="preserve">Таким образом, более 2/3 расходов федерального бюджета (преимущественно за счет межбюджетных трансфертов Пенсионному фонду России и другим государственным внебюджетным фондам) используются на финансирование </w:t>
      </w:r>
      <w:r w:rsidRPr="00312821">
        <w:rPr>
          <w:sz w:val="24"/>
          <w:szCs w:val="24"/>
          <w:shd w:val="clear" w:color="auto" w:fill="FFFFFF"/>
        </w:rPr>
        <w:t>экономики и социальной сферы</w:t>
      </w:r>
      <w:r>
        <w:rPr>
          <w:sz w:val="24"/>
          <w:szCs w:val="24"/>
          <w:shd w:val="clear" w:color="auto" w:fill="FFFFFF"/>
        </w:rPr>
        <w:t xml:space="preserve">, что следует оценить безусловно положительно. </w:t>
      </w:r>
    </w:p>
    <w:p w14:paraId="37CEBCBE" w14:textId="77777777" w:rsidR="00BC3C02" w:rsidRDefault="00BC3C02" w:rsidP="009A28A8">
      <w:pPr>
        <w:jc w:val="both"/>
        <w:rPr>
          <w:i/>
          <w:iCs/>
          <w:sz w:val="24"/>
          <w:szCs w:val="24"/>
        </w:rPr>
      </w:pPr>
    </w:p>
    <w:p w14:paraId="41BE26BB" w14:textId="0F9A918E" w:rsidR="009A28A8" w:rsidRDefault="009A28A8" w:rsidP="009A28A8">
      <w:pPr>
        <w:jc w:val="both"/>
        <w:rPr>
          <w:i/>
          <w:iCs/>
          <w:sz w:val="24"/>
          <w:szCs w:val="24"/>
        </w:rPr>
      </w:pPr>
      <w:r w:rsidRPr="00B86B87">
        <w:rPr>
          <w:i/>
          <w:iCs/>
          <w:sz w:val="24"/>
          <w:szCs w:val="24"/>
        </w:rPr>
        <w:lastRenderedPageBreak/>
        <w:t>Таблица 3 – Расходы федерального бюджета на сохранение и развитие человеческого капитала</w:t>
      </w:r>
      <w:r>
        <w:rPr>
          <w:i/>
          <w:iCs/>
          <w:sz w:val="24"/>
          <w:szCs w:val="24"/>
        </w:rPr>
        <w:t xml:space="preserve"> и </w:t>
      </w:r>
      <w:r w:rsidRPr="004560D2">
        <w:rPr>
          <w:i/>
          <w:iCs/>
          <w:sz w:val="24"/>
          <w:szCs w:val="24"/>
          <w:shd w:val="clear" w:color="auto" w:fill="FFFFFF"/>
        </w:rPr>
        <w:t>финансирование</w:t>
      </w:r>
      <w:r w:rsidRPr="004560D2">
        <w:rPr>
          <w:i/>
          <w:iCs/>
          <w:sz w:val="24"/>
          <w:szCs w:val="24"/>
        </w:rPr>
        <w:t xml:space="preserve"> экономики</w:t>
      </w:r>
      <w:r w:rsidRPr="00B86B87">
        <w:rPr>
          <w:i/>
          <w:iCs/>
          <w:sz w:val="24"/>
          <w:szCs w:val="24"/>
        </w:rPr>
        <w:t>, млн рублей</w:t>
      </w:r>
    </w:p>
    <w:p w14:paraId="4641A992" w14:textId="77777777" w:rsidR="009A28A8" w:rsidRPr="00B86B87" w:rsidRDefault="009A28A8" w:rsidP="009A28A8">
      <w:pPr>
        <w:jc w:val="both"/>
        <w:rPr>
          <w:i/>
          <w:iCs/>
          <w:sz w:val="24"/>
          <w:szCs w:val="24"/>
        </w:rPr>
      </w:pPr>
    </w:p>
    <w:tbl>
      <w:tblPr>
        <w:tblW w:w="9480" w:type="dxa"/>
        <w:tblLook w:val="04A0" w:firstRow="1" w:lastRow="0" w:firstColumn="1" w:lastColumn="0" w:noHBand="0" w:noVBand="1"/>
      </w:tblPr>
      <w:tblGrid>
        <w:gridCol w:w="3638"/>
        <w:gridCol w:w="1597"/>
        <w:gridCol w:w="1413"/>
        <w:gridCol w:w="1416"/>
        <w:gridCol w:w="1416"/>
      </w:tblGrid>
      <w:tr w:rsidR="009A28A8" w:rsidRPr="00573B55" w14:paraId="2ADB5DCE" w14:textId="77777777" w:rsidTr="001733C9">
        <w:trPr>
          <w:trHeight w:val="540"/>
        </w:trPr>
        <w:tc>
          <w:tcPr>
            <w:tcW w:w="36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E09FC3" w14:textId="77777777" w:rsidR="009A28A8" w:rsidRPr="00573B55" w:rsidRDefault="009A28A8" w:rsidP="001733C9">
            <w:pPr>
              <w:rPr>
                <w:color w:val="000000"/>
                <w:sz w:val="20"/>
              </w:rPr>
            </w:pPr>
            <w:r w:rsidRPr="00573B55">
              <w:rPr>
                <w:color w:val="000000"/>
                <w:sz w:val="20"/>
              </w:rPr>
              <w:t xml:space="preserve">Направления расходов, связанные с </w:t>
            </w:r>
            <w:r w:rsidRPr="004560D2">
              <w:rPr>
                <w:sz w:val="22"/>
                <w:szCs w:val="22"/>
                <w:shd w:val="clear" w:color="auto" w:fill="FFFFFF"/>
              </w:rPr>
              <w:t>финансированием</w:t>
            </w:r>
            <w:r w:rsidRPr="00573B55">
              <w:rPr>
                <w:color w:val="000000"/>
                <w:sz w:val="20"/>
              </w:rPr>
              <w:t xml:space="preserve"> экономики и социальной сферы</w:t>
            </w:r>
          </w:p>
        </w:tc>
        <w:tc>
          <w:tcPr>
            <w:tcW w:w="1597" w:type="dxa"/>
            <w:tcBorders>
              <w:top w:val="single" w:sz="8" w:space="0" w:color="000000"/>
              <w:left w:val="nil"/>
              <w:bottom w:val="single" w:sz="8" w:space="0" w:color="000000"/>
              <w:right w:val="single" w:sz="8" w:space="0" w:color="000000"/>
            </w:tcBorders>
            <w:shd w:val="clear" w:color="auto" w:fill="auto"/>
            <w:vAlign w:val="center"/>
            <w:hideMark/>
          </w:tcPr>
          <w:p w14:paraId="625DCEC9" w14:textId="77777777" w:rsidR="009A28A8" w:rsidRPr="00573B55" w:rsidRDefault="009A28A8" w:rsidP="001733C9">
            <w:pPr>
              <w:jc w:val="center"/>
              <w:rPr>
                <w:b/>
                <w:bCs/>
                <w:color w:val="000000"/>
                <w:sz w:val="20"/>
              </w:rPr>
            </w:pPr>
            <w:r w:rsidRPr="00573B55">
              <w:rPr>
                <w:b/>
                <w:bCs/>
                <w:color w:val="000000"/>
                <w:sz w:val="20"/>
              </w:rPr>
              <w:t>2022*</w:t>
            </w:r>
          </w:p>
        </w:tc>
        <w:tc>
          <w:tcPr>
            <w:tcW w:w="1413" w:type="dxa"/>
            <w:tcBorders>
              <w:top w:val="single" w:sz="8" w:space="0" w:color="000000"/>
              <w:left w:val="nil"/>
              <w:bottom w:val="single" w:sz="8" w:space="0" w:color="000000"/>
              <w:right w:val="single" w:sz="8" w:space="0" w:color="000000"/>
            </w:tcBorders>
            <w:shd w:val="clear" w:color="auto" w:fill="auto"/>
            <w:vAlign w:val="center"/>
            <w:hideMark/>
          </w:tcPr>
          <w:p w14:paraId="43D2D1C8" w14:textId="77777777" w:rsidR="009A28A8" w:rsidRPr="00573B55" w:rsidRDefault="009A28A8" w:rsidP="001733C9">
            <w:pPr>
              <w:jc w:val="center"/>
              <w:rPr>
                <w:b/>
                <w:bCs/>
                <w:color w:val="000000"/>
                <w:sz w:val="20"/>
              </w:rPr>
            </w:pPr>
            <w:r w:rsidRPr="00573B55">
              <w:rPr>
                <w:b/>
                <w:bCs/>
                <w:color w:val="000000"/>
                <w:sz w:val="20"/>
              </w:rPr>
              <w:t>2023</w:t>
            </w:r>
            <w:r w:rsidRPr="00573B55">
              <w:rPr>
                <w:color w:val="000000"/>
                <w:sz w:val="20"/>
              </w:rPr>
              <w:t>**</w:t>
            </w:r>
          </w:p>
        </w:tc>
        <w:tc>
          <w:tcPr>
            <w:tcW w:w="1416" w:type="dxa"/>
            <w:tcBorders>
              <w:top w:val="single" w:sz="8" w:space="0" w:color="000000"/>
              <w:left w:val="nil"/>
              <w:bottom w:val="single" w:sz="8" w:space="0" w:color="000000"/>
              <w:right w:val="single" w:sz="8" w:space="0" w:color="000000"/>
            </w:tcBorders>
            <w:shd w:val="clear" w:color="auto" w:fill="auto"/>
            <w:vAlign w:val="center"/>
            <w:hideMark/>
          </w:tcPr>
          <w:p w14:paraId="09C6BA8E" w14:textId="77777777" w:rsidR="009A28A8" w:rsidRPr="00573B55" w:rsidRDefault="009A28A8" w:rsidP="001733C9">
            <w:pPr>
              <w:jc w:val="center"/>
              <w:rPr>
                <w:b/>
                <w:bCs/>
                <w:color w:val="000000"/>
                <w:sz w:val="20"/>
              </w:rPr>
            </w:pPr>
            <w:r w:rsidRPr="00573B55">
              <w:rPr>
                <w:b/>
                <w:bCs/>
                <w:color w:val="000000"/>
                <w:sz w:val="20"/>
              </w:rPr>
              <w:t>2024*</w:t>
            </w:r>
            <w:r w:rsidRPr="00573B55">
              <w:rPr>
                <w:color w:val="000000"/>
                <w:sz w:val="20"/>
              </w:rPr>
              <w:t>*</w:t>
            </w:r>
          </w:p>
        </w:tc>
        <w:tc>
          <w:tcPr>
            <w:tcW w:w="1416" w:type="dxa"/>
            <w:tcBorders>
              <w:top w:val="single" w:sz="8" w:space="0" w:color="000000"/>
              <w:left w:val="nil"/>
              <w:bottom w:val="single" w:sz="8" w:space="0" w:color="000000"/>
              <w:right w:val="single" w:sz="8" w:space="0" w:color="000000"/>
            </w:tcBorders>
            <w:shd w:val="clear" w:color="auto" w:fill="auto"/>
            <w:vAlign w:val="center"/>
            <w:hideMark/>
          </w:tcPr>
          <w:p w14:paraId="27EF8559" w14:textId="77777777" w:rsidR="009A28A8" w:rsidRPr="00573B55" w:rsidRDefault="009A28A8" w:rsidP="001733C9">
            <w:pPr>
              <w:jc w:val="center"/>
              <w:rPr>
                <w:b/>
                <w:bCs/>
                <w:color w:val="000000"/>
                <w:sz w:val="20"/>
              </w:rPr>
            </w:pPr>
            <w:r w:rsidRPr="00573B55">
              <w:rPr>
                <w:b/>
                <w:bCs/>
                <w:color w:val="000000"/>
                <w:sz w:val="20"/>
              </w:rPr>
              <w:t>2025*</w:t>
            </w:r>
            <w:r w:rsidRPr="00573B55">
              <w:rPr>
                <w:color w:val="000000"/>
                <w:sz w:val="20"/>
              </w:rPr>
              <w:t>*</w:t>
            </w:r>
          </w:p>
        </w:tc>
      </w:tr>
      <w:tr w:rsidR="009A28A8" w:rsidRPr="00573B55" w14:paraId="71D01CA3"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3CAA83B3" w14:textId="77777777" w:rsidR="009A28A8" w:rsidRPr="00573B55" w:rsidRDefault="009A28A8" w:rsidP="001733C9">
            <w:pPr>
              <w:rPr>
                <w:color w:val="000000"/>
                <w:sz w:val="20"/>
              </w:rPr>
            </w:pPr>
            <w:r w:rsidRPr="00573B55">
              <w:rPr>
                <w:color w:val="000000"/>
                <w:sz w:val="20"/>
              </w:rPr>
              <w:t>ВСЕГО</w:t>
            </w:r>
          </w:p>
        </w:tc>
        <w:tc>
          <w:tcPr>
            <w:tcW w:w="1597" w:type="dxa"/>
            <w:tcBorders>
              <w:top w:val="nil"/>
              <w:left w:val="nil"/>
              <w:bottom w:val="single" w:sz="8" w:space="0" w:color="000000"/>
              <w:right w:val="single" w:sz="8" w:space="0" w:color="000000"/>
            </w:tcBorders>
            <w:shd w:val="clear" w:color="auto" w:fill="F2F2F2" w:themeFill="background1" w:themeFillShade="F2"/>
            <w:vAlign w:val="center"/>
            <w:hideMark/>
          </w:tcPr>
          <w:p w14:paraId="748B3806" w14:textId="77777777" w:rsidR="009A28A8" w:rsidRPr="00573B55" w:rsidRDefault="009A28A8" w:rsidP="001733C9">
            <w:pPr>
              <w:jc w:val="center"/>
              <w:rPr>
                <w:color w:val="000000"/>
                <w:sz w:val="20"/>
              </w:rPr>
            </w:pPr>
            <w:r w:rsidRPr="00573B55">
              <w:rPr>
                <w:color w:val="000000"/>
                <w:sz w:val="20"/>
              </w:rPr>
              <w:t>19 953 456,9</w:t>
            </w:r>
          </w:p>
        </w:tc>
        <w:tc>
          <w:tcPr>
            <w:tcW w:w="1413" w:type="dxa"/>
            <w:tcBorders>
              <w:top w:val="nil"/>
              <w:left w:val="nil"/>
              <w:bottom w:val="single" w:sz="8" w:space="0" w:color="000000"/>
              <w:right w:val="single" w:sz="8" w:space="0" w:color="000000"/>
            </w:tcBorders>
            <w:shd w:val="clear" w:color="auto" w:fill="F2F2F2" w:themeFill="background1" w:themeFillShade="F2"/>
            <w:vAlign w:val="center"/>
            <w:hideMark/>
          </w:tcPr>
          <w:p w14:paraId="1BF141C2" w14:textId="77777777" w:rsidR="009A28A8" w:rsidRPr="00573B55" w:rsidRDefault="009A28A8" w:rsidP="001733C9">
            <w:pPr>
              <w:jc w:val="center"/>
              <w:rPr>
                <w:color w:val="000000"/>
                <w:sz w:val="20"/>
              </w:rPr>
            </w:pPr>
            <w:r w:rsidRPr="00573B55">
              <w:rPr>
                <w:color w:val="000000"/>
                <w:sz w:val="20"/>
              </w:rPr>
              <w:t>22 472 541,9</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11746175" w14:textId="77777777" w:rsidR="009A28A8" w:rsidRPr="00573B55" w:rsidRDefault="009A28A8" w:rsidP="001733C9">
            <w:pPr>
              <w:jc w:val="center"/>
              <w:rPr>
                <w:color w:val="000000"/>
                <w:sz w:val="20"/>
              </w:rPr>
            </w:pPr>
            <w:r w:rsidRPr="00573B55">
              <w:rPr>
                <w:color w:val="000000"/>
                <w:sz w:val="20"/>
              </w:rPr>
              <w:t>22 877 612,0</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38CB7EE6" w14:textId="77777777" w:rsidR="009A28A8" w:rsidRPr="00573B55" w:rsidRDefault="009A28A8" w:rsidP="001733C9">
            <w:pPr>
              <w:jc w:val="center"/>
              <w:rPr>
                <w:color w:val="000000"/>
                <w:sz w:val="20"/>
              </w:rPr>
            </w:pPr>
            <w:r w:rsidRPr="00573B55">
              <w:rPr>
                <w:color w:val="000000"/>
                <w:sz w:val="20"/>
              </w:rPr>
              <w:t>22 456 161,2</w:t>
            </w:r>
          </w:p>
        </w:tc>
      </w:tr>
      <w:tr w:rsidR="009A28A8" w:rsidRPr="00573B55" w14:paraId="274CEBEC"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tcPr>
          <w:p w14:paraId="57E7864F" w14:textId="77777777" w:rsidR="009A28A8" w:rsidRPr="00573B55" w:rsidRDefault="009A28A8" w:rsidP="001733C9">
            <w:pPr>
              <w:rPr>
                <w:i/>
                <w:iCs/>
                <w:color w:val="000000"/>
                <w:kern w:val="2"/>
                <w:sz w:val="20"/>
              </w:rPr>
            </w:pPr>
            <w:r>
              <w:rPr>
                <w:i/>
                <w:iCs/>
                <w:color w:val="000000"/>
                <w:kern w:val="2"/>
                <w:sz w:val="20"/>
              </w:rPr>
              <w:t>темп роста, %</w:t>
            </w:r>
          </w:p>
        </w:tc>
        <w:tc>
          <w:tcPr>
            <w:tcW w:w="1597" w:type="dxa"/>
            <w:tcBorders>
              <w:top w:val="nil"/>
              <w:left w:val="nil"/>
              <w:bottom w:val="single" w:sz="8" w:space="0" w:color="000000"/>
              <w:right w:val="single" w:sz="8" w:space="0" w:color="000000"/>
            </w:tcBorders>
            <w:shd w:val="clear" w:color="auto" w:fill="auto"/>
            <w:vAlign w:val="center"/>
          </w:tcPr>
          <w:p w14:paraId="68187085" w14:textId="77777777" w:rsidR="009A28A8" w:rsidRPr="004560D2" w:rsidRDefault="009A28A8" w:rsidP="001733C9">
            <w:pPr>
              <w:jc w:val="center"/>
              <w:rPr>
                <w:i/>
                <w:iCs/>
                <w:color w:val="000000"/>
                <w:sz w:val="20"/>
              </w:rPr>
            </w:pPr>
            <w:r w:rsidRPr="004560D2">
              <w:rPr>
                <w:i/>
                <w:iCs/>
                <w:color w:val="000000"/>
                <w:sz w:val="20"/>
              </w:rPr>
              <w:t>100%</w:t>
            </w:r>
          </w:p>
        </w:tc>
        <w:tc>
          <w:tcPr>
            <w:tcW w:w="1413" w:type="dxa"/>
            <w:tcBorders>
              <w:top w:val="nil"/>
              <w:left w:val="nil"/>
              <w:bottom w:val="single" w:sz="8" w:space="0" w:color="000000"/>
              <w:right w:val="single" w:sz="8" w:space="0" w:color="000000"/>
            </w:tcBorders>
            <w:shd w:val="clear" w:color="auto" w:fill="auto"/>
            <w:vAlign w:val="center"/>
          </w:tcPr>
          <w:p w14:paraId="0CA186C5" w14:textId="77777777" w:rsidR="009A28A8" w:rsidRPr="004560D2" w:rsidRDefault="009A28A8" w:rsidP="001733C9">
            <w:pPr>
              <w:jc w:val="center"/>
              <w:rPr>
                <w:i/>
                <w:iCs/>
                <w:color w:val="000000"/>
                <w:sz w:val="20"/>
              </w:rPr>
            </w:pPr>
            <w:r>
              <w:rPr>
                <w:i/>
                <w:iCs/>
                <w:color w:val="000000"/>
                <w:sz w:val="20"/>
              </w:rPr>
              <w:t>112,6%</w:t>
            </w:r>
          </w:p>
        </w:tc>
        <w:tc>
          <w:tcPr>
            <w:tcW w:w="1416" w:type="dxa"/>
            <w:tcBorders>
              <w:top w:val="nil"/>
              <w:left w:val="nil"/>
              <w:bottom w:val="single" w:sz="8" w:space="0" w:color="000000"/>
              <w:right w:val="single" w:sz="8" w:space="0" w:color="000000"/>
            </w:tcBorders>
            <w:shd w:val="clear" w:color="auto" w:fill="auto"/>
            <w:vAlign w:val="center"/>
          </w:tcPr>
          <w:p w14:paraId="2BBBEEFC" w14:textId="77777777" w:rsidR="009A28A8" w:rsidRPr="004560D2" w:rsidRDefault="009A28A8" w:rsidP="001733C9">
            <w:pPr>
              <w:jc w:val="center"/>
              <w:rPr>
                <w:i/>
                <w:iCs/>
                <w:color w:val="000000"/>
                <w:sz w:val="20"/>
              </w:rPr>
            </w:pPr>
            <w:r>
              <w:rPr>
                <w:i/>
                <w:iCs/>
                <w:color w:val="000000"/>
                <w:sz w:val="20"/>
              </w:rPr>
              <w:t>101,8%</w:t>
            </w:r>
          </w:p>
        </w:tc>
        <w:tc>
          <w:tcPr>
            <w:tcW w:w="1416" w:type="dxa"/>
            <w:tcBorders>
              <w:top w:val="nil"/>
              <w:left w:val="nil"/>
              <w:bottom w:val="single" w:sz="8" w:space="0" w:color="000000"/>
              <w:right w:val="single" w:sz="8" w:space="0" w:color="000000"/>
            </w:tcBorders>
            <w:shd w:val="clear" w:color="auto" w:fill="auto"/>
            <w:vAlign w:val="center"/>
          </w:tcPr>
          <w:p w14:paraId="63CC14F5" w14:textId="77777777" w:rsidR="009A28A8" w:rsidRPr="004560D2" w:rsidRDefault="009A28A8" w:rsidP="001733C9">
            <w:pPr>
              <w:jc w:val="center"/>
              <w:rPr>
                <w:i/>
                <w:iCs/>
                <w:color w:val="000000"/>
                <w:sz w:val="20"/>
              </w:rPr>
            </w:pPr>
            <w:r>
              <w:rPr>
                <w:i/>
                <w:iCs/>
                <w:color w:val="000000"/>
                <w:sz w:val="20"/>
              </w:rPr>
              <w:t>98,2%</w:t>
            </w:r>
          </w:p>
        </w:tc>
      </w:tr>
      <w:tr w:rsidR="009A28A8" w:rsidRPr="00312821" w14:paraId="387280EA"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tcPr>
          <w:p w14:paraId="4D038C4F" w14:textId="77777777" w:rsidR="009A28A8" w:rsidRPr="00573B55" w:rsidRDefault="009A28A8" w:rsidP="001733C9">
            <w:pPr>
              <w:rPr>
                <w:i/>
                <w:iCs/>
                <w:color w:val="000000"/>
                <w:kern w:val="2"/>
                <w:sz w:val="20"/>
              </w:rPr>
            </w:pPr>
            <w:r w:rsidRPr="00573B55">
              <w:rPr>
                <w:i/>
                <w:iCs/>
                <w:color w:val="000000"/>
                <w:sz w:val="20"/>
              </w:rPr>
              <w:t>доля в общем объеме расходов</w:t>
            </w:r>
            <w:r>
              <w:rPr>
                <w:i/>
                <w:iCs/>
                <w:color w:val="000000"/>
                <w:sz w:val="20"/>
              </w:rPr>
              <w:t xml:space="preserve"> ФБ</w:t>
            </w:r>
            <w:r w:rsidRPr="00573B55">
              <w:rPr>
                <w:i/>
                <w:iCs/>
                <w:color w:val="000000"/>
                <w:sz w:val="20"/>
              </w:rPr>
              <w:t>, %</w:t>
            </w:r>
          </w:p>
        </w:tc>
        <w:tc>
          <w:tcPr>
            <w:tcW w:w="1597" w:type="dxa"/>
            <w:tcBorders>
              <w:top w:val="nil"/>
              <w:left w:val="nil"/>
              <w:bottom w:val="single" w:sz="8" w:space="0" w:color="000000"/>
              <w:right w:val="single" w:sz="8" w:space="0" w:color="000000"/>
            </w:tcBorders>
            <w:shd w:val="clear" w:color="auto" w:fill="auto"/>
            <w:vAlign w:val="center"/>
          </w:tcPr>
          <w:p w14:paraId="1C2A88CB" w14:textId="77777777" w:rsidR="009A28A8" w:rsidRPr="00312821" w:rsidRDefault="009A28A8" w:rsidP="001733C9">
            <w:pPr>
              <w:jc w:val="center"/>
              <w:rPr>
                <w:color w:val="000000"/>
                <w:sz w:val="20"/>
              </w:rPr>
            </w:pPr>
            <w:r w:rsidRPr="00312821">
              <w:rPr>
                <w:color w:val="000000"/>
                <w:sz w:val="20"/>
              </w:rPr>
              <w:t>72,3%</w:t>
            </w:r>
          </w:p>
        </w:tc>
        <w:tc>
          <w:tcPr>
            <w:tcW w:w="1413" w:type="dxa"/>
            <w:tcBorders>
              <w:top w:val="nil"/>
              <w:left w:val="nil"/>
              <w:bottom w:val="single" w:sz="8" w:space="0" w:color="000000"/>
              <w:right w:val="single" w:sz="8" w:space="0" w:color="000000"/>
            </w:tcBorders>
            <w:shd w:val="clear" w:color="auto" w:fill="auto"/>
            <w:vAlign w:val="center"/>
          </w:tcPr>
          <w:p w14:paraId="26CEA246" w14:textId="77777777" w:rsidR="009A28A8" w:rsidRPr="00312821" w:rsidRDefault="009A28A8" w:rsidP="001733C9">
            <w:pPr>
              <w:jc w:val="center"/>
              <w:rPr>
                <w:color w:val="000000"/>
                <w:sz w:val="20"/>
              </w:rPr>
            </w:pPr>
            <w:r w:rsidRPr="00312821">
              <w:rPr>
                <w:color w:val="000000"/>
                <w:sz w:val="20"/>
              </w:rPr>
              <w:t>77,3%</w:t>
            </w:r>
          </w:p>
        </w:tc>
        <w:tc>
          <w:tcPr>
            <w:tcW w:w="1416" w:type="dxa"/>
            <w:tcBorders>
              <w:top w:val="nil"/>
              <w:left w:val="nil"/>
              <w:bottom w:val="single" w:sz="8" w:space="0" w:color="000000"/>
              <w:right w:val="single" w:sz="8" w:space="0" w:color="000000"/>
            </w:tcBorders>
            <w:shd w:val="clear" w:color="auto" w:fill="auto"/>
            <w:vAlign w:val="center"/>
          </w:tcPr>
          <w:p w14:paraId="603418B1" w14:textId="77777777" w:rsidR="009A28A8" w:rsidRPr="00312821" w:rsidRDefault="009A28A8" w:rsidP="001733C9">
            <w:pPr>
              <w:jc w:val="center"/>
              <w:rPr>
                <w:color w:val="000000"/>
                <w:sz w:val="20"/>
              </w:rPr>
            </w:pPr>
            <w:r w:rsidRPr="00312821">
              <w:rPr>
                <w:color w:val="000000"/>
                <w:sz w:val="20"/>
              </w:rPr>
              <w:t>77,7%</w:t>
            </w:r>
          </w:p>
        </w:tc>
        <w:tc>
          <w:tcPr>
            <w:tcW w:w="1416" w:type="dxa"/>
            <w:tcBorders>
              <w:top w:val="nil"/>
              <w:left w:val="nil"/>
              <w:bottom w:val="single" w:sz="8" w:space="0" w:color="000000"/>
              <w:right w:val="single" w:sz="8" w:space="0" w:color="000000"/>
            </w:tcBorders>
            <w:shd w:val="clear" w:color="auto" w:fill="auto"/>
            <w:vAlign w:val="center"/>
          </w:tcPr>
          <w:p w14:paraId="49A42028" w14:textId="77777777" w:rsidR="009A28A8" w:rsidRPr="00312821" w:rsidRDefault="009A28A8" w:rsidP="001733C9">
            <w:pPr>
              <w:jc w:val="center"/>
              <w:rPr>
                <w:color w:val="000000"/>
                <w:sz w:val="20"/>
              </w:rPr>
            </w:pPr>
            <w:r w:rsidRPr="00312821">
              <w:rPr>
                <w:color w:val="000000"/>
                <w:sz w:val="20"/>
              </w:rPr>
              <w:t>76,8%</w:t>
            </w:r>
          </w:p>
        </w:tc>
      </w:tr>
      <w:tr w:rsidR="009A28A8" w:rsidRPr="00573B55" w14:paraId="19F36A61"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1BC85771" w14:textId="77777777" w:rsidR="009A28A8" w:rsidRPr="00573B55" w:rsidRDefault="009A28A8" w:rsidP="001733C9">
            <w:pPr>
              <w:rPr>
                <w:i/>
                <w:iCs/>
                <w:color w:val="000000"/>
                <w:sz w:val="20"/>
              </w:rPr>
            </w:pPr>
            <w:r w:rsidRPr="00573B55">
              <w:rPr>
                <w:i/>
                <w:iCs/>
                <w:color w:val="000000"/>
                <w:kern w:val="2"/>
                <w:sz w:val="20"/>
              </w:rPr>
              <w:t>в том числе:</w:t>
            </w:r>
          </w:p>
        </w:tc>
        <w:tc>
          <w:tcPr>
            <w:tcW w:w="1597" w:type="dxa"/>
            <w:tcBorders>
              <w:top w:val="nil"/>
              <w:left w:val="nil"/>
              <w:bottom w:val="single" w:sz="8" w:space="0" w:color="000000"/>
              <w:right w:val="single" w:sz="8" w:space="0" w:color="000000"/>
            </w:tcBorders>
            <w:shd w:val="clear" w:color="auto" w:fill="auto"/>
            <w:vAlign w:val="center"/>
            <w:hideMark/>
          </w:tcPr>
          <w:p w14:paraId="6FCF59FF" w14:textId="77777777" w:rsidR="009A28A8" w:rsidRPr="00573B55" w:rsidRDefault="009A28A8" w:rsidP="001733C9">
            <w:pPr>
              <w:jc w:val="center"/>
              <w:rPr>
                <w:color w:val="000000"/>
                <w:sz w:val="20"/>
              </w:rPr>
            </w:pPr>
            <w:r w:rsidRPr="00573B55">
              <w:rPr>
                <w:color w:val="000000"/>
                <w:sz w:val="20"/>
              </w:rPr>
              <w:t> </w:t>
            </w:r>
          </w:p>
        </w:tc>
        <w:tc>
          <w:tcPr>
            <w:tcW w:w="1413" w:type="dxa"/>
            <w:tcBorders>
              <w:top w:val="nil"/>
              <w:left w:val="nil"/>
              <w:bottom w:val="single" w:sz="8" w:space="0" w:color="000000"/>
              <w:right w:val="single" w:sz="8" w:space="0" w:color="000000"/>
            </w:tcBorders>
            <w:shd w:val="clear" w:color="auto" w:fill="auto"/>
            <w:vAlign w:val="center"/>
            <w:hideMark/>
          </w:tcPr>
          <w:p w14:paraId="00BC8493" w14:textId="77777777" w:rsidR="009A28A8" w:rsidRPr="00573B55" w:rsidRDefault="009A28A8" w:rsidP="001733C9">
            <w:pPr>
              <w:jc w:val="center"/>
              <w:rPr>
                <w:color w:val="000000"/>
                <w:sz w:val="20"/>
              </w:rPr>
            </w:pPr>
            <w:r w:rsidRPr="00573B55">
              <w:rPr>
                <w:color w:val="000000"/>
                <w:sz w:val="20"/>
              </w:rPr>
              <w:t> </w:t>
            </w:r>
          </w:p>
        </w:tc>
        <w:tc>
          <w:tcPr>
            <w:tcW w:w="1416" w:type="dxa"/>
            <w:tcBorders>
              <w:top w:val="nil"/>
              <w:left w:val="nil"/>
              <w:bottom w:val="single" w:sz="8" w:space="0" w:color="000000"/>
              <w:right w:val="single" w:sz="8" w:space="0" w:color="000000"/>
            </w:tcBorders>
            <w:shd w:val="clear" w:color="auto" w:fill="auto"/>
            <w:vAlign w:val="center"/>
            <w:hideMark/>
          </w:tcPr>
          <w:p w14:paraId="5B36B578" w14:textId="77777777" w:rsidR="009A28A8" w:rsidRPr="00573B55" w:rsidRDefault="009A28A8" w:rsidP="001733C9">
            <w:pPr>
              <w:jc w:val="center"/>
              <w:rPr>
                <w:color w:val="000000"/>
                <w:sz w:val="20"/>
              </w:rPr>
            </w:pPr>
            <w:r w:rsidRPr="00573B55">
              <w:rPr>
                <w:color w:val="000000"/>
                <w:sz w:val="20"/>
              </w:rPr>
              <w:t> </w:t>
            </w:r>
          </w:p>
        </w:tc>
        <w:tc>
          <w:tcPr>
            <w:tcW w:w="1416" w:type="dxa"/>
            <w:tcBorders>
              <w:top w:val="nil"/>
              <w:left w:val="nil"/>
              <w:bottom w:val="single" w:sz="8" w:space="0" w:color="000000"/>
              <w:right w:val="single" w:sz="8" w:space="0" w:color="000000"/>
            </w:tcBorders>
            <w:shd w:val="clear" w:color="auto" w:fill="auto"/>
            <w:vAlign w:val="center"/>
            <w:hideMark/>
          </w:tcPr>
          <w:p w14:paraId="5CDCB407" w14:textId="77777777" w:rsidR="009A28A8" w:rsidRPr="00573B55" w:rsidRDefault="009A28A8" w:rsidP="001733C9">
            <w:pPr>
              <w:jc w:val="center"/>
              <w:rPr>
                <w:color w:val="000000"/>
                <w:sz w:val="20"/>
              </w:rPr>
            </w:pPr>
            <w:r w:rsidRPr="00573B55">
              <w:rPr>
                <w:color w:val="000000"/>
                <w:sz w:val="20"/>
              </w:rPr>
              <w:t> </w:t>
            </w:r>
          </w:p>
        </w:tc>
      </w:tr>
      <w:tr w:rsidR="009A28A8" w:rsidRPr="00573B55" w14:paraId="698B6DD7"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2A44CC0E" w14:textId="77777777" w:rsidR="009A28A8" w:rsidRPr="00573B55" w:rsidRDefault="009A28A8" w:rsidP="001733C9">
            <w:pPr>
              <w:rPr>
                <w:color w:val="000000"/>
                <w:sz w:val="20"/>
              </w:rPr>
            </w:pPr>
            <w:r w:rsidRPr="00573B55">
              <w:rPr>
                <w:color w:val="000000"/>
                <w:kern w:val="2"/>
                <w:sz w:val="20"/>
              </w:rPr>
              <w:t xml:space="preserve">Национальная экономика </w:t>
            </w:r>
          </w:p>
        </w:tc>
        <w:tc>
          <w:tcPr>
            <w:tcW w:w="1597" w:type="dxa"/>
            <w:tcBorders>
              <w:top w:val="nil"/>
              <w:left w:val="nil"/>
              <w:bottom w:val="single" w:sz="8" w:space="0" w:color="000000"/>
              <w:right w:val="single" w:sz="8" w:space="0" w:color="000000"/>
            </w:tcBorders>
            <w:shd w:val="clear" w:color="auto" w:fill="F2F2F2" w:themeFill="background1" w:themeFillShade="F2"/>
            <w:vAlign w:val="center"/>
            <w:hideMark/>
          </w:tcPr>
          <w:p w14:paraId="2C54ED22" w14:textId="77777777" w:rsidR="009A28A8" w:rsidRPr="00573B55" w:rsidRDefault="009A28A8" w:rsidP="001733C9">
            <w:pPr>
              <w:jc w:val="center"/>
              <w:rPr>
                <w:color w:val="000000"/>
                <w:sz w:val="20"/>
              </w:rPr>
            </w:pPr>
            <w:r w:rsidRPr="00573B55">
              <w:rPr>
                <w:color w:val="000000"/>
                <w:sz w:val="20"/>
              </w:rPr>
              <w:t>3 261 278,9</w:t>
            </w:r>
          </w:p>
        </w:tc>
        <w:tc>
          <w:tcPr>
            <w:tcW w:w="1413" w:type="dxa"/>
            <w:tcBorders>
              <w:top w:val="nil"/>
              <w:left w:val="nil"/>
              <w:bottom w:val="single" w:sz="8" w:space="0" w:color="000000"/>
              <w:right w:val="single" w:sz="8" w:space="0" w:color="000000"/>
            </w:tcBorders>
            <w:shd w:val="clear" w:color="auto" w:fill="F2F2F2" w:themeFill="background1" w:themeFillShade="F2"/>
            <w:vAlign w:val="center"/>
            <w:hideMark/>
          </w:tcPr>
          <w:p w14:paraId="511A0618" w14:textId="77777777" w:rsidR="009A28A8" w:rsidRPr="00573B55" w:rsidRDefault="009A28A8" w:rsidP="001733C9">
            <w:pPr>
              <w:jc w:val="center"/>
              <w:rPr>
                <w:color w:val="000000"/>
                <w:sz w:val="20"/>
              </w:rPr>
            </w:pPr>
            <w:r w:rsidRPr="00573B55">
              <w:rPr>
                <w:color w:val="000000"/>
                <w:sz w:val="20"/>
              </w:rPr>
              <w:t>3 415 101,4</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6E68B144" w14:textId="77777777" w:rsidR="009A28A8" w:rsidRPr="00573B55" w:rsidRDefault="009A28A8" w:rsidP="001733C9">
            <w:pPr>
              <w:jc w:val="center"/>
              <w:rPr>
                <w:color w:val="000000"/>
                <w:sz w:val="20"/>
              </w:rPr>
            </w:pPr>
            <w:r w:rsidRPr="00573B55">
              <w:rPr>
                <w:color w:val="000000"/>
                <w:sz w:val="20"/>
              </w:rPr>
              <w:t>3 499 457,2</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416562C8" w14:textId="77777777" w:rsidR="009A28A8" w:rsidRPr="00573B55" w:rsidRDefault="009A28A8" w:rsidP="001733C9">
            <w:pPr>
              <w:jc w:val="center"/>
              <w:rPr>
                <w:color w:val="000000"/>
                <w:sz w:val="20"/>
              </w:rPr>
            </w:pPr>
            <w:r w:rsidRPr="00573B55">
              <w:rPr>
                <w:color w:val="000000"/>
                <w:sz w:val="20"/>
              </w:rPr>
              <w:t>3 520 084,1</w:t>
            </w:r>
          </w:p>
        </w:tc>
      </w:tr>
      <w:tr w:rsidR="009A28A8" w:rsidRPr="00573B55" w14:paraId="7C0B334C"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2501D37C" w14:textId="77777777" w:rsidR="009A28A8" w:rsidRPr="00573B55" w:rsidRDefault="009A28A8" w:rsidP="001733C9">
            <w:pPr>
              <w:rPr>
                <w:i/>
                <w:iCs/>
                <w:color w:val="000000"/>
                <w:sz w:val="20"/>
              </w:rPr>
            </w:pPr>
            <w:r w:rsidRPr="00573B55">
              <w:rPr>
                <w:i/>
                <w:iCs/>
                <w:color w:val="000000"/>
                <w:sz w:val="20"/>
              </w:rPr>
              <w:t>темп роста,</w:t>
            </w:r>
            <w:r>
              <w:rPr>
                <w:i/>
                <w:iCs/>
                <w:color w:val="000000"/>
                <w:sz w:val="20"/>
              </w:rPr>
              <w:t xml:space="preserve"> </w:t>
            </w:r>
            <w:r w:rsidRPr="00573B55">
              <w:rPr>
                <w:i/>
                <w:iCs/>
                <w:color w:val="000000"/>
                <w:sz w:val="20"/>
              </w:rPr>
              <w:t>%</w:t>
            </w:r>
          </w:p>
        </w:tc>
        <w:tc>
          <w:tcPr>
            <w:tcW w:w="1597" w:type="dxa"/>
            <w:tcBorders>
              <w:top w:val="nil"/>
              <w:left w:val="nil"/>
              <w:bottom w:val="single" w:sz="8" w:space="0" w:color="000000"/>
              <w:right w:val="single" w:sz="8" w:space="0" w:color="000000"/>
            </w:tcBorders>
            <w:shd w:val="clear" w:color="auto" w:fill="auto"/>
            <w:vAlign w:val="center"/>
            <w:hideMark/>
          </w:tcPr>
          <w:p w14:paraId="521AF19F" w14:textId="77777777" w:rsidR="009A28A8" w:rsidRPr="00573B55" w:rsidRDefault="009A28A8" w:rsidP="001733C9">
            <w:pPr>
              <w:jc w:val="center"/>
              <w:rPr>
                <w:color w:val="000000"/>
                <w:sz w:val="20"/>
              </w:rPr>
            </w:pPr>
            <w:r w:rsidRPr="00573B55">
              <w:rPr>
                <w:color w:val="000000"/>
                <w:sz w:val="20"/>
              </w:rPr>
              <w:t>100,0%</w:t>
            </w:r>
          </w:p>
        </w:tc>
        <w:tc>
          <w:tcPr>
            <w:tcW w:w="1413" w:type="dxa"/>
            <w:tcBorders>
              <w:top w:val="nil"/>
              <w:left w:val="nil"/>
              <w:bottom w:val="single" w:sz="8" w:space="0" w:color="000000"/>
              <w:right w:val="single" w:sz="8" w:space="0" w:color="000000"/>
            </w:tcBorders>
            <w:shd w:val="clear" w:color="auto" w:fill="auto"/>
            <w:vAlign w:val="center"/>
            <w:hideMark/>
          </w:tcPr>
          <w:p w14:paraId="6EB435BA" w14:textId="77777777" w:rsidR="009A28A8" w:rsidRPr="00573B55" w:rsidRDefault="009A28A8" w:rsidP="001733C9">
            <w:pPr>
              <w:jc w:val="center"/>
              <w:rPr>
                <w:color w:val="000000"/>
                <w:sz w:val="20"/>
              </w:rPr>
            </w:pPr>
            <w:r w:rsidRPr="00573B55">
              <w:rPr>
                <w:color w:val="000000"/>
                <w:sz w:val="20"/>
              </w:rPr>
              <w:t>104,7%</w:t>
            </w:r>
          </w:p>
        </w:tc>
        <w:tc>
          <w:tcPr>
            <w:tcW w:w="1416" w:type="dxa"/>
            <w:tcBorders>
              <w:top w:val="nil"/>
              <w:left w:val="nil"/>
              <w:bottom w:val="single" w:sz="8" w:space="0" w:color="000000"/>
              <w:right w:val="single" w:sz="8" w:space="0" w:color="000000"/>
            </w:tcBorders>
            <w:shd w:val="clear" w:color="auto" w:fill="auto"/>
            <w:vAlign w:val="center"/>
            <w:hideMark/>
          </w:tcPr>
          <w:p w14:paraId="127E2007" w14:textId="77777777" w:rsidR="009A28A8" w:rsidRPr="00573B55" w:rsidRDefault="009A28A8" w:rsidP="001733C9">
            <w:pPr>
              <w:jc w:val="center"/>
              <w:rPr>
                <w:color w:val="000000"/>
                <w:sz w:val="20"/>
              </w:rPr>
            </w:pPr>
            <w:r w:rsidRPr="00573B55">
              <w:rPr>
                <w:color w:val="000000"/>
                <w:sz w:val="20"/>
              </w:rPr>
              <w:t>102,5%</w:t>
            </w:r>
          </w:p>
        </w:tc>
        <w:tc>
          <w:tcPr>
            <w:tcW w:w="1416" w:type="dxa"/>
            <w:tcBorders>
              <w:top w:val="nil"/>
              <w:left w:val="nil"/>
              <w:bottom w:val="single" w:sz="8" w:space="0" w:color="000000"/>
              <w:right w:val="single" w:sz="8" w:space="0" w:color="000000"/>
            </w:tcBorders>
            <w:shd w:val="clear" w:color="auto" w:fill="auto"/>
            <w:vAlign w:val="center"/>
            <w:hideMark/>
          </w:tcPr>
          <w:p w14:paraId="0B9F5EF9" w14:textId="77777777" w:rsidR="009A28A8" w:rsidRPr="00573B55" w:rsidRDefault="009A28A8" w:rsidP="001733C9">
            <w:pPr>
              <w:jc w:val="center"/>
              <w:rPr>
                <w:color w:val="000000"/>
                <w:sz w:val="20"/>
              </w:rPr>
            </w:pPr>
            <w:r w:rsidRPr="00573B55">
              <w:rPr>
                <w:color w:val="000000"/>
                <w:sz w:val="20"/>
              </w:rPr>
              <w:t>100,6%</w:t>
            </w:r>
          </w:p>
        </w:tc>
      </w:tr>
      <w:tr w:rsidR="009A28A8" w:rsidRPr="00573B55" w14:paraId="37E9FB43"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54BBD754" w14:textId="77777777" w:rsidR="009A28A8" w:rsidRPr="00573B55" w:rsidRDefault="009A28A8" w:rsidP="001733C9">
            <w:pPr>
              <w:rPr>
                <w:i/>
                <w:iCs/>
                <w:color w:val="000000"/>
                <w:sz w:val="20"/>
              </w:rPr>
            </w:pPr>
            <w:r w:rsidRPr="00573B55">
              <w:rPr>
                <w:i/>
                <w:iCs/>
                <w:color w:val="000000"/>
                <w:kern w:val="2"/>
                <w:sz w:val="20"/>
              </w:rPr>
              <w:t>%% к ВВП</w:t>
            </w:r>
          </w:p>
        </w:tc>
        <w:tc>
          <w:tcPr>
            <w:tcW w:w="1597" w:type="dxa"/>
            <w:tcBorders>
              <w:top w:val="nil"/>
              <w:left w:val="nil"/>
              <w:bottom w:val="single" w:sz="8" w:space="0" w:color="000000"/>
              <w:right w:val="single" w:sz="8" w:space="0" w:color="000000"/>
            </w:tcBorders>
            <w:shd w:val="clear" w:color="auto" w:fill="auto"/>
            <w:vAlign w:val="center"/>
            <w:hideMark/>
          </w:tcPr>
          <w:p w14:paraId="4540A0EF" w14:textId="77777777" w:rsidR="009A28A8" w:rsidRPr="00573B55" w:rsidRDefault="009A28A8" w:rsidP="001733C9">
            <w:pPr>
              <w:jc w:val="center"/>
              <w:rPr>
                <w:i/>
                <w:iCs/>
                <w:color w:val="000000"/>
                <w:sz w:val="20"/>
              </w:rPr>
            </w:pPr>
            <w:r w:rsidRPr="00573B55">
              <w:rPr>
                <w:i/>
                <w:iCs/>
                <w:color w:val="000000"/>
                <w:sz w:val="20"/>
              </w:rPr>
              <w:t>2,5</w:t>
            </w:r>
          </w:p>
        </w:tc>
        <w:tc>
          <w:tcPr>
            <w:tcW w:w="1413" w:type="dxa"/>
            <w:tcBorders>
              <w:top w:val="nil"/>
              <w:left w:val="nil"/>
              <w:bottom w:val="single" w:sz="8" w:space="0" w:color="000000"/>
              <w:right w:val="single" w:sz="8" w:space="0" w:color="000000"/>
            </w:tcBorders>
            <w:shd w:val="clear" w:color="auto" w:fill="auto"/>
            <w:vAlign w:val="center"/>
            <w:hideMark/>
          </w:tcPr>
          <w:p w14:paraId="5B6ACE7C" w14:textId="77777777" w:rsidR="009A28A8" w:rsidRPr="00573B55" w:rsidRDefault="009A28A8" w:rsidP="001733C9">
            <w:pPr>
              <w:jc w:val="center"/>
              <w:rPr>
                <w:i/>
                <w:iCs/>
                <w:color w:val="000000"/>
                <w:sz w:val="20"/>
              </w:rPr>
            </w:pPr>
            <w:r w:rsidRPr="00573B55">
              <w:rPr>
                <w:i/>
                <w:iCs/>
                <w:color w:val="000000"/>
                <w:sz w:val="20"/>
              </w:rPr>
              <w:t>2,3</w:t>
            </w:r>
          </w:p>
        </w:tc>
        <w:tc>
          <w:tcPr>
            <w:tcW w:w="1416" w:type="dxa"/>
            <w:tcBorders>
              <w:top w:val="nil"/>
              <w:left w:val="nil"/>
              <w:bottom w:val="single" w:sz="8" w:space="0" w:color="000000"/>
              <w:right w:val="single" w:sz="8" w:space="0" w:color="000000"/>
            </w:tcBorders>
            <w:shd w:val="clear" w:color="auto" w:fill="auto"/>
            <w:vAlign w:val="center"/>
            <w:hideMark/>
          </w:tcPr>
          <w:p w14:paraId="2B8046D6" w14:textId="77777777" w:rsidR="009A28A8" w:rsidRPr="00573B55" w:rsidRDefault="009A28A8" w:rsidP="001733C9">
            <w:pPr>
              <w:jc w:val="center"/>
              <w:rPr>
                <w:i/>
                <w:iCs/>
                <w:color w:val="000000"/>
                <w:sz w:val="20"/>
              </w:rPr>
            </w:pPr>
            <w:r w:rsidRPr="00573B55">
              <w:rPr>
                <w:i/>
                <w:iCs/>
                <w:color w:val="000000"/>
                <w:sz w:val="20"/>
              </w:rPr>
              <w:t>2,2</w:t>
            </w:r>
          </w:p>
        </w:tc>
        <w:tc>
          <w:tcPr>
            <w:tcW w:w="1416" w:type="dxa"/>
            <w:tcBorders>
              <w:top w:val="nil"/>
              <w:left w:val="nil"/>
              <w:bottom w:val="single" w:sz="8" w:space="0" w:color="000000"/>
              <w:right w:val="single" w:sz="8" w:space="0" w:color="000000"/>
            </w:tcBorders>
            <w:shd w:val="clear" w:color="auto" w:fill="auto"/>
            <w:vAlign w:val="center"/>
            <w:hideMark/>
          </w:tcPr>
          <w:p w14:paraId="732A46C5" w14:textId="77777777" w:rsidR="009A28A8" w:rsidRPr="00573B55" w:rsidRDefault="009A28A8" w:rsidP="001733C9">
            <w:pPr>
              <w:jc w:val="center"/>
              <w:rPr>
                <w:i/>
                <w:iCs/>
                <w:color w:val="000000"/>
                <w:sz w:val="20"/>
              </w:rPr>
            </w:pPr>
            <w:r w:rsidRPr="00573B55">
              <w:rPr>
                <w:i/>
                <w:iCs/>
                <w:color w:val="000000"/>
                <w:sz w:val="20"/>
              </w:rPr>
              <w:t>2,1</w:t>
            </w:r>
          </w:p>
        </w:tc>
      </w:tr>
      <w:tr w:rsidR="009A28A8" w:rsidRPr="00573B55" w14:paraId="359638D6"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26591162" w14:textId="77777777" w:rsidR="009A28A8" w:rsidRPr="00573B55" w:rsidRDefault="009A28A8" w:rsidP="001733C9">
            <w:pPr>
              <w:rPr>
                <w:i/>
                <w:iCs/>
                <w:color w:val="000000"/>
                <w:sz w:val="20"/>
              </w:rPr>
            </w:pPr>
            <w:r w:rsidRPr="00573B55">
              <w:rPr>
                <w:i/>
                <w:iCs/>
                <w:color w:val="000000"/>
                <w:sz w:val="20"/>
              </w:rPr>
              <w:t>доля в общем объеме расходов</w:t>
            </w:r>
            <w:r>
              <w:rPr>
                <w:i/>
                <w:iCs/>
                <w:color w:val="000000"/>
                <w:sz w:val="20"/>
              </w:rPr>
              <w:t xml:space="preserve"> ФБ</w:t>
            </w:r>
            <w:r w:rsidRPr="00573B55">
              <w:rPr>
                <w:i/>
                <w:iCs/>
                <w:color w:val="000000"/>
                <w:sz w:val="20"/>
              </w:rPr>
              <w:t>, %</w:t>
            </w:r>
          </w:p>
        </w:tc>
        <w:tc>
          <w:tcPr>
            <w:tcW w:w="1597" w:type="dxa"/>
            <w:tcBorders>
              <w:top w:val="nil"/>
              <w:left w:val="nil"/>
              <w:bottom w:val="single" w:sz="8" w:space="0" w:color="000000"/>
              <w:right w:val="single" w:sz="8" w:space="0" w:color="000000"/>
            </w:tcBorders>
            <w:shd w:val="clear" w:color="auto" w:fill="auto"/>
            <w:vAlign w:val="center"/>
            <w:hideMark/>
          </w:tcPr>
          <w:p w14:paraId="41FCA07D" w14:textId="77777777" w:rsidR="009A28A8" w:rsidRPr="00573B55" w:rsidRDefault="009A28A8" w:rsidP="001733C9">
            <w:pPr>
              <w:jc w:val="center"/>
              <w:rPr>
                <w:i/>
                <w:iCs/>
                <w:color w:val="000000"/>
                <w:sz w:val="20"/>
              </w:rPr>
            </w:pPr>
            <w:r w:rsidRPr="00301BB6">
              <w:rPr>
                <w:i/>
                <w:iCs/>
                <w:color w:val="000000"/>
                <w:sz w:val="20"/>
              </w:rPr>
              <w:t>11,8%</w:t>
            </w:r>
          </w:p>
        </w:tc>
        <w:tc>
          <w:tcPr>
            <w:tcW w:w="1413" w:type="dxa"/>
            <w:tcBorders>
              <w:top w:val="nil"/>
              <w:left w:val="nil"/>
              <w:bottom w:val="single" w:sz="8" w:space="0" w:color="000000"/>
              <w:right w:val="single" w:sz="8" w:space="0" w:color="000000"/>
            </w:tcBorders>
            <w:shd w:val="clear" w:color="auto" w:fill="auto"/>
            <w:vAlign w:val="center"/>
            <w:hideMark/>
          </w:tcPr>
          <w:p w14:paraId="13A5A49E" w14:textId="77777777" w:rsidR="009A28A8" w:rsidRPr="00573B55" w:rsidRDefault="009A28A8" w:rsidP="001733C9">
            <w:pPr>
              <w:jc w:val="center"/>
              <w:rPr>
                <w:i/>
                <w:iCs/>
                <w:color w:val="000000"/>
                <w:sz w:val="20"/>
              </w:rPr>
            </w:pPr>
            <w:r w:rsidRPr="00301BB6">
              <w:rPr>
                <w:i/>
                <w:iCs/>
                <w:color w:val="000000"/>
                <w:sz w:val="20"/>
              </w:rPr>
              <w:t>11,8%</w:t>
            </w:r>
          </w:p>
        </w:tc>
        <w:tc>
          <w:tcPr>
            <w:tcW w:w="1416" w:type="dxa"/>
            <w:tcBorders>
              <w:top w:val="nil"/>
              <w:left w:val="nil"/>
              <w:bottom w:val="single" w:sz="8" w:space="0" w:color="000000"/>
              <w:right w:val="single" w:sz="8" w:space="0" w:color="000000"/>
            </w:tcBorders>
            <w:shd w:val="clear" w:color="auto" w:fill="auto"/>
            <w:vAlign w:val="center"/>
            <w:hideMark/>
          </w:tcPr>
          <w:p w14:paraId="54A906A2" w14:textId="77777777" w:rsidR="009A28A8" w:rsidRPr="00573B55" w:rsidRDefault="009A28A8" w:rsidP="001733C9">
            <w:pPr>
              <w:jc w:val="center"/>
              <w:rPr>
                <w:i/>
                <w:iCs/>
                <w:color w:val="000000"/>
                <w:sz w:val="20"/>
              </w:rPr>
            </w:pPr>
            <w:r w:rsidRPr="00301BB6">
              <w:rPr>
                <w:i/>
                <w:iCs/>
                <w:color w:val="000000"/>
                <w:sz w:val="20"/>
              </w:rPr>
              <w:t>11,9%</w:t>
            </w:r>
          </w:p>
        </w:tc>
        <w:tc>
          <w:tcPr>
            <w:tcW w:w="1416" w:type="dxa"/>
            <w:tcBorders>
              <w:top w:val="nil"/>
              <w:left w:val="nil"/>
              <w:bottom w:val="single" w:sz="8" w:space="0" w:color="000000"/>
              <w:right w:val="single" w:sz="8" w:space="0" w:color="000000"/>
            </w:tcBorders>
            <w:shd w:val="clear" w:color="auto" w:fill="auto"/>
            <w:vAlign w:val="center"/>
            <w:hideMark/>
          </w:tcPr>
          <w:p w14:paraId="73704865" w14:textId="77777777" w:rsidR="009A28A8" w:rsidRPr="00573B55" w:rsidRDefault="009A28A8" w:rsidP="001733C9">
            <w:pPr>
              <w:jc w:val="center"/>
              <w:rPr>
                <w:i/>
                <w:iCs/>
                <w:color w:val="000000"/>
                <w:sz w:val="20"/>
              </w:rPr>
            </w:pPr>
            <w:r w:rsidRPr="00301BB6">
              <w:rPr>
                <w:i/>
                <w:iCs/>
                <w:color w:val="000000"/>
                <w:sz w:val="20"/>
              </w:rPr>
              <w:t>12,0%</w:t>
            </w:r>
          </w:p>
        </w:tc>
      </w:tr>
      <w:tr w:rsidR="009A28A8" w:rsidRPr="00573B55" w14:paraId="1B970933"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5F0F442E" w14:textId="77777777" w:rsidR="009A28A8" w:rsidRPr="00573B55" w:rsidRDefault="009A28A8" w:rsidP="001733C9">
            <w:pPr>
              <w:rPr>
                <w:i/>
                <w:iCs/>
                <w:color w:val="000000"/>
                <w:sz w:val="20"/>
              </w:rPr>
            </w:pPr>
            <w:r w:rsidRPr="00573B55">
              <w:rPr>
                <w:i/>
                <w:iCs/>
                <w:color w:val="000000"/>
                <w:sz w:val="20"/>
              </w:rPr>
              <w:t>РАСХОДЫ НА СОЦИАЛЬНУЮ СФЕРУ</w:t>
            </w:r>
          </w:p>
        </w:tc>
        <w:tc>
          <w:tcPr>
            <w:tcW w:w="1597" w:type="dxa"/>
            <w:tcBorders>
              <w:top w:val="nil"/>
              <w:left w:val="nil"/>
              <w:bottom w:val="single" w:sz="8" w:space="0" w:color="000000"/>
              <w:right w:val="single" w:sz="8" w:space="0" w:color="000000"/>
            </w:tcBorders>
            <w:shd w:val="clear" w:color="auto" w:fill="F2F2F2" w:themeFill="background1" w:themeFillShade="F2"/>
            <w:vAlign w:val="center"/>
          </w:tcPr>
          <w:p w14:paraId="67B77BC4" w14:textId="77777777" w:rsidR="009A28A8" w:rsidRPr="00573B55" w:rsidRDefault="009A28A8" w:rsidP="001733C9">
            <w:pPr>
              <w:contextualSpacing/>
              <w:jc w:val="center"/>
              <w:rPr>
                <w:i/>
                <w:iCs/>
                <w:color w:val="000000"/>
                <w:sz w:val="20"/>
              </w:rPr>
            </w:pPr>
            <w:r>
              <w:rPr>
                <w:i/>
                <w:iCs/>
                <w:color w:val="000000"/>
                <w:sz w:val="20"/>
              </w:rPr>
              <w:t>8 554 197,8</w:t>
            </w:r>
          </w:p>
        </w:tc>
        <w:tc>
          <w:tcPr>
            <w:tcW w:w="1413" w:type="dxa"/>
            <w:tcBorders>
              <w:top w:val="nil"/>
              <w:left w:val="nil"/>
              <w:bottom w:val="single" w:sz="8" w:space="0" w:color="000000"/>
              <w:right w:val="single" w:sz="8" w:space="0" w:color="000000"/>
            </w:tcBorders>
            <w:shd w:val="clear" w:color="auto" w:fill="F2F2F2" w:themeFill="background1" w:themeFillShade="F2"/>
            <w:vAlign w:val="center"/>
          </w:tcPr>
          <w:p w14:paraId="0513ECFE" w14:textId="77777777" w:rsidR="009A28A8" w:rsidRPr="00573B55" w:rsidRDefault="009A28A8" w:rsidP="001733C9">
            <w:pPr>
              <w:contextualSpacing/>
              <w:jc w:val="center"/>
              <w:rPr>
                <w:i/>
                <w:iCs/>
                <w:color w:val="000000"/>
                <w:sz w:val="20"/>
              </w:rPr>
            </w:pPr>
            <w:r>
              <w:rPr>
                <w:i/>
                <w:iCs/>
                <w:color w:val="000000"/>
                <w:sz w:val="20"/>
              </w:rPr>
              <w:t>10 382 593,3</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tcPr>
          <w:p w14:paraId="68777721" w14:textId="77777777" w:rsidR="009A28A8" w:rsidRPr="00573B55" w:rsidRDefault="009A28A8" w:rsidP="001733C9">
            <w:pPr>
              <w:contextualSpacing/>
              <w:jc w:val="center"/>
              <w:rPr>
                <w:i/>
                <w:iCs/>
                <w:color w:val="000000"/>
                <w:sz w:val="20"/>
              </w:rPr>
            </w:pPr>
            <w:r>
              <w:rPr>
                <w:i/>
                <w:iCs/>
                <w:color w:val="000000"/>
                <w:sz w:val="20"/>
              </w:rPr>
              <w:t>10 399 638,4</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tcPr>
          <w:p w14:paraId="4A22294B" w14:textId="77777777" w:rsidR="009A28A8" w:rsidRPr="00573B55" w:rsidRDefault="009A28A8" w:rsidP="001733C9">
            <w:pPr>
              <w:contextualSpacing/>
              <w:jc w:val="center"/>
              <w:rPr>
                <w:i/>
                <w:iCs/>
                <w:color w:val="000000"/>
                <w:sz w:val="20"/>
              </w:rPr>
            </w:pPr>
            <w:r>
              <w:rPr>
                <w:i/>
                <w:iCs/>
                <w:color w:val="000000"/>
                <w:sz w:val="20"/>
              </w:rPr>
              <w:t>10 032 145,0</w:t>
            </w:r>
          </w:p>
        </w:tc>
      </w:tr>
      <w:tr w:rsidR="009A28A8" w:rsidRPr="00573B55" w14:paraId="2D00E16D"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0C48B309" w14:textId="77777777" w:rsidR="009A28A8" w:rsidRPr="00573B55" w:rsidRDefault="009A28A8" w:rsidP="001733C9">
            <w:pPr>
              <w:rPr>
                <w:i/>
                <w:iCs/>
                <w:color w:val="000000"/>
                <w:sz w:val="20"/>
              </w:rPr>
            </w:pPr>
            <w:r w:rsidRPr="00573B55">
              <w:rPr>
                <w:i/>
                <w:iCs/>
                <w:color w:val="000000"/>
                <w:sz w:val="20"/>
              </w:rPr>
              <w:t>темп роста,</w:t>
            </w:r>
            <w:r>
              <w:rPr>
                <w:i/>
                <w:iCs/>
                <w:color w:val="000000"/>
                <w:sz w:val="20"/>
              </w:rPr>
              <w:t xml:space="preserve"> </w:t>
            </w:r>
            <w:r w:rsidRPr="00573B55">
              <w:rPr>
                <w:i/>
                <w:iCs/>
                <w:color w:val="000000"/>
                <w:sz w:val="20"/>
              </w:rPr>
              <w:t>%</w:t>
            </w:r>
          </w:p>
        </w:tc>
        <w:tc>
          <w:tcPr>
            <w:tcW w:w="1597" w:type="dxa"/>
            <w:tcBorders>
              <w:top w:val="nil"/>
              <w:left w:val="nil"/>
              <w:bottom w:val="single" w:sz="8" w:space="0" w:color="000000"/>
              <w:right w:val="single" w:sz="8" w:space="0" w:color="000000"/>
            </w:tcBorders>
            <w:shd w:val="clear" w:color="auto" w:fill="auto"/>
            <w:vAlign w:val="center"/>
            <w:hideMark/>
          </w:tcPr>
          <w:p w14:paraId="5C091B03" w14:textId="77777777" w:rsidR="009A28A8" w:rsidRPr="00573B55" w:rsidRDefault="009A28A8" w:rsidP="001733C9">
            <w:pPr>
              <w:jc w:val="center"/>
              <w:rPr>
                <w:i/>
                <w:iCs/>
                <w:color w:val="000000"/>
                <w:sz w:val="20"/>
              </w:rPr>
            </w:pPr>
            <w:r w:rsidRPr="00573B55">
              <w:rPr>
                <w:i/>
                <w:iCs/>
                <w:color w:val="000000"/>
                <w:sz w:val="20"/>
              </w:rPr>
              <w:t>100,0%</w:t>
            </w:r>
          </w:p>
        </w:tc>
        <w:tc>
          <w:tcPr>
            <w:tcW w:w="1413" w:type="dxa"/>
            <w:tcBorders>
              <w:top w:val="nil"/>
              <w:left w:val="nil"/>
              <w:bottom w:val="single" w:sz="8" w:space="0" w:color="000000"/>
              <w:right w:val="single" w:sz="8" w:space="0" w:color="000000"/>
            </w:tcBorders>
            <w:shd w:val="clear" w:color="auto" w:fill="auto"/>
            <w:vAlign w:val="center"/>
            <w:hideMark/>
          </w:tcPr>
          <w:p w14:paraId="645E2B83" w14:textId="77777777" w:rsidR="009A28A8" w:rsidRPr="00573B55" w:rsidRDefault="009A28A8" w:rsidP="001733C9">
            <w:pPr>
              <w:jc w:val="center"/>
              <w:rPr>
                <w:i/>
                <w:iCs/>
                <w:color w:val="000000"/>
                <w:sz w:val="20"/>
              </w:rPr>
            </w:pPr>
            <w:r w:rsidRPr="00573B55">
              <w:rPr>
                <w:i/>
                <w:iCs/>
                <w:color w:val="000000"/>
                <w:sz w:val="20"/>
              </w:rPr>
              <w:t>121,4%</w:t>
            </w:r>
          </w:p>
        </w:tc>
        <w:tc>
          <w:tcPr>
            <w:tcW w:w="1416" w:type="dxa"/>
            <w:tcBorders>
              <w:top w:val="nil"/>
              <w:left w:val="nil"/>
              <w:bottom w:val="single" w:sz="8" w:space="0" w:color="000000"/>
              <w:right w:val="single" w:sz="8" w:space="0" w:color="000000"/>
            </w:tcBorders>
            <w:shd w:val="clear" w:color="auto" w:fill="auto"/>
            <w:vAlign w:val="center"/>
            <w:hideMark/>
          </w:tcPr>
          <w:p w14:paraId="0BB8303D" w14:textId="77777777" w:rsidR="009A28A8" w:rsidRPr="00573B55" w:rsidRDefault="009A28A8" w:rsidP="001733C9">
            <w:pPr>
              <w:jc w:val="center"/>
              <w:rPr>
                <w:i/>
                <w:iCs/>
                <w:color w:val="000000"/>
                <w:sz w:val="20"/>
              </w:rPr>
            </w:pPr>
            <w:r w:rsidRPr="00573B55">
              <w:rPr>
                <w:i/>
                <w:iCs/>
                <w:color w:val="000000"/>
                <w:sz w:val="20"/>
              </w:rPr>
              <w:t>100,2%</w:t>
            </w:r>
          </w:p>
        </w:tc>
        <w:tc>
          <w:tcPr>
            <w:tcW w:w="1416" w:type="dxa"/>
            <w:tcBorders>
              <w:top w:val="nil"/>
              <w:left w:val="nil"/>
              <w:bottom w:val="single" w:sz="8" w:space="0" w:color="000000"/>
              <w:right w:val="single" w:sz="8" w:space="0" w:color="000000"/>
            </w:tcBorders>
            <w:shd w:val="clear" w:color="auto" w:fill="auto"/>
            <w:vAlign w:val="center"/>
            <w:hideMark/>
          </w:tcPr>
          <w:p w14:paraId="341F3A00" w14:textId="77777777" w:rsidR="009A28A8" w:rsidRPr="00573B55" w:rsidRDefault="009A28A8" w:rsidP="001733C9">
            <w:pPr>
              <w:jc w:val="center"/>
              <w:rPr>
                <w:i/>
                <w:iCs/>
                <w:color w:val="000000"/>
                <w:sz w:val="20"/>
              </w:rPr>
            </w:pPr>
            <w:r w:rsidRPr="00573B55">
              <w:rPr>
                <w:i/>
                <w:iCs/>
                <w:color w:val="000000"/>
                <w:sz w:val="20"/>
              </w:rPr>
              <w:t>96,5%</w:t>
            </w:r>
          </w:p>
        </w:tc>
      </w:tr>
      <w:tr w:rsidR="009A28A8" w:rsidRPr="00573B55" w14:paraId="56F76AC5"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15D4DAC2" w14:textId="77777777" w:rsidR="009A28A8" w:rsidRPr="00573B55" w:rsidRDefault="009A28A8" w:rsidP="001733C9">
            <w:pPr>
              <w:rPr>
                <w:i/>
                <w:iCs/>
                <w:color w:val="000000"/>
                <w:sz w:val="20"/>
              </w:rPr>
            </w:pPr>
            <w:r w:rsidRPr="00573B55">
              <w:rPr>
                <w:i/>
                <w:iCs/>
                <w:color w:val="000000"/>
                <w:kern w:val="2"/>
                <w:sz w:val="20"/>
              </w:rPr>
              <w:t>%% к ВВП</w:t>
            </w:r>
          </w:p>
        </w:tc>
        <w:tc>
          <w:tcPr>
            <w:tcW w:w="1597" w:type="dxa"/>
            <w:tcBorders>
              <w:top w:val="nil"/>
              <w:left w:val="nil"/>
              <w:bottom w:val="single" w:sz="8" w:space="0" w:color="000000"/>
              <w:right w:val="single" w:sz="8" w:space="0" w:color="000000"/>
            </w:tcBorders>
            <w:shd w:val="clear" w:color="auto" w:fill="auto"/>
            <w:vAlign w:val="center"/>
            <w:hideMark/>
          </w:tcPr>
          <w:p w14:paraId="21D8F4E2" w14:textId="77777777" w:rsidR="009A28A8" w:rsidRPr="00573B55" w:rsidRDefault="009A28A8" w:rsidP="001733C9">
            <w:pPr>
              <w:jc w:val="center"/>
              <w:rPr>
                <w:i/>
                <w:iCs/>
                <w:color w:val="000000"/>
                <w:sz w:val="20"/>
              </w:rPr>
            </w:pPr>
            <w:r w:rsidRPr="00573B55">
              <w:rPr>
                <w:i/>
                <w:iCs/>
                <w:color w:val="000000"/>
                <w:sz w:val="20"/>
              </w:rPr>
              <w:t>6,4</w:t>
            </w:r>
          </w:p>
        </w:tc>
        <w:tc>
          <w:tcPr>
            <w:tcW w:w="1413" w:type="dxa"/>
            <w:tcBorders>
              <w:top w:val="nil"/>
              <w:left w:val="nil"/>
              <w:bottom w:val="single" w:sz="8" w:space="0" w:color="000000"/>
              <w:right w:val="single" w:sz="8" w:space="0" w:color="000000"/>
            </w:tcBorders>
            <w:shd w:val="clear" w:color="auto" w:fill="auto"/>
            <w:vAlign w:val="center"/>
            <w:hideMark/>
          </w:tcPr>
          <w:p w14:paraId="1B37429E" w14:textId="77777777" w:rsidR="009A28A8" w:rsidRPr="00573B55" w:rsidRDefault="009A28A8" w:rsidP="001733C9">
            <w:pPr>
              <w:jc w:val="center"/>
              <w:rPr>
                <w:i/>
                <w:iCs/>
                <w:color w:val="000000"/>
                <w:sz w:val="20"/>
              </w:rPr>
            </w:pPr>
            <w:r w:rsidRPr="00573B55">
              <w:rPr>
                <w:i/>
                <w:iCs/>
                <w:color w:val="000000"/>
                <w:sz w:val="20"/>
              </w:rPr>
              <w:t>6,9</w:t>
            </w:r>
          </w:p>
        </w:tc>
        <w:tc>
          <w:tcPr>
            <w:tcW w:w="1416" w:type="dxa"/>
            <w:tcBorders>
              <w:top w:val="nil"/>
              <w:left w:val="nil"/>
              <w:bottom w:val="single" w:sz="8" w:space="0" w:color="000000"/>
              <w:right w:val="single" w:sz="8" w:space="0" w:color="000000"/>
            </w:tcBorders>
            <w:shd w:val="clear" w:color="auto" w:fill="auto"/>
            <w:vAlign w:val="center"/>
            <w:hideMark/>
          </w:tcPr>
          <w:p w14:paraId="320369F0" w14:textId="77777777" w:rsidR="009A28A8" w:rsidRPr="00573B55" w:rsidRDefault="009A28A8" w:rsidP="001733C9">
            <w:pPr>
              <w:jc w:val="center"/>
              <w:rPr>
                <w:i/>
                <w:iCs/>
                <w:color w:val="000000"/>
                <w:sz w:val="20"/>
              </w:rPr>
            </w:pPr>
            <w:r w:rsidRPr="00573B55">
              <w:rPr>
                <w:i/>
                <w:iCs/>
                <w:color w:val="000000"/>
                <w:sz w:val="20"/>
              </w:rPr>
              <w:t>6,44</w:t>
            </w:r>
          </w:p>
        </w:tc>
        <w:tc>
          <w:tcPr>
            <w:tcW w:w="1416" w:type="dxa"/>
            <w:tcBorders>
              <w:top w:val="nil"/>
              <w:left w:val="nil"/>
              <w:bottom w:val="single" w:sz="8" w:space="0" w:color="000000"/>
              <w:right w:val="single" w:sz="8" w:space="0" w:color="000000"/>
            </w:tcBorders>
            <w:shd w:val="clear" w:color="auto" w:fill="auto"/>
            <w:vAlign w:val="center"/>
            <w:hideMark/>
          </w:tcPr>
          <w:p w14:paraId="4803DB0D" w14:textId="77777777" w:rsidR="009A28A8" w:rsidRPr="00573B55" w:rsidRDefault="009A28A8" w:rsidP="001733C9">
            <w:pPr>
              <w:jc w:val="center"/>
              <w:rPr>
                <w:i/>
                <w:iCs/>
                <w:color w:val="000000"/>
                <w:sz w:val="20"/>
              </w:rPr>
            </w:pPr>
            <w:r w:rsidRPr="00573B55">
              <w:rPr>
                <w:i/>
                <w:iCs/>
                <w:color w:val="000000"/>
                <w:sz w:val="20"/>
              </w:rPr>
              <w:t>5,93</w:t>
            </w:r>
          </w:p>
        </w:tc>
      </w:tr>
      <w:tr w:rsidR="009A28A8" w:rsidRPr="00573B55" w14:paraId="0FA458AB"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6CC7FABB" w14:textId="77777777" w:rsidR="009A28A8" w:rsidRPr="00573B55" w:rsidRDefault="009A28A8" w:rsidP="001733C9">
            <w:pPr>
              <w:rPr>
                <w:i/>
                <w:iCs/>
                <w:color w:val="000000"/>
                <w:sz w:val="20"/>
              </w:rPr>
            </w:pPr>
            <w:r w:rsidRPr="00573B55">
              <w:rPr>
                <w:i/>
                <w:iCs/>
                <w:color w:val="000000"/>
                <w:sz w:val="20"/>
              </w:rPr>
              <w:t>доля в общем объеме расходо</w:t>
            </w:r>
            <w:r>
              <w:rPr>
                <w:i/>
                <w:iCs/>
                <w:color w:val="000000"/>
                <w:sz w:val="20"/>
              </w:rPr>
              <w:t>в ФБ</w:t>
            </w:r>
            <w:r w:rsidRPr="00573B55">
              <w:rPr>
                <w:i/>
                <w:iCs/>
                <w:color w:val="000000"/>
                <w:sz w:val="20"/>
              </w:rPr>
              <w:t>, %</w:t>
            </w:r>
          </w:p>
        </w:tc>
        <w:tc>
          <w:tcPr>
            <w:tcW w:w="1597" w:type="dxa"/>
            <w:tcBorders>
              <w:top w:val="nil"/>
              <w:left w:val="nil"/>
              <w:bottom w:val="single" w:sz="8" w:space="0" w:color="000000"/>
              <w:right w:val="single" w:sz="8" w:space="0" w:color="000000"/>
            </w:tcBorders>
            <w:shd w:val="clear" w:color="auto" w:fill="auto"/>
            <w:vAlign w:val="center"/>
            <w:hideMark/>
          </w:tcPr>
          <w:p w14:paraId="4EEAB8BE" w14:textId="77777777" w:rsidR="009A28A8" w:rsidRPr="00573B55" w:rsidRDefault="009A28A8" w:rsidP="001733C9">
            <w:pPr>
              <w:jc w:val="center"/>
              <w:rPr>
                <w:i/>
                <w:iCs/>
                <w:color w:val="000000"/>
                <w:sz w:val="20"/>
              </w:rPr>
            </w:pPr>
            <w:r w:rsidRPr="00312821">
              <w:rPr>
                <w:i/>
                <w:iCs/>
                <w:color w:val="000000"/>
                <w:sz w:val="20"/>
              </w:rPr>
              <w:t>31,0%</w:t>
            </w:r>
          </w:p>
        </w:tc>
        <w:tc>
          <w:tcPr>
            <w:tcW w:w="1413" w:type="dxa"/>
            <w:tcBorders>
              <w:top w:val="nil"/>
              <w:left w:val="nil"/>
              <w:bottom w:val="single" w:sz="8" w:space="0" w:color="000000"/>
              <w:right w:val="single" w:sz="8" w:space="0" w:color="000000"/>
            </w:tcBorders>
            <w:shd w:val="clear" w:color="auto" w:fill="auto"/>
            <w:vAlign w:val="center"/>
            <w:hideMark/>
          </w:tcPr>
          <w:p w14:paraId="1DBE1E94" w14:textId="77777777" w:rsidR="009A28A8" w:rsidRPr="00573B55" w:rsidRDefault="009A28A8" w:rsidP="001733C9">
            <w:pPr>
              <w:jc w:val="center"/>
              <w:rPr>
                <w:i/>
                <w:iCs/>
                <w:color w:val="000000"/>
                <w:sz w:val="20"/>
              </w:rPr>
            </w:pPr>
            <w:r w:rsidRPr="00312821">
              <w:rPr>
                <w:i/>
                <w:iCs/>
                <w:color w:val="000000"/>
                <w:sz w:val="20"/>
              </w:rPr>
              <w:t>35,7%</w:t>
            </w:r>
          </w:p>
        </w:tc>
        <w:tc>
          <w:tcPr>
            <w:tcW w:w="1416" w:type="dxa"/>
            <w:tcBorders>
              <w:top w:val="nil"/>
              <w:left w:val="nil"/>
              <w:bottom w:val="single" w:sz="8" w:space="0" w:color="000000"/>
              <w:right w:val="single" w:sz="8" w:space="0" w:color="000000"/>
            </w:tcBorders>
            <w:shd w:val="clear" w:color="auto" w:fill="auto"/>
            <w:vAlign w:val="center"/>
            <w:hideMark/>
          </w:tcPr>
          <w:p w14:paraId="21A7C72B" w14:textId="77777777" w:rsidR="009A28A8" w:rsidRPr="00573B55" w:rsidRDefault="009A28A8" w:rsidP="001733C9">
            <w:pPr>
              <w:jc w:val="center"/>
              <w:rPr>
                <w:i/>
                <w:iCs/>
                <w:color w:val="000000"/>
                <w:sz w:val="20"/>
              </w:rPr>
            </w:pPr>
            <w:r w:rsidRPr="00312821">
              <w:rPr>
                <w:i/>
                <w:iCs/>
                <w:color w:val="000000"/>
                <w:sz w:val="20"/>
              </w:rPr>
              <w:t>35,3%</w:t>
            </w:r>
          </w:p>
        </w:tc>
        <w:tc>
          <w:tcPr>
            <w:tcW w:w="1416" w:type="dxa"/>
            <w:tcBorders>
              <w:top w:val="nil"/>
              <w:left w:val="nil"/>
              <w:bottom w:val="single" w:sz="8" w:space="0" w:color="000000"/>
              <w:right w:val="single" w:sz="8" w:space="0" w:color="000000"/>
            </w:tcBorders>
            <w:shd w:val="clear" w:color="auto" w:fill="auto"/>
            <w:vAlign w:val="center"/>
            <w:hideMark/>
          </w:tcPr>
          <w:p w14:paraId="3C908753" w14:textId="77777777" w:rsidR="009A28A8" w:rsidRPr="00573B55" w:rsidRDefault="009A28A8" w:rsidP="001733C9">
            <w:pPr>
              <w:jc w:val="center"/>
              <w:rPr>
                <w:i/>
                <w:iCs/>
                <w:color w:val="000000"/>
                <w:sz w:val="20"/>
              </w:rPr>
            </w:pPr>
            <w:r w:rsidRPr="00312821">
              <w:rPr>
                <w:i/>
                <w:iCs/>
                <w:color w:val="000000"/>
                <w:sz w:val="20"/>
              </w:rPr>
              <w:t>34,3%</w:t>
            </w:r>
          </w:p>
        </w:tc>
      </w:tr>
      <w:tr w:rsidR="009A28A8" w:rsidRPr="00573B55" w14:paraId="4522E682"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2EEA3F9C" w14:textId="77777777" w:rsidR="009A28A8" w:rsidRPr="00573B55" w:rsidRDefault="009A28A8" w:rsidP="001733C9">
            <w:pPr>
              <w:rPr>
                <w:i/>
                <w:iCs/>
                <w:color w:val="000000"/>
                <w:sz w:val="20"/>
              </w:rPr>
            </w:pPr>
            <w:r w:rsidRPr="00573B55">
              <w:rPr>
                <w:i/>
                <w:iCs/>
                <w:color w:val="000000"/>
                <w:kern w:val="2"/>
                <w:sz w:val="20"/>
              </w:rPr>
              <w:t>в том числе:</w:t>
            </w:r>
          </w:p>
        </w:tc>
        <w:tc>
          <w:tcPr>
            <w:tcW w:w="1597" w:type="dxa"/>
            <w:tcBorders>
              <w:top w:val="nil"/>
              <w:left w:val="nil"/>
              <w:bottom w:val="single" w:sz="8" w:space="0" w:color="000000"/>
              <w:right w:val="single" w:sz="8" w:space="0" w:color="000000"/>
            </w:tcBorders>
            <w:shd w:val="clear" w:color="auto" w:fill="auto"/>
            <w:vAlign w:val="center"/>
            <w:hideMark/>
          </w:tcPr>
          <w:p w14:paraId="6B9712F2" w14:textId="77777777" w:rsidR="009A28A8" w:rsidRPr="00573B55" w:rsidRDefault="009A28A8" w:rsidP="001733C9">
            <w:pPr>
              <w:jc w:val="center"/>
              <w:rPr>
                <w:i/>
                <w:iCs/>
                <w:color w:val="000000"/>
                <w:sz w:val="20"/>
              </w:rPr>
            </w:pPr>
            <w:r w:rsidRPr="00573B55">
              <w:rPr>
                <w:i/>
                <w:iCs/>
                <w:color w:val="000000"/>
                <w:sz w:val="20"/>
              </w:rPr>
              <w:t> </w:t>
            </w:r>
          </w:p>
        </w:tc>
        <w:tc>
          <w:tcPr>
            <w:tcW w:w="1413" w:type="dxa"/>
            <w:tcBorders>
              <w:top w:val="nil"/>
              <w:left w:val="nil"/>
              <w:bottom w:val="single" w:sz="8" w:space="0" w:color="000000"/>
              <w:right w:val="single" w:sz="8" w:space="0" w:color="000000"/>
            </w:tcBorders>
            <w:shd w:val="clear" w:color="auto" w:fill="auto"/>
            <w:vAlign w:val="center"/>
            <w:hideMark/>
          </w:tcPr>
          <w:p w14:paraId="1DBEAE80" w14:textId="77777777" w:rsidR="009A28A8" w:rsidRPr="00573B55" w:rsidRDefault="009A28A8" w:rsidP="001733C9">
            <w:pPr>
              <w:jc w:val="center"/>
              <w:rPr>
                <w:i/>
                <w:iCs/>
                <w:color w:val="000000"/>
                <w:sz w:val="20"/>
              </w:rPr>
            </w:pPr>
            <w:r w:rsidRPr="00573B55">
              <w:rPr>
                <w:i/>
                <w:iCs/>
                <w:color w:val="000000"/>
                <w:sz w:val="20"/>
              </w:rPr>
              <w:t> </w:t>
            </w:r>
          </w:p>
        </w:tc>
        <w:tc>
          <w:tcPr>
            <w:tcW w:w="1416" w:type="dxa"/>
            <w:tcBorders>
              <w:top w:val="nil"/>
              <w:left w:val="nil"/>
              <w:bottom w:val="single" w:sz="8" w:space="0" w:color="000000"/>
              <w:right w:val="single" w:sz="8" w:space="0" w:color="000000"/>
            </w:tcBorders>
            <w:shd w:val="clear" w:color="auto" w:fill="auto"/>
            <w:vAlign w:val="center"/>
            <w:hideMark/>
          </w:tcPr>
          <w:p w14:paraId="37391D39" w14:textId="77777777" w:rsidR="009A28A8" w:rsidRPr="00573B55" w:rsidRDefault="009A28A8" w:rsidP="001733C9">
            <w:pPr>
              <w:jc w:val="center"/>
              <w:rPr>
                <w:i/>
                <w:iCs/>
                <w:color w:val="000000"/>
                <w:sz w:val="20"/>
              </w:rPr>
            </w:pPr>
            <w:r w:rsidRPr="00573B55">
              <w:rPr>
                <w:i/>
                <w:iCs/>
                <w:color w:val="000000"/>
                <w:sz w:val="20"/>
              </w:rPr>
              <w:t> </w:t>
            </w:r>
          </w:p>
        </w:tc>
        <w:tc>
          <w:tcPr>
            <w:tcW w:w="1416" w:type="dxa"/>
            <w:tcBorders>
              <w:top w:val="nil"/>
              <w:left w:val="nil"/>
              <w:bottom w:val="single" w:sz="8" w:space="0" w:color="000000"/>
              <w:right w:val="single" w:sz="8" w:space="0" w:color="000000"/>
            </w:tcBorders>
            <w:shd w:val="clear" w:color="auto" w:fill="auto"/>
            <w:vAlign w:val="center"/>
            <w:hideMark/>
          </w:tcPr>
          <w:p w14:paraId="2522DA71" w14:textId="77777777" w:rsidR="009A28A8" w:rsidRPr="00573B55" w:rsidRDefault="009A28A8" w:rsidP="001733C9">
            <w:pPr>
              <w:jc w:val="center"/>
              <w:rPr>
                <w:i/>
                <w:iCs/>
                <w:color w:val="000000"/>
                <w:sz w:val="20"/>
              </w:rPr>
            </w:pPr>
            <w:r w:rsidRPr="00573B55">
              <w:rPr>
                <w:i/>
                <w:iCs/>
                <w:color w:val="000000"/>
                <w:sz w:val="20"/>
              </w:rPr>
              <w:t> </w:t>
            </w:r>
          </w:p>
        </w:tc>
      </w:tr>
      <w:tr w:rsidR="009A28A8" w:rsidRPr="00573B55" w14:paraId="1A817E5F"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66F1F1AD" w14:textId="77777777" w:rsidR="009A28A8" w:rsidRPr="00573B55" w:rsidRDefault="009A28A8" w:rsidP="001733C9">
            <w:pPr>
              <w:rPr>
                <w:color w:val="000000"/>
                <w:sz w:val="20"/>
              </w:rPr>
            </w:pPr>
            <w:r w:rsidRPr="00573B55">
              <w:rPr>
                <w:color w:val="000000"/>
                <w:kern w:val="2"/>
                <w:sz w:val="20"/>
              </w:rPr>
              <w:t xml:space="preserve">Образование </w:t>
            </w:r>
          </w:p>
        </w:tc>
        <w:tc>
          <w:tcPr>
            <w:tcW w:w="1597" w:type="dxa"/>
            <w:tcBorders>
              <w:top w:val="nil"/>
              <w:left w:val="nil"/>
              <w:bottom w:val="single" w:sz="8" w:space="0" w:color="000000"/>
              <w:right w:val="single" w:sz="8" w:space="0" w:color="000000"/>
            </w:tcBorders>
            <w:shd w:val="clear" w:color="auto" w:fill="F2F2F2" w:themeFill="background1" w:themeFillShade="F2"/>
            <w:vAlign w:val="center"/>
            <w:hideMark/>
          </w:tcPr>
          <w:p w14:paraId="6AD15BA0" w14:textId="77777777" w:rsidR="009A28A8" w:rsidRPr="00573B55" w:rsidRDefault="009A28A8" w:rsidP="001733C9">
            <w:pPr>
              <w:jc w:val="center"/>
              <w:rPr>
                <w:color w:val="000000"/>
                <w:sz w:val="20"/>
              </w:rPr>
            </w:pPr>
            <w:r w:rsidRPr="00573B55">
              <w:rPr>
                <w:color w:val="000000"/>
                <w:sz w:val="20"/>
              </w:rPr>
              <w:t>1 237 380,6</w:t>
            </w:r>
          </w:p>
        </w:tc>
        <w:tc>
          <w:tcPr>
            <w:tcW w:w="1413" w:type="dxa"/>
            <w:tcBorders>
              <w:top w:val="nil"/>
              <w:left w:val="nil"/>
              <w:bottom w:val="single" w:sz="8" w:space="0" w:color="000000"/>
              <w:right w:val="single" w:sz="8" w:space="0" w:color="000000"/>
            </w:tcBorders>
            <w:shd w:val="clear" w:color="auto" w:fill="F2F2F2" w:themeFill="background1" w:themeFillShade="F2"/>
            <w:vAlign w:val="center"/>
            <w:hideMark/>
          </w:tcPr>
          <w:p w14:paraId="7CB50AE6" w14:textId="77777777" w:rsidR="009A28A8" w:rsidRPr="00573B55" w:rsidRDefault="009A28A8" w:rsidP="001733C9">
            <w:pPr>
              <w:jc w:val="center"/>
              <w:rPr>
                <w:color w:val="000000"/>
                <w:sz w:val="20"/>
              </w:rPr>
            </w:pPr>
            <w:r w:rsidRPr="00573B55">
              <w:rPr>
                <w:color w:val="000000"/>
                <w:sz w:val="20"/>
              </w:rPr>
              <w:t>1 363 569,4</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48700A79" w14:textId="77777777" w:rsidR="009A28A8" w:rsidRPr="00573B55" w:rsidRDefault="009A28A8" w:rsidP="001733C9">
            <w:pPr>
              <w:jc w:val="center"/>
              <w:rPr>
                <w:color w:val="000000"/>
                <w:sz w:val="20"/>
              </w:rPr>
            </w:pPr>
            <w:r w:rsidRPr="00573B55">
              <w:rPr>
                <w:color w:val="000000"/>
                <w:sz w:val="20"/>
              </w:rPr>
              <w:t>1 398 138,3</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0D4E939C" w14:textId="77777777" w:rsidR="009A28A8" w:rsidRPr="00573B55" w:rsidRDefault="009A28A8" w:rsidP="001733C9">
            <w:pPr>
              <w:jc w:val="center"/>
              <w:rPr>
                <w:color w:val="000000"/>
                <w:sz w:val="20"/>
              </w:rPr>
            </w:pPr>
            <w:r w:rsidRPr="00573B55">
              <w:rPr>
                <w:color w:val="000000"/>
                <w:sz w:val="20"/>
              </w:rPr>
              <w:t>1 202 996,5</w:t>
            </w:r>
          </w:p>
        </w:tc>
      </w:tr>
      <w:tr w:rsidR="009A28A8" w:rsidRPr="00573B55" w14:paraId="65C13599"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74D9CCEA" w14:textId="77777777" w:rsidR="009A28A8" w:rsidRPr="00573B55" w:rsidRDefault="009A28A8" w:rsidP="001733C9">
            <w:pPr>
              <w:rPr>
                <w:i/>
                <w:iCs/>
                <w:color w:val="000000"/>
                <w:sz w:val="20"/>
              </w:rPr>
            </w:pPr>
            <w:r w:rsidRPr="00573B55">
              <w:rPr>
                <w:i/>
                <w:iCs/>
                <w:color w:val="000000"/>
                <w:sz w:val="20"/>
              </w:rPr>
              <w:t>темп роста, %</w:t>
            </w:r>
          </w:p>
        </w:tc>
        <w:tc>
          <w:tcPr>
            <w:tcW w:w="1597" w:type="dxa"/>
            <w:tcBorders>
              <w:top w:val="nil"/>
              <w:left w:val="nil"/>
              <w:bottom w:val="single" w:sz="8" w:space="0" w:color="000000"/>
              <w:right w:val="single" w:sz="8" w:space="0" w:color="000000"/>
            </w:tcBorders>
            <w:shd w:val="clear" w:color="auto" w:fill="auto"/>
            <w:vAlign w:val="center"/>
            <w:hideMark/>
          </w:tcPr>
          <w:p w14:paraId="62971502" w14:textId="77777777" w:rsidR="009A28A8" w:rsidRPr="00573B55" w:rsidRDefault="009A28A8" w:rsidP="001733C9">
            <w:pPr>
              <w:jc w:val="center"/>
              <w:rPr>
                <w:color w:val="000000"/>
                <w:sz w:val="20"/>
              </w:rPr>
            </w:pPr>
            <w:r w:rsidRPr="00573B55">
              <w:rPr>
                <w:color w:val="000000"/>
                <w:sz w:val="20"/>
              </w:rPr>
              <w:t>100,0%</w:t>
            </w:r>
          </w:p>
        </w:tc>
        <w:tc>
          <w:tcPr>
            <w:tcW w:w="1413" w:type="dxa"/>
            <w:tcBorders>
              <w:top w:val="nil"/>
              <w:left w:val="nil"/>
              <w:bottom w:val="single" w:sz="8" w:space="0" w:color="000000"/>
              <w:right w:val="single" w:sz="8" w:space="0" w:color="000000"/>
            </w:tcBorders>
            <w:shd w:val="clear" w:color="auto" w:fill="auto"/>
            <w:vAlign w:val="center"/>
            <w:hideMark/>
          </w:tcPr>
          <w:p w14:paraId="590DCC0F" w14:textId="77777777" w:rsidR="009A28A8" w:rsidRPr="00573B55" w:rsidRDefault="009A28A8" w:rsidP="001733C9">
            <w:pPr>
              <w:jc w:val="center"/>
              <w:rPr>
                <w:color w:val="000000"/>
                <w:sz w:val="20"/>
              </w:rPr>
            </w:pPr>
            <w:r w:rsidRPr="00573B55">
              <w:rPr>
                <w:color w:val="000000"/>
                <w:sz w:val="20"/>
              </w:rPr>
              <w:t>110,2%</w:t>
            </w:r>
          </w:p>
        </w:tc>
        <w:tc>
          <w:tcPr>
            <w:tcW w:w="1416" w:type="dxa"/>
            <w:tcBorders>
              <w:top w:val="nil"/>
              <w:left w:val="nil"/>
              <w:bottom w:val="single" w:sz="8" w:space="0" w:color="000000"/>
              <w:right w:val="single" w:sz="8" w:space="0" w:color="000000"/>
            </w:tcBorders>
            <w:shd w:val="clear" w:color="auto" w:fill="auto"/>
            <w:vAlign w:val="center"/>
            <w:hideMark/>
          </w:tcPr>
          <w:p w14:paraId="015A4F98" w14:textId="77777777" w:rsidR="009A28A8" w:rsidRPr="00573B55" w:rsidRDefault="009A28A8" w:rsidP="001733C9">
            <w:pPr>
              <w:jc w:val="center"/>
              <w:rPr>
                <w:color w:val="000000"/>
                <w:sz w:val="20"/>
              </w:rPr>
            </w:pPr>
            <w:r w:rsidRPr="00573B55">
              <w:rPr>
                <w:color w:val="000000"/>
                <w:sz w:val="20"/>
              </w:rPr>
              <w:t>102,5%</w:t>
            </w:r>
          </w:p>
        </w:tc>
        <w:tc>
          <w:tcPr>
            <w:tcW w:w="1416" w:type="dxa"/>
            <w:tcBorders>
              <w:top w:val="nil"/>
              <w:left w:val="nil"/>
              <w:bottom w:val="single" w:sz="8" w:space="0" w:color="000000"/>
              <w:right w:val="single" w:sz="8" w:space="0" w:color="000000"/>
            </w:tcBorders>
            <w:shd w:val="clear" w:color="auto" w:fill="auto"/>
            <w:vAlign w:val="center"/>
            <w:hideMark/>
          </w:tcPr>
          <w:p w14:paraId="00AC1C2A" w14:textId="77777777" w:rsidR="009A28A8" w:rsidRPr="00573B55" w:rsidRDefault="009A28A8" w:rsidP="001733C9">
            <w:pPr>
              <w:jc w:val="center"/>
              <w:rPr>
                <w:color w:val="000000"/>
                <w:sz w:val="20"/>
              </w:rPr>
            </w:pPr>
            <w:r w:rsidRPr="00573B55">
              <w:rPr>
                <w:color w:val="000000"/>
                <w:sz w:val="20"/>
              </w:rPr>
              <w:t>86,0%</w:t>
            </w:r>
          </w:p>
        </w:tc>
      </w:tr>
      <w:tr w:rsidR="009A28A8" w:rsidRPr="00573B55" w14:paraId="42950E8B"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403218B7" w14:textId="77777777" w:rsidR="009A28A8" w:rsidRPr="00573B55" w:rsidRDefault="009A28A8" w:rsidP="001733C9">
            <w:pPr>
              <w:rPr>
                <w:i/>
                <w:iCs/>
                <w:color w:val="000000"/>
                <w:sz w:val="20"/>
              </w:rPr>
            </w:pPr>
            <w:r w:rsidRPr="00573B55">
              <w:rPr>
                <w:i/>
                <w:iCs/>
                <w:color w:val="000000"/>
                <w:kern w:val="2"/>
                <w:sz w:val="20"/>
              </w:rPr>
              <w:t>%% к ВВП</w:t>
            </w:r>
          </w:p>
        </w:tc>
        <w:tc>
          <w:tcPr>
            <w:tcW w:w="1597" w:type="dxa"/>
            <w:tcBorders>
              <w:top w:val="nil"/>
              <w:left w:val="nil"/>
              <w:bottom w:val="single" w:sz="8" w:space="0" w:color="000000"/>
              <w:right w:val="single" w:sz="8" w:space="0" w:color="000000"/>
            </w:tcBorders>
            <w:shd w:val="clear" w:color="auto" w:fill="auto"/>
            <w:vAlign w:val="center"/>
            <w:hideMark/>
          </w:tcPr>
          <w:p w14:paraId="5CEB05D0" w14:textId="77777777" w:rsidR="009A28A8" w:rsidRPr="00573B55" w:rsidRDefault="009A28A8" w:rsidP="001733C9">
            <w:pPr>
              <w:jc w:val="center"/>
              <w:rPr>
                <w:i/>
                <w:iCs/>
                <w:color w:val="000000"/>
                <w:sz w:val="20"/>
              </w:rPr>
            </w:pPr>
            <w:r w:rsidRPr="00573B55">
              <w:rPr>
                <w:i/>
                <w:iCs/>
                <w:color w:val="000000"/>
                <w:sz w:val="20"/>
              </w:rPr>
              <w:t>0,9</w:t>
            </w:r>
          </w:p>
        </w:tc>
        <w:tc>
          <w:tcPr>
            <w:tcW w:w="1413" w:type="dxa"/>
            <w:tcBorders>
              <w:top w:val="nil"/>
              <w:left w:val="nil"/>
              <w:bottom w:val="single" w:sz="8" w:space="0" w:color="000000"/>
              <w:right w:val="single" w:sz="8" w:space="0" w:color="000000"/>
            </w:tcBorders>
            <w:shd w:val="clear" w:color="auto" w:fill="auto"/>
            <w:vAlign w:val="center"/>
            <w:hideMark/>
          </w:tcPr>
          <w:p w14:paraId="3F4AD487" w14:textId="77777777" w:rsidR="009A28A8" w:rsidRPr="00573B55" w:rsidRDefault="009A28A8" w:rsidP="001733C9">
            <w:pPr>
              <w:jc w:val="center"/>
              <w:rPr>
                <w:i/>
                <w:iCs/>
                <w:color w:val="000000"/>
                <w:sz w:val="20"/>
              </w:rPr>
            </w:pPr>
            <w:r w:rsidRPr="00573B55">
              <w:rPr>
                <w:i/>
                <w:iCs/>
                <w:color w:val="000000"/>
                <w:sz w:val="20"/>
              </w:rPr>
              <w:t>0,9</w:t>
            </w:r>
          </w:p>
        </w:tc>
        <w:tc>
          <w:tcPr>
            <w:tcW w:w="1416" w:type="dxa"/>
            <w:tcBorders>
              <w:top w:val="nil"/>
              <w:left w:val="nil"/>
              <w:bottom w:val="single" w:sz="8" w:space="0" w:color="000000"/>
              <w:right w:val="single" w:sz="8" w:space="0" w:color="000000"/>
            </w:tcBorders>
            <w:shd w:val="clear" w:color="auto" w:fill="auto"/>
            <w:vAlign w:val="center"/>
            <w:hideMark/>
          </w:tcPr>
          <w:p w14:paraId="34C82253" w14:textId="77777777" w:rsidR="009A28A8" w:rsidRPr="00573B55" w:rsidRDefault="009A28A8" w:rsidP="001733C9">
            <w:pPr>
              <w:jc w:val="center"/>
              <w:rPr>
                <w:i/>
                <w:iCs/>
                <w:color w:val="000000"/>
                <w:sz w:val="20"/>
              </w:rPr>
            </w:pPr>
            <w:r w:rsidRPr="00573B55">
              <w:rPr>
                <w:i/>
                <w:iCs/>
                <w:color w:val="000000"/>
                <w:sz w:val="20"/>
              </w:rPr>
              <w:t>0,9</w:t>
            </w:r>
          </w:p>
        </w:tc>
        <w:tc>
          <w:tcPr>
            <w:tcW w:w="1416" w:type="dxa"/>
            <w:tcBorders>
              <w:top w:val="nil"/>
              <w:left w:val="nil"/>
              <w:bottom w:val="single" w:sz="8" w:space="0" w:color="000000"/>
              <w:right w:val="single" w:sz="8" w:space="0" w:color="000000"/>
            </w:tcBorders>
            <w:shd w:val="clear" w:color="auto" w:fill="auto"/>
            <w:vAlign w:val="center"/>
            <w:hideMark/>
          </w:tcPr>
          <w:p w14:paraId="7CD9977A" w14:textId="77777777" w:rsidR="009A28A8" w:rsidRPr="00573B55" w:rsidRDefault="009A28A8" w:rsidP="001733C9">
            <w:pPr>
              <w:jc w:val="center"/>
              <w:rPr>
                <w:i/>
                <w:iCs/>
                <w:color w:val="000000"/>
                <w:sz w:val="20"/>
              </w:rPr>
            </w:pPr>
            <w:r w:rsidRPr="00573B55">
              <w:rPr>
                <w:i/>
                <w:iCs/>
                <w:color w:val="000000"/>
                <w:sz w:val="20"/>
              </w:rPr>
              <w:t>0,7</w:t>
            </w:r>
          </w:p>
        </w:tc>
      </w:tr>
      <w:tr w:rsidR="009A28A8" w:rsidRPr="00573B55" w14:paraId="462B1865"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6B5BC1A3" w14:textId="77777777" w:rsidR="009A28A8" w:rsidRPr="00573B55" w:rsidRDefault="009A28A8" w:rsidP="001733C9">
            <w:pPr>
              <w:rPr>
                <w:i/>
                <w:iCs/>
                <w:color w:val="000000"/>
                <w:sz w:val="20"/>
              </w:rPr>
            </w:pPr>
            <w:r w:rsidRPr="00573B55">
              <w:rPr>
                <w:i/>
                <w:iCs/>
                <w:color w:val="000000"/>
                <w:sz w:val="20"/>
              </w:rPr>
              <w:t>доля в общем объеме расходов</w:t>
            </w:r>
            <w:r>
              <w:rPr>
                <w:i/>
                <w:iCs/>
                <w:color w:val="000000"/>
                <w:sz w:val="20"/>
              </w:rPr>
              <w:t xml:space="preserve"> ФБ</w:t>
            </w:r>
            <w:r w:rsidRPr="00573B55">
              <w:rPr>
                <w:i/>
                <w:iCs/>
                <w:color w:val="000000"/>
                <w:sz w:val="20"/>
              </w:rPr>
              <w:t>, %</w:t>
            </w:r>
          </w:p>
        </w:tc>
        <w:tc>
          <w:tcPr>
            <w:tcW w:w="1597" w:type="dxa"/>
            <w:tcBorders>
              <w:top w:val="nil"/>
              <w:left w:val="nil"/>
              <w:bottom w:val="single" w:sz="8" w:space="0" w:color="000000"/>
              <w:right w:val="single" w:sz="8" w:space="0" w:color="000000"/>
            </w:tcBorders>
            <w:shd w:val="clear" w:color="auto" w:fill="auto"/>
            <w:vAlign w:val="center"/>
            <w:hideMark/>
          </w:tcPr>
          <w:p w14:paraId="3A206D92" w14:textId="77777777" w:rsidR="009A28A8" w:rsidRPr="00573B55" w:rsidRDefault="009A28A8" w:rsidP="001733C9">
            <w:pPr>
              <w:jc w:val="center"/>
              <w:rPr>
                <w:i/>
                <w:iCs/>
                <w:color w:val="000000"/>
                <w:sz w:val="20"/>
              </w:rPr>
            </w:pPr>
            <w:r w:rsidRPr="00312821">
              <w:rPr>
                <w:i/>
                <w:iCs/>
                <w:color w:val="000000"/>
                <w:sz w:val="20"/>
              </w:rPr>
              <w:t>4,5%</w:t>
            </w:r>
          </w:p>
        </w:tc>
        <w:tc>
          <w:tcPr>
            <w:tcW w:w="1413" w:type="dxa"/>
            <w:tcBorders>
              <w:top w:val="nil"/>
              <w:left w:val="nil"/>
              <w:bottom w:val="single" w:sz="8" w:space="0" w:color="000000"/>
              <w:right w:val="single" w:sz="8" w:space="0" w:color="000000"/>
            </w:tcBorders>
            <w:shd w:val="clear" w:color="auto" w:fill="auto"/>
            <w:vAlign w:val="center"/>
            <w:hideMark/>
          </w:tcPr>
          <w:p w14:paraId="09184E7D" w14:textId="77777777" w:rsidR="009A28A8" w:rsidRPr="00573B55" w:rsidRDefault="009A28A8" w:rsidP="001733C9">
            <w:pPr>
              <w:jc w:val="center"/>
              <w:rPr>
                <w:i/>
                <w:iCs/>
                <w:color w:val="000000"/>
                <w:sz w:val="20"/>
              </w:rPr>
            </w:pPr>
            <w:r w:rsidRPr="00312821">
              <w:rPr>
                <w:i/>
                <w:iCs/>
                <w:color w:val="000000"/>
                <w:sz w:val="20"/>
              </w:rPr>
              <w:t>4,7%</w:t>
            </w:r>
          </w:p>
        </w:tc>
        <w:tc>
          <w:tcPr>
            <w:tcW w:w="1416" w:type="dxa"/>
            <w:tcBorders>
              <w:top w:val="nil"/>
              <w:left w:val="nil"/>
              <w:bottom w:val="single" w:sz="8" w:space="0" w:color="000000"/>
              <w:right w:val="single" w:sz="8" w:space="0" w:color="000000"/>
            </w:tcBorders>
            <w:shd w:val="clear" w:color="auto" w:fill="auto"/>
            <w:vAlign w:val="center"/>
            <w:hideMark/>
          </w:tcPr>
          <w:p w14:paraId="0487B9BA" w14:textId="77777777" w:rsidR="009A28A8" w:rsidRPr="00573B55" w:rsidRDefault="009A28A8" w:rsidP="001733C9">
            <w:pPr>
              <w:jc w:val="center"/>
              <w:rPr>
                <w:i/>
                <w:iCs/>
                <w:color w:val="000000"/>
                <w:sz w:val="20"/>
              </w:rPr>
            </w:pPr>
            <w:r w:rsidRPr="00312821">
              <w:rPr>
                <w:i/>
                <w:iCs/>
                <w:color w:val="000000"/>
                <w:sz w:val="20"/>
              </w:rPr>
              <w:t>4,8%</w:t>
            </w:r>
          </w:p>
        </w:tc>
        <w:tc>
          <w:tcPr>
            <w:tcW w:w="1416" w:type="dxa"/>
            <w:tcBorders>
              <w:top w:val="nil"/>
              <w:left w:val="nil"/>
              <w:bottom w:val="single" w:sz="8" w:space="0" w:color="000000"/>
              <w:right w:val="single" w:sz="8" w:space="0" w:color="000000"/>
            </w:tcBorders>
            <w:shd w:val="clear" w:color="auto" w:fill="auto"/>
            <w:vAlign w:val="center"/>
            <w:hideMark/>
          </w:tcPr>
          <w:p w14:paraId="65ECBD67" w14:textId="77777777" w:rsidR="009A28A8" w:rsidRPr="00573B55" w:rsidRDefault="009A28A8" w:rsidP="001733C9">
            <w:pPr>
              <w:jc w:val="center"/>
              <w:rPr>
                <w:i/>
                <w:iCs/>
                <w:color w:val="000000"/>
                <w:sz w:val="20"/>
              </w:rPr>
            </w:pPr>
            <w:r w:rsidRPr="00312821">
              <w:rPr>
                <w:i/>
                <w:iCs/>
                <w:color w:val="000000"/>
                <w:sz w:val="20"/>
              </w:rPr>
              <w:t>4,1%</w:t>
            </w:r>
          </w:p>
        </w:tc>
      </w:tr>
      <w:tr w:rsidR="009A28A8" w:rsidRPr="00573B55" w14:paraId="0C4569C2"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7E53BDD1" w14:textId="77777777" w:rsidR="009A28A8" w:rsidRPr="00573B55" w:rsidRDefault="009A28A8" w:rsidP="001733C9">
            <w:pPr>
              <w:rPr>
                <w:color w:val="000000"/>
                <w:sz w:val="20"/>
              </w:rPr>
            </w:pPr>
            <w:r w:rsidRPr="00573B55">
              <w:rPr>
                <w:color w:val="000000"/>
                <w:kern w:val="2"/>
                <w:sz w:val="20"/>
              </w:rPr>
              <w:t>Культура, кинематография</w:t>
            </w:r>
          </w:p>
        </w:tc>
        <w:tc>
          <w:tcPr>
            <w:tcW w:w="1597" w:type="dxa"/>
            <w:tcBorders>
              <w:top w:val="nil"/>
              <w:left w:val="nil"/>
              <w:bottom w:val="single" w:sz="8" w:space="0" w:color="000000"/>
              <w:right w:val="single" w:sz="8" w:space="0" w:color="000000"/>
            </w:tcBorders>
            <w:shd w:val="clear" w:color="auto" w:fill="F2F2F2" w:themeFill="background1" w:themeFillShade="F2"/>
            <w:vAlign w:val="center"/>
            <w:hideMark/>
          </w:tcPr>
          <w:p w14:paraId="6DA6070A" w14:textId="77777777" w:rsidR="009A28A8" w:rsidRPr="00573B55" w:rsidRDefault="009A28A8" w:rsidP="001733C9">
            <w:pPr>
              <w:jc w:val="center"/>
              <w:rPr>
                <w:color w:val="000000"/>
                <w:sz w:val="20"/>
              </w:rPr>
            </w:pPr>
            <w:r w:rsidRPr="00573B55">
              <w:rPr>
                <w:color w:val="000000"/>
                <w:sz w:val="20"/>
              </w:rPr>
              <w:t>177 959,3</w:t>
            </w:r>
          </w:p>
        </w:tc>
        <w:tc>
          <w:tcPr>
            <w:tcW w:w="1413" w:type="dxa"/>
            <w:tcBorders>
              <w:top w:val="nil"/>
              <w:left w:val="nil"/>
              <w:bottom w:val="single" w:sz="8" w:space="0" w:color="000000"/>
              <w:right w:val="single" w:sz="8" w:space="0" w:color="000000"/>
            </w:tcBorders>
            <w:shd w:val="clear" w:color="auto" w:fill="F2F2F2" w:themeFill="background1" w:themeFillShade="F2"/>
            <w:vAlign w:val="center"/>
            <w:hideMark/>
          </w:tcPr>
          <w:p w14:paraId="1568FE40" w14:textId="77777777" w:rsidR="009A28A8" w:rsidRPr="00573B55" w:rsidRDefault="009A28A8" w:rsidP="001733C9">
            <w:pPr>
              <w:jc w:val="center"/>
              <w:rPr>
                <w:color w:val="000000"/>
                <w:sz w:val="20"/>
              </w:rPr>
            </w:pPr>
            <w:r w:rsidRPr="00573B55">
              <w:rPr>
                <w:color w:val="000000"/>
                <w:sz w:val="20"/>
              </w:rPr>
              <w:t>195 626,60</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77EE9B36" w14:textId="77777777" w:rsidR="009A28A8" w:rsidRPr="00573B55" w:rsidRDefault="009A28A8" w:rsidP="001733C9">
            <w:pPr>
              <w:jc w:val="center"/>
              <w:rPr>
                <w:color w:val="000000"/>
                <w:sz w:val="20"/>
              </w:rPr>
            </w:pPr>
            <w:r w:rsidRPr="00573B55">
              <w:rPr>
                <w:color w:val="000000"/>
                <w:sz w:val="20"/>
              </w:rPr>
              <w:t>203 099,00</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17C56F24" w14:textId="77777777" w:rsidR="009A28A8" w:rsidRPr="00573B55" w:rsidRDefault="009A28A8" w:rsidP="001733C9">
            <w:pPr>
              <w:jc w:val="center"/>
              <w:rPr>
                <w:color w:val="000000"/>
                <w:sz w:val="20"/>
              </w:rPr>
            </w:pPr>
            <w:r w:rsidRPr="00573B55">
              <w:rPr>
                <w:color w:val="000000"/>
                <w:sz w:val="20"/>
              </w:rPr>
              <w:t>170 563,50</w:t>
            </w:r>
          </w:p>
        </w:tc>
      </w:tr>
      <w:tr w:rsidR="009A28A8" w:rsidRPr="00573B55" w14:paraId="44D1E58E"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5DF6FB5C" w14:textId="77777777" w:rsidR="009A28A8" w:rsidRPr="00573B55" w:rsidRDefault="009A28A8" w:rsidP="001733C9">
            <w:pPr>
              <w:rPr>
                <w:i/>
                <w:iCs/>
                <w:color w:val="000000"/>
                <w:sz w:val="20"/>
              </w:rPr>
            </w:pPr>
            <w:r w:rsidRPr="00573B55">
              <w:rPr>
                <w:i/>
                <w:iCs/>
                <w:color w:val="000000"/>
                <w:sz w:val="20"/>
              </w:rPr>
              <w:t>темп роста, %</w:t>
            </w:r>
          </w:p>
        </w:tc>
        <w:tc>
          <w:tcPr>
            <w:tcW w:w="1597" w:type="dxa"/>
            <w:tcBorders>
              <w:top w:val="nil"/>
              <w:left w:val="nil"/>
              <w:bottom w:val="single" w:sz="8" w:space="0" w:color="000000"/>
              <w:right w:val="single" w:sz="8" w:space="0" w:color="000000"/>
            </w:tcBorders>
            <w:shd w:val="clear" w:color="auto" w:fill="auto"/>
            <w:vAlign w:val="center"/>
            <w:hideMark/>
          </w:tcPr>
          <w:p w14:paraId="6715E7FD" w14:textId="77777777" w:rsidR="009A28A8" w:rsidRPr="00573B55" w:rsidRDefault="009A28A8" w:rsidP="001733C9">
            <w:pPr>
              <w:jc w:val="center"/>
              <w:rPr>
                <w:color w:val="000000"/>
                <w:sz w:val="20"/>
              </w:rPr>
            </w:pPr>
            <w:r w:rsidRPr="00573B55">
              <w:rPr>
                <w:color w:val="000000"/>
                <w:sz w:val="20"/>
              </w:rPr>
              <w:t>100,0%</w:t>
            </w:r>
          </w:p>
        </w:tc>
        <w:tc>
          <w:tcPr>
            <w:tcW w:w="1413" w:type="dxa"/>
            <w:tcBorders>
              <w:top w:val="nil"/>
              <w:left w:val="nil"/>
              <w:bottom w:val="single" w:sz="8" w:space="0" w:color="000000"/>
              <w:right w:val="single" w:sz="8" w:space="0" w:color="000000"/>
            </w:tcBorders>
            <w:shd w:val="clear" w:color="auto" w:fill="auto"/>
            <w:vAlign w:val="center"/>
            <w:hideMark/>
          </w:tcPr>
          <w:p w14:paraId="4E71C082" w14:textId="77777777" w:rsidR="009A28A8" w:rsidRPr="00573B55" w:rsidRDefault="009A28A8" w:rsidP="001733C9">
            <w:pPr>
              <w:jc w:val="center"/>
              <w:rPr>
                <w:color w:val="000000"/>
                <w:sz w:val="20"/>
              </w:rPr>
            </w:pPr>
            <w:r w:rsidRPr="00573B55">
              <w:rPr>
                <w:color w:val="000000"/>
                <w:sz w:val="20"/>
              </w:rPr>
              <w:t>109,9%</w:t>
            </w:r>
          </w:p>
        </w:tc>
        <w:tc>
          <w:tcPr>
            <w:tcW w:w="1416" w:type="dxa"/>
            <w:tcBorders>
              <w:top w:val="nil"/>
              <w:left w:val="nil"/>
              <w:bottom w:val="single" w:sz="8" w:space="0" w:color="000000"/>
              <w:right w:val="single" w:sz="8" w:space="0" w:color="000000"/>
            </w:tcBorders>
            <w:shd w:val="clear" w:color="auto" w:fill="auto"/>
            <w:vAlign w:val="center"/>
            <w:hideMark/>
          </w:tcPr>
          <w:p w14:paraId="7CF30EC5" w14:textId="77777777" w:rsidR="009A28A8" w:rsidRPr="00573B55" w:rsidRDefault="009A28A8" w:rsidP="001733C9">
            <w:pPr>
              <w:jc w:val="center"/>
              <w:rPr>
                <w:color w:val="000000"/>
                <w:sz w:val="20"/>
              </w:rPr>
            </w:pPr>
            <w:r w:rsidRPr="00573B55">
              <w:rPr>
                <w:color w:val="000000"/>
                <w:sz w:val="20"/>
              </w:rPr>
              <w:t>103,8%</w:t>
            </w:r>
          </w:p>
        </w:tc>
        <w:tc>
          <w:tcPr>
            <w:tcW w:w="1416" w:type="dxa"/>
            <w:tcBorders>
              <w:top w:val="nil"/>
              <w:left w:val="nil"/>
              <w:bottom w:val="single" w:sz="8" w:space="0" w:color="000000"/>
              <w:right w:val="single" w:sz="8" w:space="0" w:color="000000"/>
            </w:tcBorders>
            <w:shd w:val="clear" w:color="auto" w:fill="auto"/>
            <w:vAlign w:val="center"/>
            <w:hideMark/>
          </w:tcPr>
          <w:p w14:paraId="138A89B7" w14:textId="77777777" w:rsidR="009A28A8" w:rsidRPr="00573B55" w:rsidRDefault="009A28A8" w:rsidP="001733C9">
            <w:pPr>
              <w:jc w:val="center"/>
              <w:rPr>
                <w:color w:val="000000"/>
                <w:sz w:val="20"/>
              </w:rPr>
            </w:pPr>
            <w:r w:rsidRPr="00573B55">
              <w:rPr>
                <w:color w:val="000000"/>
                <w:sz w:val="20"/>
              </w:rPr>
              <w:t>84,0%</w:t>
            </w:r>
          </w:p>
        </w:tc>
      </w:tr>
      <w:tr w:rsidR="009A28A8" w:rsidRPr="00573B55" w14:paraId="764B5546"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43605BA4" w14:textId="77777777" w:rsidR="009A28A8" w:rsidRPr="00573B55" w:rsidRDefault="009A28A8" w:rsidP="001733C9">
            <w:pPr>
              <w:rPr>
                <w:i/>
                <w:iCs/>
                <w:color w:val="000000"/>
                <w:sz w:val="20"/>
              </w:rPr>
            </w:pPr>
            <w:r w:rsidRPr="00573B55">
              <w:rPr>
                <w:i/>
                <w:iCs/>
                <w:color w:val="000000"/>
                <w:kern w:val="2"/>
                <w:sz w:val="20"/>
              </w:rPr>
              <w:t>%% к ВВП</w:t>
            </w:r>
          </w:p>
        </w:tc>
        <w:tc>
          <w:tcPr>
            <w:tcW w:w="1597" w:type="dxa"/>
            <w:tcBorders>
              <w:top w:val="nil"/>
              <w:left w:val="nil"/>
              <w:bottom w:val="single" w:sz="8" w:space="0" w:color="000000"/>
              <w:right w:val="single" w:sz="8" w:space="0" w:color="000000"/>
            </w:tcBorders>
            <w:shd w:val="clear" w:color="auto" w:fill="auto"/>
            <w:vAlign w:val="center"/>
            <w:hideMark/>
          </w:tcPr>
          <w:p w14:paraId="62A8815C" w14:textId="77777777" w:rsidR="009A28A8" w:rsidRPr="00573B55" w:rsidRDefault="009A28A8" w:rsidP="001733C9">
            <w:pPr>
              <w:jc w:val="center"/>
              <w:rPr>
                <w:i/>
                <w:iCs/>
                <w:color w:val="000000"/>
                <w:sz w:val="20"/>
              </w:rPr>
            </w:pPr>
            <w:r w:rsidRPr="00573B55">
              <w:rPr>
                <w:i/>
                <w:iCs/>
                <w:color w:val="000000"/>
                <w:sz w:val="20"/>
              </w:rPr>
              <w:t>0,1</w:t>
            </w:r>
          </w:p>
        </w:tc>
        <w:tc>
          <w:tcPr>
            <w:tcW w:w="1413" w:type="dxa"/>
            <w:tcBorders>
              <w:top w:val="nil"/>
              <w:left w:val="nil"/>
              <w:bottom w:val="single" w:sz="8" w:space="0" w:color="000000"/>
              <w:right w:val="single" w:sz="8" w:space="0" w:color="000000"/>
            </w:tcBorders>
            <w:shd w:val="clear" w:color="auto" w:fill="auto"/>
            <w:vAlign w:val="center"/>
            <w:hideMark/>
          </w:tcPr>
          <w:p w14:paraId="75779E01" w14:textId="77777777" w:rsidR="009A28A8" w:rsidRPr="00573B55" w:rsidRDefault="009A28A8" w:rsidP="001733C9">
            <w:pPr>
              <w:jc w:val="center"/>
              <w:rPr>
                <w:i/>
                <w:iCs/>
                <w:color w:val="000000"/>
                <w:sz w:val="20"/>
              </w:rPr>
            </w:pPr>
            <w:r w:rsidRPr="00573B55">
              <w:rPr>
                <w:i/>
                <w:iCs/>
                <w:color w:val="000000"/>
                <w:sz w:val="20"/>
              </w:rPr>
              <w:t>0,1</w:t>
            </w:r>
          </w:p>
        </w:tc>
        <w:tc>
          <w:tcPr>
            <w:tcW w:w="1416" w:type="dxa"/>
            <w:tcBorders>
              <w:top w:val="nil"/>
              <w:left w:val="nil"/>
              <w:bottom w:val="single" w:sz="8" w:space="0" w:color="000000"/>
              <w:right w:val="single" w:sz="8" w:space="0" w:color="000000"/>
            </w:tcBorders>
            <w:shd w:val="clear" w:color="auto" w:fill="auto"/>
            <w:vAlign w:val="center"/>
            <w:hideMark/>
          </w:tcPr>
          <w:p w14:paraId="08F588AC" w14:textId="77777777" w:rsidR="009A28A8" w:rsidRPr="00573B55" w:rsidRDefault="009A28A8" w:rsidP="001733C9">
            <w:pPr>
              <w:jc w:val="center"/>
              <w:rPr>
                <w:i/>
                <w:iCs/>
                <w:color w:val="000000"/>
                <w:sz w:val="20"/>
              </w:rPr>
            </w:pPr>
            <w:r w:rsidRPr="00573B55">
              <w:rPr>
                <w:i/>
                <w:iCs/>
                <w:color w:val="000000"/>
                <w:sz w:val="20"/>
              </w:rPr>
              <w:t>0,1</w:t>
            </w:r>
          </w:p>
        </w:tc>
        <w:tc>
          <w:tcPr>
            <w:tcW w:w="1416" w:type="dxa"/>
            <w:tcBorders>
              <w:top w:val="nil"/>
              <w:left w:val="nil"/>
              <w:bottom w:val="single" w:sz="8" w:space="0" w:color="000000"/>
              <w:right w:val="single" w:sz="8" w:space="0" w:color="000000"/>
            </w:tcBorders>
            <w:shd w:val="clear" w:color="auto" w:fill="auto"/>
            <w:vAlign w:val="center"/>
            <w:hideMark/>
          </w:tcPr>
          <w:p w14:paraId="4E88EF26" w14:textId="77777777" w:rsidR="009A28A8" w:rsidRPr="00573B55" w:rsidRDefault="009A28A8" w:rsidP="001733C9">
            <w:pPr>
              <w:jc w:val="center"/>
              <w:rPr>
                <w:i/>
                <w:iCs/>
                <w:color w:val="000000"/>
                <w:sz w:val="20"/>
              </w:rPr>
            </w:pPr>
            <w:r w:rsidRPr="00573B55">
              <w:rPr>
                <w:i/>
                <w:iCs/>
                <w:color w:val="000000"/>
                <w:sz w:val="20"/>
              </w:rPr>
              <w:t>0,1</w:t>
            </w:r>
          </w:p>
        </w:tc>
      </w:tr>
      <w:tr w:rsidR="009A28A8" w:rsidRPr="00573B55" w14:paraId="0B4D5A6D"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431361C7" w14:textId="77777777" w:rsidR="009A28A8" w:rsidRPr="00573B55" w:rsidRDefault="009A28A8" w:rsidP="001733C9">
            <w:pPr>
              <w:rPr>
                <w:i/>
                <w:iCs/>
                <w:color w:val="000000"/>
                <w:sz w:val="20"/>
              </w:rPr>
            </w:pPr>
            <w:r w:rsidRPr="00573B55">
              <w:rPr>
                <w:i/>
                <w:iCs/>
                <w:color w:val="000000"/>
                <w:sz w:val="20"/>
              </w:rPr>
              <w:t>доля в общем объеме расходов</w:t>
            </w:r>
            <w:r>
              <w:rPr>
                <w:i/>
                <w:iCs/>
                <w:color w:val="000000"/>
                <w:sz w:val="20"/>
              </w:rPr>
              <w:t xml:space="preserve"> ФБ</w:t>
            </w:r>
            <w:r w:rsidRPr="00573B55">
              <w:rPr>
                <w:i/>
                <w:iCs/>
                <w:color w:val="000000"/>
                <w:sz w:val="20"/>
              </w:rPr>
              <w:t>, %</w:t>
            </w:r>
          </w:p>
        </w:tc>
        <w:tc>
          <w:tcPr>
            <w:tcW w:w="1597" w:type="dxa"/>
            <w:tcBorders>
              <w:top w:val="nil"/>
              <w:left w:val="nil"/>
              <w:bottom w:val="single" w:sz="8" w:space="0" w:color="000000"/>
              <w:right w:val="single" w:sz="8" w:space="0" w:color="000000"/>
            </w:tcBorders>
            <w:shd w:val="clear" w:color="auto" w:fill="auto"/>
            <w:vAlign w:val="center"/>
            <w:hideMark/>
          </w:tcPr>
          <w:p w14:paraId="599AF92A" w14:textId="77777777" w:rsidR="009A28A8" w:rsidRPr="00573B55" w:rsidRDefault="009A28A8" w:rsidP="001733C9">
            <w:pPr>
              <w:jc w:val="center"/>
              <w:rPr>
                <w:i/>
                <w:iCs/>
                <w:color w:val="000000"/>
                <w:sz w:val="20"/>
              </w:rPr>
            </w:pPr>
            <w:r w:rsidRPr="00312821">
              <w:rPr>
                <w:i/>
                <w:iCs/>
                <w:color w:val="000000"/>
                <w:sz w:val="20"/>
              </w:rPr>
              <w:t>0,6%</w:t>
            </w:r>
          </w:p>
        </w:tc>
        <w:tc>
          <w:tcPr>
            <w:tcW w:w="1413" w:type="dxa"/>
            <w:tcBorders>
              <w:top w:val="nil"/>
              <w:left w:val="nil"/>
              <w:bottom w:val="single" w:sz="8" w:space="0" w:color="000000"/>
              <w:right w:val="single" w:sz="8" w:space="0" w:color="000000"/>
            </w:tcBorders>
            <w:shd w:val="clear" w:color="auto" w:fill="auto"/>
            <w:vAlign w:val="center"/>
            <w:hideMark/>
          </w:tcPr>
          <w:p w14:paraId="2955B359" w14:textId="77777777" w:rsidR="009A28A8" w:rsidRPr="00573B55" w:rsidRDefault="009A28A8" w:rsidP="001733C9">
            <w:pPr>
              <w:jc w:val="center"/>
              <w:rPr>
                <w:i/>
                <w:iCs/>
                <w:color w:val="000000"/>
                <w:sz w:val="20"/>
              </w:rPr>
            </w:pPr>
            <w:r w:rsidRPr="00312821">
              <w:rPr>
                <w:i/>
                <w:iCs/>
                <w:color w:val="000000"/>
                <w:sz w:val="20"/>
              </w:rPr>
              <w:t>0,7%</w:t>
            </w:r>
          </w:p>
        </w:tc>
        <w:tc>
          <w:tcPr>
            <w:tcW w:w="1416" w:type="dxa"/>
            <w:tcBorders>
              <w:top w:val="nil"/>
              <w:left w:val="nil"/>
              <w:bottom w:val="single" w:sz="8" w:space="0" w:color="000000"/>
              <w:right w:val="single" w:sz="8" w:space="0" w:color="000000"/>
            </w:tcBorders>
            <w:shd w:val="clear" w:color="auto" w:fill="auto"/>
            <w:vAlign w:val="center"/>
            <w:hideMark/>
          </w:tcPr>
          <w:p w14:paraId="57CE372C" w14:textId="77777777" w:rsidR="009A28A8" w:rsidRPr="00573B55" w:rsidRDefault="009A28A8" w:rsidP="001733C9">
            <w:pPr>
              <w:jc w:val="center"/>
              <w:rPr>
                <w:i/>
                <w:iCs/>
                <w:color w:val="000000"/>
                <w:sz w:val="20"/>
              </w:rPr>
            </w:pPr>
            <w:r w:rsidRPr="00312821">
              <w:rPr>
                <w:i/>
                <w:iCs/>
                <w:color w:val="000000"/>
                <w:sz w:val="20"/>
              </w:rPr>
              <w:t>0,7%</w:t>
            </w:r>
          </w:p>
        </w:tc>
        <w:tc>
          <w:tcPr>
            <w:tcW w:w="1416" w:type="dxa"/>
            <w:tcBorders>
              <w:top w:val="nil"/>
              <w:left w:val="nil"/>
              <w:bottom w:val="single" w:sz="8" w:space="0" w:color="000000"/>
              <w:right w:val="single" w:sz="8" w:space="0" w:color="000000"/>
            </w:tcBorders>
            <w:shd w:val="clear" w:color="auto" w:fill="auto"/>
            <w:vAlign w:val="center"/>
            <w:hideMark/>
          </w:tcPr>
          <w:p w14:paraId="1D2764A9" w14:textId="77777777" w:rsidR="009A28A8" w:rsidRPr="00573B55" w:rsidRDefault="009A28A8" w:rsidP="001733C9">
            <w:pPr>
              <w:jc w:val="center"/>
              <w:rPr>
                <w:i/>
                <w:iCs/>
                <w:color w:val="000000"/>
                <w:sz w:val="20"/>
              </w:rPr>
            </w:pPr>
            <w:r w:rsidRPr="00312821">
              <w:rPr>
                <w:i/>
                <w:iCs/>
                <w:color w:val="000000"/>
                <w:sz w:val="20"/>
              </w:rPr>
              <w:t>0,6%</w:t>
            </w:r>
          </w:p>
        </w:tc>
      </w:tr>
      <w:tr w:rsidR="009A28A8" w:rsidRPr="00573B55" w14:paraId="27949719"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3192AF76" w14:textId="77777777" w:rsidR="009A28A8" w:rsidRPr="00573B55" w:rsidRDefault="009A28A8" w:rsidP="001733C9">
            <w:pPr>
              <w:rPr>
                <w:color w:val="000000"/>
                <w:sz w:val="20"/>
              </w:rPr>
            </w:pPr>
            <w:r w:rsidRPr="00573B55">
              <w:rPr>
                <w:color w:val="000000"/>
                <w:kern w:val="2"/>
                <w:sz w:val="20"/>
              </w:rPr>
              <w:t xml:space="preserve">Здравоохранение </w:t>
            </w:r>
          </w:p>
        </w:tc>
        <w:tc>
          <w:tcPr>
            <w:tcW w:w="1597" w:type="dxa"/>
            <w:tcBorders>
              <w:top w:val="nil"/>
              <w:left w:val="nil"/>
              <w:bottom w:val="single" w:sz="8" w:space="0" w:color="000000"/>
              <w:right w:val="single" w:sz="8" w:space="0" w:color="000000"/>
            </w:tcBorders>
            <w:shd w:val="clear" w:color="auto" w:fill="F2F2F2" w:themeFill="background1" w:themeFillShade="F2"/>
            <w:vAlign w:val="center"/>
            <w:hideMark/>
          </w:tcPr>
          <w:p w14:paraId="63620D9E" w14:textId="77777777" w:rsidR="009A28A8" w:rsidRPr="00573B55" w:rsidRDefault="009A28A8" w:rsidP="001733C9">
            <w:pPr>
              <w:jc w:val="center"/>
              <w:rPr>
                <w:color w:val="000000"/>
                <w:sz w:val="20"/>
              </w:rPr>
            </w:pPr>
            <w:r w:rsidRPr="00573B55">
              <w:rPr>
                <w:color w:val="000000"/>
                <w:sz w:val="20"/>
              </w:rPr>
              <w:t>1 234 574,10</w:t>
            </w:r>
          </w:p>
        </w:tc>
        <w:tc>
          <w:tcPr>
            <w:tcW w:w="1413" w:type="dxa"/>
            <w:tcBorders>
              <w:top w:val="nil"/>
              <w:left w:val="nil"/>
              <w:bottom w:val="single" w:sz="8" w:space="0" w:color="000000"/>
              <w:right w:val="single" w:sz="8" w:space="0" w:color="000000"/>
            </w:tcBorders>
            <w:shd w:val="clear" w:color="auto" w:fill="F2F2F2" w:themeFill="background1" w:themeFillShade="F2"/>
            <w:vAlign w:val="center"/>
            <w:hideMark/>
          </w:tcPr>
          <w:p w14:paraId="43B158BD" w14:textId="77777777" w:rsidR="009A28A8" w:rsidRPr="00573B55" w:rsidRDefault="009A28A8" w:rsidP="001733C9">
            <w:pPr>
              <w:jc w:val="center"/>
              <w:rPr>
                <w:color w:val="000000"/>
                <w:sz w:val="20"/>
              </w:rPr>
            </w:pPr>
            <w:r w:rsidRPr="00573B55">
              <w:rPr>
                <w:color w:val="000000"/>
                <w:sz w:val="20"/>
              </w:rPr>
              <w:t>1 431 897,90</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05A62B8C" w14:textId="77777777" w:rsidR="009A28A8" w:rsidRPr="00573B55" w:rsidRDefault="009A28A8" w:rsidP="001733C9">
            <w:pPr>
              <w:jc w:val="center"/>
              <w:rPr>
                <w:color w:val="000000"/>
                <w:sz w:val="20"/>
              </w:rPr>
            </w:pPr>
            <w:r w:rsidRPr="00573B55">
              <w:rPr>
                <w:color w:val="000000"/>
                <w:sz w:val="20"/>
              </w:rPr>
              <w:t>1 456 795,70</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52E14804" w14:textId="77777777" w:rsidR="009A28A8" w:rsidRPr="00573B55" w:rsidRDefault="009A28A8" w:rsidP="001733C9">
            <w:pPr>
              <w:jc w:val="center"/>
              <w:rPr>
                <w:color w:val="000000"/>
                <w:sz w:val="20"/>
              </w:rPr>
            </w:pPr>
            <w:r w:rsidRPr="00573B55">
              <w:rPr>
                <w:color w:val="000000"/>
                <w:sz w:val="20"/>
              </w:rPr>
              <w:t>1 472 506,90</w:t>
            </w:r>
          </w:p>
        </w:tc>
      </w:tr>
      <w:tr w:rsidR="009A28A8" w:rsidRPr="00573B55" w14:paraId="4CF2F9CA"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0A75652A" w14:textId="77777777" w:rsidR="009A28A8" w:rsidRPr="00573B55" w:rsidRDefault="009A28A8" w:rsidP="001733C9">
            <w:pPr>
              <w:rPr>
                <w:i/>
                <w:iCs/>
                <w:color w:val="000000"/>
                <w:sz w:val="20"/>
              </w:rPr>
            </w:pPr>
            <w:r w:rsidRPr="00573B55">
              <w:rPr>
                <w:i/>
                <w:iCs/>
                <w:color w:val="000000"/>
                <w:sz w:val="20"/>
              </w:rPr>
              <w:t>темп роста, %</w:t>
            </w:r>
          </w:p>
        </w:tc>
        <w:tc>
          <w:tcPr>
            <w:tcW w:w="1597" w:type="dxa"/>
            <w:tcBorders>
              <w:top w:val="nil"/>
              <w:left w:val="nil"/>
              <w:bottom w:val="single" w:sz="8" w:space="0" w:color="000000"/>
              <w:right w:val="single" w:sz="8" w:space="0" w:color="000000"/>
            </w:tcBorders>
            <w:shd w:val="clear" w:color="auto" w:fill="auto"/>
            <w:vAlign w:val="center"/>
            <w:hideMark/>
          </w:tcPr>
          <w:p w14:paraId="54B6AFE2" w14:textId="77777777" w:rsidR="009A28A8" w:rsidRPr="00573B55" w:rsidRDefault="009A28A8" w:rsidP="001733C9">
            <w:pPr>
              <w:jc w:val="center"/>
              <w:rPr>
                <w:color w:val="000000"/>
                <w:sz w:val="20"/>
              </w:rPr>
            </w:pPr>
            <w:r w:rsidRPr="00573B55">
              <w:rPr>
                <w:color w:val="000000"/>
                <w:sz w:val="20"/>
              </w:rPr>
              <w:t>100,0%</w:t>
            </w:r>
          </w:p>
        </w:tc>
        <w:tc>
          <w:tcPr>
            <w:tcW w:w="1413" w:type="dxa"/>
            <w:tcBorders>
              <w:top w:val="nil"/>
              <w:left w:val="nil"/>
              <w:bottom w:val="single" w:sz="8" w:space="0" w:color="000000"/>
              <w:right w:val="single" w:sz="8" w:space="0" w:color="000000"/>
            </w:tcBorders>
            <w:shd w:val="clear" w:color="auto" w:fill="auto"/>
            <w:vAlign w:val="center"/>
            <w:hideMark/>
          </w:tcPr>
          <w:p w14:paraId="7F8650B5" w14:textId="77777777" w:rsidR="009A28A8" w:rsidRPr="00573B55" w:rsidRDefault="009A28A8" w:rsidP="001733C9">
            <w:pPr>
              <w:jc w:val="center"/>
              <w:rPr>
                <w:color w:val="000000"/>
                <w:sz w:val="20"/>
              </w:rPr>
            </w:pPr>
            <w:r w:rsidRPr="00573B55">
              <w:rPr>
                <w:color w:val="000000"/>
                <w:sz w:val="20"/>
              </w:rPr>
              <w:t>116,0%</w:t>
            </w:r>
          </w:p>
        </w:tc>
        <w:tc>
          <w:tcPr>
            <w:tcW w:w="1416" w:type="dxa"/>
            <w:tcBorders>
              <w:top w:val="nil"/>
              <w:left w:val="nil"/>
              <w:bottom w:val="single" w:sz="8" w:space="0" w:color="000000"/>
              <w:right w:val="single" w:sz="8" w:space="0" w:color="000000"/>
            </w:tcBorders>
            <w:shd w:val="clear" w:color="auto" w:fill="auto"/>
            <w:vAlign w:val="center"/>
            <w:hideMark/>
          </w:tcPr>
          <w:p w14:paraId="5ED32743" w14:textId="77777777" w:rsidR="009A28A8" w:rsidRPr="00573B55" w:rsidRDefault="009A28A8" w:rsidP="001733C9">
            <w:pPr>
              <w:jc w:val="center"/>
              <w:rPr>
                <w:color w:val="000000"/>
                <w:sz w:val="20"/>
              </w:rPr>
            </w:pPr>
            <w:r w:rsidRPr="00573B55">
              <w:rPr>
                <w:color w:val="000000"/>
                <w:sz w:val="20"/>
              </w:rPr>
              <w:t>101,7%</w:t>
            </w:r>
          </w:p>
        </w:tc>
        <w:tc>
          <w:tcPr>
            <w:tcW w:w="1416" w:type="dxa"/>
            <w:tcBorders>
              <w:top w:val="nil"/>
              <w:left w:val="nil"/>
              <w:bottom w:val="single" w:sz="8" w:space="0" w:color="000000"/>
              <w:right w:val="single" w:sz="8" w:space="0" w:color="000000"/>
            </w:tcBorders>
            <w:shd w:val="clear" w:color="auto" w:fill="auto"/>
            <w:vAlign w:val="center"/>
            <w:hideMark/>
          </w:tcPr>
          <w:p w14:paraId="65962AC0" w14:textId="77777777" w:rsidR="009A28A8" w:rsidRPr="00573B55" w:rsidRDefault="009A28A8" w:rsidP="001733C9">
            <w:pPr>
              <w:jc w:val="center"/>
              <w:rPr>
                <w:color w:val="000000"/>
                <w:sz w:val="20"/>
              </w:rPr>
            </w:pPr>
            <w:r w:rsidRPr="00573B55">
              <w:rPr>
                <w:color w:val="000000"/>
                <w:sz w:val="20"/>
              </w:rPr>
              <w:t>101,1%</w:t>
            </w:r>
          </w:p>
        </w:tc>
      </w:tr>
      <w:tr w:rsidR="009A28A8" w:rsidRPr="00573B55" w14:paraId="47BD9BC6"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2065A5C2" w14:textId="77777777" w:rsidR="009A28A8" w:rsidRPr="00573B55" w:rsidRDefault="009A28A8" w:rsidP="001733C9">
            <w:pPr>
              <w:rPr>
                <w:i/>
                <w:iCs/>
                <w:color w:val="000000"/>
                <w:sz w:val="20"/>
              </w:rPr>
            </w:pPr>
            <w:r w:rsidRPr="00573B55">
              <w:rPr>
                <w:i/>
                <w:iCs/>
                <w:color w:val="000000"/>
                <w:kern w:val="2"/>
                <w:sz w:val="20"/>
              </w:rPr>
              <w:t>%% к ВВП</w:t>
            </w:r>
          </w:p>
        </w:tc>
        <w:tc>
          <w:tcPr>
            <w:tcW w:w="1597" w:type="dxa"/>
            <w:tcBorders>
              <w:top w:val="nil"/>
              <w:left w:val="nil"/>
              <w:bottom w:val="single" w:sz="8" w:space="0" w:color="000000"/>
              <w:right w:val="single" w:sz="8" w:space="0" w:color="000000"/>
            </w:tcBorders>
            <w:shd w:val="clear" w:color="auto" w:fill="auto"/>
            <w:vAlign w:val="center"/>
            <w:hideMark/>
          </w:tcPr>
          <w:p w14:paraId="7694C21D" w14:textId="77777777" w:rsidR="009A28A8" w:rsidRPr="00573B55" w:rsidRDefault="009A28A8" w:rsidP="001733C9">
            <w:pPr>
              <w:jc w:val="center"/>
              <w:rPr>
                <w:i/>
                <w:iCs/>
                <w:color w:val="000000"/>
                <w:sz w:val="20"/>
              </w:rPr>
            </w:pPr>
            <w:r w:rsidRPr="00573B55">
              <w:rPr>
                <w:i/>
                <w:iCs/>
                <w:color w:val="000000"/>
                <w:sz w:val="20"/>
              </w:rPr>
              <w:t>0,9</w:t>
            </w:r>
          </w:p>
        </w:tc>
        <w:tc>
          <w:tcPr>
            <w:tcW w:w="1413" w:type="dxa"/>
            <w:tcBorders>
              <w:top w:val="nil"/>
              <w:left w:val="nil"/>
              <w:bottom w:val="single" w:sz="8" w:space="0" w:color="000000"/>
              <w:right w:val="single" w:sz="8" w:space="0" w:color="000000"/>
            </w:tcBorders>
            <w:shd w:val="clear" w:color="auto" w:fill="auto"/>
            <w:vAlign w:val="center"/>
            <w:hideMark/>
          </w:tcPr>
          <w:p w14:paraId="43E7CD0B" w14:textId="77777777" w:rsidR="009A28A8" w:rsidRPr="00573B55" w:rsidRDefault="009A28A8" w:rsidP="001733C9">
            <w:pPr>
              <w:jc w:val="center"/>
              <w:rPr>
                <w:i/>
                <w:iCs/>
                <w:color w:val="000000"/>
                <w:sz w:val="20"/>
              </w:rPr>
            </w:pPr>
            <w:r w:rsidRPr="00573B55">
              <w:rPr>
                <w:i/>
                <w:iCs/>
                <w:color w:val="000000"/>
                <w:sz w:val="20"/>
              </w:rPr>
              <w:t>0,9</w:t>
            </w:r>
          </w:p>
        </w:tc>
        <w:tc>
          <w:tcPr>
            <w:tcW w:w="1416" w:type="dxa"/>
            <w:tcBorders>
              <w:top w:val="nil"/>
              <w:left w:val="nil"/>
              <w:bottom w:val="single" w:sz="8" w:space="0" w:color="000000"/>
              <w:right w:val="single" w:sz="8" w:space="0" w:color="000000"/>
            </w:tcBorders>
            <w:shd w:val="clear" w:color="auto" w:fill="auto"/>
            <w:vAlign w:val="center"/>
            <w:hideMark/>
          </w:tcPr>
          <w:p w14:paraId="2EB1F83D" w14:textId="77777777" w:rsidR="009A28A8" w:rsidRPr="00573B55" w:rsidRDefault="009A28A8" w:rsidP="001733C9">
            <w:pPr>
              <w:jc w:val="center"/>
              <w:rPr>
                <w:i/>
                <w:iCs/>
                <w:color w:val="000000"/>
                <w:sz w:val="20"/>
              </w:rPr>
            </w:pPr>
            <w:r w:rsidRPr="00573B55">
              <w:rPr>
                <w:i/>
                <w:iCs/>
                <w:color w:val="000000"/>
                <w:sz w:val="20"/>
              </w:rPr>
              <w:t>0,9</w:t>
            </w:r>
          </w:p>
        </w:tc>
        <w:tc>
          <w:tcPr>
            <w:tcW w:w="1416" w:type="dxa"/>
            <w:tcBorders>
              <w:top w:val="nil"/>
              <w:left w:val="nil"/>
              <w:bottom w:val="single" w:sz="8" w:space="0" w:color="000000"/>
              <w:right w:val="single" w:sz="8" w:space="0" w:color="000000"/>
            </w:tcBorders>
            <w:shd w:val="clear" w:color="auto" w:fill="auto"/>
            <w:vAlign w:val="center"/>
            <w:hideMark/>
          </w:tcPr>
          <w:p w14:paraId="7C8CFC72" w14:textId="77777777" w:rsidR="009A28A8" w:rsidRPr="00573B55" w:rsidRDefault="009A28A8" w:rsidP="001733C9">
            <w:pPr>
              <w:jc w:val="center"/>
              <w:rPr>
                <w:i/>
                <w:iCs/>
                <w:color w:val="000000"/>
                <w:sz w:val="20"/>
              </w:rPr>
            </w:pPr>
            <w:r w:rsidRPr="00573B55">
              <w:rPr>
                <w:i/>
                <w:iCs/>
                <w:color w:val="000000"/>
                <w:sz w:val="20"/>
              </w:rPr>
              <w:t>0,9</w:t>
            </w:r>
          </w:p>
        </w:tc>
      </w:tr>
      <w:tr w:rsidR="009A28A8" w:rsidRPr="00573B55" w14:paraId="67D7A746"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500DC63B" w14:textId="77777777" w:rsidR="009A28A8" w:rsidRPr="00573B55" w:rsidRDefault="009A28A8" w:rsidP="001733C9">
            <w:pPr>
              <w:rPr>
                <w:i/>
                <w:iCs/>
                <w:color w:val="000000"/>
                <w:sz w:val="20"/>
              </w:rPr>
            </w:pPr>
            <w:r w:rsidRPr="00573B55">
              <w:rPr>
                <w:i/>
                <w:iCs/>
                <w:color w:val="000000"/>
                <w:sz w:val="20"/>
              </w:rPr>
              <w:t>доля в общем объеме расходов</w:t>
            </w:r>
            <w:r>
              <w:rPr>
                <w:i/>
                <w:iCs/>
                <w:color w:val="000000"/>
                <w:sz w:val="20"/>
              </w:rPr>
              <w:t xml:space="preserve"> ФБ</w:t>
            </w:r>
            <w:r w:rsidRPr="00573B55">
              <w:rPr>
                <w:i/>
                <w:iCs/>
                <w:color w:val="000000"/>
                <w:sz w:val="20"/>
              </w:rPr>
              <w:t>, %</w:t>
            </w:r>
          </w:p>
        </w:tc>
        <w:tc>
          <w:tcPr>
            <w:tcW w:w="1597" w:type="dxa"/>
            <w:tcBorders>
              <w:top w:val="nil"/>
              <w:left w:val="nil"/>
              <w:bottom w:val="single" w:sz="8" w:space="0" w:color="000000"/>
              <w:right w:val="single" w:sz="8" w:space="0" w:color="000000"/>
            </w:tcBorders>
            <w:shd w:val="clear" w:color="auto" w:fill="auto"/>
            <w:vAlign w:val="center"/>
            <w:hideMark/>
          </w:tcPr>
          <w:p w14:paraId="3B7AB454" w14:textId="77777777" w:rsidR="009A28A8" w:rsidRPr="00573B55" w:rsidRDefault="009A28A8" w:rsidP="001733C9">
            <w:pPr>
              <w:jc w:val="center"/>
              <w:rPr>
                <w:i/>
                <w:iCs/>
                <w:color w:val="000000"/>
                <w:sz w:val="20"/>
              </w:rPr>
            </w:pPr>
            <w:r w:rsidRPr="00312821">
              <w:rPr>
                <w:i/>
                <w:iCs/>
                <w:color w:val="000000"/>
                <w:sz w:val="20"/>
              </w:rPr>
              <w:t>4,5%</w:t>
            </w:r>
          </w:p>
        </w:tc>
        <w:tc>
          <w:tcPr>
            <w:tcW w:w="1413" w:type="dxa"/>
            <w:tcBorders>
              <w:top w:val="nil"/>
              <w:left w:val="nil"/>
              <w:bottom w:val="single" w:sz="8" w:space="0" w:color="000000"/>
              <w:right w:val="single" w:sz="8" w:space="0" w:color="000000"/>
            </w:tcBorders>
            <w:shd w:val="clear" w:color="auto" w:fill="auto"/>
            <w:vAlign w:val="center"/>
            <w:hideMark/>
          </w:tcPr>
          <w:p w14:paraId="6D64CDC2" w14:textId="77777777" w:rsidR="009A28A8" w:rsidRPr="00573B55" w:rsidRDefault="009A28A8" w:rsidP="001733C9">
            <w:pPr>
              <w:jc w:val="center"/>
              <w:rPr>
                <w:i/>
                <w:iCs/>
                <w:color w:val="000000"/>
                <w:sz w:val="20"/>
              </w:rPr>
            </w:pPr>
            <w:r w:rsidRPr="00312821">
              <w:rPr>
                <w:i/>
                <w:iCs/>
                <w:color w:val="000000"/>
                <w:sz w:val="20"/>
              </w:rPr>
              <w:t>4,9%</w:t>
            </w:r>
          </w:p>
        </w:tc>
        <w:tc>
          <w:tcPr>
            <w:tcW w:w="1416" w:type="dxa"/>
            <w:tcBorders>
              <w:top w:val="nil"/>
              <w:left w:val="nil"/>
              <w:bottom w:val="single" w:sz="8" w:space="0" w:color="000000"/>
              <w:right w:val="single" w:sz="8" w:space="0" w:color="000000"/>
            </w:tcBorders>
            <w:shd w:val="clear" w:color="auto" w:fill="auto"/>
            <w:vAlign w:val="center"/>
            <w:hideMark/>
          </w:tcPr>
          <w:p w14:paraId="4F36841C" w14:textId="77777777" w:rsidR="009A28A8" w:rsidRPr="00573B55" w:rsidRDefault="009A28A8" w:rsidP="001733C9">
            <w:pPr>
              <w:jc w:val="center"/>
              <w:rPr>
                <w:i/>
                <w:iCs/>
                <w:color w:val="000000"/>
                <w:sz w:val="20"/>
              </w:rPr>
            </w:pPr>
            <w:r w:rsidRPr="00312821">
              <w:rPr>
                <w:i/>
                <w:iCs/>
                <w:color w:val="000000"/>
                <w:sz w:val="20"/>
              </w:rPr>
              <w:t>4,9%</w:t>
            </w:r>
          </w:p>
        </w:tc>
        <w:tc>
          <w:tcPr>
            <w:tcW w:w="1416" w:type="dxa"/>
            <w:tcBorders>
              <w:top w:val="nil"/>
              <w:left w:val="nil"/>
              <w:bottom w:val="single" w:sz="8" w:space="0" w:color="000000"/>
              <w:right w:val="single" w:sz="8" w:space="0" w:color="000000"/>
            </w:tcBorders>
            <w:shd w:val="clear" w:color="auto" w:fill="auto"/>
            <w:vAlign w:val="center"/>
            <w:hideMark/>
          </w:tcPr>
          <w:p w14:paraId="79771117" w14:textId="77777777" w:rsidR="009A28A8" w:rsidRPr="00573B55" w:rsidRDefault="009A28A8" w:rsidP="001733C9">
            <w:pPr>
              <w:jc w:val="center"/>
              <w:rPr>
                <w:i/>
                <w:iCs/>
                <w:color w:val="000000"/>
                <w:sz w:val="20"/>
              </w:rPr>
            </w:pPr>
            <w:r w:rsidRPr="00312821">
              <w:rPr>
                <w:i/>
                <w:iCs/>
                <w:color w:val="000000"/>
                <w:sz w:val="20"/>
              </w:rPr>
              <w:t>5,0%</w:t>
            </w:r>
          </w:p>
        </w:tc>
      </w:tr>
      <w:tr w:rsidR="009A28A8" w:rsidRPr="00573B55" w14:paraId="70F6A301"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57391573" w14:textId="77777777" w:rsidR="009A28A8" w:rsidRPr="00573B55" w:rsidRDefault="009A28A8" w:rsidP="001733C9">
            <w:pPr>
              <w:rPr>
                <w:color w:val="000000"/>
                <w:sz w:val="20"/>
              </w:rPr>
            </w:pPr>
            <w:r w:rsidRPr="00573B55">
              <w:rPr>
                <w:color w:val="000000"/>
                <w:kern w:val="2"/>
                <w:sz w:val="20"/>
              </w:rPr>
              <w:t xml:space="preserve">Социальная политика </w:t>
            </w:r>
          </w:p>
        </w:tc>
        <w:tc>
          <w:tcPr>
            <w:tcW w:w="1597" w:type="dxa"/>
            <w:tcBorders>
              <w:top w:val="nil"/>
              <w:left w:val="nil"/>
              <w:bottom w:val="single" w:sz="8" w:space="0" w:color="000000"/>
              <w:right w:val="single" w:sz="8" w:space="0" w:color="000000"/>
            </w:tcBorders>
            <w:shd w:val="clear" w:color="auto" w:fill="F2F2F2" w:themeFill="background1" w:themeFillShade="F2"/>
            <w:vAlign w:val="center"/>
            <w:hideMark/>
          </w:tcPr>
          <w:p w14:paraId="43F8C1A2" w14:textId="77777777" w:rsidR="009A28A8" w:rsidRPr="00573B55" w:rsidRDefault="009A28A8" w:rsidP="001733C9">
            <w:pPr>
              <w:jc w:val="center"/>
              <w:rPr>
                <w:color w:val="000000"/>
                <w:sz w:val="20"/>
              </w:rPr>
            </w:pPr>
            <w:r w:rsidRPr="00573B55">
              <w:rPr>
                <w:color w:val="000000"/>
                <w:sz w:val="20"/>
              </w:rPr>
              <w:t>5 823 344,8</w:t>
            </w:r>
          </w:p>
        </w:tc>
        <w:tc>
          <w:tcPr>
            <w:tcW w:w="1413" w:type="dxa"/>
            <w:tcBorders>
              <w:top w:val="nil"/>
              <w:left w:val="nil"/>
              <w:bottom w:val="single" w:sz="8" w:space="0" w:color="000000"/>
              <w:right w:val="single" w:sz="8" w:space="0" w:color="000000"/>
            </w:tcBorders>
            <w:shd w:val="clear" w:color="auto" w:fill="F2F2F2" w:themeFill="background1" w:themeFillShade="F2"/>
            <w:vAlign w:val="center"/>
            <w:hideMark/>
          </w:tcPr>
          <w:p w14:paraId="39292A0F" w14:textId="77777777" w:rsidR="009A28A8" w:rsidRPr="00573B55" w:rsidRDefault="009A28A8" w:rsidP="001733C9">
            <w:pPr>
              <w:jc w:val="center"/>
              <w:rPr>
                <w:color w:val="000000"/>
                <w:sz w:val="20"/>
              </w:rPr>
            </w:pPr>
            <w:r w:rsidRPr="00573B55">
              <w:rPr>
                <w:color w:val="000000"/>
                <w:sz w:val="20"/>
              </w:rPr>
              <w:t>7 323 740,5</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7B3F62DA" w14:textId="77777777" w:rsidR="009A28A8" w:rsidRPr="00573B55" w:rsidRDefault="009A28A8" w:rsidP="001733C9">
            <w:pPr>
              <w:jc w:val="center"/>
              <w:rPr>
                <w:color w:val="000000"/>
                <w:sz w:val="20"/>
              </w:rPr>
            </w:pPr>
            <w:r w:rsidRPr="00573B55">
              <w:rPr>
                <w:color w:val="000000"/>
                <w:sz w:val="20"/>
              </w:rPr>
              <w:t>7 279 607,9</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49C04A7E" w14:textId="77777777" w:rsidR="009A28A8" w:rsidRPr="00573B55" w:rsidRDefault="009A28A8" w:rsidP="001733C9">
            <w:pPr>
              <w:jc w:val="center"/>
              <w:rPr>
                <w:color w:val="000000"/>
                <w:sz w:val="20"/>
              </w:rPr>
            </w:pPr>
            <w:r w:rsidRPr="00573B55">
              <w:rPr>
                <w:color w:val="000000"/>
                <w:sz w:val="20"/>
              </w:rPr>
              <w:t>7 132 480,6</w:t>
            </w:r>
          </w:p>
        </w:tc>
      </w:tr>
      <w:tr w:rsidR="009A28A8" w:rsidRPr="00573B55" w14:paraId="3DA0B670"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40D85865" w14:textId="77777777" w:rsidR="009A28A8" w:rsidRPr="00573B55" w:rsidRDefault="009A28A8" w:rsidP="001733C9">
            <w:pPr>
              <w:rPr>
                <w:i/>
                <w:iCs/>
                <w:color w:val="000000"/>
                <w:sz w:val="20"/>
              </w:rPr>
            </w:pPr>
            <w:r w:rsidRPr="00573B55">
              <w:rPr>
                <w:i/>
                <w:iCs/>
                <w:color w:val="000000"/>
                <w:sz w:val="20"/>
              </w:rPr>
              <w:t>темп роста, %</w:t>
            </w:r>
          </w:p>
        </w:tc>
        <w:tc>
          <w:tcPr>
            <w:tcW w:w="1597" w:type="dxa"/>
            <w:tcBorders>
              <w:top w:val="nil"/>
              <w:left w:val="nil"/>
              <w:bottom w:val="single" w:sz="8" w:space="0" w:color="000000"/>
              <w:right w:val="single" w:sz="8" w:space="0" w:color="000000"/>
            </w:tcBorders>
            <w:shd w:val="clear" w:color="auto" w:fill="auto"/>
            <w:vAlign w:val="center"/>
            <w:hideMark/>
          </w:tcPr>
          <w:p w14:paraId="46C3FE6C" w14:textId="77777777" w:rsidR="009A28A8" w:rsidRPr="00573B55" w:rsidRDefault="009A28A8" w:rsidP="001733C9">
            <w:pPr>
              <w:jc w:val="center"/>
              <w:rPr>
                <w:color w:val="000000"/>
                <w:sz w:val="20"/>
              </w:rPr>
            </w:pPr>
            <w:r w:rsidRPr="00573B55">
              <w:rPr>
                <w:color w:val="000000"/>
                <w:sz w:val="20"/>
              </w:rPr>
              <w:t>100,0%</w:t>
            </w:r>
          </w:p>
        </w:tc>
        <w:tc>
          <w:tcPr>
            <w:tcW w:w="1413" w:type="dxa"/>
            <w:tcBorders>
              <w:top w:val="nil"/>
              <w:left w:val="nil"/>
              <w:bottom w:val="single" w:sz="8" w:space="0" w:color="000000"/>
              <w:right w:val="single" w:sz="8" w:space="0" w:color="000000"/>
            </w:tcBorders>
            <w:shd w:val="clear" w:color="auto" w:fill="auto"/>
            <w:vAlign w:val="center"/>
            <w:hideMark/>
          </w:tcPr>
          <w:p w14:paraId="68044601" w14:textId="77777777" w:rsidR="009A28A8" w:rsidRPr="00573B55" w:rsidRDefault="009A28A8" w:rsidP="001733C9">
            <w:pPr>
              <w:jc w:val="center"/>
              <w:rPr>
                <w:color w:val="000000"/>
                <w:sz w:val="20"/>
              </w:rPr>
            </w:pPr>
            <w:r w:rsidRPr="00573B55">
              <w:rPr>
                <w:color w:val="000000"/>
                <w:sz w:val="20"/>
              </w:rPr>
              <w:t>125,8%</w:t>
            </w:r>
          </w:p>
        </w:tc>
        <w:tc>
          <w:tcPr>
            <w:tcW w:w="1416" w:type="dxa"/>
            <w:tcBorders>
              <w:top w:val="nil"/>
              <w:left w:val="nil"/>
              <w:bottom w:val="single" w:sz="8" w:space="0" w:color="000000"/>
              <w:right w:val="single" w:sz="8" w:space="0" w:color="000000"/>
            </w:tcBorders>
            <w:shd w:val="clear" w:color="auto" w:fill="auto"/>
            <w:vAlign w:val="center"/>
            <w:hideMark/>
          </w:tcPr>
          <w:p w14:paraId="06FE8D3A" w14:textId="77777777" w:rsidR="009A28A8" w:rsidRPr="00573B55" w:rsidRDefault="009A28A8" w:rsidP="001733C9">
            <w:pPr>
              <w:jc w:val="center"/>
              <w:rPr>
                <w:color w:val="000000"/>
                <w:sz w:val="20"/>
              </w:rPr>
            </w:pPr>
            <w:r w:rsidRPr="00573B55">
              <w:rPr>
                <w:color w:val="000000"/>
                <w:sz w:val="20"/>
              </w:rPr>
              <w:t>99,4%</w:t>
            </w:r>
          </w:p>
        </w:tc>
        <w:tc>
          <w:tcPr>
            <w:tcW w:w="1416" w:type="dxa"/>
            <w:tcBorders>
              <w:top w:val="nil"/>
              <w:left w:val="nil"/>
              <w:bottom w:val="single" w:sz="8" w:space="0" w:color="000000"/>
              <w:right w:val="single" w:sz="8" w:space="0" w:color="000000"/>
            </w:tcBorders>
            <w:shd w:val="clear" w:color="auto" w:fill="auto"/>
            <w:vAlign w:val="center"/>
            <w:hideMark/>
          </w:tcPr>
          <w:p w14:paraId="6E7C9D05" w14:textId="77777777" w:rsidR="009A28A8" w:rsidRPr="00573B55" w:rsidRDefault="009A28A8" w:rsidP="001733C9">
            <w:pPr>
              <w:jc w:val="center"/>
              <w:rPr>
                <w:color w:val="000000"/>
                <w:sz w:val="20"/>
              </w:rPr>
            </w:pPr>
            <w:r w:rsidRPr="00573B55">
              <w:rPr>
                <w:color w:val="000000"/>
                <w:sz w:val="20"/>
              </w:rPr>
              <w:t>98,0%</w:t>
            </w:r>
          </w:p>
        </w:tc>
      </w:tr>
      <w:tr w:rsidR="009A28A8" w:rsidRPr="00573B55" w14:paraId="4BBFD656"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5983B6A2" w14:textId="77777777" w:rsidR="009A28A8" w:rsidRPr="00573B55" w:rsidRDefault="009A28A8" w:rsidP="001733C9">
            <w:pPr>
              <w:rPr>
                <w:i/>
                <w:iCs/>
                <w:color w:val="000000"/>
                <w:sz w:val="20"/>
              </w:rPr>
            </w:pPr>
            <w:r w:rsidRPr="00573B55">
              <w:rPr>
                <w:i/>
                <w:iCs/>
                <w:color w:val="000000"/>
                <w:kern w:val="2"/>
                <w:sz w:val="20"/>
              </w:rPr>
              <w:t>%% к ВВП</w:t>
            </w:r>
          </w:p>
        </w:tc>
        <w:tc>
          <w:tcPr>
            <w:tcW w:w="1597" w:type="dxa"/>
            <w:tcBorders>
              <w:top w:val="nil"/>
              <w:left w:val="nil"/>
              <w:bottom w:val="single" w:sz="8" w:space="0" w:color="000000"/>
              <w:right w:val="single" w:sz="8" w:space="0" w:color="000000"/>
            </w:tcBorders>
            <w:shd w:val="clear" w:color="auto" w:fill="auto"/>
            <w:vAlign w:val="center"/>
            <w:hideMark/>
          </w:tcPr>
          <w:p w14:paraId="2D025DCA" w14:textId="77777777" w:rsidR="009A28A8" w:rsidRPr="00573B55" w:rsidRDefault="009A28A8" w:rsidP="001733C9">
            <w:pPr>
              <w:jc w:val="center"/>
              <w:rPr>
                <w:i/>
                <w:iCs/>
                <w:color w:val="000000"/>
                <w:sz w:val="20"/>
              </w:rPr>
            </w:pPr>
            <w:r w:rsidRPr="00573B55">
              <w:rPr>
                <w:i/>
                <w:iCs/>
                <w:color w:val="000000"/>
                <w:sz w:val="20"/>
              </w:rPr>
              <w:t>4,4</w:t>
            </w:r>
          </w:p>
        </w:tc>
        <w:tc>
          <w:tcPr>
            <w:tcW w:w="1413" w:type="dxa"/>
            <w:tcBorders>
              <w:top w:val="nil"/>
              <w:left w:val="nil"/>
              <w:bottom w:val="single" w:sz="8" w:space="0" w:color="000000"/>
              <w:right w:val="single" w:sz="8" w:space="0" w:color="000000"/>
            </w:tcBorders>
            <w:shd w:val="clear" w:color="auto" w:fill="auto"/>
            <w:vAlign w:val="center"/>
            <w:hideMark/>
          </w:tcPr>
          <w:p w14:paraId="4ED4C84D" w14:textId="77777777" w:rsidR="009A28A8" w:rsidRPr="00573B55" w:rsidRDefault="009A28A8" w:rsidP="001733C9">
            <w:pPr>
              <w:jc w:val="center"/>
              <w:rPr>
                <w:i/>
                <w:iCs/>
                <w:color w:val="000000"/>
                <w:sz w:val="20"/>
              </w:rPr>
            </w:pPr>
            <w:r w:rsidRPr="00573B55">
              <w:rPr>
                <w:i/>
                <w:iCs/>
                <w:color w:val="000000"/>
                <w:sz w:val="20"/>
              </w:rPr>
              <w:t>4,9</w:t>
            </w:r>
          </w:p>
        </w:tc>
        <w:tc>
          <w:tcPr>
            <w:tcW w:w="1416" w:type="dxa"/>
            <w:tcBorders>
              <w:top w:val="nil"/>
              <w:left w:val="nil"/>
              <w:bottom w:val="single" w:sz="8" w:space="0" w:color="000000"/>
              <w:right w:val="single" w:sz="8" w:space="0" w:color="000000"/>
            </w:tcBorders>
            <w:shd w:val="clear" w:color="auto" w:fill="auto"/>
            <w:vAlign w:val="center"/>
            <w:hideMark/>
          </w:tcPr>
          <w:p w14:paraId="54151B79" w14:textId="77777777" w:rsidR="009A28A8" w:rsidRPr="00573B55" w:rsidRDefault="009A28A8" w:rsidP="001733C9">
            <w:pPr>
              <w:jc w:val="center"/>
              <w:rPr>
                <w:i/>
                <w:iCs/>
                <w:color w:val="000000"/>
                <w:sz w:val="20"/>
              </w:rPr>
            </w:pPr>
            <w:r w:rsidRPr="00573B55">
              <w:rPr>
                <w:i/>
                <w:iCs/>
                <w:color w:val="000000"/>
                <w:sz w:val="20"/>
              </w:rPr>
              <w:t>4,5</w:t>
            </w:r>
          </w:p>
        </w:tc>
        <w:tc>
          <w:tcPr>
            <w:tcW w:w="1416" w:type="dxa"/>
            <w:tcBorders>
              <w:top w:val="nil"/>
              <w:left w:val="nil"/>
              <w:bottom w:val="single" w:sz="8" w:space="0" w:color="000000"/>
              <w:right w:val="single" w:sz="8" w:space="0" w:color="000000"/>
            </w:tcBorders>
            <w:shd w:val="clear" w:color="auto" w:fill="auto"/>
            <w:vAlign w:val="center"/>
            <w:hideMark/>
          </w:tcPr>
          <w:p w14:paraId="48CBC134" w14:textId="77777777" w:rsidR="009A28A8" w:rsidRPr="00573B55" w:rsidRDefault="009A28A8" w:rsidP="001733C9">
            <w:pPr>
              <w:jc w:val="center"/>
              <w:rPr>
                <w:i/>
                <w:iCs/>
                <w:color w:val="000000"/>
                <w:sz w:val="20"/>
              </w:rPr>
            </w:pPr>
            <w:r w:rsidRPr="00573B55">
              <w:rPr>
                <w:i/>
                <w:iCs/>
                <w:color w:val="000000"/>
                <w:sz w:val="20"/>
              </w:rPr>
              <w:t>4,2</w:t>
            </w:r>
          </w:p>
        </w:tc>
      </w:tr>
      <w:tr w:rsidR="009A28A8" w:rsidRPr="00573B55" w14:paraId="40664DFC"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198E710B" w14:textId="77777777" w:rsidR="009A28A8" w:rsidRPr="00573B55" w:rsidRDefault="009A28A8" w:rsidP="001733C9">
            <w:pPr>
              <w:rPr>
                <w:i/>
                <w:iCs/>
                <w:color w:val="000000"/>
                <w:sz w:val="20"/>
              </w:rPr>
            </w:pPr>
            <w:r w:rsidRPr="00573B55">
              <w:rPr>
                <w:i/>
                <w:iCs/>
                <w:color w:val="000000"/>
                <w:sz w:val="20"/>
              </w:rPr>
              <w:t>доля в общем объеме расходо</w:t>
            </w:r>
            <w:r>
              <w:rPr>
                <w:i/>
                <w:iCs/>
                <w:color w:val="000000"/>
                <w:sz w:val="20"/>
              </w:rPr>
              <w:t>в ФБ</w:t>
            </w:r>
            <w:r w:rsidRPr="00573B55">
              <w:rPr>
                <w:i/>
                <w:iCs/>
                <w:color w:val="000000"/>
                <w:sz w:val="20"/>
              </w:rPr>
              <w:t>, %</w:t>
            </w:r>
          </w:p>
        </w:tc>
        <w:tc>
          <w:tcPr>
            <w:tcW w:w="1597" w:type="dxa"/>
            <w:tcBorders>
              <w:top w:val="nil"/>
              <w:left w:val="nil"/>
              <w:bottom w:val="single" w:sz="8" w:space="0" w:color="000000"/>
              <w:right w:val="single" w:sz="8" w:space="0" w:color="000000"/>
            </w:tcBorders>
            <w:shd w:val="clear" w:color="auto" w:fill="auto"/>
            <w:vAlign w:val="center"/>
            <w:hideMark/>
          </w:tcPr>
          <w:p w14:paraId="089377A2" w14:textId="77777777" w:rsidR="009A28A8" w:rsidRPr="00573B55" w:rsidRDefault="009A28A8" w:rsidP="001733C9">
            <w:pPr>
              <w:jc w:val="center"/>
              <w:rPr>
                <w:i/>
                <w:iCs/>
                <w:color w:val="000000"/>
                <w:sz w:val="20"/>
              </w:rPr>
            </w:pPr>
            <w:r w:rsidRPr="00312821">
              <w:rPr>
                <w:i/>
                <w:iCs/>
                <w:color w:val="000000"/>
                <w:sz w:val="20"/>
              </w:rPr>
              <w:t>21,1%</w:t>
            </w:r>
          </w:p>
        </w:tc>
        <w:tc>
          <w:tcPr>
            <w:tcW w:w="1413" w:type="dxa"/>
            <w:tcBorders>
              <w:top w:val="nil"/>
              <w:left w:val="nil"/>
              <w:bottom w:val="single" w:sz="8" w:space="0" w:color="000000"/>
              <w:right w:val="single" w:sz="8" w:space="0" w:color="000000"/>
            </w:tcBorders>
            <w:shd w:val="clear" w:color="auto" w:fill="auto"/>
            <w:vAlign w:val="center"/>
            <w:hideMark/>
          </w:tcPr>
          <w:p w14:paraId="1C614404" w14:textId="77777777" w:rsidR="009A28A8" w:rsidRPr="00573B55" w:rsidRDefault="009A28A8" w:rsidP="001733C9">
            <w:pPr>
              <w:jc w:val="center"/>
              <w:rPr>
                <w:i/>
                <w:iCs/>
                <w:color w:val="000000"/>
                <w:sz w:val="20"/>
              </w:rPr>
            </w:pPr>
            <w:r w:rsidRPr="00312821">
              <w:rPr>
                <w:i/>
                <w:iCs/>
                <w:color w:val="000000"/>
                <w:sz w:val="20"/>
              </w:rPr>
              <w:t>25,2%</w:t>
            </w:r>
          </w:p>
        </w:tc>
        <w:tc>
          <w:tcPr>
            <w:tcW w:w="1416" w:type="dxa"/>
            <w:tcBorders>
              <w:top w:val="nil"/>
              <w:left w:val="nil"/>
              <w:bottom w:val="single" w:sz="8" w:space="0" w:color="000000"/>
              <w:right w:val="single" w:sz="8" w:space="0" w:color="000000"/>
            </w:tcBorders>
            <w:shd w:val="clear" w:color="auto" w:fill="auto"/>
            <w:vAlign w:val="center"/>
            <w:hideMark/>
          </w:tcPr>
          <w:p w14:paraId="5A7B0FD7" w14:textId="77777777" w:rsidR="009A28A8" w:rsidRPr="00573B55" w:rsidRDefault="009A28A8" w:rsidP="001733C9">
            <w:pPr>
              <w:jc w:val="center"/>
              <w:rPr>
                <w:i/>
                <w:iCs/>
                <w:color w:val="000000"/>
                <w:sz w:val="20"/>
              </w:rPr>
            </w:pPr>
            <w:r w:rsidRPr="00312821">
              <w:rPr>
                <w:i/>
                <w:iCs/>
                <w:color w:val="000000"/>
                <w:sz w:val="20"/>
              </w:rPr>
              <w:t>24,7%</w:t>
            </w:r>
          </w:p>
        </w:tc>
        <w:tc>
          <w:tcPr>
            <w:tcW w:w="1416" w:type="dxa"/>
            <w:tcBorders>
              <w:top w:val="nil"/>
              <w:left w:val="nil"/>
              <w:bottom w:val="single" w:sz="8" w:space="0" w:color="000000"/>
              <w:right w:val="single" w:sz="8" w:space="0" w:color="000000"/>
            </w:tcBorders>
            <w:shd w:val="clear" w:color="auto" w:fill="auto"/>
            <w:vAlign w:val="center"/>
            <w:hideMark/>
          </w:tcPr>
          <w:p w14:paraId="3E1B8266" w14:textId="77777777" w:rsidR="009A28A8" w:rsidRPr="00573B55" w:rsidRDefault="009A28A8" w:rsidP="001733C9">
            <w:pPr>
              <w:jc w:val="center"/>
              <w:rPr>
                <w:i/>
                <w:iCs/>
                <w:color w:val="000000"/>
                <w:sz w:val="20"/>
              </w:rPr>
            </w:pPr>
            <w:r w:rsidRPr="00312821">
              <w:rPr>
                <w:i/>
                <w:iCs/>
                <w:color w:val="000000"/>
                <w:sz w:val="20"/>
              </w:rPr>
              <w:t>24,4%</w:t>
            </w:r>
          </w:p>
        </w:tc>
      </w:tr>
      <w:tr w:rsidR="009A28A8" w:rsidRPr="00573B55" w14:paraId="3323CBDF"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2FCA889A" w14:textId="77777777" w:rsidR="009A28A8" w:rsidRPr="00573B55" w:rsidRDefault="009A28A8" w:rsidP="001733C9">
            <w:pPr>
              <w:rPr>
                <w:color w:val="000000"/>
                <w:sz w:val="20"/>
              </w:rPr>
            </w:pPr>
            <w:r w:rsidRPr="00573B55">
              <w:rPr>
                <w:color w:val="000000"/>
                <w:kern w:val="2"/>
                <w:sz w:val="20"/>
              </w:rPr>
              <w:t>Физическая культура и спорт</w:t>
            </w:r>
          </w:p>
        </w:tc>
        <w:tc>
          <w:tcPr>
            <w:tcW w:w="1597" w:type="dxa"/>
            <w:tcBorders>
              <w:top w:val="nil"/>
              <w:left w:val="nil"/>
              <w:bottom w:val="single" w:sz="8" w:space="0" w:color="000000"/>
              <w:right w:val="single" w:sz="8" w:space="0" w:color="000000"/>
            </w:tcBorders>
            <w:shd w:val="clear" w:color="auto" w:fill="F2F2F2" w:themeFill="background1" w:themeFillShade="F2"/>
            <w:vAlign w:val="center"/>
            <w:hideMark/>
          </w:tcPr>
          <w:p w14:paraId="07E73D70" w14:textId="77777777" w:rsidR="009A28A8" w:rsidRPr="00573B55" w:rsidRDefault="009A28A8" w:rsidP="001733C9">
            <w:pPr>
              <w:jc w:val="center"/>
              <w:rPr>
                <w:color w:val="000000"/>
                <w:sz w:val="20"/>
              </w:rPr>
            </w:pPr>
            <w:r w:rsidRPr="00573B55">
              <w:rPr>
                <w:color w:val="000000"/>
                <w:sz w:val="20"/>
              </w:rPr>
              <w:t>80 939,00</w:t>
            </w:r>
          </w:p>
        </w:tc>
        <w:tc>
          <w:tcPr>
            <w:tcW w:w="1413" w:type="dxa"/>
            <w:tcBorders>
              <w:top w:val="nil"/>
              <w:left w:val="nil"/>
              <w:bottom w:val="single" w:sz="8" w:space="0" w:color="000000"/>
              <w:right w:val="single" w:sz="8" w:space="0" w:color="000000"/>
            </w:tcBorders>
            <w:shd w:val="clear" w:color="auto" w:fill="F2F2F2" w:themeFill="background1" w:themeFillShade="F2"/>
            <w:vAlign w:val="center"/>
            <w:hideMark/>
          </w:tcPr>
          <w:p w14:paraId="4D2C9BB9" w14:textId="77777777" w:rsidR="009A28A8" w:rsidRPr="00573B55" w:rsidRDefault="009A28A8" w:rsidP="001733C9">
            <w:pPr>
              <w:jc w:val="center"/>
              <w:rPr>
                <w:color w:val="000000"/>
                <w:sz w:val="20"/>
              </w:rPr>
            </w:pPr>
            <w:r w:rsidRPr="00573B55">
              <w:rPr>
                <w:color w:val="000000"/>
                <w:sz w:val="20"/>
              </w:rPr>
              <w:t>67 758,90</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435EDE3A" w14:textId="77777777" w:rsidR="009A28A8" w:rsidRPr="00573B55" w:rsidRDefault="009A28A8" w:rsidP="001733C9">
            <w:pPr>
              <w:jc w:val="center"/>
              <w:rPr>
                <w:color w:val="000000"/>
                <w:sz w:val="20"/>
              </w:rPr>
            </w:pPr>
            <w:r w:rsidRPr="00573B55">
              <w:rPr>
                <w:color w:val="000000"/>
                <w:sz w:val="20"/>
              </w:rPr>
              <w:t>61 997,50</w:t>
            </w:r>
          </w:p>
        </w:tc>
        <w:tc>
          <w:tcPr>
            <w:tcW w:w="1416" w:type="dxa"/>
            <w:tcBorders>
              <w:top w:val="nil"/>
              <w:left w:val="nil"/>
              <w:bottom w:val="single" w:sz="8" w:space="0" w:color="000000"/>
              <w:right w:val="single" w:sz="8" w:space="0" w:color="000000"/>
            </w:tcBorders>
            <w:shd w:val="clear" w:color="auto" w:fill="F2F2F2" w:themeFill="background1" w:themeFillShade="F2"/>
            <w:vAlign w:val="center"/>
            <w:hideMark/>
          </w:tcPr>
          <w:p w14:paraId="29801EA1" w14:textId="77777777" w:rsidR="009A28A8" w:rsidRPr="00573B55" w:rsidRDefault="009A28A8" w:rsidP="001733C9">
            <w:pPr>
              <w:jc w:val="center"/>
              <w:rPr>
                <w:color w:val="000000"/>
                <w:sz w:val="20"/>
              </w:rPr>
            </w:pPr>
            <w:r w:rsidRPr="00573B55">
              <w:rPr>
                <w:color w:val="000000"/>
                <w:sz w:val="20"/>
              </w:rPr>
              <w:t>53 597,50</w:t>
            </w:r>
          </w:p>
        </w:tc>
      </w:tr>
      <w:tr w:rsidR="009A28A8" w:rsidRPr="00573B55" w14:paraId="0B1B4649"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7F510B7D" w14:textId="77777777" w:rsidR="009A28A8" w:rsidRPr="00573B55" w:rsidRDefault="009A28A8" w:rsidP="001733C9">
            <w:pPr>
              <w:rPr>
                <w:i/>
                <w:iCs/>
                <w:color w:val="000000"/>
                <w:sz w:val="20"/>
              </w:rPr>
            </w:pPr>
            <w:r w:rsidRPr="00573B55">
              <w:rPr>
                <w:i/>
                <w:iCs/>
                <w:color w:val="000000"/>
                <w:sz w:val="20"/>
              </w:rPr>
              <w:t>темп роста, %</w:t>
            </w:r>
          </w:p>
        </w:tc>
        <w:tc>
          <w:tcPr>
            <w:tcW w:w="1597" w:type="dxa"/>
            <w:tcBorders>
              <w:top w:val="nil"/>
              <w:left w:val="nil"/>
              <w:bottom w:val="single" w:sz="8" w:space="0" w:color="000000"/>
              <w:right w:val="single" w:sz="8" w:space="0" w:color="000000"/>
            </w:tcBorders>
            <w:shd w:val="clear" w:color="auto" w:fill="auto"/>
            <w:vAlign w:val="center"/>
            <w:hideMark/>
          </w:tcPr>
          <w:p w14:paraId="6332C6AD" w14:textId="77777777" w:rsidR="009A28A8" w:rsidRPr="00573B55" w:rsidRDefault="009A28A8" w:rsidP="001733C9">
            <w:pPr>
              <w:jc w:val="center"/>
              <w:rPr>
                <w:color w:val="000000"/>
                <w:sz w:val="20"/>
              </w:rPr>
            </w:pPr>
            <w:r w:rsidRPr="00573B55">
              <w:rPr>
                <w:color w:val="000000"/>
                <w:sz w:val="20"/>
              </w:rPr>
              <w:t>100,0%</w:t>
            </w:r>
          </w:p>
        </w:tc>
        <w:tc>
          <w:tcPr>
            <w:tcW w:w="1413" w:type="dxa"/>
            <w:tcBorders>
              <w:top w:val="nil"/>
              <w:left w:val="nil"/>
              <w:bottom w:val="single" w:sz="8" w:space="0" w:color="000000"/>
              <w:right w:val="single" w:sz="8" w:space="0" w:color="000000"/>
            </w:tcBorders>
            <w:shd w:val="clear" w:color="auto" w:fill="auto"/>
            <w:vAlign w:val="center"/>
            <w:hideMark/>
          </w:tcPr>
          <w:p w14:paraId="2DFCB5E3" w14:textId="77777777" w:rsidR="009A28A8" w:rsidRPr="00573B55" w:rsidRDefault="009A28A8" w:rsidP="001733C9">
            <w:pPr>
              <w:jc w:val="center"/>
              <w:rPr>
                <w:color w:val="000000"/>
                <w:sz w:val="20"/>
              </w:rPr>
            </w:pPr>
            <w:r w:rsidRPr="00573B55">
              <w:rPr>
                <w:color w:val="000000"/>
                <w:sz w:val="20"/>
              </w:rPr>
              <w:t>83,7%</w:t>
            </w:r>
          </w:p>
        </w:tc>
        <w:tc>
          <w:tcPr>
            <w:tcW w:w="1416" w:type="dxa"/>
            <w:tcBorders>
              <w:top w:val="nil"/>
              <w:left w:val="nil"/>
              <w:bottom w:val="single" w:sz="8" w:space="0" w:color="000000"/>
              <w:right w:val="single" w:sz="8" w:space="0" w:color="000000"/>
            </w:tcBorders>
            <w:shd w:val="clear" w:color="auto" w:fill="auto"/>
            <w:vAlign w:val="center"/>
            <w:hideMark/>
          </w:tcPr>
          <w:p w14:paraId="52DA938A" w14:textId="77777777" w:rsidR="009A28A8" w:rsidRPr="00573B55" w:rsidRDefault="009A28A8" w:rsidP="001733C9">
            <w:pPr>
              <w:jc w:val="center"/>
              <w:rPr>
                <w:color w:val="000000"/>
                <w:sz w:val="20"/>
              </w:rPr>
            </w:pPr>
            <w:r w:rsidRPr="00573B55">
              <w:rPr>
                <w:color w:val="000000"/>
                <w:sz w:val="20"/>
              </w:rPr>
              <w:t>91,5%</w:t>
            </w:r>
          </w:p>
        </w:tc>
        <w:tc>
          <w:tcPr>
            <w:tcW w:w="1416" w:type="dxa"/>
            <w:tcBorders>
              <w:top w:val="nil"/>
              <w:left w:val="nil"/>
              <w:bottom w:val="single" w:sz="8" w:space="0" w:color="000000"/>
              <w:right w:val="single" w:sz="8" w:space="0" w:color="000000"/>
            </w:tcBorders>
            <w:shd w:val="clear" w:color="auto" w:fill="auto"/>
            <w:vAlign w:val="center"/>
            <w:hideMark/>
          </w:tcPr>
          <w:p w14:paraId="265AF950" w14:textId="77777777" w:rsidR="009A28A8" w:rsidRPr="00573B55" w:rsidRDefault="009A28A8" w:rsidP="001733C9">
            <w:pPr>
              <w:jc w:val="center"/>
              <w:rPr>
                <w:color w:val="000000"/>
                <w:sz w:val="20"/>
              </w:rPr>
            </w:pPr>
            <w:r w:rsidRPr="00573B55">
              <w:rPr>
                <w:color w:val="000000"/>
                <w:sz w:val="20"/>
              </w:rPr>
              <w:t>86,5%</w:t>
            </w:r>
          </w:p>
        </w:tc>
      </w:tr>
      <w:tr w:rsidR="009A28A8" w:rsidRPr="00573B55" w14:paraId="6317D638"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3064184A" w14:textId="77777777" w:rsidR="009A28A8" w:rsidRPr="00573B55" w:rsidRDefault="009A28A8" w:rsidP="001733C9">
            <w:pPr>
              <w:rPr>
                <w:i/>
                <w:iCs/>
                <w:color w:val="000000"/>
                <w:sz w:val="20"/>
              </w:rPr>
            </w:pPr>
            <w:r w:rsidRPr="00573B55">
              <w:rPr>
                <w:i/>
                <w:iCs/>
                <w:color w:val="000000"/>
                <w:kern w:val="2"/>
                <w:sz w:val="20"/>
              </w:rPr>
              <w:t>%% к ВВП</w:t>
            </w:r>
          </w:p>
        </w:tc>
        <w:tc>
          <w:tcPr>
            <w:tcW w:w="1597" w:type="dxa"/>
            <w:tcBorders>
              <w:top w:val="nil"/>
              <w:left w:val="nil"/>
              <w:bottom w:val="single" w:sz="8" w:space="0" w:color="000000"/>
              <w:right w:val="single" w:sz="8" w:space="0" w:color="000000"/>
            </w:tcBorders>
            <w:shd w:val="clear" w:color="auto" w:fill="auto"/>
            <w:vAlign w:val="center"/>
            <w:hideMark/>
          </w:tcPr>
          <w:p w14:paraId="0B04AA73" w14:textId="77777777" w:rsidR="009A28A8" w:rsidRPr="00573B55" w:rsidRDefault="009A28A8" w:rsidP="001733C9">
            <w:pPr>
              <w:jc w:val="center"/>
              <w:rPr>
                <w:i/>
                <w:iCs/>
                <w:color w:val="000000"/>
                <w:sz w:val="20"/>
              </w:rPr>
            </w:pPr>
            <w:r w:rsidRPr="00573B55">
              <w:rPr>
                <w:i/>
                <w:iCs/>
                <w:color w:val="000000"/>
                <w:sz w:val="20"/>
              </w:rPr>
              <w:t>0,1</w:t>
            </w:r>
          </w:p>
        </w:tc>
        <w:tc>
          <w:tcPr>
            <w:tcW w:w="1413" w:type="dxa"/>
            <w:tcBorders>
              <w:top w:val="nil"/>
              <w:left w:val="nil"/>
              <w:bottom w:val="single" w:sz="8" w:space="0" w:color="000000"/>
              <w:right w:val="single" w:sz="8" w:space="0" w:color="000000"/>
            </w:tcBorders>
            <w:shd w:val="clear" w:color="auto" w:fill="auto"/>
            <w:vAlign w:val="center"/>
            <w:hideMark/>
          </w:tcPr>
          <w:p w14:paraId="4D0BAFE7" w14:textId="77777777" w:rsidR="009A28A8" w:rsidRPr="00573B55" w:rsidRDefault="009A28A8" w:rsidP="001733C9">
            <w:pPr>
              <w:jc w:val="center"/>
              <w:rPr>
                <w:i/>
                <w:iCs/>
                <w:color w:val="000000"/>
                <w:sz w:val="20"/>
              </w:rPr>
            </w:pPr>
            <w:r w:rsidRPr="00573B55">
              <w:rPr>
                <w:i/>
                <w:iCs/>
                <w:color w:val="000000"/>
                <w:sz w:val="20"/>
              </w:rPr>
              <w:t>0,1</w:t>
            </w:r>
          </w:p>
        </w:tc>
        <w:tc>
          <w:tcPr>
            <w:tcW w:w="1416" w:type="dxa"/>
            <w:tcBorders>
              <w:top w:val="nil"/>
              <w:left w:val="nil"/>
              <w:bottom w:val="single" w:sz="8" w:space="0" w:color="000000"/>
              <w:right w:val="single" w:sz="8" w:space="0" w:color="000000"/>
            </w:tcBorders>
            <w:shd w:val="clear" w:color="auto" w:fill="auto"/>
            <w:vAlign w:val="center"/>
            <w:hideMark/>
          </w:tcPr>
          <w:p w14:paraId="54681E9D" w14:textId="77777777" w:rsidR="009A28A8" w:rsidRPr="00573B55" w:rsidRDefault="009A28A8" w:rsidP="001733C9">
            <w:pPr>
              <w:jc w:val="center"/>
              <w:rPr>
                <w:i/>
                <w:iCs/>
                <w:color w:val="000000"/>
                <w:sz w:val="20"/>
              </w:rPr>
            </w:pPr>
            <w:r w:rsidRPr="00573B55">
              <w:rPr>
                <w:i/>
                <w:iCs/>
                <w:color w:val="000000"/>
                <w:sz w:val="20"/>
              </w:rPr>
              <w:t>0,04</w:t>
            </w:r>
          </w:p>
        </w:tc>
        <w:tc>
          <w:tcPr>
            <w:tcW w:w="1416" w:type="dxa"/>
            <w:tcBorders>
              <w:top w:val="nil"/>
              <w:left w:val="nil"/>
              <w:bottom w:val="single" w:sz="8" w:space="0" w:color="000000"/>
              <w:right w:val="single" w:sz="8" w:space="0" w:color="000000"/>
            </w:tcBorders>
            <w:shd w:val="clear" w:color="auto" w:fill="auto"/>
            <w:vAlign w:val="center"/>
            <w:hideMark/>
          </w:tcPr>
          <w:p w14:paraId="396B43E1" w14:textId="77777777" w:rsidR="009A28A8" w:rsidRPr="00573B55" w:rsidRDefault="009A28A8" w:rsidP="001733C9">
            <w:pPr>
              <w:jc w:val="center"/>
              <w:rPr>
                <w:i/>
                <w:iCs/>
                <w:color w:val="000000"/>
                <w:sz w:val="20"/>
              </w:rPr>
            </w:pPr>
            <w:r w:rsidRPr="00573B55">
              <w:rPr>
                <w:i/>
                <w:iCs/>
                <w:color w:val="000000"/>
                <w:sz w:val="20"/>
              </w:rPr>
              <w:t>0,03</w:t>
            </w:r>
          </w:p>
        </w:tc>
      </w:tr>
      <w:tr w:rsidR="009A28A8" w:rsidRPr="00573B55" w14:paraId="402ED899" w14:textId="77777777" w:rsidTr="001733C9">
        <w:trPr>
          <w:trHeight w:val="300"/>
        </w:trPr>
        <w:tc>
          <w:tcPr>
            <w:tcW w:w="3638" w:type="dxa"/>
            <w:tcBorders>
              <w:top w:val="nil"/>
              <w:left w:val="single" w:sz="8" w:space="0" w:color="000000"/>
              <w:bottom w:val="single" w:sz="8" w:space="0" w:color="000000"/>
              <w:right w:val="single" w:sz="8" w:space="0" w:color="000000"/>
            </w:tcBorders>
            <w:shd w:val="clear" w:color="auto" w:fill="auto"/>
            <w:vAlign w:val="center"/>
            <w:hideMark/>
          </w:tcPr>
          <w:p w14:paraId="24820720" w14:textId="77777777" w:rsidR="009A28A8" w:rsidRPr="00573B55" w:rsidRDefault="009A28A8" w:rsidP="001733C9">
            <w:pPr>
              <w:rPr>
                <w:i/>
                <w:iCs/>
                <w:color w:val="000000"/>
                <w:sz w:val="20"/>
              </w:rPr>
            </w:pPr>
            <w:r w:rsidRPr="00573B55">
              <w:rPr>
                <w:i/>
                <w:iCs/>
                <w:color w:val="000000"/>
                <w:sz w:val="20"/>
              </w:rPr>
              <w:t>доля в общем объеме расходов</w:t>
            </w:r>
            <w:r>
              <w:rPr>
                <w:i/>
                <w:iCs/>
                <w:color w:val="000000"/>
                <w:sz w:val="20"/>
              </w:rPr>
              <w:t xml:space="preserve"> ФБ</w:t>
            </w:r>
            <w:r w:rsidRPr="00573B55">
              <w:rPr>
                <w:i/>
                <w:iCs/>
                <w:color w:val="000000"/>
                <w:sz w:val="20"/>
              </w:rPr>
              <w:t>, %</w:t>
            </w:r>
          </w:p>
        </w:tc>
        <w:tc>
          <w:tcPr>
            <w:tcW w:w="1597" w:type="dxa"/>
            <w:tcBorders>
              <w:top w:val="nil"/>
              <w:left w:val="nil"/>
              <w:bottom w:val="single" w:sz="8" w:space="0" w:color="000000"/>
              <w:right w:val="single" w:sz="8" w:space="0" w:color="000000"/>
            </w:tcBorders>
            <w:shd w:val="clear" w:color="auto" w:fill="auto"/>
            <w:vAlign w:val="center"/>
            <w:hideMark/>
          </w:tcPr>
          <w:p w14:paraId="2B5815DE" w14:textId="77777777" w:rsidR="009A28A8" w:rsidRPr="00573B55" w:rsidRDefault="009A28A8" w:rsidP="001733C9">
            <w:pPr>
              <w:jc w:val="center"/>
              <w:rPr>
                <w:i/>
                <w:iCs/>
                <w:color w:val="000000"/>
                <w:sz w:val="20"/>
              </w:rPr>
            </w:pPr>
            <w:r w:rsidRPr="001465D9">
              <w:rPr>
                <w:i/>
                <w:iCs/>
                <w:color w:val="000000"/>
                <w:sz w:val="20"/>
              </w:rPr>
              <w:t>0,3%</w:t>
            </w:r>
          </w:p>
        </w:tc>
        <w:tc>
          <w:tcPr>
            <w:tcW w:w="1413" w:type="dxa"/>
            <w:tcBorders>
              <w:top w:val="nil"/>
              <w:left w:val="nil"/>
              <w:bottom w:val="single" w:sz="8" w:space="0" w:color="000000"/>
              <w:right w:val="single" w:sz="8" w:space="0" w:color="000000"/>
            </w:tcBorders>
            <w:shd w:val="clear" w:color="auto" w:fill="auto"/>
            <w:vAlign w:val="center"/>
            <w:hideMark/>
          </w:tcPr>
          <w:p w14:paraId="6D4BA4D0" w14:textId="77777777" w:rsidR="009A28A8" w:rsidRPr="00573B55" w:rsidRDefault="009A28A8" w:rsidP="001733C9">
            <w:pPr>
              <w:jc w:val="center"/>
              <w:rPr>
                <w:i/>
                <w:iCs/>
                <w:color w:val="000000"/>
                <w:sz w:val="20"/>
              </w:rPr>
            </w:pPr>
            <w:r w:rsidRPr="001465D9">
              <w:rPr>
                <w:i/>
                <w:iCs/>
                <w:color w:val="000000"/>
                <w:sz w:val="20"/>
              </w:rPr>
              <w:t>0,2%</w:t>
            </w:r>
          </w:p>
        </w:tc>
        <w:tc>
          <w:tcPr>
            <w:tcW w:w="1416" w:type="dxa"/>
            <w:tcBorders>
              <w:top w:val="nil"/>
              <w:left w:val="nil"/>
              <w:bottom w:val="single" w:sz="8" w:space="0" w:color="000000"/>
              <w:right w:val="single" w:sz="8" w:space="0" w:color="000000"/>
            </w:tcBorders>
            <w:shd w:val="clear" w:color="auto" w:fill="auto"/>
            <w:vAlign w:val="center"/>
            <w:hideMark/>
          </w:tcPr>
          <w:p w14:paraId="09FE9E20" w14:textId="77777777" w:rsidR="009A28A8" w:rsidRPr="00573B55" w:rsidRDefault="009A28A8" w:rsidP="001733C9">
            <w:pPr>
              <w:jc w:val="center"/>
              <w:rPr>
                <w:i/>
                <w:iCs/>
                <w:color w:val="000000"/>
                <w:sz w:val="20"/>
              </w:rPr>
            </w:pPr>
            <w:r w:rsidRPr="001465D9">
              <w:rPr>
                <w:i/>
                <w:iCs/>
                <w:color w:val="000000"/>
                <w:sz w:val="20"/>
              </w:rPr>
              <w:t>0,2%</w:t>
            </w:r>
          </w:p>
        </w:tc>
        <w:tc>
          <w:tcPr>
            <w:tcW w:w="1416" w:type="dxa"/>
            <w:tcBorders>
              <w:top w:val="nil"/>
              <w:left w:val="nil"/>
              <w:bottom w:val="single" w:sz="8" w:space="0" w:color="000000"/>
              <w:right w:val="single" w:sz="8" w:space="0" w:color="000000"/>
            </w:tcBorders>
            <w:shd w:val="clear" w:color="auto" w:fill="auto"/>
            <w:vAlign w:val="center"/>
            <w:hideMark/>
          </w:tcPr>
          <w:p w14:paraId="0804EE19" w14:textId="77777777" w:rsidR="009A28A8" w:rsidRPr="00573B55" w:rsidRDefault="009A28A8" w:rsidP="001733C9">
            <w:pPr>
              <w:jc w:val="center"/>
              <w:rPr>
                <w:i/>
                <w:iCs/>
                <w:color w:val="000000"/>
                <w:sz w:val="20"/>
              </w:rPr>
            </w:pPr>
            <w:r w:rsidRPr="001465D9">
              <w:rPr>
                <w:i/>
                <w:iCs/>
                <w:color w:val="000000"/>
                <w:sz w:val="20"/>
              </w:rPr>
              <w:t>0,2%</w:t>
            </w:r>
          </w:p>
        </w:tc>
      </w:tr>
    </w:tbl>
    <w:p w14:paraId="6038432A" w14:textId="77777777" w:rsidR="009A28A8" w:rsidRPr="00B86B87" w:rsidRDefault="009A28A8" w:rsidP="009A28A8">
      <w:pPr>
        <w:shd w:val="clear" w:color="auto" w:fill="FFFFFF"/>
        <w:jc w:val="both"/>
        <w:rPr>
          <w:bCs/>
          <w:sz w:val="20"/>
        </w:rPr>
      </w:pPr>
      <w:r w:rsidRPr="00B86B87">
        <w:rPr>
          <w:sz w:val="20"/>
        </w:rPr>
        <w:t xml:space="preserve">* </w:t>
      </w:r>
      <w:r w:rsidRPr="00B86B87">
        <w:rPr>
          <w:bCs/>
          <w:sz w:val="20"/>
        </w:rPr>
        <w:t>Федеральный закон «О федеральном бюджете на 2022 год и на плановый период 2023 и 2024 годов» от 06.12.2021 № 390-ФЗ</w:t>
      </w:r>
    </w:p>
    <w:p w14:paraId="69759D70" w14:textId="77777777" w:rsidR="009A28A8" w:rsidRPr="00292F96" w:rsidRDefault="009A28A8" w:rsidP="009A28A8">
      <w:pPr>
        <w:jc w:val="both"/>
        <w:rPr>
          <w:sz w:val="20"/>
        </w:rPr>
      </w:pPr>
      <w:r w:rsidRPr="00292F96">
        <w:rPr>
          <w:sz w:val="20"/>
        </w:rPr>
        <w:t>** данные без учета бюджетных ассигнований приложения 16 (секретно)</w:t>
      </w:r>
    </w:p>
    <w:p w14:paraId="23BE82DA" w14:textId="77777777" w:rsidR="009A28A8" w:rsidRPr="004F3E1E" w:rsidRDefault="009A28A8" w:rsidP="009A28A8">
      <w:pPr>
        <w:jc w:val="both"/>
        <w:rPr>
          <w:i/>
          <w:sz w:val="22"/>
          <w:szCs w:val="22"/>
        </w:rPr>
      </w:pPr>
      <w:r w:rsidRPr="004F3E1E">
        <w:rPr>
          <w:i/>
          <w:color w:val="000000"/>
          <w:sz w:val="22"/>
          <w:szCs w:val="22"/>
        </w:rPr>
        <w:t>Источник: составлено на основе данных Приложения 15 «Распределение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2023 год и на плановый период 2024 и 2025 годов» к проекту Федерального закона «О федеральном бюджете на 2023 год и на плановый период 2024 и 2025 годов»</w:t>
      </w:r>
    </w:p>
    <w:p w14:paraId="3A68DDE7" w14:textId="77777777" w:rsidR="004F3E1E" w:rsidRDefault="004F3E1E" w:rsidP="009A28A8">
      <w:pPr>
        <w:autoSpaceDE w:val="0"/>
        <w:autoSpaceDN w:val="0"/>
        <w:adjustRightInd w:val="0"/>
        <w:spacing w:line="360" w:lineRule="auto"/>
        <w:ind w:firstLine="709"/>
        <w:contextualSpacing/>
        <w:jc w:val="both"/>
        <w:rPr>
          <w:sz w:val="24"/>
          <w:szCs w:val="24"/>
          <w:shd w:val="clear" w:color="auto" w:fill="FFFFFF"/>
        </w:rPr>
      </w:pPr>
    </w:p>
    <w:p w14:paraId="52028184" w14:textId="77777777" w:rsidR="009A28A8" w:rsidRPr="00B86B87" w:rsidRDefault="009A28A8" w:rsidP="009A28A8">
      <w:pPr>
        <w:autoSpaceDE w:val="0"/>
        <w:autoSpaceDN w:val="0"/>
        <w:adjustRightInd w:val="0"/>
        <w:spacing w:line="360" w:lineRule="auto"/>
        <w:ind w:firstLine="709"/>
        <w:contextualSpacing/>
        <w:jc w:val="both"/>
        <w:rPr>
          <w:sz w:val="24"/>
          <w:szCs w:val="24"/>
          <w:shd w:val="clear" w:color="auto" w:fill="FFFFFF"/>
        </w:rPr>
      </w:pPr>
      <w:r>
        <w:rPr>
          <w:sz w:val="24"/>
          <w:szCs w:val="24"/>
          <w:shd w:val="clear" w:color="auto" w:fill="FFFFFF"/>
        </w:rPr>
        <w:lastRenderedPageBreak/>
        <w:t>Согласно данным законопроекта в</w:t>
      </w:r>
      <w:r w:rsidRPr="00B86B87">
        <w:rPr>
          <w:sz w:val="24"/>
          <w:szCs w:val="24"/>
          <w:shd w:val="clear" w:color="auto" w:fill="FFFFFF"/>
        </w:rPr>
        <w:t xml:space="preserve"> течение прогнозного бюджетного цикла п</w:t>
      </w:r>
      <w:r w:rsidRPr="00B86B87">
        <w:rPr>
          <w:spacing w:val="-1"/>
          <w:sz w:val="24"/>
          <w:szCs w:val="24"/>
        </w:rPr>
        <w:t xml:space="preserve">редусмотренные </w:t>
      </w:r>
      <w:r w:rsidRPr="00B86B87">
        <w:rPr>
          <w:sz w:val="24"/>
          <w:szCs w:val="24"/>
          <w:shd w:val="clear" w:color="auto" w:fill="FFFFFF"/>
        </w:rPr>
        <w:t xml:space="preserve">в федеральном бюджете </w:t>
      </w:r>
      <w:r w:rsidRPr="00B86B87">
        <w:rPr>
          <w:spacing w:val="-1"/>
          <w:sz w:val="24"/>
          <w:szCs w:val="24"/>
        </w:rPr>
        <w:t xml:space="preserve">объемы бюджетных ассигнований </w:t>
      </w:r>
      <w:r w:rsidRPr="00B86B87">
        <w:rPr>
          <w:sz w:val="24"/>
          <w:szCs w:val="24"/>
          <w:shd w:val="clear" w:color="auto" w:fill="FFFFFF"/>
        </w:rPr>
        <w:t xml:space="preserve">по разделу «Национальная экономика» </w:t>
      </w:r>
      <w:r>
        <w:rPr>
          <w:sz w:val="24"/>
          <w:szCs w:val="24"/>
          <w:shd w:val="clear" w:color="auto" w:fill="FFFFFF"/>
        </w:rPr>
        <w:t xml:space="preserve">в рамках открытой его части </w:t>
      </w:r>
      <w:r w:rsidRPr="00B86B87">
        <w:rPr>
          <w:sz w:val="24"/>
          <w:szCs w:val="24"/>
          <w:shd w:val="clear" w:color="auto" w:fill="FFFFFF"/>
        </w:rPr>
        <w:t xml:space="preserve">увеличиваются не только год к году (суммарно </w:t>
      </w:r>
      <w:r>
        <w:rPr>
          <w:sz w:val="24"/>
          <w:szCs w:val="24"/>
          <w:shd w:val="clear" w:color="auto" w:fill="FFFFFF"/>
        </w:rPr>
        <w:t xml:space="preserve">около 260 </w:t>
      </w:r>
      <w:r w:rsidRPr="00B86B87">
        <w:rPr>
          <w:sz w:val="24"/>
          <w:szCs w:val="24"/>
          <w:shd w:val="clear" w:color="auto" w:fill="FFFFFF"/>
        </w:rPr>
        <w:t xml:space="preserve">млрд руб. за 3 года), но и </w:t>
      </w:r>
      <w:r w:rsidRPr="00B86B87">
        <w:rPr>
          <w:spacing w:val="-1"/>
          <w:sz w:val="24"/>
          <w:szCs w:val="24"/>
        </w:rPr>
        <w:t>по сравнению с объемами, утвержденными Законом № 390-ФЗ: в 2023 году - на 22,3 млрд руб</w:t>
      </w:r>
      <w:r>
        <w:rPr>
          <w:spacing w:val="-1"/>
          <w:sz w:val="24"/>
          <w:szCs w:val="24"/>
        </w:rPr>
        <w:t>.</w:t>
      </w:r>
      <w:r w:rsidRPr="00B86B87">
        <w:rPr>
          <w:spacing w:val="-1"/>
          <w:sz w:val="24"/>
          <w:szCs w:val="24"/>
        </w:rPr>
        <w:t>, в 2024 году - на 130,7 млрд</w:t>
      </w:r>
      <w:r>
        <w:rPr>
          <w:spacing w:val="-1"/>
          <w:sz w:val="24"/>
          <w:szCs w:val="24"/>
        </w:rPr>
        <w:t xml:space="preserve"> </w:t>
      </w:r>
      <w:r w:rsidRPr="00B86B87">
        <w:rPr>
          <w:spacing w:val="-1"/>
          <w:sz w:val="24"/>
          <w:szCs w:val="24"/>
        </w:rPr>
        <w:t>руб</w:t>
      </w:r>
      <w:r>
        <w:rPr>
          <w:spacing w:val="-1"/>
          <w:sz w:val="24"/>
          <w:szCs w:val="24"/>
        </w:rPr>
        <w:t>.</w:t>
      </w:r>
      <w:r w:rsidRPr="00B86B87">
        <w:rPr>
          <w:spacing w:val="-1"/>
          <w:sz w:val="24"/>
          <w:szCs w:val="24"/>
        </w:rPr>
        <w:t>, в</w:t>
      </w:r>
      <w:r>
        <w:rPr>
          <w:spacing w:val="-1"/>
          <w:sz w:val="24"/>
          <w:szCs w:val="24"/>
        </w:rPr>
        <w:t xml:space="preserve"> </w:t>
      </w:r>
      <w:r w:rsidRPr="00B86B87">
        <w:rPr>
          <w:spacing w:val="-1"/>
          <w:sz w:val="24"/>
          <w:szCs w:val="24"/>
        </w:rPr>
        <w:t xml:space="preserve">2025 году по сравнению с </w:t>
      </w:r>
      <w:r w:rsidRPr="00B86B87">
        <w:rPr>
          <w:sz w:val="24"/>
          <w:szCs w:val="24"/>
        </w:rPr>
        <w:t>соответствующими объемами расходов, установленными Бюджетным прогнозом, - на 248,5 млрд руб</w:t>
      </w:r>
      <w:r>
        <w:rPr>
          <w:sz w:val="24"/>
          <w:szCs w:val="24"/>
        </w:rPr>
        <w:t>.</w:t>
      </w:r>
      <w:r w:rsidRPr="00B86B87">
        <w:rPr>
          <w:sz w:val="24"/>
          <w:szCs w:val="24"/>
        </w:rPr>
        <w:t>, что в целом соответствует заявленной в Основных направлениях цели решения структурных проблем и трансформации российской экономики и ее модернизации</w:t>
      </w:r>
      <w:r w:rsidRPr="00B86B87">
        <w:rPr>
          <w:sz w:val="24"/>
          <w:szCs w:val="24"/>
          <w:shd w:val="clear" w:color="auto" w:fill="FFFFFF"/>
        </w:rPr>
        <w:t xml:space="preserve">. </w:t>
      </w:r>
      <w:r w:rsidRPr="00B86B87">
        <w:rPr>
          <w:sz w:val="24"/>
          <w:szCs w:val="24"/>
        </w:rPr>
        <w:t xml:space="preserve">Удельный вес </w:t>
      </w:r>
      <w:r>
        <w:rPr>
          <w:sz w:val="24"/>
          <w:szCs w:val="24"/>
        </w:rPr>
        <w:t xml:space="preserve">открытой части </w:t>
      </w:r>
      <w:r w:rsidRPr="00B86B87">
        <w:rPr>
          <w:sz w:val="24"/>
          <w:szCs w:val="24"/>
        </w:rPr>
        <w:t xml:space="preserve">расходов на национальную экономику в общих расходах </w:t>
      </w:r>
      <w:r>
        <w:rPr>
          <w:sz w:val="24"/>
          <w:szCs w:val="24"/>
        </w:rPr>
        <w:t>федерального бюджета имеет незначительную тенденцию к росту с 2024 года (</w:t>
      </w:r>
      <w:r w:rsidRPr="00B86B87">
        <w:rPr>
          <w:sz w:val="24"/>
          <w:szCs w:val="24"/>
        </w:rPr>
        <w:t>с 1</w:t>
      </w:r>
      <w:r>
        <w:rPr>
          <w:sz w:val="24"/>
          <w:szCs w:val="24"/>
        </w:rPr>
        <w:t>1,8</w:t>
      </w:r>
      <w:r w:rsidRPr="00B86B87">
        <w:rPr>
          <w:sz w:val="24"/>
          <w:szCs w:val="24"/>
        </w:rPr>
        <w:t>% в 2022 году до 1</w:t>
      </w:r>
      <w:r>
        <w:rPr>
          <w:sz w:val="24"/>
          <w:szCs w:val="24"/>
        </w:rPr>
        <w:t>2,0</w:t>
      </w:r>
      <w:r w:rsidRPr="00B86B87">
        <w:rPr>
          <w:sz w:val="24"/>
          <w:szCs w:val="24"/>
        </w:rPr>
        <w:t>% в 202</w:t>
      </w:r>
      <w:r>
        <w:rPr>
          <w:sz w:val="24"/>
          <w:szCs w:val="24"/>
        </w:rPr>
        <w:t>5</w:t>
      </w:r>
      <w:r w:rsidRPr="00B86B87">
        <w:rPr>
          <w:sz w:val="24"/>
          <w:szCs w:val="24"/>
        </w:rPr>
        <w:t xml:space="preserve"> году</w:t>
      </w:r>
      <w:r>
        <w:rPr>
          <w:sz w:val="24"/>
          <w:szCs w:val="24"/>
        </w:rPr>
        <w:t>).</w:t>
      </w:r>
    </w:p>
    <w:p w14:paraId="452F7B7F" w14:textId="77777777" w:rsidR="009A28A8" w:rsidRPr="00B86B87" w:rsidRDefault="009A28A8" w:rsidP="009A28A8">
      <w:pPr>
        <w:autoSpaceDE w:val="0"/>
        <w:autoSpaceDN w:val="0"/>
        <w:adjustRightInd w:val="0"/>
        <w:spacing w:line="360" w:lineRule="auto"/>
        <w:ind w:firstLine="709"/>
        <w:contextualSpacing/>
        <w:jc w:val="both"/>
        <w:rPr>
          <w:color w:val="000000"/>
          <w:sz w:val="24"/>
          <w:szCs w:val="24"/>
          <w:shd w:val="clear" w:color="auto" w:fill="FFFFFF"/>
        </w:rPr>
      </w:pPr>
      <w:r w:rsidRPr="00B86B87">
        <w:rPr>
          <w:sz w:val="24"/>
          <w:szCs w:val="24"/>
          <w:shd w:val="clear" w:color="auto" w:fill="FFFFFF"/>
        </w:rPr>
        <w:t>Однако динамика финансирования подразделов, входящих в указанное направление расходов федерального бюджета</w:t>
      </w:r>
      <w:r>
        <w:rPr>
          <w:sz w:val="24"/>
          <w:szCs w:val="24"/>
          <w:shd w:val="clear" w:color="auto" w:fill="FFFFFF"/>
        </w:rPr>
        <w:t>, оцененная по открытой части расходов</w:t>
      </w:r>
      <w:r w:rsidRPr="00B86B87">
        <w:rPr>
          <w:sz w:val="24"/>
          <w:szCs w:val="24"/>
          <w:shd w:val="clear" w:color="auto" w:fill="FFFFFF"/>
        </w:rPr>
        <w:t>, довольн</w:t>
      </w:r>
      <w:r>
        <w:rPr>
          <w:sz w:val="24"/>
          <w:szCs w:val="24"/>
          <w:shd w:val="clear" w:color="auto" w:fill="FFFFFF"/>
        </w:rPr>
        <w:t>о</w:t>
      </w:r>
      <w:r w:rsidRPr="00B86B87">
        <w:rPr>
          <w:sz w:val="24"/>
          <w:szCs w:val="24"/>
          <w:shd w:val="clear" w:color="auto" w:fill="FFFFFF"/>
        </w:rPr>
        <w:t xml:space="preserve"> неоднозначна. Н</w:t>
      </w:r>
      <w:r>
        <w:rPr>
          <w:sz w:val="24"/>
          <w:szCs w:val="24"/>
          <w:shd w:val="clear" w:color="auto" w:fill="FFFFFF"/>
        </w:rPr>
        <w:t>есмотря на общий рост открытой части расходов на национальную экономику, существенное с</w:t>
      </w:r>
      <w:r w:rsidRPr="00B86B87">
        <w:rPr>
          <w:sz w:val="24"/>
          <w:szCs w:val="24"/>
          <w:shd w:val="clear" w:color="auto" w:fill="FFFFFF"/>
        </w:rPr>
        <w:t xml:space="preserve">нижение расходов </w:t>
      </w:r>
      <w:r>
        <w:rPr>
          <w:sz w:val="24"/>
          <w:szCs w:val="24"/>
          <w:shd w:val="clear" w:color="auto" w:fill="FFFFFF"/>
        </w:rPr>
        <w:t xml:space="preserve">в нем </w:t>
      </w:r>
      <w:r w:rsidRPr="00B86B87">
        <w:rPr>
          <w:sz w:val="24"/>
          <w:szCs w:val="24"/>
          <w:shd w:val="clear" w:color="auto" w:fill="FFFFFF"/>
        </w:rPr>
        <w:t xml:space="preserve">за трехлетний период (на 143 млрд или на 34,2%) предусмотрено по подразделу «Сельское хозяйство и рыболовство» (за счет сокращения бюджетных ассигнований по федеральному проекту «Стимулирование инвестиционной деятельности в агропромышленном комплексе»); в то же время расходы на финансирование федерального проекта «Развитие отраслей и техническая модернизация агропромышленного комплекса» </w:t>
      </w:r>
      <w:r>
        <w:rPr>
          <w:sz w:val="24"/>
          <w:szCs w:val="24"/>
          <w:shd w:val="clear" w:color="auto" w:fill="FFFFFF"/>
        </w:rPr>
        <w:t xml:space="preserve">в этом подразделе </w:t>
      </w:r>
      <w:r w:rsidRPr="00B86B87">
        <w:rPr>
          <w:sz w:val="24"/>
          <w:szCs w:val="24"/>
          <w:shd w:val="clear" w:color="auto" w:fill="FFFFFF"/>
        </w:rPr>
        <w:t xml:space="preserve">будут увеличиваться. Также сильное снижение расходов по данному направлению отмечается в отношении </w:t>
      </w:r>
      <w:r>
        <w:rPr>
          <w:sz w:val="24"/>
          <w:szCs w:val="24"/>
          <w:shd w:val="clear" w:color="auto" w:fill="FFFFFF"/>
        </w:rPr>
        <w:t xml:space="preserve">следующих </w:t>
      </w:r>
      <w:r w:rsidRPr="00B86B87">
        <w:rPr>
          <w:sz w:val="24"/>
          <w:szCs w:val="24"/>
          <w:shd w:val="clear" w:color="auto" w:fill="FFFFFF"/>
        </w:rPr>
        <w:t>подразделов</w:t>
      </w:r>
      <w:r>
        <w:rPr>
          <w:sz w:val="24"/>
          <w:szCs w:val="24"/>
          <w:shd w:val="clear" w:color="auto" w:fill="FFFFFF"/>
        </w:rPr>
        <w:t>:</w:t>
      </w:r>
      <w:r w:rsidRPr="00B86B87">
        <w:rPr>
          <w:sz w:val="24"/>
          <w:szCs w:val="24"/>
          <w:shd w:val="clear" w:color="auto" w:fill="FFFFFF"/>
        </w:rPr>
        <w:t xml:space="preserve"> «Транспорт» - на 136,6 млрд руб. или на 31,2% за трехлетний период, «Прикладные научные исследования в области национальной экономики» (за счет сокращения финансирования государственной программы Российской Федерации «Научно-технологическое развитие Российской Федерации») - на 52 млрд руб. или на 15,4% за три года цикла, «Связь и информатика» - на 41,7 млрд руб. или 42% за три года, «Исследование </w:t>
      </w:r>
      <w:r w:rsidRPr="00B86B87">
        <w:rPr>
          <w:color w:val="000000"/>
          <w:sz w:val="24"/>
          <w:szCs w:val="24"/>
          <w:shd w:val="clear" w:color="auto" w:fill="FFFFFF"/>
        </w:rPr>
        <w:t xml:space="preserve">и использование космического пространства» - на 9 млрд руб. или на 17,3%. Указанные подразделы отвечают, с одной стороны, за технологическое развитие Российской Федерации, ее цифровизацию, с другой, – за продовольственную безопасность. В то же время в рамках указанного направления на 240 млрд руб. или на 25% за три года цикла вырастут расходы по подразделу «Дорожное хозяйство» (за счет предоставления межбюджетных трансфертов субъектам РФ на приведение в нормативное состояние автомобильных дорог и искусственных дорожных сооружений), что в условиях недостаточной обеспеченности регионов качественной дорожной инфраструктурой является целесообразным и необходимым. </w:t>
      </w:r>
    </w:p>
    <w:p w14:paraId="49A1891C" w14:textId="3EB04EFF" w:rsidR="009A28A8" w:rsidRPr="00B86B87" w:rsidRDefault="009A28A8" w:rsidP="009A28A8">
      <w:pPr>
        <w:autoSpaceDE w:val="0"/>
        <w:autoSpaceDN w:val="0"/>
        <w:adjustRightInd w:val="0"/>
        <w:spacing w:line="360" w:lineRule="auto"/>
        <w:ind w:firstLine="709"/>
        <w:contextualSpacing/>
        <w:jc w:val="both"/>
        <w:rPr>
          <w:sz w:val="24"/>
          <w:szCs w:val="24"/>
        </w:rPr>
      </w:pPr>
      <w:r w:rsidRPr="00B86B87">
        <w:rPr>
          <w:sz w:val="24"/>
          <w:szCs w:val="24"/>
          <w:shd w:val="clear" w:color="auto" w:fill="FFFFFF"/>
        </w:rPr>
        <w:t>Н</w:t>
      </w:r>
      <w:r w:rsidRPr="00B86B87">
        <w:rPr>
          <w:sz w:val="24"/>
          <w:szCs w:val="24"/>
        </w:rPr>
        <w:t xml:space="preserve">есмотря на </w:t>
      </w:r>
      <w:r>
        <w:rPr>
          <w:sz w:val="24"/>
          <w:szCs w:val="24"/>
        </w:rPr>
        <w:t xml:space="preserve">номинальный </w:t>
      </w:r>
      <w:r w:rsidRPr="00B86B87">
        <w:rPr>
          <w:sz w:val="24"/>
          <w:szCs w:val="24"/>
        </w:rPr>
        <w:t xml:space="preserve">рост </w:t>
      </w:r>
      <w:r>
        <w:rPr>
          <w:sz w:val="24"/>
          <w:szCs w:val="24"/>
        </w:rPr>
        <w:t xml:space="preserve">открытой части </w:t>
      </w:r>
      <w:r w:rsidRPr="00B86B87">
        <w:rPr>
          <w:sz w:val="24"/>
          <w:szCs w:val="24"/>
        </w:rPr>
        <w:t xml:space="preserve">расходов по разделу «Национальная экономика» в абсолютном выражении, удельный вес этих расходов в ВВП снижается на </w:t>
      </w:r>
      <w:r w:rsidRPr="00B86B87">
        <w:rPr>
          <w:sz w:val="24"/>
          <w:szCs w:val="24"/>
        </w:rPr>
        <w:lastRenderedPageBreak/>
        <w:t>протяжении всего анализируемого периода.</w:t>
      </w:r>
      <w:r>
        <w:rPr>
          <w:sz w:val="24"/>
          <w:szCs w:val="24"/>
        </w:rPr>
        <w:t xml:space="preserve"> В реальном выражении с учетом накопленной за три года инфляции суммарно расходы федерального бюджета по направлению «Национальная экономика» снижаются к концу прогнозного бюджетного цикла на 5,3 процента</w:t>
      </w:r>
      <w:r w:rsidR="007B54B7">
        <w:rPr>
          <w:sz w:val="24"/>
          <w:szCs w:val="24"/>
        </w:rPr>
        <w:t xml:space="preserve">. </w:t>
      </w:r>
      <w:r w:rsidRPr="00B86B87">
        <w:rPr>
          <w:sz w:val="24"/>
          <w:szCs w:val="24"/>
        </w:rPr>
        <w:t>В условиях продолжающ</w:t>
      </w:r>
      <w:r w:rsidR="00293AE0">
        <w:rPr>
          <w:sz w:val="24"/>
          <w:szCs w:val="24"/>
        </w:rPr>
        <w:t xml:space="preserve">егося санкционного </w:t>
      </w:r>
      <w:r w:rsidR="007B54B7">
        <w:rPr>
          <w:sz w:val="24"/>
          <w:szCs w:val="24"/>
        </w:rPr>
        <w:t>давления</w:t>
      </w:r>
      <w:r w:rsidR="00293AE0">
        <w:rPr>
          <w:sz w:val="24"/>
          <w:szCs w:val="24"/>
        </w:rPr>
        <w:t xml:space="preserve"> </w:t>
      </w:r>
      <w:r w:rsidR="007B54B7">
        <w:rPr>
          <w:sz w:val="24"/>
          <w:szCs w:val="24"/>
        </w:rPr>
        <w:t xml:space="preserve">на </w:t>
      </w:r>
      <w:r w:rsidR="007B54B7" w:rsidRPr="007B54B7">
        <w:rPr>
          <w:sz w:val="24"/>
          <w:szCs w:val="24"/>
        </w:rPr>
        <w:t>Россий</w:t>
      </w:r>
      <w:r w:rsidR="007B54B7">
        <w:rPr>
          <w:sz w:val="24"/>
          <w:szCs w:val="24"/>
        </w:rPr>
        <w:t xml:space="preserve">скую Федерацию </w:t>
      </w:r>
      <w:r w:rsidR="00293AE0" w:rsidRPr="00293AE0">
        <w:rPr>
          <w:sz w:val="24"/>
          <w:szCs w:val="24"/>
        </w:rPr>
        <w:t>с</w:t>
      </w:r>
      <w:r w:rsidRPr="00B86B87">
        <w:rPr>
          <w:sz w:val="24"/>
          <w:szCs w:val="24"/>
        </w:rPr>
        <w:t xml:space="preserve">нижение объемов финансирования </w:t>
      </w:r>
      <w:r>
        <w:rPr>
          <w:sz w:val="24"/>
          <w:szCs w:val="24"/>
        </w:rPr>
        <w:t xml:space="preserve">важнейших </w:t>
      </w:r>
      <w:r w:rsidRPr="00B86B87">
        <w:rPr>
          <w:sz w:val="24"/>
          <w:szCs w:val="24"/>
        </w:rPr>
        <w:t>направлени</w:t>
      </w:r>
      <w:r>
        <w:rPr>
          <w:sz w:val="24"/>
          <w:szCs w:val="24"/>
        </w:rPr>
        <w:t>й</w:t>
      </w:r>
      <w:r w:rsidRPr="00B86B87">
        <w:rPr>
          <w:sz w:val="24"/>
          <w:szCs w:val="24"/>
        </w:rPr>
        <w:t xml:space="preserve"> расходов </w:t>
      </w:r>
      <w:r>
        <w:rPr>
          <w:sz w:val="24"/>
          <w:szCs w:val="24"/>
        </w:rPr>
        <w:t xml:space="preserve">данного раздела </w:t>
      </w:r>
      <w:r w:rsidR="00293AE0" w:rsidRPr="007B54B7">
        <w:rPr>
          <w:sz w:val="24"/>
          <w:szCs w:val="24"/>
        </w:rPr>
        <w:t>существенно повлияют</w:t>
      </w:r>
      <w:r w:rsidR="00293AE0">
        <w:rPr>
          <w:sz w:val="24"/>
          <w:szCs w:val="24"/>
        </w:rPr>
        <w:t xml:space="preserve"> на </w:t>
      </w:r>
      <w:r>
        <w:rPr>
          <w:sz w:val="24"/>
          <w:szCs w:val="24"/>
        </w:rPr>
        <w:t xml:space="preserve">реализацию </w:t>
      </w:r>
      <w:r w:rsidR="00293AE0" w:rsidRPr="007B54B7">
        <w:rPr>
          <w:sz w:val="24"/>
          <w:szCs w:val="24"/>
        </w:rPr>
        <w:t xml:space="preserve">проводимой </w:t>
      </w:r>
      <w:r w:rsidRPr="007B54B7">
        <w:rPr>
          <w:sz w:val="24"/>
          <w:szCs w:val="24"/>
        </w:rPr>
        <w:t>ст</w:t>
      </w:r>
      <w:r w:rsidRPr="00B86B87">
        <w:rPr>
          <w:sz w:val="24"/>
          <w:szCs w:val="24"/>
        </w:rPr>
        <w:t>руктурн</w:t>
      </w:r>
      <w:r>
        <w:rPr>
          <w:sz w:val="24"/>
          <w:szCs w:val="24"/>
        </w:rPr>
        <w:t>ой</w:t>
      </w:r>
      <w:r w:rsidRPr="00B86B87">
        <w:rPr>
          <w:sz w:val="24"/>
          <w:szCs w:val="24"/>
        </w:rPr>
        <w:t xml:space="preserve"> перестройк</w:t>
      </w:r>
      <w:r>
        <w:rPr>
          <w:sz w:val="24"/>
          <w:szCs w:val="24"/>
        </w:rPr>
        <w:t>и</w:t>
      </w:r>
      <w:r w:rsidRPr="00B86B87">
        <w:rPr>
          <w:sz w:val="24"/>
          <w:szCs w:val="24"/>
        </w:rPr>
        <w:t xml:space="preserve"> российской экономики</w:t>
      </w:r>
      <w:r>
        <w:rPr>
          <w:sz w:val="24"/>
          <w:szCs w:val="24"/>
        </w:rPr>
        <w:t xml:space="preserve"> и</w:t>
      </w:r>
      <w:r w:rsidRPr="00B86B87">
        <w:rPr>
          <w:sz w:val="24"/>
          <w:szCs w:val="24"/>
        </w:rPr>
        <w:t xml:space="preserve"> ее выход на траекторию устойчивого роста. Для решения этой задачи в составе расходов </w:t>
      </w:r>
      <w:r>
        <w:rPr>
          <w:sz w:val="24"/>
          <w:szCs w:val="24"/>
        </w:rPr>
        <w:t xml:space="preserve">федерального бюджета </w:t>
      </w:r>
      <w:r w:rsidRPr="00B86B87">
        <w:rPr>
          <w:sz w:val="24"/>
          <w:szCs w:val="24"/>
        </w:rPr>
        <w:t>в течение 2023 года и планового периода 2024–2025 годов по разделу «Национальная экономика» необходимо предусмотреть реализацию более масштабного пакета стимулирующих экономическое развитие мер.</w:t>
      </w:r>
    </w:p>
    <w:p w14:paraId="5515C612" w14:textId="58381C94" w:rsidR="009A28A8" w:rsidRDefault="009A28A8" w:rsidP="009A28A8">
      <w:pPr>
        <w:spacing w:line="360" w:lineRule="auto"/>
        <w:ind w:firstLine="709"/>
        <w:jc w:val="both"/>
        <w:rPr>
          <w:sz w:val="24"/>
          <w:szCs w:val="24"/>
        </w:rPr>
      </w:pPr>
      <w:r>
        <w:rPr>
          <w:sz w:val="24"/>
          <w:szCs w:val="24"/>
        </w:rPr>
        <w:t xml:space="preserve">Далее проведем оценку социальных расходов федерального бюджета, влияющих на </w:t>
      </w:r>
      <w:r w:rsidRPr="00B86B87">
        <w:rPr>
          <w:sz w:val="24"/>
          <w:szCs w:val="24"/>
          <w:shd w:val="clear" w:color="auto" w:fill="FFFFFF"/>
        </w:rPr>
        <w:t>сохранение и развитие человеческого капитала</w:t>
      </w:r>
      <w:r>
        <w:rPr>
          <w:sz w:val="24"/>
          <w:szCs w:val="24"/>
          <w:shd w:val="clear" w:color="auto" w:fill="FFFFFF"/>
        </w:rPr>
        <w:t>.</w:t>
      </w:r>
      <w:r w:rsidRPr="00B86B87">
        <w:rPr>
          <w:sz w:val="24"/>
          <w:szCs w:val="24"/>
        </w:rPr>
        <w:t xml:space="preserve"> Совокупные расходы федерального бюджета на социальную сферу </w:t>
      </w:r>
      <w:r>
        <w:rPr>
          <w:sz w:val="24"/>
          <w:szCs w:val="24"/>
        </w:rPr>
        <w:t xml:space="preserve">по указанным ранее пяти направлениям по открытой части </w:t>
      </w:r>
      <w:r w:rsidRPr="00B86B87">
        <w:rPr>
          <w:sz w:val="24"/>
          <w:szCs w:val="24"/>
        </w:rPr>
        <w:t xml:space="preserve">в общей сумме </w:t>
      </w:r>
      <w:r>
        <w:rPr>
          <w:sz w:val="24"/>
          <w:szCs w:val="24"/>
        </w:rPr>
        <w:t xml:space="preserve">его </w:t>
      </w:r>
      <w:r w:rsidRPr="00B86B87">
        <w:rPr>
          <w:sz w:val="24"/>
          <w:szCs w:val="24"/>
        </w:rPr>
        <w:t xml:space="preserve">расходов </w:t>
      </w:r>
      <w:r>
        <w:rPr>
          <w:sz w:val="24"/>
          <w:szCs w:val="24"/>
        </w:rPr>
        <w:t>увеличатся</w:t>
      </w:r>
      <w:r w:rsidRPr="00B86B87">
        <w:rPr>
          <w:sz w:val="24"/>
          <w:szCs w:val="24"/>
        </w:rPr>
        <w:t xml:space="preserve"> в 2023 году до </w:t>
      </w:r>
      <w:r>
        <w:rPr>
          <w:sz w:val="24"/>
          <w:szCs w:val="24"/>
        </w:rPr>
        <w:t>35,7</w:t>
      </w:r>
      <w:r w:rsidRPr="00B86B87">
        <w:rPr>
          <w:sz w:val="24"/>
          <w:szCs w:val="24"/>
        </w:rPr>
        <w:t>% по сравнению с 3</w:t>
      </w:r>
      <w:r>
        <w:rPr>
          <w:sz w:val="24"/>
          <w:szCs w:val="24"/>
        </w:rPr>
        <w:t>1,0</w:t>
      </w:r>
      <w:r w:rsidRPr="00B86B87">
        <w:rPr>
          <w:sz w:val="24"/>
          <w:szCs w:val="24"/>
        </w:rPr>
        <w:t>% в 2022 году</w:t>
      </w:r>
      <w:r>
        <w:rPr>
          <w:sz w:val="24"/>
          <w:szCs w:val="24"/>
        </w:rPr>
        <w:t xml:space="preserve">, что обусловлено увеличением публичных нормативных выплат населению, </w:t>
      </w:r>
      <w:r w:rsidRPr="00B86B87">
        <w:rPr>
          <w:sz w:val="24"/>
          <w:szCs w:val="24"/>
        </w:rPr>
        <w:t xml:space="preserve">и останутся практически на том же уровне в </w:t>
      </w:r>
      <w:r>
        <w:rPr>
          <w:sz w:val="24"/>
          <w:szCs w:val="24"/>
        </w:rPr>
        <w:t>2024 году с небольшим его снижением к 2025 году</w:t>
      </w:r>
      <w:r w:rsidRPr="00B86B87">
        <w:rPr>
          <w:sz w:val="24"/>
          <w:szCs w:val="24"/>
        </w:rPr>
        <w:t xml:space="preserve"> (рис. 10).</w:t>
      </w:r>
    </w:p>
    <w:p w14:paraId="7BAD4835" w14:textId="51047B42" w:rsidR="009A28A8" w:rsidRDefault="009A28A8" w:rsidP="009A28A8">
      <w:pPr>
        <w:spacing w:line="360" w:lineRule="auto"/>
        <w:ind w:firstLine="709"/>
        <w:jc w:val="both"/>
        <w:rPr>
          <w:sz w:val="24"/>
          <w:szCs w:val="24"/>
        </w:rPr>
      </w:pPr>
      <w:r w:rsidRPr="00B86B87">
        <w:rPr>
          <w:sz w:val="24"/>
          <w:szCs w:val="24"/>
        </w:rPr>
        <w:t xml:space="preserve">Наибольшую долю в структуре </w:t>
      </w:r>
      <w:r>
        <w:rPr>
          <w:sz w:val="24"/>
          <w:szCs w:val="24"/>
        </w:rPr>
        <w:t xml:space="preserve">социальных </w:t>
      </w:r>
      <w:r w:rsidRPr="00B86B87">
        <w:rPr>
          <w:sz w:val="24"/>
          <w:szCs w:val="24"/>
        </w:rPr>
        <w:t xml:space="preserve">расходов федерального бюджета на </w:t>
      </w:r>
      <w:r w:rsidRPr="00B86B87">
        <w:rPr>
          <w:sz w:val="24"/>
          <w:szCs w:val="24"/>
          <w:shd w:val="clear" w:color="auto" w:fill="FFFFFF"/>
        </w:rPr>
        <w:t>сохранение и развитие человеческого капитала</w:t>
      </w:r>
      <w:r w:rsidRPr="00B86B87">
        <w:rPr>
          <w:sz w:val="24"/>
          <w:szCs w:val="24"/>
        </w:rPr>
        <w:t xml:space="preserve"> занимают</w:t>
      </w:r>
      <w:r>
        <w:rPr>
          <w:sz w:val="24"/>
          <w:szCs w:val="24"/>
        </w:rPr>
        <w:t>,</w:t>
      </w:r>
      <w:r w:rsidRPr="00B86B87">
        <w:rPr>
          <w:sz w:val="24"/>
          <w:szCs w:val="24"/>
        </w:rPr>
        <w:t xml:space="preserve"> </w:t>
      </w:r>
      <w:r>
        <w:rPr>
          <w:sz w:val="24"/>
          <w:szCs w:val="24"/>
        </w:rPr>
        <w:t xml:space="preserve">как и в предыдущие отчетные периоды, </w:t>
      </w:r>
      <w:r w:rsidRPr="00B86B87">
        <w:rPr>
          <w:sz w:val="24"/>
          <w:szCs w:val="24"/>
        </w:rPr>
        <w:t xml:space="preserve">расходы </w:t>
      </w:r>
      <w:r>
        <w:rPr>
          <w:sz w:val="24"/>
          <w:szCs w:val="24"/>
        </w:rPr>
        <w:t>по разделу «Социальная политика»</w:t>
      </w:r>
      <w:r w:rsidRPr="00B86B87">
        <w:rPr>
          <w:sz w:val="24"/>
          <w:szCs w:val="24"/>
        </w:rPr>
        <w:t>.</w:t>
      </w:r>
      <w:r>
        <w:rPr>
          <w:sz w:val="24"/>
          <w:szCs w:val="24"/>
        </w:rPr>
        <w:t xml:space="preserve"> </w:t>
      </w:r>
      <w:r w:rsidRPr="00B86B87">
        <w:rPr>
          <w:sz w:val="24"/>
          <w:szCs w:val="24"/>
        </w:rPr>
        <w:t xml:space="preserve">Следует отметить, что по этому </w:t>
      </w:r>
      <w:r w:rsidRPr="00DF732F">
        <w:rPr>
          <w:sz w:val="24"/>
          <w:szCs w:val="24"/>
        </w:rPr>
        <w:t>разделу в 2023 году</w:t>
      </w:r>
      <w:r w:rsidRPr="00B86B87">
        <w:rPr>
          <w:sz w:val="24"/>
          <w:szCs w:val="24"/>
        </w:rPr>
        <w:t xml:space="preserve"> наблюдаются </w:t>
      </w:r>
      <w:r w:rsidRPr="007B54B7">
        <w:rPr>
          <w:sz w:val="24"/>
          <w:szCs w:val="24"/>
        </w:rPr>
        <w:t>наи</w:t>
      </w:r>
      <w:r w:rsidR="00293AE0" w:rsidRPr="007B54B7">
        <w:rPr>
          <w:sz w:val="24"/>
          <w:szCs w:val="24"/>
        </w:rPr>
        <w:t xml:space="preserve">более значимые </w:t>
      </w:r>
      <w:r w:rsidRPr="007B54B7">
        <w:rPr>
          <w:sz w:val="24"/>
          <w:szCs w:val="24"/>
        </w:rPr>
        <w:t>темпы роста –</w:t>
      </w:r>
      <w:r w:rsidRPr="00B86B87">
        <w:rPr>
          <w:sz w:val="24"/>
          <w:szCs w:val="24"/>
        </w:rPr>
        <w:t xml:space="preserve"> 12</w:t>
      </w:r>
      <w:r>
        <w:rPr>
          <w:sz w:val="24"/>
          <w:szCs w:val="24"/>
        </w:rPr>
        <w:t>5,8</w:t>
      </w:r>
      <w:r w:rsidRPr="00B86B87">
        <w:rPr>
          <w:sz w:val="24"/>
          <w:szCs w:val="24"/>
        </w:rPr>
        <w:t>%.</w:t>
      </w:r>
    </w:p>
    <w:p w14:paraId="0512259B" w14:textId="77777777" w:rsidR="00BC3C02" w:rsidRPr="00B86B87" w:rsidRDefault="00BC3C02" w:rsidP="00BC3C02">
      <w:pPr>
        <w:spacing w:line="360" w:lineRule="auto"/>
        <w:ind w:firstLine="709"/>
        <w:jc w:val="both"/>
        <w:rPr>
          <w:sz w:val="24"/>
          <w:szCs w:val="24"/>
        </w:rPr>
      </w:pPr>
      <w:r w:rsidRPr="00B86B87">
        <w:rPr>
          <w:sz w:val="24"/>
          <w:szCs w:val="24"/>
        </w:rPr>
        <w:t xml:space="preserve">В рамках данного раздела </w:t>
      </w:r>
      <w:r w:rsidRPr="007B54B7">
        <w:rPr>
          <w:sz w:val="24"/>
          <w:szCs w:val="24"/>
        </w:rPr>
        <w:t>существенные объемы</w:t>
      </w:r>
      <w:r>
        <w:rPr>
          <w:sz w:val="24"/>
          <w:szCs w:val="24"/>
        </w:rPr>
        <w:t xml:space="preserve"> </w:t>
      </w:r>
      <w:r w:rsidRPr="00B86B87">
        <w:rPr>
          <w:sz w:val="24"/>
          <w:szCs w:val="24"/>
        </w:rPr>
        <w:t>бюджетны</w:t>
      </w:r>
      <w:r>
        <w:rPr>
          <w:sz w:val="24"/>
          <w:szCs w:val="24"/>
        </w:rPr>
        <w:t>х</w:t>
      </w:r>
      <w:r w:rsidRPr="00B86B87">
        <w:rPr>
          <w:sz w:val="24"/>
          <w:szCs w:val="24"/>
        </w:rPr>
        <w:t xml:space="preserve"> ассигновани</w:t>
      </w:r>
      <w:r>
        <w:rPr>
          <w:sz w:val="24"/>
          <w:szCs w:val="24"/>
        </w:rPr>
        <w:t>й</w:t>
      </w:r>
      <w:r w:rsidRPr="00B86B87">
        <w:rPr>
          <w:sz w:val="24"/>
          <w:szCs w:val="24"/>
        </w:rPr>
        <w:t xml:space="preserve"> запланированы на развитие пенсионной системы Российской Федерации – 47,9% от суммы расходов по разделу и 15,6% от общей суммы расходов федерального бюджета. Расходы федерального бюджета на реализацию государственных программ, финансирование которых осуществляется в рамках данного раздела, увеличиваются практически по всем государственным программам, что следует оценить положительно</w:t>
      </w:r>
      <w:r>
        <w:rPr>
          <w:sz w:val="24"/>
          <w:szCs w:val="24"/>
        </w:rPr>
        <w:t>: их номинальный рост за три года прогнозного бюджетного цикла составит более 22,5 процентов, а реальный – свыше 7 процентов.</w:t>
      </w:r>
    </w:p>
    <w:p w14:paraId="33F97BE1" w14:textId="77777777" w:rsidR="00BC3C02" w:rsidRPr="00B86B87" w:rsidRDefault="00BC3C02" w:rsidP="009A28A8">
      <w:pPr>
        <w:spacing w:line="360" w:lineRule="auto"/>
        <w:ind w:firstLine="709"/>
        <w:jc w:val="both"/>
        <w:rPr>
          <w:sz w:val="24"/>
          <w:szCs w:val="24"/>
        </w:rPr>
      </w:pPr>
    </w:p>
    <w:p w14:paraId="3F5C84A5" w14:textId="77777777" w:rsidR="009A28A8" w:rsidRPr="00B86B87" w:rsidRDefault="009A28A8" w:rsidP="009A28A8">
      <w:pPr>
        <w:spacing w:line="360" w:lineRule="auto"/>
        <w:jc w:val="center"/>
        <w:rPr>
          <w:sz w:val="24"/>
          <w:szCs w:val="24"/>
        </w:rPr>
      </w:pPr>
      <w:r>
        <w:rPr>
          <w:noProof/>
        </w:rPr>
        <w:lastRenderedPageBreak/>
        <w:drawing>
          <wp:inline distT="0" distB="0" distL="0" distR="0" wp14:anchorId="16FDA12B" wp14:editId="1B1C9D01">
            <wp:extent cx="5593080" cy="3528060"/>
            <wp:effectExtent l="0" t="0" r="7620" b="15240"/>
            <wp:docPr id="19" name="Диаграмма 19">
              <a:extLst xmlns:a="http://schemas.openxmlformats.org/drawingml/2006/main">
                <a:ext uri="{FF2B5EF4-FFF2-40B4-BE49-F238E27FC236}">
                  <a16:creationId xmlns:a16="http://schemas.microsoft.com/office/drawing/2014/main" id="{07F6337B-EE9F-FC23-7DEB-1CF1299239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597B31" w14:textId="77777777" w:rsidR="009A28A8" w:rsidRPr="00B86B87" w:rsidRDefault="009A28A8" w:rsidP="009A28A8">
      <w:pPr>
        <w:spacing w:line="360" w:lineRule="auto"/>
        <w:jc w:val="center"/>
        <w:rPr>
          <w:i/>
          <w:iCs/>
          <w:sz w:val="24"/>
          <w:szCs w:val="24"/>
        </w:rPr>
      </w:pPr>
      <w:r w:rsidRPr="00B86B87">
        <w:rPr>
          <w:i/>
          <w:iCs/>
          <w:sz w:val="24"/>
          <w:szCs w:val="24"/>
        </w:rPr>
        <w:t>Рисунок 10 – Структура расходов федерального бюджета на социальную сферу</w:t>
      </w:r>
    </w:p>
    <w:p w14:paraId="12D7EB0F" w14:textId="77777777" w:rsidR="009A28A8" w:rsidRPr="00B86B87" w:rsidRDefault="009A28A8" w:rsidP="009A28A8">
      <w:pPr>
        <w:autoSpaceDE w:val="0"/>
        <w:autoSpaceDN w:val="0"/>
        <w:adjustRightInd w:val="0"/>
        <w:spacing w:line="360" w:lineRule="auto"/>
        <w:rPr>
          <w:sz w:val="24"/>
          <w:szCs w:val="24"/>
        </w:rPr>
      </w:pPr>
      <w:r w:rsidRPr="00B86B87">
        <w:rPr>
          <w:i/>
          <w:iCs/>
          <w:sz w:val="24"/>
          <w:szCs w:val="24"/>
        </w:rPr>
        <w:t xml:space="preserve">Источник: Составлено на основе данных </w:t>
      </w:r>
      <w:r>
        <w:rPr>
          <w:i/>
          <w:iCs/>
          <w:sz w:val="24"/>
          <w:szCs w:val="24"/>
        </w:rPr>
        <w:t>Приложения 15 к законопроекту</w:t>
      </w:r>
    </w:p>
    <w:p w14:paraId="301D09AA" w14:textId="77777777" w:rsidR="009A28A8" w:rsidRDefault="009A28A8" w:rsidP="009A28A8">
      <w:pPr>
        <w:spacing w:line="360" w:lineRule="auto"/>
        <w:ind w:firstLine="709"/>
        <w:jc w:val="both"/>
        <w:rPr>
          <w:sz w:val="24"/>
          <w:szCs w:val="24"/>
        </w:rPr>
      </w:pPr>
    </w:p>
    <w:p w14:paraId="30C48071" w14:textId="7A9E52BA" w:rsidR="009A28A8" w:rsidRPr="002B7D5D" w:rsidRDefault="009A28A8" w:rsidP="009A28A8">
      <w:pPr>
        <w:spacing w:line="360" w:lineRule="auto"/>
        <w:ind w:firstLine="709"/>
        <w:jc w:val="both"/>
        <w:rPr>
          <w:color w:val="000000"/>
          <w:sz w:val="24"/>
          <w:szCs w:val="24"/>
        </w:rPr>
      </w:pPr>
      <w:r w:rsidRPr="002B7D5D">
        <w:rPr>
          <w:color w:val="000000"/>
          <w:sz w:val="24"/>
          <w:szCs w:val="24"/>
        </w:rPr>
        <w:t xml:space="preserve">Анализ </w:t>
      </w:r>
      <w:r>
        <w:rPr>
          <w:color w:val="000000"/>
          <w:sz w:val="24"/>
          <w:szCs w:val="24"/>
        </w:rPr>
        <w:t xml:space="preserve">содержания </w:t>
      </w:r>
      <w:r w:rsidRPr="002B7D5D">
        <w:rPr>
          <w:color w:val="000000"/>
          <w:sz w:val="24"/>
          <w:szCs w:val="24"/>
        </w:rPr>
        <w:t xml:space="preserve">раздела «Социальная политика» по подразделам показал, что бюджетные ассигнования </w:t>
      </w:r>
      <w:r>
        <w:rPr>
          <w:color w:val="000000"/>
          <w:sz w:val="24"/>
          <w:szCs w:val="24"/>
        </w:rPr>
        <w:t xml:space="preserve">по нему </w:t>
      </w:r>
      <w:r w:rsidRPr="002B7D5D">
        <w:rPr>
          <w:color w:val="000000"/>
          <w:sz w:val="24"/>
          <w:szCs w:val="24"/>
        </w:rPr>
        <w:t xml:space="preserve">в течение </w:t>
      </w:r>
      <w:r>
        <w:rPr>
          <w:color w:val="000000"/>
          <w:sz w:val="24"/>
          <w:szCs w:val="24"/>
        </w:rPr>
        <w:t xml:space="preserve">прогнозного </w:t>
      </w:r>
      <w:r w:rsidRPr="002B7D5D">
        <w:rPr>
          <w:color w:val="000000"/>
          <w:sz w:val="24"/>
          <w:szCs w:val="24"/>
        </w:rPr>
        <w:t xml:space="preserve">бюджетного цикла изменяются разнонаправленно. Так, расходы по подразделу «Пенсионное обеспечение» увеличиваются в 2023 году </w:t>
      </w:r>
      <w:r>
        <w:rPr>
          <w:color w:val="000000"/>
          <w:sz w:val="24"/>
          <w:szCs w:val="24"/>
        </w:rPr>
        <w:t xml:space="preserve">только </w:t>
      </w:r>
      <w:r w:rsidRPr="002B7D5D">
        <w:rPr>
          <w:color w:val="000000"/>
          <w:sz w:val="24"/>
          <w:szCs w:val="24"/>
        </w:rPr>
        <w:t xml:space="preserve">по сравнению с 2022 годом, а в плановом периоде 2024–2025 годов сокращаются, но тем не менее остаются выше </w:t>
      </w:r>
      <w:r w:rsidR="00A153A6" w:rsidRPr="007B54B7">
        <w:rPr>
          <w:color w:val="000000"/>
          <w:sz w:val="24"/>
          <w:szCs w:val="24"/>
        </w:rPr>
        <w:t xml:space="preserve">значений </w:t>
      </w:r>
      <w:r w:rsidRPr="007B54B7">
        <w:rPr>
          <w:color w:val="000000"/>
          <w:sz w:val="24"/>
          <w:szCs w:val="24"/>
        </w:rPr>
        <w:t>2022</w:t>
      </w:r>
      <w:r w:rsidRPr="002B7D5D">
        <w:rPr>
          <w:color w:val="000000"/>
          <w:sz w:val="24"/>
          <w:szCs w:val="24"/>
        </w:rPr>
        <w:t xml:space="preserve"> года. По подразделу «Социальное обслуживание населения» запланировано увеличение расходов в 2023 и 2024 годах. Во второй год планового периода расходы сокращаются, но остаются на уровне 2023 года. Расходы по подразделу «Социальное обеспечение населения» в 2023 году увеличиваются, в 2024 сокращаются</w:t>
      </w:r>
      <w:r>
        <w:rPr>
          <w:color w:val="000000"/>
          <w:sz w:val="24"/>
          <w:szCs w:val="24"/>
        </w:rPr>
        <w:t>;</w:t>
      </w:r>
      <w:r w:rsidRPr="002B7D5D">
        <w:rPr>
          <w:color w:val="000000"/>
          <w:sz w:val="24"/>
          <w:szCs w:val="24"/>
        </w:rPr>
        <w:t xml:space="preserve"> в 2025 </w:t>
      </w:r>
      <w:r>
        <w:rPr>
          <w:color w:val="000000"/>
          <w:sz w:val="24"/>
          <w:szCs w:val="24"/>
        </w:rPr>
        <w:t xml:space="preserve">вновь </w:t>
      </w:r>
      <w:r w:rsidRPr="002B7D5D">
        <w:rPr>
          <w:color w:val="000000"/>
          <w:sz w:val="24"/>
          <w:szCs w:val="24"/>
        </w:rPr>
        <w:t xml:space="preserve">намечен </w:t>
      </w:r>
      <w:r>
        <w:rPr>
          <w:color w:val="000000"/>
          <w:sz w:val="24"/>
          <w:szCs w:val="24"/>
        </w:rPr>
        <w:t xml:space="preserve">их </w:t>
      </w:r>
      <w:r w:rsidRPr="002B7D5D">
        <w:rPr>
          <w:color w:val="000000"/>
          <w:sz w:val="24"/>
          <w:szCs w:val="24"/>
        </w:rPr>
        <w:t xml:space="preserve">рост. </w:t>
      </w:r>
      <w:r>
        <w:rPr>
          <w:color w:val="000000"/>
          <w:sz w:val="24"/>
          <w:szCs w:val="24"/>
        </w:rPr>
        <w:t xml:space="preserve">Однако следует положительно оценить, что </w:t>
      </w:r>
      <w:r w:rsidRPr="002B7D5D">
        <w:rPr>
          <w:color w:val="000000"/>
          <w:sz w:val="24"/>
          <w:szCs w:val="24"/>
        </w:rPr>
        <w:t xml:space="preserve">в течение всего </w:t>
      </w:r>
      <w:r>
        <w:rPr>
          <w:color w:val="000000"/>
          <w:sz w:val="24"/>
          <w:szCs w:val="24"/>
        </w:rPr>
        <w:t xml:space="preserve">прогнозного </w:t>
      </w:r>
      <w:r w:rsidRPr="002B7D5D">
        <w:rPr>
          <w:color w:val="000000"/>
          <w:sz w:val="24"/>
          <w:szCs w:val="24"/>
        </w:rPr>
        <w:t xml:space="preserve">бюджетного цикла расходы </w:t>
      </w:r>
      <w:r>
        <w:rPr>
          <w:color w:val="000000"/>
          <w:sz w:val="24"/>
          <w:szCs w:val="24"/>
        </w:rPr>
        <w:t xml:space="preserve">по указанному направлению </w:t>
      </w:r>
      <w:r w:rsidRPr="002B7D5D">
        <w:rPr>
          <w:color w:val="000000"/>
          <w:sz w:val="24"/>
          <w:szCs w:val="24"/>
        </w:rPr>
        <w:t xml:space="preserve">превышают сумму бюджетных ассигнований </w:t>
      </w:r>
      <w:r>
        <w:rPr>
          <w:color w:val="000000"/>
          <w:sz w:val="24"/>
          <w:szCs w:val="24"/>
        </w:rPr>
        <w:t xml:space="preserve">в </w:t>
      </w:r>
      <w:r w:rsidRPr="002B7D5D">
        <w:rPr>
          <w:color w:val="000000"/>
          <w:sz w:val="24"/>
          <w:szCs w:val="24"/>
        </w:rPr>
        <w:t>2022 год</w:t>
      </w:r>
      <w:r>
        <w:rPr>
          <w:color w:val="000000"/>
          <w:sz w:val="24"/>
          <w:szCs w:val="24"/>
        </w:rPr>
        <w:t>у</w:t>
      </w:r>
      <w:r w:rsidRPr="002B7D5D">
        <w:rPr>
          <w:color w:val="000000"/>
          <w:sz w:val="24"/>
          <w:szCs w:val="24"/>
        </w:rPr>
        <w:t xml:space="preserve">. По подразделу «Охрана семьи и детства» в первые два года </w:t>
      </w:r>
      <w:r>
        <w:rPr>
          <w:color w:val="000000"/>
          <w:sz w:val="24"/>
          <w:szCs w:val="24"/>
        </w:rPr>
        <w:t xml:space="preserve">прогнозного </w:t>
      </w:r>
      <w:r w:rsidRPr="002B7D5D">
        <w:rPr>
          <w:color w:val="000000"/>
          <w:sz w:val="24"/>
          <w:szCs w:val="24"/>
        </w:rPr>
        <w:t>бюджетного цикла общая сумма увеличивается, в 2025 году незначительно сокращается.</w:t>
      </w:r>
      <w:r>
        <w:rPr>
          <w:color w:val="000000"/>
          <w:sz w:val="24"/>
          <w:szCs w:val="24"/>
        </w:rPr>
        <w:t xml:space="preserve"> Вместе с тем п</w:t>
      </w:r>
      <w:r w:rsidRPr="002B7D5D">
        <w:rPr>
          <w:color w:val="000000"/>
          <w:sz w:val="24"/>
          <w:szCs w:val="24"/>
        </w:rPr>
        <w:t xml:space="preserve">о подразделу «Охрана семьи и детства» предусмотрены значительные средства на выплаты семьям с детьми. Так, в рамках реализации Федерального проекта «Содействие субъектам Российской Федерации в реализации адресной социальной поддержки граждан» предусмотрены бюджетные ассигнования </w:t>
      </w:r>
      <w:r>
        <w:rPr>
          <w:color w:val="000000"/>
          <w:sz w:val="24"/>
          <w:szCs w:val="24"/>
        </w:rPr>
        <w:t xml:space="preserve">в форме </w:t>
      </w:r>
      <w:r w:rsidRPr="002B7D5D">
        <w:rPr>
          <w:color w:val="000000"/>
          <w:sz w:val="24"/>
          <w:szCs w:val="24"/>
        </w:rPr>
        <w:t>субсидий на ежемесячны</w:t>
      </w:r>
      <w:r>
        <w:rPr>
          <w:color w:val="000000"/>
          <w:sz w:val="24"/>
          <w:szCs w:val="24"/>
        </w:rPr>
        <w:t>е</w:t>
      </w:r>
      <w:r w:rsidRPr="002B7D5D">
        <w:rPr>
          <w:color w:val="000000"/>
          <w:sz w:val="24"/>
          <w:szCs w:val="24"/>
        </w:rPr>
        <w:t xml:space="preserve"> выплат</w:t>
      </w:r>
      <w:r>
        <w:rPr>
          <w:color w:val="000000"/>
          <w:sz w:val="24"/>
          <w:szCs w:val="24"/>
        </w:rPr>
        <w:t>ы</w:t>
      </w:r>
      <w:r w:rsidRPr="002B7D5D">
        <w:rPr>
          <w:color w:val="000000"/>
          <w:sz w:val="24"/>
          <w:szCs w:val="24"/>
        </w:rPr>
        <w:t xml:space="preserve"> на детей в возрасте от трех до семи лет включительно в размере 159,6 млрд рублей.</w:t>
      </w:r>
    </w:p>
    <w:p w14:paraId="7D804AFC" w14:textId="77777777" w:rsidR="009A28A8" w:rsidRPr="002B7D5D" w:rsidRDefault="009A28A8" w:rsidP="009A28A8">
      <w:pPr>
        <w:spacing w:line="360" w:lineRule="auto"/>
        <w:ind w:firstLine="709"/>
        <w:jc w:val="both"/>
        <w:rPr>
          <w:color w:val="000000"/>
          <w:sz w:val="24"/>
          <w:szCs w:val="24"/>
        </w:rPr>
      </w:pPr>
      <w:r w:rsidRPr="002B7D5D">
        <w:rPr>
          <w:color w:val="000000"/>
          <w:sz w:val="24"/>
          <w:szCs w:val="24"/>
        </w:rPr>
        <w:lastRenderedPageBreak/>
        <w:t>По Федеральному проекту «Финансовая поддержка семей при рождении детей» запланированы бюджетные ассигнования на предоставление материнского (семейного) капитала, осуществление ежемесячной выплаты в связи с рождением (усыновлением) первого ребенка,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общей сумме 777,5 млрд рублей.</w:t>
      </w:r>
    </w:p>
    <w:p w14:paraId="3DC9AF44" w14:textId="77777777" w:rsidR="009A28A8" w:rsidRPr="002B7D5D" w:rsidRDefault="009A28A8" w:rsidP="009A28A8">
      <w:pPr>
        <w:spacing w:line="360" w:lineRule="auto"/>
        <w:ind w:firstLine="709"/>
        <w:jc w:val="both"/>
        <w:rPr>
          <w:color w:val="000000"/>
          <w:sz w:val="24"/>
          <w:szCs w:val="24"/>
        </w:rPr>
      </w:pPr>
      <w:r w:rsidRPr="002B7D5D">
        <w:rPr>
          <w:color w:val="000000"/>
          <w:sz w:val="24"/>
          <w:szCs w:val="24"/>
        </w:rPr>
        <w:t xml:space="preserve">В целях реализации комплекса процессных мероприятий «Предоставление мер государственной поддержки семьям с детьми» </w:t>
      </w:r>
      <w:r>
        <w:rPr>
          <w:color w:val="000000"/>
          <w:sz w:val="24"/>
          <w:szCs w:val="24"/>
        </w:rPr>
        <w:t xml:space="preserve">в 2023 году в федеральном бюджете </w:t>
      </w:r>
      <w:r w:rsidRPr="002B7D5D">
        <w:rPr>
          <w:color w:val="000000"/>
          <w:sz w:val="24"/>
          <w:szCs w:val="24"/>
        </w:rPr>
        <w:t>запланирова</w:t>
      </w:r>
      <w:r>
        <w:rPr>
          <w:color w:val="000000"/>
          <w:sz w:val="24"/>
          <w:szCs w:val="24"/>
        </w:rPr>
        <w:t>ны ассигнования на о</w:t>
      </w:r>
      <w:r w:rsidRPr="002B7D5D">
        <w:rPr>
          <w:color w:val="000000"/>
          <w:sz w:val="24"/>
          <w:szCs w:val="24"/>
        </w:rPr>
        <w:t>бщ</w:t>
      </w:r>
      <w:r>
        <w:rPr>
          <w:color w:val="000000"/>
          <w:sz w:val="24"/>
          <w:szCs w:val="24"/>
        </w:rPr>
        <w:t xml:space="preserve">ую </w:t>
      </w:r>
      <w:r w:rsidRPr="002B7D5D">
        <w:rPr>
          <w:color w:val="000000"/>
          <w:sz w:val="24"/>
          <w:szCs w:val="24"/>
        </w:rPr>
        <w:t>сумм</w:t>
      </w:r>
      <w:r>
        <w:rPr>
          <w:color w:val="000000"/>
          <w:sz w:val="24"/>
          <w:szCs w:val="24"/>
        </w:rPr>
        <w:t xml:space="preserve">у </w:t>
      </w:r>
      <w:r w:rsidRPr="002B7D5D">
        <w:rPr>
          <w:color w:val="000000"/>
          <w:sz w:val="24"/>
          <w:szCs w:val="24"/>
        </w:rPr>
        <w:t>более одного триллиона рублей (1 031,3 млрд рублей)</w:t>
      </w:r>
      <w:r>
        <w:rPr>
          <w:color w:val="000000"/>
          <w:sz w:val="24"/>
          <w:szCs w:val="24"/>
        </w:rPr>
        <w:t xml:space="preserve"> или 3,5% общих расходов федерального бюджета. </w:t>
      </w:r>
    </w:p>
    <w:p w14:paraId="7D559825" w14:textId="77777777" w:rsidR="009A28A8" w:rsidRPr="002B7D5D" w:rsidRDefault="009A28A8" w:rsidP="009A28A8">
      <w:pPr>
        <w:spacing w:line="360" w:lineRule="auto"/>
        <w:ind w:firstLine="709"/>
        <w:jc w:val="both"/>
        <w:rPr>
          <w:color w:val="000000"/>
          <w:sz w:val="24"/>
          <w:szCs w:val="24"/>
        </w:rPr>
      </w:pPr>
      <w:r w:rsidRPr="002B7D5D">
        <w:rPr>
          <w:color w:val="000000"/>
          <w:sz w:val="24"/>
          <w:szCs w:val="24"/>
        </w:rPr>
        <w:t>Для реализации комплекса процессных мероприятий «Предоставление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в 2023 году запланировано 16,6 млрд рублей. Эти средства буду направлены на выплату единовременного пособия при всех формах устройства детей, оставшихся без попечения родителей, в семью.</w:t>
      </w:r>
    </w:p>
    <w:p w14:paraId="31441609" w14:textId="26D8B550" w:rsidR="009A28A8" w:rsidRDefault="009A28A8" w:rsidP="009A28A8">
      <w:pPr>
        <w:spacing w:line="360" w:lineRule="auto"/>
        <w:ind w:firstLine="709"/>
        <w:jc w:val="both"/>
        <w:rPr>
          <w:color w:val="000000"/>
          <w:sz w:val="24"/>
          <w:szCs w:val="24"/>
        </w:rPr>
      </w:pPr>
      <w:r w:rsidRPr="002B7D5D">
        <w:rPr>
          <w:color w:val="000000"/>
          <w:sz w:val="24"/>
          <w:szCs w:val="24"/>
        </w:rPr>
        <w:t xml:space="preserve">Кроме этого, 0,2 млрд рублей предусмотрено в рамках реализации Государственной программы Российской Федерации «Доступная среда» на выполнение комплекса процессных мероприятий «Обеспечение инвалидов и детей-инвалидов реабилитационными и </w:t>
      </w:r>
      <w:proofErr w:type="spellStart"/>
      <w:r w:rsidRPr="002B7D5D">
        <w:rPr>
          <w:color w:val="000000"/>
          <w:sz w:val="24"/>
          <w:szCs w:val="24"/>
        </w:rPr>
        <w:t>абилитационными</w:t>
      </w:r>
      <w:proofErr w:type="spellEnd"/>
      <w:r w:rsidRPr="002B7D5D">
        <w:rPr>
          <w:color w:val="000000"/>
          <w:sz w:val="24"/>
          <w:szCs w:val="24"/>
        </w:rPr>
        <w:t xml:space="preserve"> услугами, а также техническими средствами реабилитации. </w:t>
      </w:r>
      <w:r>
        <w:rPr>
          <w:color w:val="000000"/>
          <w:sz w:val="24"/>
          <w:szCs w:val="24"/>
        </w:rPr>
        <w:t xml:space="preserve">Еще </w:t>
      </w:r>
      <w:r w:rsidRPr="002B7D5D">
        <w:rPr>
          <w:color w:val="000000"/>
          <w:sz w:val="24"/>
          <w:szCs w:val="24"/>
        </w:rPr>
        <w:t xml:space="preserve">14,5 млрд рублей </w:t>
      </w:r>
      <w:r>
        <w:rPr>
          <w:color w:val="000000"/>
          <w:sz w:val="24"/>
          <w:szCs w:val="24"/>
        </w:rPr>
        <w:t xml:space="preserve">будут профинансированы </w:t>
      </w:r>
      <w:r w:rsidRPr="002B7D5D">
        <w:rPr>
          <w:color w:val="000000"/>
          <w:sz w:val="24"/>
          <w:szCs w:val="24"/>
        </w:rPr>
        <w:t xml:space="preserve">по </w:t>
      </w:r>
      <w:r>
        <w:rPr>
          <w:color w:val="000000"/>
          <w:sz w:val="24"/>
          <w:szCs w:val="24"/>
        </w:rPr>
        <w:t>г</w:t>
      </w:r>
      <w:r w:rsidRPr="002B7D5D">
        <w:rPr>
          <w:color w:val="000000"/>
          <w:sz w:val="24"/>
          <w:szCs w:val="24"/>
        </w:rPr>
        <w:t>осударственной программе Российской Федерации «Обеспечение доступным и комфортным жильем и коммунальными услугами граждан Российской Федерации» предусмотрены на субсидии на предоставление жилых помещений детям-сиротам и детям, оставшимся без попечения родителей, и субсидии на реализацию мероприятий по обеспечению жильем молодых семей.</w:t>
      </w:r>
      <w:r w:rsidR="00A153A6">
        <w:rPr>
          <w:color w:val="000000"/>
          <w:sz w:val="24"/>
          <w:szCs w:val="24"/>
        </w:rPr>
        <w:t xml:space="preserve"> Таким образом</w:t>
      </w:r>
      <w:r w:rsidRPr="002B7D5D">
        <w:rPr>
          <w:color w:val="000000"/>
          <w:sz w:val="24"/>
          <w:szCs w:val="24"/>
        </w:rPr>
        <w:t xml:space="preserve"> расходы федерального бюджета на выплаты семьям с детьми увеличиваются, а это значит будут выполнены обязательства по поддержанию жизненного уровня большой части населения.</w:t>
      </w:r>
    </w:p>
    <w:p w14:paraId="1C0E1876" w14:textId="36459B77" w:rsidR="009A28A8" w:rsidRPr="00E333C4" w:rsidRDefault="009A28A8" w:rsidP="009A28A8">
      <w:pPr>
        <w:spacing w:line="360" w:lineRule="auto"/>
        <w:ind w:firstLine="709"/>
        <w:jc w:val="both"/>
        <w:rPr>
          <w:rFonts w:cstheme="minorBidi"/>
          <w:color w:val="000000"/>
          <w:sz w:val="24"/>
          <w:szCs w:val="24"/>
        </w:rPr>
      </w:pPr>
      <w:r>
        <w:rPr>
          <w:sz w:val="24"/>
          <w:szCs w:val="24"/>
        </w:rPr>
        <w:t>В</w:t>
      </w:r>
      <w:r w:rsidRPr="00E333C4">
        <w:rPr>
          <w:sz w:val="24"/>
          <w:szCs w:val="24"/>
        </w:rPr>
        <w:t xml:space="preserve"> отношении финансирования публичных нормативных расходов </w:t>
      </w:r>
      <w:r>
        <w:rPr>
          <w:sz w:val="24"/>
          <w:szCs w:val="24"/>
        </w:rPr>
        <w:t xml:space="preserve">федерального бюджета </w:t>
      </w:r>
      <w:r w:rsidRPr="00E333C4">
        <w:rPr>
          <w:sz w:val="24"/>
          <w:szCs w:val="24"/>
        </w:rPr>
        <w:t>в рамках раздела «Социальная политика» следует отметить, что в соответствии с Бюджетным прогнозом Российской Федерации на период до 2036 года, утвержденным Распоряжением Правительства РФ от 29.03.2019 №558-р, финансирование базовых объемов бюджетных ассигнований и публичных нормативных обязательств должно индексироваться в соответствии с прогнозируемым уровнем инфляции. В представленном законопроекте плановые показатели 2023 года скорректированы на уровень инфляции равный 12,4%, в 2024 году - на 5,5% и на 2025 год - на 4%.</w:t>
      </w:r>
    </w:p>
    <w:p w14:paraId="63CD1B64" w14:textId="77777777" w:rsidR="009A28A8" w:rsidRPr="00B86B87" w:rsidRDefault="009A28A8" w:rsidP="009A28A8">
      <w:pPr>
        <w:spacing w:line="360" w:lineRule="auto"/>
        <w:ind w:firstLine="709"/>
        <w:jc w:val="both"/>
        <w:rPr>
          <w:sz w:val="24"/>
          <w:szCs w:val="24"/>
        </w:rPr>
      </w:pPr>
      <w:r>
        <w:rPr>
          <w:sz w:val="24"/>
          <w:szCs w:val="24"/>
        </w:rPr>
        <w:lastRenderedPageBreak/>
        <w:t>Вторым по динамике номинального и реального роста разделом социальной сферы расходов федерального бюджета после раздела «Социальная политика» являются расходы по разделу «З</w:t>
      </w:r>
      <w:r w:rsidRPr="00B86B87">
        <w:rPr>
          <w:sz w:val="24"/>
          <w:szCs w:val="24"/>
        </w:rPr>
        <w:t>дравоохранение</w:t>
      </w:r>
      <w:r>
        <w:rPr>
          <w:sz w:val="24"/>
          <w:szCs w:val="24"/>
        </w:rPr>
        <w:t xml:space="preserve">»: </w:t>
      </w:r>
      <w:r w:rsidRPr="00B86B87">
        <w:rPr>
          <w:sz w:val="24"/>
          <w:szCs w:val="24"/>
        </w:rPr>
        <w:t>в 2023 году</w:t>
      </w:r>
      <w:r>
        <w:rPr>
          <w:sz w:val="24"/>
          <w:szCs w:val="24"/>
        </w:rPr>
        <w:t xml:space="preserve"> они демонстрируют рост на 16%, далее оставаясь примерно на уровне 2023 года. Но в целом накопленный их рост за три года прогнозного бюджетного цикла будет превышать накопленную за тот же период инфляцию на 4,6 процентов, что </w:t>
      </w:r>
      <w:r w:rsidRPr="00B86B87">
        <w:rPr>
          <w:sz w:val="24"/>
          <w:szCs w:val="24"/>
        </w:rPr>
        <w:t xml:space="preserve">можно оценить, как положительную тенденцию. </w:t>
      </w:r>
      <w:r>
        <w:rPr>
          <w:sz w:val="24"/>
          <w:szCs w:val="24"/>
        </w:rPr>
        <w:t xml:space="preserve">Однако по отношению к ВВП расходы по указанному разделу, несмотря на поступательный рост, останутся неизменными – 0,9%, так и не перейдя барьер в 1% ВВП.  </w:t>
      </w:r>
    </w:p>
    <w:p w14:paraId="21DA3A75" w14:textId="77777777" w:rsidR="007B54B7" w:rsidRDefault="009A28A8" w:rsidP="009A28A8">
      <w:pPr>
        <w:spacing w:line="360" w:lineRule="auto"/>
        <w:ind w:firstLine="709"/>
        <w:jc w:val="both"/>
        <w:rPr>
          <w:sz w:val="24"/>
          <w:szCs w:val="24"/>
        </w:rPr>
      </w:pPr>
      <w:r w:rsidRPr="00B86B87">
        <w:rPr>
          <w:sz w:val="24"/>
          <w:szCs w:val="24"/>
        </w:rPr>
        <w:t xml:space="preserve">Незначительный рост расходов по подразделу «Стационарная медицинская помощь» с 197,1 млрд руб. в 2023 году до 203,7 млрд руб. в 2004 года затем меняет тренд </w:t>
      </w:r>
      <w:r>
        <w:rPr>
          <w:sz w:val="24"/>
          <w:szCs w:val="24"/>
        </w:rPr>
        <w:t xml:space="preserve">– </w:t>
      </w:r>
      <w:r w:rsidRPr="00B86B87">
        <w:rPr>
          <w:sz w:val="24"/>
          <w:szCs w:val="24"/>
        </w:rPr>
        <w:t xml:space="preserve">в 2025 году запланировано сокращение до 200,1 млрд руб. Расходы по подразделу «Скорая медицинская помощь» увеличиваются с 7,8 млрд руб. в 2023 году до 8,5 млрд руб. в 2024 и 8,6 млрд руб. в 2025 году. Как отмечалось и в прошлогодней экспертизе проекта федерального закона о федеральном бюджете, подготовленной Университетом опыт функционирования системы здравоохранения в условиях пандемии продемонстрировал необходимость проводить серьезные научно-прикладные исследования по противодействию ее пагубному влиянию. В сложных и крайне непредсказуемых условиях, требующих постоянной исследовательской работы в сфере вирусологии, поиска новых, более действенных протоколов лечения коронавируса и др., в законопроекте запланировано снижение финансирования подраздела «Прикладные научные исследования в области здравоохранения» — с 44 млрд руб. в 2023 году до 34,7 млрд руб. в 2024 году и до 32,6 млрд руб. в 2025 году. </w:t>
      </w:r>
    </w:p>
    <w:p w14:paraId="05D2FE71" w14:textId="64476428" w:rsidR="009A28A8" w:rsidRPr="00B86B87" w:rsidRDefault="009A28A8" w:rsidP="009A28A8">
      <w:pPr>
        <w:spacing w:line="360" w:lineRule="auto"/>
        <w:ind w:firstLine="709"/>
        <w:jc w:val="both"/>
        <w:rPr>
          <w:sz w:val="24"/>
          <w:szCs w:val="24"/>
        </w:rPr>
      </w:pPr>
      <w:r w:rsidRPr="00B86B87">
        <w:rPr>
          <w:sz w:val="24"/>
          <w:szCs w:val="24"/>
        </w:rPr>
        <w:t>Оценка финансового обеспечения расходов федерального бюджета по разделу «Образование» показала, что расходы по данному направлению в 2023 году и в первый год планового периода увеличиваются на 10</w:t>
      </w:r>
      <w:r>
        <w:rPr>
          <w:sz w:val="24"/>
          <w:szCs w:val="24"/>
        </w:rPr>
        <w:t>,2</w:t>
      </w:r>
      <w:r w:rsidRPr="00B86B87">
        <w:rPr>
          <w:sz w:val="24"/>
          <w:szCs w:val="24"/>
        </w:rPr>
        <w:t xml:space="preserve">% и </w:t>
      </w:r>
      <w:r>
        <w:rPr>
          <w:sz w:val="24"/>
          <w:szCs w:val="24"/>
        </w:rPr>
        <w:t>2,5</w:t>
      </w:r>
      <w:r w:rsidRPr="00B86B87">
        <w:rPr>
          <w:sz w:val="24"/>
          <w:szCs w:val="24"/>
        </w:rPr>
        <w:t xml:space="preserve">% соответственно, </w:t>
      </w:r>
      <w:r>
        <w:rPr>
          <w:sz w:val="24"/>
          <w:szCs w:val="24"/>
        </w:rPr>
        <w:t>но уже</w:t>
      </w:r>
      <w:r w:rsidRPr="00B86B87">
        <w:rPr>
          <w:sz w:val="24"/>
          <w:szCs w:val="24"/>
        </w:rPr>
        <w:t xml:space="preserve"> в 2025 году запланировано снижение бюджетных ассигнований</w:t>
      </w:r>
      <w:r>
        <w:rPr>
          <w:sz w:val="24"/>
          <w:szCs w:val="24"/>
        </w:rPr>
        <w:t xml:space="preserve"> на 14%</w:t>
      </w:r>
      <w:r w:rsidRPr="00B86B87">
        <w:rPr>
          <w:sz w:val="24"/>
          <w:szCs w:val="24"/>
        </w:rPr>
        <w:t xml:space="preserve">. В относительном выражении к ВВП их доля </w:t>
      </w:r>
      <w:r>
        <w:rPr>
          <w:sz w:val="24"/>
          <w:szCs w:val="24"/>
        </w:rPr>
        <w:t xml:space="preserve">в течение 2023–2024 годов </w:t>
      </w:r>
      <w:r w:rsidRPr="00B86B87">
        <w:rPr>
          <w:sz w:val="24"/>
          <w:szCs w:val="24"/>
        </w:rPr>
        <w:t>остается неизменной (</w:t>
      </w:r>
      <w:r>
        <w:rPr>
          <w:sz w:val="24"/>
          <w:szCs w:val="24"/>
        </w:rPr>
        <w:t>0,9</w:t>
      </w:r>
      <w:r w:rsidRPr="00B86B87">
        <w:rPr>
          <w:sz w:val="24"/>
          <w:szCs w:val="24"/>
        </w:rPr>
        <w:t>%), а затем снижается до 0,7%.</w:t>
      </w:r>
      <w:r>
        <w:rPr>
          <w:sz w:val="24"/>
          <w:szCs w:val="24"/>
        </w:rPr>
        <w:t xml:space="preserve"> </w:t>
      </w:r>
      <w:r w:rsidRPr="00B86B87">
        <w:rPr>
          <w:sz w:val="24"/>
          <w:szCs w:val="24"/>
        </w:rPr>
        <w:t xml:space="preserve">Такой тренд нельзя оценить положительно. Расходы на высшее образование увеличиваются на протяжении всего анализируемого периода, однако темпы увеличения незначительные – 6% </w:t>
      </w:r>
      <w:r>
        <w:rPr>
          <w:sz w:val="24"/>
          <w:szCs w:val="24"/>
        </w:rPr>
        <w:t xml:space="preserve">в номинальном выражении </w:t>
      </w:r>
      <w:r w:rsidRPr="00B86B87">
        <w:rPr>
          <w:sz w:val="24"/>
          <w:szCs w:val="24"/>
        </w:rPr>
        <w:t xml:space="preserve">в 2024 году и только 2% в 2025 году. </w:t>
      </w:r>
      <w:r>
        <w:rPr>
          <w:sz w:val="24"/>
          <w:szCs w:val="24"/>
        </w:rPr>
        <w:t xml:space="preserve">Таким образом накопленная динамика роста расходов федерального бюджета по разделу «Образование» в реальном выражении к концу прогнозного бюджетного цикла составит минус 3%. </w:t>
      </w:r>
    </w:p>
    <w:p w14:paraId="0A77E229" w14:textId="77777777" w:rsidR="009A28A8" w:rsidRPr="00B86B87" w:rsidRDefault="009A28A8" w:rsidP="009A28A8">
      <w:pPr>
        <w:spacing w:line="360" w:lineRule="auto"/>
        <w:ind w:firstLine="709"/>
        <w:jc w:val="both"/>
        <w:rPr>
          <w:sz w:val="24"/>
          <w:szCs w:val="24"/>
        </w:rPr>
      </w:pPr>
      <w:r w:rsidRPr="00B86B87">
        <w:rPr>
          <w:sz w:val="24"/>
          <w:szCs w:val="24"/>
        </w:rPr>
        <w:t xml:space="preserve">В своих предыдущих заключениях на законопроекты о федеральном бюджете Университет доказательно обосновывал необходимость увеличения объемов расходов на здравоохранение и образование за счет средств федерального бюджета минимально до уровня 1,1 процента к ВВП по каждому направлению для достижения задачи более качественного </w:t>
      </w:r>
      <w:r w:rsidRPr="00B86B87">
        <w:rPr>
          <w:sz w:val="24"/>
          <w:szCs w:val="24"/>
        </w:rPr>
        <w:lastRenderedPageBreak/>
        <w:t>состояния человеческого капитала в Российской Федерации, в том числе для обеспечения достижения таких национальных приоритетов развития, как рост продолжительности жизни населения, в т. ч. продолжительности его активной трудовой деятельности, а также рост количества работников с высшим образованием, увеличение средней заработной платы по Российской Федерации, определяющей стоимость и уровень квалификации рабочей силы.</w:t>
      </w:r>
    </w:p>
    <w:p w14:paraId="2D4116C0" w14:textId="7AB9D816" w:rsidR="007B54B7" w:rsidRDefault="00A153A6" w:rsidP="008553E6">
      <w:pPr>
        <w:spacing w:line="360" w:lineRule="auto"/>
        <w:ind w:firstLine="709"/>
        <w:jc w:val="both"/>
        <w:rPr>
          <w:sz w:val="24"/>
          <w:szCs w:val="24"/>
        </w:rPr>
      </w:pPr>
      <w:r>
        <w:rPr>
          <w:sz w:val="24"/>
          <w:szCs w:val="24"/>
        </w:rPr>
        <w:t>В</w:t>
      </w:r>
      <w:r w:rsidR="009A28A8" w:rsidRPr="00B86B87">
        <w:rPr>
          <w:sz w:val="24"/>
          <w:szCs w:val="24"/>
        </w:rPr>
        <w:t xml:space="preserve"> целом законопроект учитывает положения послания Президента Российской Федерации в отношении сохранения и развития человеческого потенциала. </w:t>
      </w:r>
    </w:p>
    <w:p w14:paraId="46A3C206" w14:textId="77777777" w:rsidR="008553E6" w:rsidRDefault="008553E6" w:rsidP="008553E6">
      <w:pPr>
        <w:spacing w:line="360" w:lineRule="auto"/>
        <w:ind w:firstLine="709"/>
        <w:jc w:val="both"/>
        <w:rPr>
          <w:sz w:val="24"/>
          <w:szCs w:val="24"/>
        </w:rPr>
      </w:pPr>
    </w:p>
    <w:p w14:paraId="3008B3B8" w14:textId="714662B9" w:rsidR="002B4D4D" w:rsidRPr="00F042DA" w:rsidRDefault="002B4D4D" w:rsidP="00F042DA">
      <w:pPr>
        <w:pStyle w:val="aa"/>
        <w:numPr>
          <w:ilvl w:val="0"/>
          <w:numId w:val="38"/>
        </w:numPr>
        <w:spacing w:line="360" w:lineRule="auto"/>
        <w:ind w:left="924" w:hanging="357"/>
        <w:jc w:val="both"/>
        <w:rPr>
          <w:rFonts w:ascii="Times New Roman" w:hAnsi="Times New Roman"/>
          <w:b/>
          <w:i/>
          <w:iCs/>
          <w:sz w:val="24"/>
          <w:szCs w:val="32"/>
        </w:rPr>
      </w:pPr>
      <w:r w:rsidRPr="00F042DA">
        <w:rPr>
          <w:rFonts w:ascii="Times New Roman" w:hAnsi="Times New Roman"/>
          <w:b/>
          <w:i/>
          <w:iCs/>
          <w:sz w:val="24"/>
          <w:szCs w:val="32"/>
        </w:rPr>
        <w:t xml:space="preserve">Расходы федерального бюджета на финансовое обеспечение реализации национальных проектов </w:t>
      </w:r>
      <w:r w:rsidR="004775E0">
        <w:rPr>
          <w:rFonts w:ascii="Times New Roman" w:hAnsi="Times New Roman"/>
          <w:b/>
          <w:i/>
          <w:iCs/>
          <w:sz w:val="24"/>
          <w:szCs w:val="32"/>
        </w:rPr>
        <w:t>в 2023 и 2024 годы</w:t>
      </w:r>
    </w:p>
    <w:p w14:paraId="25AC56D9" w14:textId="77777777" w:rsidR="002B4D4D" w:rsidRPr="00C66959" w:rsidRDefault="002B4D4D" w:rsidP="002B4D4D">
      <w:pPr>
        <w:spacing w:line="360" w:lineRule="auto"/>
        <w:ind w:firstLine="708"/>
        <w:jc w:val="both"/>
        <w:rPr>
          <w:bCs/>
          <w:sz w:val="24"/>
          <w:szCs w:val="32"/>
        </w:rPr>
      </w:pPr>
      <w:r>
        <w:rPr>
          <w:bCs/>
          <w:sz w:val="24"/>
          <w:szCs w:val="32"/>
        </w:rPr>
        <w:t>Н</w:t>
      </w:r>
      <w:r w:rsidRPr="00B66228">
        <w:rPr>
          <w:bCs/>
          <w:sz w:val="24"/>
          <w:szCs w:val="32"/>
        </w:rPr>
        <w:t>ациональные цели развития реализуются в рамках основных направлений, утвержденных Указом Президента России от 7 мая 2018 г. №204 «О национальных целях и стратегических задачах развития Российской Федерации на период до 2024 года», Указом Президента России от 21.07.2020 № 474 «О национальных целях развития Российской Федерации на период до 2030 года». Кроме того, в 2021 году разработан Единый план по достижению национальных целей развития Российской Федерации на период до 2024 года.</w:t>
      </w:r>
      <w:r w:rsidRPr="00C66959">
        <w:rPr>
          <w:bCs/>
          <w:sz w:val="24"/>
          <w:szCs w:val="32"/>
        </w:rPr>
        <w:t xml:space="preserve"> </w:t>
      </w:r>
      <w:r>
        <w:rPr>
          <w:bCs/>
          <w:sz w:val="24"/>
          <w:szCs w:val="32"/>
        </w:rPr>
        <w:t xml:space="preserve">Следует отметить, что в соответствии с </w:t>
      </w:r>
      <w:r w:rsidRPr="00C66959">
        <w:rPr>
          <w:bCs/>
          <w:sz w:val="24"/>
          <w:szCs w:val="32"/>
        </w:rPr>
        <w:t>Постановление</w:t>
      </w:r>
      <w:r>
        <w:rPr>
          <w:bCs/>
          <w:sz w:val="24"/>
          <w:szCs w:val="32"/>
        </w:rPr>
        <w:t>м</w:t>
      </w:r>
      <w:r w:rsidRPr="00C66959">
        <w:rPr>
          <w:bCs/>
          <w:sz w:val="24"/>
          <w:szCs w:val="32"/>
        </w:rPr>
        <w:t xml:space="preserve"> Правительства РФ от 09.04.2022 </w:t>
      </w:r>
      <w:r>
        <w:rPr>
          <w:bCs/>
          <w:sz w:val="24"/>
          <w:szCs w:val="32"/>
        </w:rPr>
        <w:t>№</w:t>
      </w:r>
      <w:r w:rsidRPr="00C66959">
        <w:rPr>
          <w:bCs/>
          <w:sz w:val="24"/>
          <w:szCs w:val="32"/>
        </w:rPr>
        <w:t>628</w:t>
      </w:r>
      <w:r>
        <w:rPr>
          <w:bCs/>
          <w:sz w:val="24"/>
          <w:szCs w:val="32"/>
        </w:rPr>
        <w:t xml:space="preserve"> «</w:t>
      </w:r>
      <w:r w:rsidRPr="00C66959">
        <w:rPr>
          <w:bCs/>
          <w:sz w:val="24"/>
          <w:szCs w:val="32"/>
        </w:rPr>
        <w:t>Об особенностях реализации национальных проектов (программ), федеральных проектов, ведомственных проектов и региональных проектов в условиях геополитического и санкционного давления на развитие российской экономики</w:t>
      </w:r>
      <w:r>
        <w:rPr>
          <w:bCs/>
          <w:sz w:val="24"/>
          <w:szCs w:val="32"/>
        </w:rPr>
        <w:t xml:space="preserve">» </w:t>
      </w:r>
      <w:r w:rsidRPr="00C66959">
        <w:rPr>
          <w:bCs/>
          <w:sz w:val="24"/>
          <w:szCs w:val="32"/>
        </w:rPr>
        <w:t>продление сроков реализации и планирования паспортов национальных проектов</w:t>
      </w:r>
      <w:r>
        <w:rPr>
          <w:bCs/>
          <w:sz w:val="24"/>
          <w:szCs w:val="32"/>
        </w:rPr>
        <w:t xml:space="preserve"> после 2024 года не предусмотрено. Таким образом, </w:t>
      </w:r>
      <w:r w:rsidRPr="00C66959">
        <w:rPr>
          <w:bCs/>
          <w:sz w:val="24"/>
          <w:szCs w:val="32"/>
        </w:rPr>
        <w:t>рассматриваемый проект федерального бюджета на 202</w:t>
      </w:r>
      <w:r>
        <w:rPr>
          <w:bCs/>
          <w:sz w:val="24"/>
          <w:szCs w:val="32"/>
        </w:rPr>
        <w:t>3</w:t>
      </w:r>
      <w:r w:rsidRPr="00C66959">
        <w:rPr>
          <w:bCs/>
          <w:sz w:val="24"/>
          <w:szCs w:val="32"/>
        </w:rPr>
        <w:t xml:space="preserve"> год и плановый 202</w:t>
      </w:r>
      <w:r>
        <w:rPr>
          <w:bCs/>
          <w:sz w:val="24"/>
          <w:szCs w:val="32"/>
        </w:rPr>
        <w:t>4</w:t>
      </w:r>
      <w:r w:rsidRPr="00C66959">
        <w:rPr>
          <w:bCs/>
          <w:sz w:val="24"/>
          <w:szCs w:val="32"/>
        </w:rPr>
        <w:t xml:space="preserve"> и 202</w:t>
      </w:r>
      <w:r>
        <w:rPr>
          <w:bCs/>
          <w:sz w:val="24"/>
          <w:szCs w:val="32"/>
        </w:rPr>
        <w:t>5</w:t>
      </w:r>
      <w:r w:rsidRPr="00C66959">
        <w:rPr>
          <w:bCs/>
          <w:sz w:val="24"/>
          <w:szCs w:val="32"/>
        </w:rPr>
        <w:t xml:space="preserve"> годов </w:t>
      </w:r>
      <w:r>
        <w:rPr>
          <w:bCs/>
          <w:sz w:val="24"/>
          <w:szCs w:val="32"/>
        </w:rPr>
        <w:t>является</w:t>
      </w:r>
      <w:r w:rsidRPr="00C66959">
        <w:rPr>
          <w:bCs/>
          <w:sz w:val="24"/>
          <w:szCs w:val="32"/>
        </w:rPr>
        <w:t xml:space="preserve"> решающим с точки зрения достижения национальных целей развития.</w:t>
      </w:r>
    </w:p>
    <w:p w14:paraId="5F8C8538" w14:textId="77777777" w:rsidR="002B4D4D" w:rsidRPr="00CE3743" w:rsidRDefault="002B4D4D" w:rsidP="002B4D4D">
      <w:pPr>
        <w:spacing w:line="360" w:lineRule="auto"/>
        <w:ind w:firstLine="709"/>
        <w:jc w:val="both"/>
        <w:rPr>
          <w:bCs/>
          <w:sz w:val="24"/>
          <w:szCs w:val="32"/>
        </w:rPr>
      </w:pPr>
      <w:r w:rsidRPr="00C42E8B">
        <w:rPr>
          <w:bCs/>
          <w:sz w:val="24"/>
          <w:szCs w:val="32"/>
        </w:rPr>
        <w:t xml:space="preserve">На реализацию </w:t>
      </w:r>
      <w:r>
        <w:rPr>
          <w:bCs/>
          <w:sz w:val="24"/>
          <w:szCs w:val="32"/>
        </w:rPr>
        <w:t>14 н</w:t>
      </w:r>
      <w:r w:rsidRPr="00C42E8B">
        <w:rPr>
          <w:bCs/>
          <w:sz w:val="24"/>
          <w:szCs w:val="32"/>
        </w:rPr>
        <w:t>ац</w:t>
      </w:r>
      <w:r>
        <w:rPr>
          <w:bCs/>
          <w:sz w:val="24"/>
          <w:szCs w:val="32"/>
        </w:rPr>
        <w:t xml:space="preserve">иональных </w:t>
      </w:r>
      <w:r w:rsidRPr="00C42E8B">
        <w:rPr>
          <w:bCs/>
          <w:sz w:val="24"/>
          <w:szCs w:val="32"/>
        </w:rPr>
        <w:t xml:space="preserve">проектов </w:t>
      </w:r>
      <w:r>
        <w:rPr>
          <w:bCs/>
          <w:sz w:val="24"/>
          <w:szCs w:val="32"/>
        </w:rPr>
        <w:t xml:space="preserve">до конца 2024 года </w:t>
      </w:r>
      <w:r w:rsidRPr="00C42E8B">
        <w:rPr>
          <w:bCs/>
          <w:sz w:val="24"/>
          <w:szCs w:val="32"/>
        </w:rPr>
        <w:t xml:space="preserve">по </w:t>
      </w:r>
      <w:r>
        <w:rPr>
          <w:bCs/>
          <w:sz w:val="24"/>
          <w:szCs w:val="32"/>
        </w:rPr>
        <w:t xml:space="preserve">3 ключевым направлениям </w:t>
      </w:r>
      <w:r w:rsidRPr="00C42E8B">
        <w:rPr>
          <w:bCs/>
          <w:sz w:val="24"/>
          <w:szCs w:val="32"/>
        </w:rPr>
        <w:t>«Человеческий капитал» (4 проекта), «Комфортная среда для жизни» (3 проекта) и «Экономический рост» (</w:t>
      </w:r>
      <w:r>
        <w:rPr>
          <w:bCs/>
          <w:sz w:val="24"/>
          <w:szCs w:val="32"/>
        </w:rPr>
        <w:t>7</w:t>
      </w:r>
      <w:r w:rsidRPr="00C42E8B">
        <w:rPr>
          <w:bCs/>
          <w:sz w:val="24"/>
          <w:szCs w:val="32"/>
        </w:rPr>
        <w:t xml:space="preserve"> проектов)</w:t>
      </w:r>
      <w:r>
        <w:rPr>
          <w:bCs/>
          <w:sz w:val="24"/>
          <w:szCs w:val="32"/>
        </w:rPr>
        <w:t xml:space="preserve"> ежегодно предусмотрено финансирование в размере около </w:t>
      </w:r>
      <w:r w:rsidRPr="00C42E8B">
        <w:rPr>
          <w:bCs/>
          <w:sz w:val="24"/>
          <w:szCs w:val="32"/>
        </w:rPr>
        <w:t>3 трлн рублей</w:t>
      </w:r>
      <w:r>
        <w:rPr>
          <w:bCs/>
          <w:sz w:val="24"/>
          <w:szCs w:val="32"/>
        </w:rPr>
        <w:t xml:space="preserve">, что составляет около 10% от совокупных расходов федерального бюджета в плановом периоде </w:t>
      </w:r>
      <w:r w:rsidRPr="00CE3743">
        <w:rPr>
          <w:bCs/>
          <w:sz w:val="24"/>
          <w:szCs w:val="32"/>
        </w:rPr>
        <w:t>(рис</w:t>
      </w:r>
      <w:r>
        <w:rPr>
          <w:bCs/>
          <w:sz w:val="24"/>
          <w:szCs w:val="32"/>
        </w:rPr>
        <w:t>.</w:t>
      </w:r>
      <w:r w:rsidRPr="00CE3743">
        <w:rPr>
          <w:bCs/>
          <w:sz w:val="24"/>
          <w:szCs w:val="32"/>
        </w:rPr>
        <w:t xml:space="preserve"> 11).</w:t>
      </w:r>
    </w:p>
    <w:p w14:paraId="2CDF8CA3" w14:textId="77777777" w:rsidR="002B4D4D" w:rsidRDefault="002B4D4D" w:rsidP="002B4D4D">
      <w:pPr>
        <w:spacing w:line="360" w:lineRule="auto"/>
        <w:ind w:firstLine="709"/>
        <w:jc w:val="both"/>
        <w:rPr>
          <w:bCs/>
          <w:sz w:val="24"/>
          <w:szCs w:val="32"/>
        </w:rPr>
      </w:pPr>
    </w:p>
    <w:p w14:paraId="17231425" w14:textId="77777777" w:rsidR="002B4D4D" w:rsidRPr="00C66959" w:rsidRDefault="002B4D4D" w:rsidP="002B4D4D">
      <w:pPr>
        <w:spacing w:line="360" w:lineRule="auto"/>
        <w:jc w:val="center"/>
        <w:rPr>
          <w:bCs/>
          <w:sz w:val="24"/>
          <w:szCs w:val="32"/>
        </w:rPr>
      </w:pPr>
      <w:r>
        <w:rPr>
          <w:noProof/>
        </w:rPr>
        <w:lastRenderedPageBreak/>
        <w:drawing>
          <wp:inline distT="0" distB="0" distL="0" distR="0" wp14:anchorId="4C1EA9CA" wp14:editId="4F647C0E">
            <wp:extent cx="5429250" cy="2171700"/>
            <wp:effectExtent l="0" t="0" r="0" b="0"/>
            <wp:docPr id="11" name="Диаграмма 11">
              <a:extLst xmlns:a="http://schemas.openxmlformats.org/drawingml/2006/main">
                <a:ext uri="{FF2B5EF4-FFF2-40B4-BE49-F238E27FC236}">
                  <a16:creationId xmlns:a16="http://schemas.microsoft.com/office/drawing/2014/main" id="{CACD6200-EABE-5346-6FDA-6CEC7A5C79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C89B7F" w14:textId="77777777" w:rsidR="002B4D4D" w:rsidRPr="00C42E8B" w:rsidRDefault="002B4D4D" w:rsidP="002B4D4D">
      <w:pPr>
        <w:spacing w:line="360" w:lineRule="auto"/>
        <w:ind w:firstLine="709"/>
        <w:jc w:val="both"/>
        <w:rPr>
          <w:bCs/>
          <w:i/>
          <w:sz w:val="24"/>
          <w:szCs w:val="32"/>
        </w:rPr>
      </w:pPr>
      <w:r w:rsidRPr="00CE3743">
        <w:rPr>
          <w:bCs/>
          <w:i/>
          <w:sz w:val="24"/>
          <w:szCs w:val="32"/>
        </w:rPr>
        <w:t xml:space="preserve">Рисунок 11 - Финансирование </w:t>
      </w:r>
      <w:r w:rsidRPr="00C42E8B">
        <w:rPr>
          <w:bCs/>
          <w:i/>
          <w:sz w:val="24"/>
          <w:szCs w:val="32"/>
        </w:rPr>
        <w:t>национальных проектов в 202</w:t>
      </w:r>
      <w:r>
        <w:rPr>
          <w:bCs/>
          <w:i/>
          <w:sz w:val="24"/>
          <w:szCs w:val="32"/>
        </w:rPr>
        <w:t>1</w:t>
      </w:r>
      <w:r w:rsidRPr="00C42E8B">
        <w:rPr>
          <w:bCs/>
          <w:i/>
          <w:sz w:val="24"/>
          <w:szCs w:val="32"/>
        </w:rPr>
        <w:t>–2024 годы</w:t>
      </w:r>
    </w:p>
    <w:p w14:paraId="260218A0" w14:textId="77777777" w:rsidR="002B4D4D" w:rsidRPr="002C308F" w:rsidRDefault="002B4D4D" w:rsidP="002B4D4D">
      <w:pPr>
        <w:autoSpaceDE w:val="0"/>
        <w:autoSpaceDN w:val="0"/>
        <w:adjustRightInd w:val="0"/>
        <w:spacing w:line="360" w:lineRule="auto"/>
        <w:rPr>
          <w:sz w:val="24"/>
          <w:szCs w:val="24"/>
        </w:rPr>
      </w:pPr>
      <w:bookmarkStart w:id="4" w:name="_Hlk116370745"/>
      <w:r>
        <w:rPr>
          <w:i/>
          <w:iCs/>
          <w:sz w:val="24"/>
          <w:szCs w:val="24"/>
        </w:rPr>
        <w:t xml:space="preserve">Источник: </w:t>
      </w:r>
      <w:r w:rsidRPr="002C308F">
        <w:rPr>
          <w:i/>
          <w:iCs/>
          <w:sz w:val="24"/>
          <w:szCs w:val="24"/>
        </w:rPr>
        <w:t>Составлено на основе данных пояснительной записки к законопроекту</w:t>
      </w:r>
    </w:p>
    <w:bookmarkEnd w:id="4"/>
    <w:p w14:paraId="3356D83E" w14:textId="77777777" w:rsidR="004775E0" w:rsidRDefault="004775E0" w:rsidP="002B4D4D">
      <w:pPr>
        <w:spacing w:line="360" w:lineRule="auto"/>
        <w:ind w:firstLine="709"/>
        <w:jc w:val="both"/>
        <w:rPr>
          <w:bCs/>
          <w:sz w:val="24"/>
          <w:szCs w:val="32"/>
        </w:rPr>
      </w:pPr>
    </w:p>
    <w:p w14:paraId="30A7AE96" w14:textId="431C64E1" w:rsidR="002B4D4D" w:rsidRDefault="002B4D4D" w:rsidP="002B4D4D">
      <w:pPr>
        <w:spacing w:line="360" w:lineRule="auto"/>
        <w:ind w:firstLine="709"/>
        <w:jc w:val="both"/>
        <w:rPr>
          <w:bCs/>
          <w:sz w:val="24"/>
          <w:szCs w:val="32"/>
        </w:rPr>
      </w:pPr>
      <w:r w:rsidRPr="00D821C5">
        <w:rPr>
          <w:bCs/>
          <w:sz w:val="24"/>
          <w:szCs w:val="32"/>
        </w:rPr>
        <w:t xml:space="preserve">Структура расходов федерального бюджета </w:t>
      </w:r>
      <w:r>
        <w:rPr>
          <w:bCs/>
          <w:sz w:val="24"/>
          <w:szCs w:val="32"/>
        </w:rPr>
        <w:t xml:space="preserve">на финансирование </w:t>
      </w:r>
      <w:r w:rsidRPr="00D821C5">
        <w:rPr>
          <w:bCs/>
          <w:sz w:val="24"/>
          <w:szCs w:val="32"/>
        </w:rPr>
        <w:t>приоритетных национальных проектов в целом соответствует выработанным приоритетам бюджетной политики. Основные направления бюджетной, налоговой и таможенно-тарифной политики на 202</w:t>
      </w:r>
      <w:r>
        <w:rPr>
          <w:bCs/>
          <w:sz w:val="24"/>
          <w:szCs w:val="32"/>
        </w:rPr>
        <w:t>3</w:t>
      </w:r>
      <w:r w:rsidRPr="00D821C5">
        <w:rPr>
          <w:bCs/>
          <w:sz w:val="24"/>
          <w:szCs w:val="32"/>
        </w:rPr>
        <w:t xml:space="preserve"> год и на плановый период 202</w:t>
      </w:r>
      <w:r>
        <w:rPr>
          <w:bCs/>
          <w:sz w:val="24"/>
          <w:szCs w:val="32"/>
        </w:rPr>
        <w:t>4</w:t>
      </w:r>
      <w:r w:rsidRPr="00D821C5">
        <w:rPr>
          <w:bCs/>
          <w:sz w:val="24"/>
          <w:szCs w:val="32"/>
        </w:rPr>
        <w:t xml:space="preserve"> и 202</w:t>
      </w:r>
      <w:r>
        <w:rPr>
          <w:bCs/>
          <w:sz w:val="24"/>
          <w:szCs w:val="32"/>
        </w:rPr>
        <w:t>5</w:t>
      </w:r>
      <w:r w:rsidRPr="00D821C5">
        <w:rPr>
          <w:bCs/>
          <w:sz w:val="24"/>
          <w:szCs w:val="32"/>
        </w:rPr>
        <w:t xml:space="preserve"> годов, являющиеся неотъемлемой частью проекта федерального бюджета на будущую трёхлетку, декларируют </w:t>
      </w:r>
      <w:r w:rsidRPr="00DE6B34">
        <w:rPr>
          <w:bCs/>
          <w:sz w:val="24"/>
          <w:szCs w:val="32"/>
        </w:rPr>
        <w:t>обеспеч</w:t>
      </w:r>
      <w:r>
        <w:rPr>
          <w:bCs/>
          <w:sz w:val="24"/>
          <w:szCs w:val="32"/>
        </w:rPr>
        <w:t>ение</w:t>
      </w:r>
      <w:r w:rsidRPr="00DE6B34">
        <w:rPr>
          <w:bCs/>
          <w:sz w:val="24"/>
          <w:szCs w:val="32"/>
        </w:rPr>
        <w:t xml:space="preserve"> поддержк</w:t>
      </w:r>
      <w:r>
        <w:rPr>
          <w:bCs/>
          <w:sz w:val="24"/>
          <w:szCs w:val="32"/>
        </w:rPr>
        <w:t>и</w:t>
      </w:r>
      <w:r w:rsidRPr="00DE6B34">
        <w:rPr>
          <w:bCs/>
          <w:sz w:val="24"/>
          <w:szCs w:val="32"/>
        </w:rPr>
        <w:t xml:space="preserve"> экономики в период адаптации и перестройки хозяйственных связей, а </w:t>
      </w:r>
      <w:r>
        <w:rPr>
          <w:bCs/>
          <w:sz w:val="24"/>
          <w:szCs w:val="32"/>
        </w:rPr>
        <w:t xml:space="preserve">также </w:t>
      </w:r>
      <w:r w:rsidRPr="00DE6B34">
        <w:rPr>
          <w:bCs/>
          <w:sz w:val="24"/>
          <w:szCs w:val="32"/>
        </w:rPr>
        <w:t>содейств</w:t>
      </w:r>
      <w:r>
        <w:rPr>
          <w:bCs/>
          <w:sz w:val="24"/>
          <w:szCs w:val="32"/>
        </w:rPr>
        <w:t>ие с</w:t>
      </w:r>
      <w:r w:rsidRPr="00DE6B34">
        <w:rPr>
          <w:bCs/>
          <w:sz w:val="24"/>
          <w:szCs w:val="32"/>
        </w:rPr>
        <w:t>охранению доверия к целостности конструкции проводимой макроэкономической политики, устойчивому развитию и структурным изменениям в экономике на среднесрочном горизонте.</w:t>
      </w:r>
    </w:p>
    <w:p w14:paraId="2BE175E1" w14:textId="69E7CF79" w:rsidR="002B4D4D" w:rsidRDefault="002B4D4D" w:rsidP="002B4D4D">
      <w:pPr>
        <w:spacing w:line="360" w:lineRule="auto"/>
        <w:ind w:firstLine="709"/>
        <w:jc w:val="both"/>
        <w:rPr>
          <w:bCs/>
          <w:sz w:val="24"/>
          <w:szCs w:val="32"/>
        </w:rPr>
      </w:pPr>
      <w:r w:rsidRPr="005C2D8D">
        <w:rPr>
          <w:bCs/>
          <w:sz w:val="24"/>
          <w:szCs w:val="32"/>
        </w:rPr>
        <w:t>Существенное изменение параметров финансирования затронет 8 из 14 национальных проектов. При этом единого тренда</w:t>
      </w:r>
      <w:r>
        <w:rPr>
          <w:bCs/>
          <w:sz w:val="24"/>
          <w:szCs w:val="32"/>
        </w:rPr>
        <w:t xml:space="preserve"> в динамике финансирования национальных проектов не прослеживается, </w:t>
      </w:r>
      <w:r w:rsidRPr="005C2D8D">
        <w:rPr>
          <w:bCs/>
          <w:sz w:val="24"/>
          <w:szCs w:val="32"/>
        </w:rPr>
        <w:t xml:space="preserve">все изменения </w:t>
      </w:r>
      <w:r>
        <w:rPr>
          <w:bCs/>
          <w:sz w:val="24"/>
          <w:szCs w:val="32"/>
        </w:rPr>
        <w:t xml:space="preserve">объемов расходов на них носят </w:t>
      </w:r>
      <w:r w:rsidRPr="005C2D8D">
        <w:rPr>
          <w:bCs/>
          <w:sz w:val="24"/>
          <w:szCs w:val="32"/>
        </w:rPr>
        <w:t>разнонаправлен</w:t>
      </w:r>
      <w:r>
        <w:rPr>
          <w:bCs/>
          <w:sz w:val="24"/>
          <w:szCs w:val="32"/>
        </w:rPr>
        <w:t xml:space="preserve">ный характер </w:t>
      </w:r>
      <w:r w:rsidRPr="00CE3743">
        <w:rPr>
          <w:bCs/>
          <w:sz w:val="24"/>
          <w:szCs w:val="32"/>
        </w:rPr>
        <w:t xml:space="preserve">(табл. 4). </w:t>
      </w:r>
      <w:r w:rsidRPr="00224F7B">
        <w:rPr>
          <w:bCs/>
          <w:sz w:val="24"/>
          <w:szCs w:val="32"/>
        </w:rPr>
        <w:t>Как и в предыдущ</w:t>
      </w:r>
      <w:r>
        <w:rPr>
          <w:bCs/>
          <w:sz w:val="24"/>
          <w:szCs w:val="32"/>
        </w:rPr>
        <w:t xml:space="preserve">ем бюджетном цикле, </w:t>
      </w:r>
      <w:r w:rsidRPr="00224F7B">
        <w:rPr>
          <w:bCs/>
          <w:sz w:val="24"/>
          <w:szCs w:val="32"/>
        </w:rPr>
        <w:t xml:space="preserve">развитие человеческого капитала остается важнейшим приоритетом </w:t>
      </w:r>
      <w:r>
        <w:rPr>
          <w:bCs/>
          <w:sz w:val="24"/>
          <w:szCs w:val="32"/>
        </w:rPr>
        <w:t>стратегических расходов федерального бюджета</w:t>
      </w:r>
      <w:r w:rsidRPr="00224F7B">
        <w:rPr>
          <w:bCs/>
          <w:sz w:val="24"/>
          <w:szCs w:val="32"/>
        </w:rPr>
        <w:t xml:space="preserve">, в связи с чем запланировано увеличение финансирования </w:t>
      </w:r>
      <w:r>
        <w:rPr>
          <w:bCs/>
          <w:sz w:val="24"/>
          <w:szCs w:val="32"/>
        </w:rPr>
        <w:t>нац</w:t>
      </w:r>
      <w:r w:rsidRPr="00224F7B">
        <w:rPr>
          <w:bCs/>
          <w:sz w:val="24"/>
          <w:szCs w:val="32"/>
        </w:rPr>
        <w:t xml:space="preserve">проектов «Образование» и «Культура». В частности, </w:t>
      </w:r>
      <w:r>
        <w:rPr>
          <w:bCs/>
          <w:sz w:val="24"/>
          <w:szCs w:val="32"/>
        </w:rPr>
        <w:t>по нац</w:t>
      </w:r>
      <w:r w:rsidRPr="00224F7B">
        <w:rPr>
          <w:bCs/>
          <w:sz w:val="24"/>
          <w:szCs w:val="32"/>
        </w:rPr>
        <w:t>проект</w:t>
      </w:r>
      <w:r>
        <w:rPr>
          <w:bCs/>
          <w:sz w:val="24"/>
          <w:szCs w:val="32"/>
        </w:rPr>
        <w:t xml:space="preserve">у </w:t>
      </w:r>
      <w:r w:rsidRPr="00224F7B">
        <w:rPr>
          <w:bCs/>
          <w:sz w:val="24"/>
          <w:szCs w:val="32"/>
        </w:rPr>
        <w:t xml:space="preserve">«Образование» </w:t>
      </w:r>
      <w:r>
        <w:rPr>
          <w:bCs/>
          <w:sz w:val="24"/>
          <w:szCs w:val="32"/>
        </w:rPr>
        <w:t xml:space="preserve">расходы будут </w:t>
      </w:r>
      <w:r w:rsidRPr="00224F7B">
        <w:rPr>
          <w:bCs/>
          <w:sz w:val="24"/>
          <w:szCs w:val="32"/>
        </w:rPr>
        <w:t>увеличен</w:t>
      </w:r>
      <w:r w:rsidR="00F34F51">
        <w:rPr>
          <w:bCs/>
          <w:sz w:val="24"/>
          <w:szCs w:val="32"/>
        </w:rPr>
        <w:t>ы</w:t>
      </w:r>
      <w:r w:rsidRPr="00224F7B">
        <w:rPr>
          <w:bCs/>
          <w:sz w:val="24"/>
          <w:szCs w:val="32"/>
        </w:rPr>
        <w:t xml:space="preserve"> на 18% и 16% в 2023 и 2024 годах соответственно, </w:t>
      </w:r>
      <w:r>
        <w:rPr>
          <w:bCs/>
          <w:sz w:val="24"/>
          <w:szCs w:val="32"/>
        </w:rPr>
        <w:t>на нацп</w:t>
      </w:r>
      <w:r w:rsidRPr="00224F7B">
        <w:rPr>
          <w:bCs/>
          <w:sz w:val="24"/>
          <w:szCs w:val="32"/>
        </w:rPr>
        <w:t xml:space="preserve">роект «Культура» </w:t>
      </w:r>
      <w:r>
        <w:rPr>
          <w:bCs/>
          <w:sz w:val="24"/>
          <w:szCs w:val="32"/>
        </w:rPr>
        <w:t xml:space="preserve">- </w:t>
      </w:r>
      <w:r w:rsidRPr="00224F7B">
        <w:rPr>
          <w:bCs/>
          <w:sz w:val="24"/>
          <w:szCs w:val="32"/>
        </w:rPr>
        <w:t>на 26% и 7,6% соответственно</w:t>
      </w:r>
      <w:r>
        <w:rPr>
          <w:bCs/>
          <w:sz w:val="24"/>
          <w:szCs w:val="32"/>
        </w:rPr>
        <w:t xml:space="preserve"> в сравнении с их объемами</w:t>
      </w:r>
      <w:r w:rsidRPr="00224F7B">
        <w:rPr>
          <w:bCs/>
          <w:sz w:val="24"/>
          <w:szCs w:val="32"/>
        </w:rPr>
        <w:t xml:space="preserve">, </w:t>
      </w:r>
      <w:r>
        <w:rPr>
          <w:bCs/>
          <w:sz w:val="24"/>
          <w:szCs w:val="32"/>
        </w:rPr>
        <w:t>утвержденными</w:t>
      </w:r>
      <w:r w:rsidRPr="00224F7B">
        <w:rPr>
          <w:bCs/>
          <w:sz w:val="24"/>
          <w:szCs w:val="32"/>
        </w:rPr>
        <w:t xml:space="preserve"> в Федеральном законе №390-ФЗ. </w:t>
      </w:r>
    </w:p>
    <w:p w14:paraId="6154CFE7" w14:textId="03687D21" w:rsidR="002B4D4D" w:rsidRDefault="002B4D4D" w:rsidP="002B4D4D">
      <w:pPr>
        <w:spacing w:line="360" w:lineRule="auto"/>
        <w:ind w:firstLine="709"/>
        <w:jc w:val="both"/>
        <w:rPr>
          <w:bCs/>
          <w:sz w:val="24"/>
          <w:szCs w:val="32"/>
        </w:rPr>
      </w:pPr>
      <w:r w:rsidRPr="00224F7B">
        <w:rPr>
          <w:bCs/>
          <w:sz w:val="24"/>
          <w:szCs w:val="32"/>
        </w:rPr>
        <w:t>При этом</w:t>
      </w:r>
      <w:r>
        <w:rPr>
          <w:bCs/>
          <w:sz w:val="24"/>
          <w:szCs w:val="32"/>
        </w:rPr>
        <w:t xml:space="preserve"> большое значение для оценки эффективности такого роста расходов имеет анализ</w:t>
      </w:r>
      <w:r w:rsidRPr="00224F7B">
        <w:rPr>
          <w:bCs/>
          <w:sz w:val="24"/>
          <w:szCs w:val="32"/>
        </w:rPr>
        <w:t xml:space="preserve"> динамик</w:t>
      </w:r>
      <w:r>
        <w:rPr>
          <w:bCs/>
          <w:sz w:val="24"/>
          <w:szCs w:val="32"/>
        </w:rPr>
        <w:t>и</w:t>
      </w:r>
      <w:r w:rsidRPr="00224F7B">
        <w:rPr>
          <w:bCs/>
          <w:sz w:val="24"/>
          <w:szCs w:val="32"/>
        </w:rPr>
        <w:t xml:space="preserve"> финансирования отдельных федеральных проектов в рамках </w:t>
      </w:r>
      <w:r>
        <w:rPr>
          <w:bCs/>
          <w:sz w:val="24"/>
          <w:szCs w:val="32"/>
        </w:rPr>
        <w:t>указанных нацпроектов</w:t>
      </w:r>
      <w:r w:rsidR="00A153A6">
        <w:rPr>
          <w:bCs/>
          <w:sz w:val="24"/>
          <w:szCs w:val="32"/>
        </w:rPr>
        <w:t>, в частности</w:t>
      </w:r>
      <w:r w:rsidR="00A153A6" w:rsidRPr="00A153A6">
        <w:rPr>
          <w:bCs/>
          <w:sz w:val="24"/>
          <w:szCs w:val="32"/>
        </w:rPr>
        <w:t>:</w:t>
      </w:r>
      <w:r w:rsidRPr="00224F7B">
        <w:rPr>
          <w:bCs/>
          <w:sz w:val="24"/>
          <w:szCs w:val="32"/>
        </w:rPr>
        <w:t xml:space="preserve"> </w:t>
      </w:r>
    </w:p>
    <w:p w14:paraId="4FD3148E" w14:textId="033FC5D7" w:rsidR="004775E0" w:rsidRPr="00A153A6" w:rsidRDefault="004775E0" w:rsidP="00A153A6">
      <w:pPr>
        <w:pStyle w:val="aa"/>
        <w:numPr>
          <w:ilvl w:val="0"/>
          <w:numId w:val="43"/>
        </w:numPr>
        <w:spacing w:line="360" w:lineRule="auto"/>
        <w:ind w:left="426" w:hanging="426"/>
        <w:jc w:val="both"/>
        <w:rPr>
          <w:rFonts w:ascii="Times New Roman" w:hAnsi="Times New Roman"/>
          <w:bCs/>
          <w:sz w:val="24"/>
          <w:szCs w:val="32"/>
        </w:rPr>
      </w:pPr>
      <w:r w:rsidRPr="00A153A6">
        <w:rPr>
          <w:rFonts w:ascii="Times New Roman" w:hAnsi="Times New Roman"/>
          <w:bCs/>
          <w:sz w:val="24"/>
          <w:szCs w:val="32"/>
        </w:rPr>
        <w:t xml:space="preserve">в нацпроекте «Культура» более чем полуторакратный рост финансирования в 2023 году предусмотрен по федеральному проекту «Цифровая культура». В проекте «Образование» рост расходов более чем на 700% предусмотрен по федеральному проекту «Патриотическое </w:t>
      </w:r>
      <w:r w:rsidRPr="00A153A6">
        <w:rPr>
          <w:rFonts w:ascii="Times New Roman" w:hAnsi="Times New Roman"/>
          <w:bCs/>
          <w:sz w:val="24"/>
          <w:szCs w:val="32"/>
        </w:rPr>
        <w:lastRenderedPageBreak/>
        <w:t>воспитание граждан Российской Федерации», что связано с введением обязательного модуля патриотического воспитания в общеобразовательных и средних специальных учебных заведениях</w:t>
      </w:r>
      <w:r w:rsidR="00A153A6" w:rsidRPr="00A153A6">
        <w:rPr>
          <w:rFonts w:ascii="Times New Roman" w:hAnsi="Times New Roman"/>
          <w:bCs/>
          <w:sz w:val="24"/>
          <w:szCs w:val="32"/>
        </w:rPr>
        <w:t>;</w:t>
      </w:r>
    </w:p>
    <w:p w14:paraId="552B273F" w14:textId="77777777" w:rsidR="00FB7249" w:rsidRPr="00FB7249" w:rsidRDefault="00A153A6" w:rsidP="00FB7249">
      <w:pPr>
        <w:pStyle w:val="aa"/>
        <w:numPr>
          <w:ilvl w:val="0"/>
          <w:numId w:val="43"/>
        </w:numPr>
        <w:spacing w:line="360" w:lineRule="auto"/>
        <w:ind w:left="426" w:hanging="426"/>
        <w:jc w:val="both"/>
        <w:rPr>
          <w:rFonts w:ascii="Times New Roman" w:hAnsi="Times New Roman"/>
          <w:bCs/>
          <w:i/>
          <w:sz w:val="24"/>
          <w:szCs w:val="32"/>
        </w:rPr>
      </w:pPr>
      <w:r w:rsidRPr="00A153A6">
        <w:rPr>
          <w:rFonts w:ascii="Times New Roman" w:hAnsi="Times New Roman"/>
          <w:bCs/>
          <w:sz w:val="24"/>
          <w:szCs w:val="32"/>
        </w:rPr>
        <w:t>н</w:t>
      </w:r>
      <w:r w:rsidR="004775E0" w:rsidRPr="00A153A6">
        <w:rPr>
          <w:rFonts w:ascii="Times New Roman" w:hAnsi="Times New Roman"/>
          <w:bCs/>
          <w:sz w:val="24"/>
          <w:szCs w:val="32"/>
        </w:rPr>
        <w:t>ацпроекты «Демография» и «Здравоохранение» будут исполнены в ранее запланированных объемах</w:t>
      </w:r>
      <w:r w:rsidRPr="00A153A6">
        <w:rPr>
          <w:rFonts w:ascii="Times New Roman" w:hAnsi="Times New Roman"/>
          <w:bCs/>
          <w:sz w:val="24"/>
          <w:szCs w:val="32"/>
        </w:rPr>
        <w:t>, н</w:t>
      </w:r>
      <w:r w:rsidR="004775E0" w:rsidRPr="00A153A6">
        <w:rPr>
          <w:rFonts w:ascii="Times New Roman" w:hAnsi="Times New Roman"/>
          <w:bCs/>
          <w:sz w:val="24"/>
          <w:szCs w:val="32"/>
        </w:rPr>
        <w:t>ацпроекты блока «Комфортная среда для жизни», а именно «Жилье и городская среда», «Безопасные дороги» и «Экология» демонстрируют разнонаправленные тенденции по периодам бюджетного цикла</w:t>
      </w:r>
      <w:r w:rsidRPr="00A153A6">
        <w:rPr>
          <w:rFonts w:ascii="Times New Roman" w:hAnsi="Times New Roman"/>
          <w:bCs/>
          <w:sz w:val="24"/>
          <w:szCs w:val="32"/>
        </w:rPr>
        <w:t>.</w:t>
      </w:r>
      <w:r w:rsidR="004775E0" w:rsidRPr="00A153A6">
        <w:rPr>
          <w:rFonts w:ascii="Times New Roman" w:hAnsi="Times New Roman"/>
          <w:bCs/>
          <w:sz w:val="24"/>
          <w:szCs w:val="32"/>
        </w:rPr>
        <w:t xml:space="preserve"> </w:t>
      </w:r>
    </w:p>
    <w:p w14:paraId="1CF03AD8" w14:textId="7313AEF0" w:rsidR="00C32587" w:rsidRPr="00FB7249" w:rsidRDefault="009A28A8" w:rsidP="00FB7249">
      <w:pPr>
        <w:pStyle w:val="aa"/>
        <w:numPr>
          <w:ilvl w:val="0"/>
          <w:numId w:val="43"/>
        </w:numPr>
        <w:spacing w:after="0" w:line="360" w:lineRule="auto"/>
        <w:ind w:left="426" w:hanging="426"/>
        <w:jc w:val="both"/>
        <w:rPr>
          <w:rFonts w:ascii="Times New Roman" w:hAnsi="Times New Roman"/>
          <w:bCs/>
          <w:i/>
          <w:sz w:val="24"/>
          <w:szCs w:val="32"/>
        </w:rPr>
      </w:pPr>
      <w:r w:rsidRPr="00FB7249">
        <w:rPr>
          <w:rFonts w:ascii="Times New Roman" w:hAnsi="Times New Roman"/>
          <w:bCs/>
          <w:sz w:val="24"/>
          <w:szCs w:val="32"/>
        </w:rPr>
        <w:t>федеральный проект «Модернизация пассажирского транспорта в городских агломерациях» предполагает увеличение расходов почти в 10 раз в 2023 году и в 6 раз в 2024 году</w:t>
      </w:r>
      <w:r w:rsidR="00A153A6" w:rsidRPr="00FB7249">
        <w:rPr>
          <w:rFonts w:ascii="Times New Roman" w:hAnsi="Times New Roman"/>
          <w:bCs/>
          <w:sz w:val="24"/>
          <w:szCs w:val="32"/>
        </w:rPr>
        <w:t>; ф</w:t>
      </w:r>
      <w:r w:rsidRPr="00FB7249">
        <w:rPr>
          <w:rFonts w:ascii="Times New Roman" w:hAnsi="Times New Roman"/>
          <w:bCs/>
          <w:sz w:val="24"/>
          <w:szCs w:val="32"/>
        </w:rPr>
        <w:t xml:space="preserve">инансирование нацпроекта «Жилье и городская среда» будет увеличено в 2023 г. на 3,6%, а в 2024 г. на 6%. </w:t>
      </w:r>
      <w:r w:rsidR="00A153A6" w:rsidRPr="00FB7249">
        <w:rPr>
          <w:rFonts w:ascii="Times New Roman" w:hAnsi="Times New Roman"/>
          <w:bCs/>
          <w:sz w:val="24"/>
          <w:szCs w:val="32"/>
        </w:rPr>
        <w:t>Н</w:t>
      </w:r>
      <w:r w:rsidRPr="00FB7249">
        <w:rPr>
          <w:rFonts w:ascii="Times New Roman" w:hAnsi="Times New Roman"/>
          <w:bCs/>
          <w:sz w:val="24"/>
          <w:szCs w:val="32"/>
        </w:rPr>
        <w:t xml:space="preserve">ацпроект «Экология» предполагает сокращение ассигнований на 10–11% в рассматриваемом периоде, в первую очередь за счет снижения финансирования проектов по оздоровлению </w:t>
      </w:r>
      <w:r w:rsidR="00A153A6" w:rsidRPr="00FB7249">
        <w:rPr>
          <w:rFonts w:ascii="Times New Roman" w:hAnsi="Times New Roman"/>
          <w:bCs/>
          <w:sz w:val="24"/>
          <w:szCs w:val="32"/>
        </w:rPr>
        <w:t xml:space="preserve">бассейнов </w:t>
      </w:r>
      <w:r w:rsidRPr="00FB7249">
        <w:rPr>
          <w:rFonts w:ascii="Times New Roman" w:hAnsi="Times New Roman"/>
          <w:bCs/>
          <w:sz w:val="24"/>
          <w:szCs w:val="32"/>
        </w:rPr>
        <w:t>Волги и Байкала.</w:t>
      </w:r>
      <w:r w:rsidR="00C32587" w:rsidRPr="00FB7249">
        <w:rPr>
          <w:rFonts w:ascii="Times New Roman" w:hAnsi="Times New Roman"/>
          <w:bCs/>
          <w:sz w:val="24"/>
          <w:szCs w:val="32"/>
        </w:rPr>
        <w:t xml:space="preserve"> </w:t>
      </w:r>
    </w:p>
    <w:p w14:paraId="38A7557F" w14:textId="77777777" w:rsidR="00BC3C02" w:rsidRDefault="00C32587" w:rsidP="00FB7249">
      <w:pPr>
        <w:spacing w:line="360" w:lineRule="auto"/>
        <w:ind w:firstLine="709"/>
        <w:jc w:val="both"/>
        <w:rPr>
          <w:bCs/>
          <w:sz w:val="24"/>
          <w:szCs w:val="32"/>
        </w:rPr>
      </w:pPr>
      <w:r w:rsidRPr="00FB7249">
        <w:rPr>
          <w:bCs/>
          <w:sz w:val="24"/>
          <w:szCs w:val="32"/>
        </w:rPr>
        <w:t>В некоторой мере следствием влияния санкций по отношению к российской экономике можно считать существенное сокращение финансирования</w:t>
      </w:r>
      <w:r w:rsidRPr="005C2D8D">
        <w:rPr>
          <w:bCs/>
          <w:sz w:val="24"/>
          <w:szCs w:val="32"/>
        </w:rPr>
        <w:t xml:space="preserve"> проект</w:t>
      </w:r>
      <w:r>
        <w:rPr>
          <w:bCs/>
          <w:sz w:val="24"/>
          <w:szCs w:val="32"/>
        </w:rPr>
        <w:t>а</w:t>
      </w:r>
      <w:r w:rsidRPr="005C2D8D">
        <w:rPr>
          <w:bCs/>
          <w:sz w:val="24"/>
          <w:szCs w:val="32"/>
        </w:rPr>
        <w:t xml:space="preserve"> «Международная кооперация и экспорт» </w:t>
      </w:r>
      <w:r>
        <w:rPr>
          <w:bCs/>
          <w:sz w:val="24"/>
          <w:szCs w:val="32"/>
        </w:rPr>
        <w:t xml:space="preserve">в сравнении с ранее утвержденными объемами в паспорте проекта: </w:t>
      </w:r>
      <w:r w:rsidRPr="005C2D8D">
        <w:rPr>
          <w:bCs/>
          <w:sz w:val="24"/>
          <w:szCs w:val="32"/>
        </w:rPr>
        <w:t xml:space="preserve">в 2023 г. </w:t>
      </w:r>
      <w:r>
        <w:rPr>
          <w:bCs/>
          <w:sz w:val="24"/>
          <w:szCs w:val="32"/>
        </w:rPr>
        <w:t xml:space="preserve">- </w:t>
      </w:r>
      <w:r w:rsidRPr="005C2D8D">
        <w:rPr>
          <w:bCs/>
          <w:sz w:val="24"/>
          <w:szCs w:val="32"/>
        </w:rPr>
        <w:t xml:space="preserve">на 28,5%, в 2024 г. </w:t>
      </w:r>
      <w:r>
        <w:rPr>
          <w:bCs/>
          <w:sz w:val="24"/>
          <w:szCs w:val="32"/>
        </w:rPr>
        <w:t xml:space="preserve">- </w:t>
      </w:r>
      <w:r w:rsidRPr="005C2D8D">
        <w:rPr>
          <w:bCs/>
          <w:sz w:val="24"/>
          <w:szCs w:val="32"/>
        </w:rPr>
        <w:t>на 31%</w:t>
      </w:r>
      <w:r>
        <w:rPr>
          <w:bCs/>
          <w:sz w:val="24"/>
          <w:szCs w:val="32"/>
        </w:rPr>
        <w:t xml:space="preserve">. В условиях необходимости приоритетного развития цифровых технологий в Российской Федерации и подготовки высоко квалифицированных кадров в </w:t>
      </w:r>
      <w:r>
        <w:rPr>
          <w:bCs/>
          <w:sz w:val="24"/>
          <w:szCs w:val="32"/>
          <w:lang w:val="en-US"/>
        </w:rPr>
        <w:t>IT</w:t>
      </w:r>
      <w:r>
        <w:rPr>
          <w:bCs/>
          <w:sz w:val="24"/>
          <w:szCs w:val="32"/>
        </w:rPr>
        <w:t xml:space="preserve">-сфере негативно следует оценить </w:t>
      </w:r>
      <w:r w:rsidRPr="007B54B7">
        <w:rPr>
          <w:bCs/>
          <w:sz w:val="24"/>
          <w:szCs w:val="32"/>
        </w:rPr>
        <w:t>снижение</w:t>
      </w:r>
      <w:r>
        <w:rPr>
          <w:bCs/>
          <w:sz w:val="24"/>
          <w:szCs w:val="32"/>
        </w:rPr>
        <w:t xml:space="preserve"> финансирования по нацпроекту </w:t>
      </w:r>
      <w:r w:rsidRPr="005C2D8D">
        <w:rPr>
          <w:bCs/>
          <w:sz w:val="24"/>
          <w:szCs w:val="32"/>
        </w:rPr>
        <w:t>«Цифровая экономика»</w:t>
      </w:r>
      <w:r>
        <w:rPr>
          <w:bCs/>
          <w:sz w:val="24"/>
          <w:szCs w:val="32"/>
        </w:rPr>
        <w:t>:</w:t>
      </w:r>
      <w:r w:rsidRPr="005C2D8D">
        <w:rPr>
          <w:bCs/>
          <w:sz w:val="24"/>
          <w:szCs w:val="32"/>
        </w:rPr>
        <w:t xml:space="preserve"> в 2023 г. </w:t>
      </w:r>
      <w:r>
        <w:rPr>
          <w:bCs/>
          <w:sz w:val="24"/>
          <w:szCs w:val="32"/>
        </w:rPr>
        <w:t xml:space="preserve">- </w:t>
      </w:r>
      <w:r w:rsidRPr="005C2D8D">
        <w:rPr>
          <w:bCs/>
          <w:sz w:val="24"/>
          <w:szCs w:val="32"/>
        </w:rPr>
        <w:t xml:space="preserve">на 30,5%, в 2024 г. </w:t>
      </w:r>
      <w:r>
        <w:rPr>
          <w:bCs/>
          <w:sz w:val="24"/>
          <w:szCs w:val="32"/>
        </w:rPr>
        <w:t xml:space="preserve">- </w:t>
      </w:r>
      <w:r w:rsidRPr="005C2D8D">
        <w:rPr>
          <w:bCs/>
          <w:sz w:val="24"/>
          <w:szCs w:val="32"/>
        </w:rPr>
        <w:t>на 39,1%</w:t>
      </w:r>
      <w:r>
        <w:rPr>
          <w:bCs/>
          <w:sz w:val="24"/>
          <w:szCs w:val="32"/>
        </w:rPr>
        <w:t>, в первую очередь за счет отсутствия финансирования ф</w:t>
      </w:r>
      <w:r w:rsidRPr="00B25389">
        <w:rPr>
          <w:bCs/>
          <w:sz w:val="24"/>
          <w:szCs w:val="32"/>
        </w:rPr>
        <w:t>едеральн</w:t>
      </w:r>
      <w:r>
        <w:rPr>
          <w:bCs/>
          <w:sz w:val="24"/>
          <w:szCs w:val="32"/>
        </w:rPr>
        <w:t>ого</w:t>
      </w:r>
      <w:r w:rsidRPr="00B25389">
        <w:rPr>
          <w:bCs/>
          <w:sz w:val="24"/>
          <w:szCs w:val="32"/>
        </w:rPr>
        <w:t xml:space="preserve"> </w:t>
      </w:r>
      <w:r w:rsidRPr="00C32587">
        <w:rPr>
          <w:bCs/>
          <w:sz w:val="24"/>
          <w:szCs w:val="32"/>
        </w:rPr>
        <w:t>проекта «Обеспечение доступа в Интернет за счет развития спутниковой связи» и недофинансирования проекта «Кадры для цифровой экономики»; при этом Федеральный закон №390-ФЗ предусматривал реализацию проектов в 2023-2024 гг.</w:t>
      </w:r>
      <w:r>
        <w:rPr>
          <w:bCs/>
          <w:sz w:val="24"/>
          <w:szCs w:val="32"/>
        </w:rPr>
        <w:t xml:space="preserve"> </w:t>
      </w:r>
    </w:p>
    <w:p w14:paraId="0687B6B1" w14:textId="77777777" w:rsidR="00BC3C02" w:rsidRDefault="00BC3C02" w:rsidP="00BC3C02">
      <w:pPr>
        <w:spacing w:line="360" w:lineRule="auto"/>
        <w:ind w:firstLine="709"/>
        <w:jc w:val="both"/>
        <w:rPr>
          <w:bCs/>
          <w:sz w:val="24"/>
          <w:szCs w:val="32"/>
        </w:rPr>
      </w:pPr>
      <w:r>
        <w:rPr>
          <w:bCs/>
          <w:sz w:val="24"/>
          <w:szCs w:val="32"/>
        </w:rPr>
        <w:t>П</w:t>
      </w:r>
      <w:r w:rsidRPr="005C2D8D">
        <w:rPr>
          <w:bCs/>
          <w:sz w:val="24"/>
          <w:szCs w:val="32"/>
        </w:rPr>
        <w:t xml:space="preserve">ри финансировании Комплексного плана модернизации и расширения магистральной инфраструктуры в 2023 г. запланировано сокращение ассигнований на 18,6%, а в 2024 г. увеличение на 19,5%. </w:t>
      </w:r>
    </w:p>
    <w:p w14:paraId="0DB8C55C" w14:textId="4A3D9C70" w:rsidR="002B4D4D" w:rsidRPr="00C32587" w:rsidRDefault="002B4D4D" w:rsidP="00C32587">
      <w:pPr>
        <w:spacing w:line="360" w:lineRule="auto"/>
        <w:ind w:firstLine="709"/>
        <w:jc w:val="both"/>
        <w:rPr>
          <w:bCs/>
          <w:i/>
          <w:sz w:val="24"/>
          <w:szCs w:val="32"/>
        </w:rPr>
      </w:pPr>
      <w:r w:rsidRPr="00C32587">
        <w:rPr>
          <w:bCs/>
          <w:i/>
          <w:sz w:val="24"/>
          <w:szCs w:val="32"/>
        </w:rPr>
        <w:br w:type="page"/>
      </w:r>
    </w:p>
    <w:p w14:paraId="0478183E" w14:textId="77777777" w:rsidR="002B4D4D" w:rsidRDefault="002B4D4D" w:rsidP="002B4D4D">
      <w:pPr>
        <w:spacing w:line="360" w:lineRule="auto"/>
        <w:ind w:firstLine="709"/>
        <w:jc w:val="both"/>
        <w:rPr>
          <w:bCs/>
          <w:i/>
          <w:sz w:val="24"/>
          <w:szCs w:val="32"/>
        </w:rPr>
        <w:sectPr w:rsidR="002B4D4D" w:rsidSect="00125C1C">
          <w:headerReference w:type="default" r:id="rId19"/>
          <w:pgSz w:w="11906" w:h="16838"/>
          <w:pgMar w:top="1134" w:right="567" w:bottom="1134" w:left="1418" w:header="510" w:footer="510" w:gutter="0"/>
          <w:cols w:space="708"/>
          <w:docGrid w:linePitch="381"/>
        </w:sectPr>
      </w:pPr>
    </w:p>
    <w:p w14:paraId="0E46B062" w14:textId="77777777" w:rsidR="002B4D4D" w:rsidRPr="005C2D8D" w:rsidRDefault="002B4D4D" w:rsidP="008553E6">
      <w:pPr>
        <w:spacing w:line="360" w:lineRule="auto"/>
        <w:jc w:val="both"/>
        <w:rPr>
          <w:bCs/>
          <w:i/>
          <w:sz w:val="24"/>
          <w:szCs w:val="32"/>
        </w:rPr>
      </w:pPr>
      <w:r w:rsidRPr="00CE3743">
        <w:rPr>
          <w:bCs/>
          <w:i/>
          <w:sz w:val="24"/>
          <w:szCs w:val="32"/>
        </w:rPr>
        <w:lastRenderedPageBreak/>
        <w:t xml:space="preserve">Таблица 4 - Динамика </w:t>
      </w:r>
      <w:r w:rsidRPr="005C2D8D">
        <w:rPr>
          <w:bCs/>
          <w:i/>
          <w:sz w:val="24"/>
          <w:szCs w:val="32"/>
        </w:rPr>
        <w:t>расходов на финансирование национальных проектов в соответствии с проектом закона «О федеральном бюджете на 202</w:t>
      </w:r>
      <w:r>
        <w:rPr>
          <w:bCs/>
          <w:i/>
          <w:sz w:val="24"/>
          <w:szCs w:val="32"/>
        </w:rPr>
        <w:t xml:space="preserve">3 </w:t>
      </w:r>
      <w:r w:rsidRPr="005C2D8D">
        <w:rPr>
          <w:bCs/>
          <w:i/>
          <w:sz w:val="24"/>
          <w:szCs w:val="32"/>
        </w:rPr>
        <w:t>год и на плановый период 202</w:t>
      </w:r>
      <w:r>
        <w:rPr>
          <w:bCs/>
          <w:i/>
          <w:sz w:val="24"/>
          <w:szCs w:val="32"/>
        </w:rPr>
        <w:t>4</w:t>
      </w:r>
      <w:r w:rsidRPr="005C2D8D">
        <w:rPr>
          <w:bCs/>
          <w:i/>
          <w:sz w:val="24"/>
          <w:szCs w:val="32"/>
        </w:rPr>
        <w:t xml:space="preserve"> и 202</w:t>
      </w:r>
      <w:r>
        <w:rPr>
          <w:bCs/>
          <w:i/>
          <w:sz w:val="24"/>
          <w:szCs w:val="32"/>
        </w:rPr>
        <w:t>5</w:t>
      </w:r>
      <w:r w:rsidRPr="005C2D8D">
        <w:rPr>
          <w:bCs/>
          <w:i/>
          <w:sz w:val="24"/>
          <w:szCs w:val="32"/>
        </w:rPr>
        <w:t xml:space="preserve"> годов» и паспортами национальных проектов</w:t>
      </w:r>
    </w:p>
    <w:tbl>
      <w:tblPr>
        <w:tblW w:w="15021" w:type="dxa"/>
        <w:tblLayout w:type="fixed"/>
        <w:tblLook w:val="04A0" w:firstRow="1" w:lastRow="0" w:firstColumn="1" w:lastColumn="0" w:noHBand="0" w:noVBand="1"/>
      </w:tblPr>
      <w:tblGrid>
        <w:gridCol w:w="5665"/>
        <w:gridCol w:w="1560"/>
        <w:gridCol w:w="1418"/>
        <w:gridCol w:w="1559"/>
        <w:gridCol w:w="21"/>
        <w:gridCol w:w="1538"/>
        <w:gridCol w:w="1559"/>
        <w:gridCol w:w="1701"/>
      </w:tblGrid>
      <w:tr w:rsidR="002B4D4D" w:rsidRPr="005C2D8D" w14:paraId="0A29CC07" w14:textId="77777777" w:rsidTr="001733C9">
        <w:trPr>
          <w:trHeight w:val="20"/>
        </w:trPr>
        <w:tc>
          <w:tcPr>
            <w:tcW w:w="56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E9595F" w14:textId="77777777" w:rsidR="002B4D4D" w:rsidRPr="002B4D4D" w:rsidRDefault="002B4D4D" w:rsidP="001733C9">
            <w:pPr>
              <w:jc w:val="center"/>
              <w:rPr>
                <w:b/>
                <w:bCs/>
                <w:color w:val="000000"/>
                <w:sz w:val="22"/>
                <w:szCs w:val="22"/>
              </w:rPr>
            </w:pPr>
            <w:r w:rsidRPr="002B4D4D">
              <w:rPr>
                <w:b/>
                <w:bCs/>
                <w:color w:val="000000"/>
                <w:sz w:val="22"/>
                <w:szCs w:val="22"/>
              </w:rPr>
              <w:t>Наименование направления / Национального проекта</w:t>
            </w:r>
          </w:p>
        </w:tc>
        <w:tc>
          <w:tcPr>
            <w:tcW w:w="4558" w:type="dxa"/>
            <w:gridSpan w:val="4"/>
            <w:tcBorders>
              <w:top w:val="single" w:sz="4" w:space="0" w:color="auto"/>
              <w:left w:val="nil"/>
              <w:bottom w:val="single" w:sz="4" w:space="0" w:color="auto"/>
              <w:right w:val="single" w:sz="4" w:space="0" w:color="auto"/>
            </w:tcBorders>
            <w:shd w:val="clear" w:color="000000" w:fill="FFFFFF"/>
            <w:vAlign w:val="center"/>
            <w:hideMark/>
          </w:tcPr>
          <w:p w14:paraId="3B166D13" w14:textId="77777777" w:rsidR="002B4D4D" w:rsidRPr="002B4D4D" w:rsidRDefault="002B4D4D" w:rsidP="001733C9">
            <w:pPr>
              <w:jc w:val="center"/>
              <w:rPr>
                <w:b/>
                <w:bCs/>
                <w:color w:val="000000"/>
                <w:sz w:val="22"/>
                <w:szCs w:val="22"/>
              </w:rPr>
            </w:pPr>
            <w:r w:rsidRPr="002B4D4D">
              <w:rPr>
                <w:b/>
                <w:bCs/>
                <w:color w:val="000000"/>
                <w:sz w:val="22"/>
                <w:szCs w:val="22"/>
              </w:rPr>
              <w:t>2023</w:t>
            </w:r>
          </w:p>
        </w:tc>
        <w:tc>
          <w:tcPr>
            <w:tcW w:w="4798" w:type="dxa"/>
            <w:gridSpan w:val="3"/>
            <w:tcBorders>
              <w:top w:val="single" w:sz="4" w:space="0" w:color="auto"/>
              <w:left w:val="nil"/>
              <w:bottom w:val="single" w:sz="4" w:space="0" w:color="auto"/>
              <w:right w:val="single" w:sz="4" w:space="0" w:color="auto"/>
            </w:tcBorders>
            <w:shd w:val="clear" w:color="000000" w:fill="FFFFFF"/>
            <w:vAlign w:val="center"/>
            <w:hideMark/>
          </w:tcPr>
          <w:p w14:paraId="66634A64" w14:textId="77777777" w:rsidR="002B4D4D" w:rsidRPr="002B4D4D" w:rsidRDefault="002B4D4D" w:rsidP="001733C9">
            <w:pPr>
              <w:jc w:val="center"/>
              <w:rPr>
                <w:b/>
                <w:bCs/>
                <w:color w:val="000000"/>
                <w:sz w:val="22"/>
                <w:szCs w:val="22"/>
              </w:rPr>
            </w:pPr>
            <w:r w:rsidRPr="002B4D4D">
              <w:rPr>
                <w:b/>
                <w:bCs/>
                <w:color w:val="000000"/>
                <w:sz w:val="22"/>
                <w:szCs w:val="22"/>
              </w:rPr>
              <w:t>2024</w:t>
            </w:r>
          </w:p>
        </w:tc>
      </w:tr>
      <w:tr w:rsidR="002B4D4D" w:rsidRPr="005C2D8D" w14:paraId="2C5387EC" w14:textId="77777777" w:rsidTr="001733C9">
        <w:trPr>
          <w:trHeight w:val="20"/>
        </w:trPr>
        <w:tc>
          <w:tcPr>
            <w:tcW w:w="5665" w:type="dxa"/>
            <w:vMerge/>
            <w:tcBorders>
              <w:top w:val="single" w:sz="4" w:space="0" w:color="auto"/>
              <w:left w:val="single" w:sz="4" w:space="0" w:color="auto"/>
              <w:bottom w:val="single" w:sz="4" w:space="0" w:color="000000"/>
              <w:right w:val="single" w:sz="4" w:space="0" w:color="auto"/>
            </w:tcBorders>
            <w:vAlign w:val="center"/>
            <w:hideMark/>
          </w:tcPr>
          <w:p w14:paraId="0084D907" w14:textId="77777777" w:rsidR="002B4D4D" w:rsidRPr="005C2D8D" w:rsidRDefault="002B4D4D" w:rsidP="001733C9">
            <w:pPr>
              <w:rPr>
                <w:b/>
                <w:bCs/>
                <w:color w:val="000000"/>
              </w:rPr>
            </w:pPr>
          </w:p>
        </w:tc>
        <w:tc>
          <w:tcPr>
            <w:tcW w:w="1560" w:type="dxa"/>
            <w:tcBorders>
              <w:top w:val="nil"/>
              <w:left w:val="nil"/>
              <w:bottom w:val="single" w:sz="4" w:space="0" w:color="auto"/>
              <w:right w:val="single" w:sz="4" w:space="0" w:color="auto"/>
            </w:tcBorders>
            <w:shd w:val="clear" w:color="000000" w:fill="FFFFFF"/>
            <w:vAlign w:val="center"/>
            <w:hideMark/>
          </w:tcPr>
          <w:p w14:paraId="038682AA" w14:textId="77777777" w:rsidR="002B4D4D" w:rsidRPr="005C2D8D" w:rsidRDefault="002B4D4D" w:rsidP="001733C9">
            <w:pPr>
              <w:jc w:val="center"/>
              <w:rPr>
                <w:color w:val="000000"/>
                <w:sz w:val="20"/>
              </w:rPr>
            </w:pPr>
            <w:r w:rsidRPr="005C2D8D">
              <w:rPr>
                <w:color w:val="000000"/>
                <w:sz w:val="20"/>
              </w:rPr>
              <w:t>Проект закона на 2023-2025,</w:t>
            </w:r>
            <w:r w:rsidRPr="005C2D8D">
              <w:rPr>
                <w:color w:val="000000"/>
                <w:sz w:val="20"/>
              </w:rPr>
              <w:br/>
              <w:t xml:space="preserve">млрд руб. </w:t>
            </w:r>
          </w:p>
        </w:tc>
        <w:tc>
          <w:tcPr>
            <w:tcW w:w="1418" w:type="dxa"/>
            <w:tcBorders>
              <w:top w:val="nil"/>
              <w:left w:val="nil"/>
              <w:bottom w:val="single" w:sz="4" w:space="0" w:color="auto"/>
              <w:right w:val="single" w:sz="4" w:space="0" w:color="auto"/>
            </w:tcBorders>
            <w:shd w:val="clear" w:color="000000" w:fill="FFFFFF"/>
            <w:vAlign w:val="center"/>
            <w:hideMark/>
          </w:tcPr>
          <w:p w14:paraId="5A4F722C" w14:textId="77777777" w:rsidR="002B4D4D" w:rsidRPr="005C2D8D" w:rsidRDefault="002B4D4D" w:rsidP="001733C9">
            <w:pPr>
              <w:jc w:val="center"/>
              <w:rPr>
                <w:color w:val="000000"/>
                <w:sz w:val="20"/>
              </w:rPr>
            </w:pPr>
            <w:bookmarkStart w:id="5" w:name="_Hlk116244180"/>
            <w:r w:rsidRPr="005C2D8D">
              <w:rPr>
                <w:color w:val="000000"/>
                <w:sz w:val="20"/>
              </w:rPr>
              <w:t>Отклонение от паспорта нацпроектов</w:t>
            </w:r>
            <w:bookmarkEnd w:id="5"/>
            <w:r w:rsidRPr="005C2D8D">
              <w:rPr>
                <w:color w:val="000000"/>
                <w:sz w:val="20"/>
              </w:rPr>
              <w:t>,</w:t>
            </w:r>
            <w:r>
              <w:rPr>
                <w:color w:val="000000"/>
                <w:sz w:val="20"/>
              </w:rPr>
              <w:t xml:space="preserve"> </w:t>
            </w:r>
            <w:r w:rsidRPr="005C2D8D">
              <w:rPr>
                <w:color w:val="000000"/>
                <w:sz w:val="20"/>
              </w:rPr>
              <w:t>%</w:t>
            </w:r>
          </w:p>
        </w:tc>
        <w:tc>
          <w:tcPr>
            <w:tcW w:w="1559" w:type="dxa"/>
            <w:tcBorders>
              <w:top w:val="nil"/>
              <w:left w:val="nil"/>
              <w:bottom w:val="single" w:sz="4" w:space="0" w:color="auto"/>
              <w:right w:val="single" w:sz="4" w:space="0" w:color="auto"/>
            </w:tcBorders>
            <w:shd w:val="clear" w:color="000000" w:fill="FFFFFF"/>
            <w:vAlign w:val="center"/>
            <w:hideMark/>
          </w:tcPr>
          <w:p w14:paraId="34DBF316" w14:textId="77777777" w:rsidR="002B4D4D" w:rsidRPr="005C2D8D" w:rsidRDefault="002B4D4D" w:rsidP="001733C9">
            <w:pPr>
              <w:jc w:val="center"/>
              <w:rPr>
                <w:color w:val="000000"/>
                <w:sz w:val="20"/>
              </w:rPr>
            </w:pPr>
            <w:r w:rsidRPr="005C2D8D">
              <w:rPr>
                <w:color w:val="000000"/>
                <w:sz w:val="20"/>
              </w:rPr>
              <w:t>Отклонение от ФЗ № 390-ФЗ,</w:t>
            </w:r>
            <w:r>
              <w:rPr>
                <w:color w:val="000000"/>
                <w:sz w:val="20"/>
              </w:rPr>
              <w:t xml:space="preserve"> </w:t>
            </w:r>
            <w:r w:rsidRPr="005C2D8D">
              <w:rPr>
                <w:color w:val="000000"/>
                <w:sz w:val="20"/>
              </w:rPr>
              <w:t>%</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75095932" w14:textId="77777777" w:rsidR="002B4D4D" w:rsidRPr="005C2D8D" w:rsidRDefault="002B4D4D" w:rsidP="001733C9">
            <w:pPr>
              <w:jc w:val="center"/>
              <w:rPr>
                <w:color w:val="000000"/>
                <w:sz w:val="20"/>
              </w:rPr>
            </w:pPr>
            <w:r w:rsidRPr="005C2D8D">
              <w:rPr>
                <w:color w:val="000000"/>
                <w:sz w:val="20"/>
              </w:rPr>
              <w:t>Проект закона на 2023-2025,</w:t>
            </w:r>
            <w:r w:rsidRPr="005C2D8D">
              <w:rPr>
                <w:color w:val="000000"/>
                <w:sz w:val="20"/>
              </w:rPr>
              <w:br/>
              <w:t xml:space="preserve">млрд руб. </w:t>
            </w:r>
          </w:p>
        </w:tc>
        <w:tc>
          <w:tcPr>
            <w:tcW w:w="1559" w:type="dxa"/>
            <w:tcBorders>
              <w:top w:val="nil"/>
              <w:left w:val="nil"/>
              <w:bottom w:val="single" w:sz="4" w:space="0" w:color="auto"/>
              <w:right w:val="single" w:sz="4" w:space="0" w:color="auto"/>
            </w:tcBorders>
            <w:shd w:val="clear" w:color="000000" w:fill="FFFFFF"/>
            <w:vAlign w:val="center"/>
            <w:hideMark/>
          </w:tcPr>
          <w:p w14:paraId="02AFDAF0" w14:textId="77777777" w:rsidR="002B4D4D" w:rsidRPr="005C2D8D" w:rsidRDefault="002B4D4D" w:rsidP="001733C9">
            <w:pPr>
              <w:jc w:val="center"/>
              <w:rPr>
                <w:color w:val="000000"/>
                <w:sz w:val="20"/>
              </w:rPr>
            </w:pPr>
            <w:r w:rsidRPr="005C2D8D">
              <w:rPr>
                <w:color w:val="000000"/>
                <w:sz w:val="20"/>
              </w:rPr>
              <w:t>Отклонение от паспорта нацпроектов, %</w:t>
            </w:r>
          </w:p>
        </w:tc>
        <w:tc>
          <w:tcPr>
            <w:tcW w:w="1701" w:type="dxa"/>
            <w:tcBorders>
              <w:top w:val="nil"/>
              <w:left w:val="nil"/>
              <w:bottom w:val="single" w:sz="4" w:space="0" w:color="auto"/>
              <w:right w:val="single" w:sz="4" w:space="0" w:color="auto"/>
            </w:tcBorders>
            <w:shd w:val="clear" w:color="000000" w:fill="FFFFFF"/>
            <w:vAlign w:val="center"/>
            <w:hideMark/>
          </w:tcPr>
          <w:p w14:paraId="2F6EE1C2" w14:textId="77777777" w:rsidR="002B4D4D" w:rsidRDefault="002B4D4D" w:rsidP="001733C9">
            <w:pPr>
              <w:jc w:val="center"/>
              <w:rPr>
                <w:color w:val="000000"/>
                <w:sz w:val="20"/>
              </w:rPr>
            </w:pPr>
            <w:r w:rsidRPr="005C2D8D">
              <w:rPr>
                <w:color w:val="000000"/>
                <w:sz w:val="20"/>
              </w:rPr>
              <w:t>Отклонение от ФЗ № 390-ФЗ</w:t>
            </w:r>
            <w:r>
              <w:rPr>
                <w:color w:val="000000"/>
                <w:sz w:val="20"/>
              </w:rPr>
              <w:t xml:space="preserve">, </w:t>
            </w:r>
          </w:p>
          <w:p w14:paraId="4BD7AEA3" w14:textId="77777777" w:rsidR="002B4D4D" w:rsidRPr="005C2D8D" w:rsidRDefault="002B4D4D" w:rsidP="001733C9">
            <w:pPr>
              <w:jc w:val="center"/>
              <w:rPr>
                <w:color w:val="000000"/>
                <w:sz w:val="20"/>
              </w:rPr>
            </w:pPr>
            <w:r w:rsidRPr="005C2D8D">
              <w:rPr>
                <w:color w:val="000000"/>
                <w:sz w:val="20"/>
              </w:rPr>
              <w:t>%</w:t>
            </w:r>
          </w:p>
        </w:tc>
      </w:tr>
      <w:tr w:rsidR="002B4D4D" w:rsidRPr="002B4D4D" w14:paraId="50090D03" w14:textId="77777777" w:rsidTr="001733C9">
        <w:trPr>
          <w:trHeight w:val="20"/>
        </w:trPr>
        <w:tc>
          <w:tcPr>
            <w:tcW w:w="15021" w:type="dxa"/>
            <w:gridSpan w:val="8"/>
            <w:tcBorders>
              <w:top w:val="single" w:sz="4" w:space="0" w:color="auto"/>
              <w:left w:val="single" w:sz="4" w:space="0" w:color="auto"/>
              <w:bottom w:val="single" w:sz="4" w:space="0" w:color="auto"/>
              <w:right w:val="single" w:sz="4" w:space="0" w:color="000000"/>
            </w:tcBorders>
            <w:shd w:val="clear" w:color="000000" w:fill="D9E2F3"/>
            <w:vAlign w:val="center"/>
            <w:hideMark/>
          </w:tcPr>
          <w:p w14:paraId="1B922102" w14:textId="77777777" w:rsidR="002B4D4D" w:rsidRPr="002B4D4D" w:rsidRDefault="002B4D4D" w:rsidP="001733C9">
            <w:pPr>
              <w:jc w:val="center"/>
              <w:rPr>
                <w:b/>
                <w:bCs/>
                <w:color w:val="000000"/>
                <w:sz w:val="22"/>
                <w:szCs w:val="22"/>
              </w:rPr>
            </w:pPr>
            <w:r w:rsidRPr="002B4D4D">
              <w:rPr>
                <w:b/>
                <w:bCs/>
                <w:color w:val="000000"/>
                <w:sz w:val="22"/>
                <w:szCs w:val="22"/>
              </w:rPr>
              <w:t>Человеческий капитал</w:t>
            </w:r>
          </w:p>
        </w:tc>
      </w:tr>
      <w:tr w:rsidR="002B4D4D" w:rsidRPr="002B4D4D" w14:paraId="40FB4978"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6450A47" w14:textId="77777777" w:rsidR="002B4D4D" w:rsidRPr="002B4D4D" w:rsidRDefault="002B4D4D" w:rsidP="001733C9">
            <w:pPr>
              <w:rPr>
                <w:color w:val="000000"/>
                <w:sz w:val="22"/>
                <w:szCs w:val="22"/>
              </w:rPr>
            </w:pPr>
            <w:r w:rsidRPr="002B4D4D">
              <w:rPr>
                <w:color w:val="000000"/>
                <w:sz w:val="22"/>
                <w:szCs w:val="22"/>
              </w:rPr>
              <w:t>Национальный проект "Демография"</w:t>
            </w:r>
          </w:p>
        </w:tc>
        <w:tc>
          <w:tcPr>
            <w:tcW w:w="1560" w:type="dxa"/>
            <w:tcBorders>
              <w:top w:val="nil"/>
              <w:left w:val="nil"/>
              <w:bottom w:val="single" w:sz="4" w:space="0" w:color="auto"/>
              <w:right w:val="single" w:sz="4" w:space="0" w:color="auto"/>
            </w:tcBorders>
            <w:shd w:val="clear" w:color="000000" w:fill="FFFFFF"/>
            <w:vAlign w:val="center"/>
            <w:hideMark/>
          </w:tcPr>
          <w:p w14:paraId="21A805A2" w14:textId="77777777" w:rsidR="002B4D4D" w:rsidRPr="002B4D4D" w:rsidRDefault="002B4D4D" w:rsidP="001733C9">
            <w:pPr>
              <w:jc w:val="right"/>
              <w:rPr>
                <w:color w:val="000000"/>
                <w:sz w:val="22"/>
                <w:szCs w:val="22"/>
              </w:rPr>
            </w:pPr>
            <w:r w:rsidRPr="002B4D4D">
              <w:rPr>
                <w:color w:val="000000"/>
                <w:sz w:val="22"/>
                <w:szCs w:val="22"/>
              </w:rPr>
              <w:t>918,13</w:t>
            </w:r>
          </w:p>
        </w:tc>
        <w:tc>
          <w:tcPr>
            <w:tcW w:w="1418" w:type="dxa"/>
            <w:tcBorders>
              <w:top w:val="nil"/>
              <w:left w:val="nil"/>
              <w:bottom w:val="single" w:sz="4" w:space="0" w:color="auto"/>
              <w:right w:val="single" w:sz="4" w:space="0" w:color="auto"/>
            </w:tcBorders>
            <w:shd w:val="clear" w:color="auto" w:fill="auto"/>
            <w:noWrap/>
            <w:vAlign w:val="center"/>
            <w:hideMark/>
          </w:tcPr>
          <w:p w14:paraId="45ECE866"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190%</w:t>
            </w:r>
          </w:p>
        </w:tc>
        <w:tc>
          <w:tcPr>
            <w:tcW w:w="1559" w:type="dxa"/>
            <w:tcBorders>
              <w:top w:val="nil"/>
              <w:left w:val="nil"/>
              <w:bottom w:val="single" w:sz="4" w:space="0" w:color="auto"/>
              <w:right w:val="single" w:sz="4" w:space="0" w:color="auto"/>
            </w:tcBorders>
            <w:shd w:val="clear" w:color="auto" w:fill="auto"/>
            <w:noWrap/>
            <w:vAlign w:val="center"/>
            <w:hideMark/>
          </w:tcPr>
          <w:p w14:paraId="2C9C7503" w14:textId="77777777" w:rsidR="002B4D4D" w:rsidRPr="002B4D4D" w:rsidRDefault="002B4D4D" w:rsidP="001733C9">
            <w:pPr>
              <w:jc w:val="right"/>
              <w:rPr>
                <w:color w:val="000000"/>
                <w:sz w:val="22"/>
                <w:szCs w:val="22"/>
              </w:rPr>
            </w:pPr>
            <w:r w:rsidRPr="002B4D4D">
              <w:rPr>
                <w:color w:val="000000"/>
                <w:sz w:val="22"/>
                <w:szCs w:val="22"/>
              </w:rPr>
              <w:t>99%</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941B368" w14:textId="77777777" w:rsidR="002B4D4D" w:rsidRPr="002B4D4D" w:rsidRDefault="002B4D4D" w:rsidP="001733C9">
            <w:pPr>
              <w:jc w:val="right"/>
              <w:rPr>
                <w:color w:val="000000"/>
                <w:sz w:val="22"/>
                <w:szCs w:val="22"/>
              </w:rPr>
            </w:pPr>
            <w:r w:rsidRPr="002B4D4D">
              <w:rPr>
                <w:color w:val="000000"/>
                <w:sz w:val="22"/>
                <w:szCs w:val="22"/>
              </w:rPr>
              <w:t>885,68</w:t>
            </w:r>
          </w:p>
        </w:tc>
        <w:tc>
          <w:tcPr>
            <w:tcW w:w="1559" w:type="dxa"/>
            <w:tcBorders>
              <w:top w:val="nil"/>
              <w:left w:val="nil"/>
              <w:bottom w:val="single" w:sz="4" w:space="0" w:color="auto"/>
              <w:right w:val="single" w:sz="4" w:space="0" w:color="auto"/>
            </w:tcBorders>
            <w:shd w:val="clear" w:color="auto" w:fill="auto"/>
            <w:noWrap/>
            <w:vAlign w:val="center"/>
            <w:hideMark/>
          </w:tcPr>
          <w:p w14:paraId="388C62EA"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104%</w:t>
            </w:r>
          </w:p>
        </w:tc>
        <w:tc>
          <w:tcPr>
            <w:tcW w:w="1701" w:type="dxa"/>
            <w:tcBorders>
              <w:top w:val="nil"/>
              <w:left w:val="nil"/>
              <w:bottom w:val="single" w:sz="4" w:space="0" w:color="auto"/>
              <w:right w:val="single" w:sz="4" w:space="0" w:color="auto"/>
            </w:tcBorders>
            <w:shd w:val="clear" w:color="auto" w:fill="auto"/>
            <w:noWrap/>
            <w:vAlign w:val="center"/>
            <w:hideMark/>
          </w:tcPr>
          <w:p w14:paraId="7CBB8571"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FF0000"/>
                <w:sz w:val="22"/>
                <w:szCs w:val="22"/>
              </w:rPr>
              <w:t xml:space="preserve">  </w:t>
            </w:r>
            <w:r w:rsidRPr="002B4D4D">
              <w:rPr>
                <w:color w:val="000000"/>
                <w:sz w:val="22"/>
                <w:szCs w:val="22"/>
              </w:rPr>
              <w:t>93%</w:t>
            </w:r>
          </w:p>
        </w:tc>
      </w:tr>
      <w:tr w:rsidR="002B4D4D" w:rsidRPr="002B4D4D" w14:paraId="6B715591"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33E5F88" w14:textId="77777777" w:rsidR="002B4D4D" w:rsidRPr="002B4D4D" w:rsidRDefault="002B4D4D" w:rsidP="001733C9">
            <w:pPr>
              <w:rPr>
                <w:color w:val="000000"/>
                <w:sz w:val="22"/>
                <w:szCs w:val="22"/>
              </w:rPr>
            </w:pPr>
            <w:r w:rsidRPr="002B4D4D">
              <w:rPr>
                <w:color w:val="000000"/>
                <w:sz w:val="22"/>
                <w:szCs w:val="22"/>
              </w:rPr>
              <w:t>Национальный проект "Здравоохранение"</w:t>
            </w:r>
          </w:p>
        </w:tc>
        <w:tc>
          <w:tcPr>
            <w:tcW w:w="1560" w:type="dxa"/>
            <w:tcBorders>
              <w:top w:val="nil"/>
              <w:left w:val="nil"/>
              <w:bottom w:val="single" w:sz="4" w:space="0" w:color="auto"/>
              <w:right w:val="single" w:sz="4" w:space="0" w:color="auto"/>
            </w:tcBorders>
            <w:shd w:val="clear" w:color="000000" w:fill="FFFFFF"/>
            <w:vAlign w:val="center"/>
            <w:hideMark/>
          </w:tcPr>
          <w:p w14:paraId="0AE39D35" w14:textId="77777777" w:rsidR="002B4D4D" w:rsidRPr="002B4D4D" w:rsidRDefault="002B4D4D" w:rsidP="001733C9">
            <w:pPr>
              <w:jc w:val="right"/>
              <w:rPr>
                <w:color w:val="000000"/>
                <w:sz w:val="22"/>
                <w:szCs w:val="22"/>
              </w:rPr>
            </w:pPr>
            <w:r w:rsidRPr="002B4D4D">
              <w:rPr>
                <w:color w:val="000000"/>
                <w:sz w:val="22"/>
                <w:szCs w:val="22"/>
              </w:rPr>
              <w:t>309,88</w:t>
            </w:r>
          </w:p>
        </w:tc>
        <w:tc>
          <w:tcPr>
            <w:tcW w:w="1418" w:type="dxa"/>
            <w:tcBorders>
              <w:top w:val="nil"/>
              <w:left w:val="nil"/>
              <w:bottom w:val="single" w:sz="4" w:space="0" w:color="auto"/>
              <w:right w:val="single" w:sz="4" w:space="0" w:color="auto"/>
            </w:tcBorders>
            <w:shd w:val="clear" w:color="auto" w:fill="auto"/>
            <w:noWrap/>
            <w:vAlign w:val="center"/>
            <w:hideMark/>
          </w:tcPr>
          <w:p w14:paraId="5912A198"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115%</w:t>
            </w:r>
          </w:p>
        </w:tc>
        <w:tc>
          <w:tcPr>
            <w:tcW w:w="1559" w:type="dxa"/>
            <w:tcBorders>
              <w:top w:val="nil"/>
              <w:left w:val="nil"/>
              <w:bottom w:val="single" w:sz="4" w:space="0" w:color="auto"/>
              <w:right w:val="single" w:sz="4" w:space="0" w:color="auto"/>
            </w:tcBorders>
            <w:shd w:val="clear" w:color="auto" w:fill="auto"/>
            <w:noWrap/>
            <w:vAlign w:val="center"/>
            <w:hideMark/>
          </w:tcPr>
          <w:p w14:paraId="3ACE1C8D"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142%</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02A1DB3" w14:textId="77777777" w:rsidR="002B4D4D" w:rsidRPr="002B4D4D" w:rsidRDefault="002B4D4D" w:rsidP="001733C9">
            <w:pPr>
              <w:jc w:val="right"/>
              <w:rPr>
                <w:color w:val="000000"/>
                <w:sz w:val="22"/>
                <w:szCs w:val="22"/>
              </w:rPr>
            </w:pPr>
            <w:r w:rsidRPr="002B4D4D">
              <w:rPr>
                <w:color w:val="000000"/>
                <w:sz w:val="22"/>
                <w:szCs w:val="22"/>
              </w:rPr>
              <w:t>309,09</w:t>
            </w:r>
          </w:p>
        </w:tc>
        <w:tc>
          <w:tcPr>
            <w:tcW w:w="1559" w:type="dxa"/>
            <w:tcBorders>
              <w:top w:val="nil"/>
              <w:left w:val="nil"/>
              <w:bottom w:val="single" w:sz="4" w:space="0" w:color="auto"/>
              <w:right w:val="single" w:sz="4" w:space="0" w:color="auto"/>
            </w:tcBorders>
            <w:shd w:val="clear" w:color="auto" w:fill="auto"/>
            <w:noWrap/>
            <w:vAlign w:val="center"/>
            <w:hideMark/>
          </w:tcPr>
          <w:p w14:paraId="3AC212A7"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144%</w:t>
            </w:r>
          </w:p>
        </w:tc>
        <w:tc>
          <w:tcPr>
            <w:tcW w:w="1701" w:type="dxa"/>
            <w:tcBorders>
              <w:top w:val="nil"/>
              <w:left w:val="nil"/>
              <w:bottom w:val="single" w:sz="4" w:space="0" w:color="auto"/>
              <w:right w:val="single" w:sz="4" w:space="0" w:color="auto"/>
            </w:tcBorders>
            <w:shd w:val="clear" w:color="auto" w:fill="auto"/>
            <w:noWrap/>
            <w:vAlign w:val="center"/>
            <w:hideMark/>
          </w:tcPr>
          <w:p w14:paraId="4252541B"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142%</w:t>
            </w:r>
          </w:p>
        </w:tc>
      </w:tr>
      <w:tr w:rsidR="002B4D4D" w:rsidRPr="002B4D4D" w14:paraId="38668184"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5EC79A2" w14:textId="77777777" w:rsidR="002B4D4D" w:rsidRPr="002B4D4D" w:rsidRDefault="002B4D4D" w:rsidP="001733C9">
            <w:pPr>
              <w:rPr>
                <w:color w:val="000000"/>
                <w:sz w:val="22"/>
                <w:szCs w:val="22"/>
              </w:rPr>
            </w:pPr>
            <w:r w:rsidRPr="002B4D4D">
              <w:rPr>
                <w:color w:val="000000"/>
                <w:sz w:val="22"/>
                <w:szCs w:val="22"/>
              </w:rPr>
              <w:t>Национальный проект "Образование"</w:t>
            </w:r>
          </w:p>
        </w:tc>
        <w:tc>
          <w:tcPr>
            <w:tcW w:w="1560" w:type="dxa"/>
            <w:tcBorders>
              <w:top w:val="nil"/>
              <w:left w:val="nil"/>
              <w:bottom w:val="single" w:sz="4" w:space="0" w:color="auto"/>
              <w:right w:val="single" w:sz="4" w:space="0" w:color="auto"/>
            </w:tcBorders>
            <w:shd w:val="clear" w:color="000000" w:fill="FFFFFF"/>
            <w:vAlign w:val="center"/>
            <w:hideMark/>
          </w:tcPr>
          <w:p w14:paraId="0C0333AA" w14:textId="77777777" w:rsidR="002B4D4D" w:rsidRPr="002B4D4D" w:rsidRDefault="002B4D4D" w:rsidP="001733C9">
            <w:pPr>
              <w:jc w:val="right"/>
              <w:rPr>
                <w:color w:val="000000"/>
                <w:sz w:val="22"/>
                <w:szCs w:val="22"/>
              </w:rPr>
            </w:pPr>
            <w:r w:rsidRPr="002B4D4D">
              <w:rPr>
                <w:color w:val="000000"/>
                <w:sz w:val="22"/>
                <w:szCs w:val="22"/>
              </w:rPr>
              <w:t>228,79</w:t>
            </w:r>
          </w:p>
        </w:tc>
        <w:tc>
          <w:tcPr>
            <w:tcW w:w="1418" w:type="dxa"/>
            <w:tcBorders>
              <w:top w:val="nil"/>
              <w:left w:val="nil"/>
              <w:bottom w:val="single" w:sz="4" w:space="0" w:color="auto"/>
              <w:right w:val="single" w:sz="4" w:space="0" w:color="auto"/>
            </w:tcBorders>
            <w:shd w:val="clear" w:color="auto" w:fill="auto"/>
            <w:noWrap/>
            <w:vAlign w:val="center"/>
            <w:hideMark/>
          </w:tcPr>
          <w:p w14:paraId="71E1C551"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177%</w:t>
            </w:r>
          </w:p>
        </w:tc>
        <w:tc>
          <w:tcPr>
            <w:tcW w:w="1559" w:type="dxa"/>
            <w:tcBorders>
              <w:top w:val="nil"/>
              <w:left w:val="nil"/>
              <w:bottom w:val="single" w:sz="4" w:space="0" w:color="auto"/>
              <w:right w:val="single" w:sz="4" w:space="0" w:color="auto"/>
            </w:tcBorders>
            <w:shd w:val="clear" w:color="auto" w:fill="auto"/>
            <w:noWrap/>
            <w:vAlign w:val="center"/>
            <w:hideMark/>
          </w:tcPr>
          <w:p w14:paraId="7D5B95FB"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141%</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D95AB34" w14:textId="77777777" w:rsidR="002B4D4D" w:rsidRPr="002B4D4D" w:rsidRDefault="002B4D4D" w:rsidP="001733C9">
            <w:pPr>
              <w:jc w:val="right"/>
              <w:rPr>
                <w:color w:val="000000"/>
                <w:sz w:val="22"/>
                <w:szCs w:val="22"/>
              </w:rPr>
            </w:pPr>
            <w:r w:rsidRPr="002B4D4D">
              <w:rPr>
                <w:color w:val="000000"/>
                <w:sz w:val="22"/>
                <w:szCs w:val="22"/>
              </w:rPr>
              <w:t>242,95</w:t>
            </w:r>
          </w:p>
        </w:tc>
        <w:tc>
          <w:tcPr>
            <w:tcW w:w="1559" w:type="dxa"/>
            <w:tcBorders>
              <w:top w:val="nil"/>
              <w:left w:val="nil"/>
              <w:bottom w:val="single" w:sz="4" w:space="0" w:color="auto"/>
              <w:right w:val="single" w:sz="4" w:space="0" w:color="auto"/>
            </w:tcBorders>
            <w:shd w:val="clear" w:color="auto" w:fill="auto"/>
            <w:noWrap/>
            <w:vAlign w:val="center"/>
            <w:hideMark/>
          </w:tcPr>
          <w:p w14:paraId="31D5CED2"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132%</w:t>
            </w:r>
          </w:p>
        </w:tc>
        <w:tc>
          <w:tcPr>
            <w:tcW w:w="1701" w:type="dxa"/>
            <w:tcBorders>
              <w:top w:val="nil"/>
              <w:left w:val="nil"/>
              <w:bottom w:val="single" w:sz="4" w:space="0" w:color="auto"/>
              <w:right w:val="single" w:sz="4" w:space="0" w:color="auto"/>
            </w:tcBorders>
            <w:shd w:val="clear" w:color="auto" w:fill="auto"/>
            <w:noWrap/>
            <w:vAlign w:val="center"/>
            <w:hideMark/>
          </w:tcPr>
          <w:p w14:paraId="726C1B76"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129%</w:t>
            </w:r>
          </w:p>
        </w:tc>
      </w:tr>
      <w:tr w:rsidR="002B4D4D" w:rsidRPr="002B4D4D" w14:paraId="0EE2355F"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F838456" w14:textId="77777777" w:rsidR="002B4D4D" w:rsidRPr="002B4D4D" w:rsidRDefault="002B4D4D" w:rsidP="001733C9">
            <w:pPr>
              <w:rPr>
                <w:color w:val="000000"/>
                <w:sz w:val="22"/>
                <w:szCs w:val="22"/>
              </w:rPr>
            </w:pPr>
            <w:r w:rsidRPr="002B4D4D">
              <w:rPr>
                <w:color w:val="000000"/>
                <w:sz w:val="22"/>
                <w:szCs w:val="22"/>
              </w:rPr>
              <w:t>Национальный проект "Культура"</w:t>
            </w:r>
          </w:p>
        </w:tc>
        <w:tc>
          <w:tcPr>
            <w:tcW w:w="1560" w:type="dxa"/>
            <w:tcBorders>
              <w:top w:val="nil"/>
              <w:left w:val="nil"/>
              <w:bottom w:val="single" w:sz="4" w:space="0" w:color="auto"/>
              <w:right w:val="single" w:sz="4" w:space="0" w:color="auto"/>
            </w:tcBorders>
            <w:shd w:val="clear" w:color="000000" w:fill="FFFFFF"/>
            <w:vAlign w:val="center"/>
            <w:hideMark/>
          </w:tcPr>
          <w:p w14:paraId="0378B9DA" w14:textId="77777777" w:rsidR="002B4D4D" w:rsidRPr="002B4D4D" w:rsidRDefault="002B4D4D" w:rsidP="001733C9">
            <w:pPr>
              <w:jc w:val="right"/>
              <w:rPr>
                <w:color w:val="000000"/>
                <w:sz w:val="22"/>
                <w:szCs w:val="22"/>
              </w:rPr>
            </w:pPr>
            <w:r w:rsidRPr="002B4D4D">
              <w:rPr>
                <w:color w:val="000000"/>
                <w:sz w:val="22"/>
                <w:szCs w:val="22"/>
              </w:rPr>
              <w:t>54,06</w:t>
            </w:r>
          </w:p>
        </w:tc>
        <w:tc>
          <w:tcPr>
            <w:tcW w:w="1418" w:type="dxa"/>
            <w:tcBorders>
              <w:top w:val="nil"/>
              <w:left w:val="nil"/>
              <w:bottom w:val="single" w:sz="4" w:space="0" w:color="auto"/>
              <w:right w:val="single" w:sz="4" w:space="0" w:color="auto"/>
            </w:tcBorders>
            <w:shd w:val="clear" w:color="auto" w:fill="auto"/>
            <w:noWrap/>
            <w:vAlign w:val="center"/>
            <w:hideMark/>
          </w:tcPr>
          <w:p w14:paraId="497E952B"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239%</w:t>
            </w:r>
          </w:p>
        </w:tc>
        <w:tc>
          <w:tcPr>
            <w:tcW w:w="1559" w:type="dxa"/>
            <w:tcBorders>
              <w:top w:val="nil"/>
              <w:left w:val="nil"/>
              <w:bottom w:val="single" w:sz="4" w:space="0" w:color="auto"/>
              <w:right w:val="single" w:sz="4" w:space="0" w:color="auto"/>
            </w:tcBorders>
            <w:shd w:val="clear" w:color="auto" w:fill="auto"/>
            <w:noWrap/>
            <w:vAlign w:val="center"/>
            <w:hideMark/>
          </w:tcPr>
          <w:p w14:paraId="182D7C93"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175%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410C0BC" w14:textId="77777777" w:rsidR="002B4D4D" w:rsidRPr="002B4D4D" w:rsidRDefault="002B4D4D" w:rsidP="001733C9">
            <w:pPr>
              <w:jc w:val="right"/>
              <w:rPr>
                <w:color w:val="000000"/>
                <w:sz w:val="22"/>
                <w:szCs w:val="22"/>
              </w:rPr>
            </w:pPr>
            <w:r w:rsidRPr="002B4D4D">
              <w:rPr>
                <w:color w:val="000000"/>
                <w:sz w:val="22"/>
                <w:szCs w:val="22"/>
              </w:rPr>
              <w:t>47,17</w:t>
            </w:r>
          </w:p>
        </w:tc>
        <w:tc>
          <w:tcPr>
            <w:tcW w:w="1559" w:type="dxa"/>
            <w:tcBorders>
              <w:top w:val="nil"/>
              <w:left w:val="nil"/>
              <w:bottom w:val="single" w:sz="4" w:space="0" w:color="auto"/>
              <w:right w:val="single" w:sz="4" w:space="0" w:color="auto"/>
            </w:tcBorders>
            <w:shd w:val="clear" w:color="auto" w:fill="auto"/>
            <w:noWrap/>
            <w:vAlign w:val="center"/>
            <w:hideMark/>
          </w:tcPr>
          <w:p w14:paraId="31BEC204"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128%</w:t>
            </w:r>
          </w:p>
        </w:tc>
        <w:tc>
          <w:tcPr>
            <w:tcW w:w="1701" w:type="dxa"/>
            <w:tcBorders>
              <w:top w:val="nil"/>
              <w:left w:val="nil"/>
              <w:bottom w:val="single" w:sz="4" w:space="0" w:color="auto"/>
              <w:right w:val="single" w:sz="4" w:space="0" w:color="auto"/>
            </w:tcBorders>
            <w:shd w:val="clear" w:color="auto" w:fill="auto"/>
            <w:noWrap/>
            <w:vAlign w:val="center"/>
            <w:hideMark/>
          </w:tcPr>
          <w:p w14:paraId="7E25E57F"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108%</w:t>
            </w:r>
          </w:p>
        </w:tc>
      </w:tr>
      <w:tr w:rsidR="002B4D4D" w:rsidRPr="002B4D4D" w14:paraId="3023A0B8" w14:textId="77777777" w:rsidTr="001733C9">
        <w:trPr>
          <w:trHeight w:val="20"/>
        </w:trPr>
        <w:tc>
          <w:tcPr>
            <w:tcW w:w="15021" w:type="dxa"/>
            <w:gridSpan w:val="8"/>
            <w:tcBorders>
              <w:top w:val="single" w:sz="4" w:space="0" w:color="auto"/>
              <w:left w:val="single" w:sz="4" w:space="0" w:color="auto"/>
              <w:bottom w:val="single" w:sz="4" w:space="0" w:color="auto"/>
              <w:right w:val="single" w:sz="4" w:space="0" w:color="000000"/>
            </w:tcBorders>
            <w:shd w:val="clear" w:color="000000" w:fill="E2EFD9"/>
            <w:vAlign w:val="center"/>
            <w:hideMark/>
          </w:tcPr>
          <w:p w14:paraId="17263749" w14:textId="77777777" w:rsidR="002B4D4D" w:rsidRPr="002B4D4D" w:rsidRDefault="002B4D4D" w:rsidP="001733C9">
            <w:pPr>
              <w:jc w:val="center"/>
              <w:rPr>
                <w:b/>
                <w:bCs/>
                <w:color w:val="000000"/>
                <w:sz w:val="22"/>
                <w:szCs w:val="22"/>
              </w:rPr>
            </w:pPr>
            <w:r w:rsidRPr="002B4D4D">
              <w:rPr>
                <w:b/>
                <w:bCs/>
                <w:color w:val="000000"/>
                <w:sz w:val="22"/>
                <w:szCs w:val="22"/>
              </w:rPr>
              <w:t>Комфортная среда для жизни</w:t>
            </w:r>
          </w:p>
        </w:tc>
      </w:tr>
      <w:tr w:rsidR="002B4D4D" w:rsidRPr="002B4D4D" w14:paraId="21396784"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1D98B55" w14:textId="77777777" w:rsidR="002B4D4D" w:rsidRPr="002B4D4D" w:rsidRDefault="002B4D4D" w:rsidP="001733C9">
            <w:pPr>
              <w:jc w:val="both"/>
              <w:rPr>
                <w:color w:val="000000"/>
                <w:sz w:val="22"/>
                <w:szCs w:val="22"/>
              </w:rPr>
            </w:pPr>
            <w:r w:rsidRPr="002B4D4D">
              <w:rPr>
                <w:color w:val="000000"/>
                <w:sz w:val="22"/>
                <w:szCs w:val="22"/>
              </w:rPr>
              <w:t>Национальный проект "Жилье и городская среда"</w:t>
            </w:r>
          </w:p>
        </w:tc>
        <w:tc>
          <w:tcPr>
            <w:tcW w:w="1560" w:type="dxa"/>
            <w:tcBorders>
              <w:top w:val="nil"/>
              <w:left w:val="nil"/>
              <w:bottom w:val="single" w:sz="4" w:space="0" w:color="auto"/>
              <w:right w:val="single" w:sz="4" w:space="0" w:color="auto"/>
            </w:tcBorders>
            <w:shd w:val="clear" w:color="000000" w:fill="FFFFFF"/>
            <w:vAlign w:val="center"/>
            <w:hideMark/>
          </w:tcPr>
          <w:p w14:paraId="71C32992" w14:textId="77777777" w:rsidR="002B4D4D" w:rsidRPr="002B4D4D" w:rsidRDefault="002B4D4D" w:rsidP="001733C9">
            <w:pPr>
              <w:jc w:val="right"/>
              <w:rPr>
                <w:color w:val="000000"/>
                <w:sz w:val="22"/>
                <w:szCs w:val="22"/>
              </w:rPr>
            </w:pPr>
            <w:r w:rsidRPr="002B4D4D">
              <w:rPr>
                <w:color w:val="000000"/>
                <w:sz w:val="22"/>
                <w:szCs w:val="22"/>
              </w:rPr>
              <w:t>178,50</w:t>
            </w:r>
          </w:p>
        </w:tc>
        <w:tc>
          <w:tcPr>
            <w:tcW w:w="1418" w:type="dxa"/>
            <w:tcBorders>
              <w:top w:val="nil"/>
              <w:left w:val="nil"/>
              <w:bottom w:val="single" w:sz="4" w:space="0" w:color="auto"/>
              <w:right w:val="single" w:sz="4" w:space="0" w:color="auto"/>
            </w:tcBorders>
            <w:shd w:val="clear" w:color="auto" w:fill="auto"/>
            <w:noWrap/>
            <w:vAlign w:val="center"/>
            <w:hideMark/>
          </w:tcPr>
          <w:p w14:paraId="671EC33E"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56%</w:t>
            </w:r>
          </w:p>
        </w:tc>
        <w:tc>
          <w:tcPr>
            <w:tcW w:w="1559" w:type="dxa"/>
            <w:tcBorders>
              <w:top w:val="nil"/>
              <w:left w:val="nil"/>
              <w:bottom w:val="single" w:sz="4" w:space="0" w:color="auto"/>
              <w:right w:val="single" w:sz="4" w:space="0" w:color="auto"/>
            </w:tcBorders>
            <w:shd w:val="clear" w:color="auto" w:fill="auto"/>
            <w:noWrap/>
            <w:vAlign w:val="center"/>
            <w:hideMark/>
          </w:tcPr>
          <w:p w14:paraId="22350F72"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80%</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89E4DCC" w14:textId="77777777" w:rsidR="002B4D4D" w:rsidRPr="002B4D4D" w:rsidRDefault="002B4D4D" w:rsidP="001733C9">
            <w:pPr>
              <w:jc w:val="right"/>
              <w:rPr>
                <w:color w:val="000000"/>
                <w:sz w:val="22"/>
                <w:szCs w:val="22"/>
              </w:rPr>
            </w:pPr>
            <w:r w:rsidRPr="002B4D4D">
              <w:rPr>
                <w:color w:val="000000"/>
                <w:sz w:val="22"/>
                <w:szCs w:val="22"/>
              </w:rPr>
              <w:t>175,72</w:t>
            </w:r>
          </w:p>
        </w:tc>
        <w:tc>
          <w:tcPr>
            <w:tcW w:w="1559" w:type="dxa"/>
            <w:tcBorders>
              <w:top w:val="nil"/>
              <w:left w:val="nil"/>
              <w:bottom w:val="single" w:sz="4" w:space="0" w:color="auto"/>
              <w:right w:val="single" w:sz="4" w:space="0" w:color="auto"/>
            </w:tcBorders>
            <w:shd w:val="clear" w:color="auto" w:fill="auto"/>
            <w:noWrap/>
            <w:vAlign w:val="center"/>
            <w:hideMark/>
          </w:tcPr>
          <w:p w14:paraId="1C1B6C98"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94%</w:t>
            </w:r>
          </w:p>
        </w:tc>
        <w:tc>
          <w:tcPr>
            <w:tcW w:w="1701" w:type="dxa"/>
            <w:tcBorders>
              <w:top w:val="nil"/>
              <w:left w:val="nil"/>
              <w:bottom w:val="single" w:sz="4" w:space="0" w:color="auto"/>
              <w:right w:val="single" w:sz="4" w:space="0" w:color="auto"/>
            </w:tcBorders>
            <w:shd w:val="clear" w:color="auto" w:fill="auto"/>
            <w:noWrap/>
            <w:vAlign w:val="center"/>
            <w:hideMark/>
          </w:tcPr>
          <w:p w14:paraId="6321C2C2" w14:textId="77777777" w:rsidR="002B4D4D" w:rsidRPr="002B4D4D" w:rsidRDefault="002B4D4D" w:rsidP="001733C9">
            <w:pPr>
              <w:jc w:val="right"/>
              <w:rPr>
                <w:color w:val="000000"/>
                <w:sz w:val="22"/>
                <w:szCs w:val="22"/>
              </w:rPr>
            </w:pPr>
            <w:r w:rsidRPr="002B4D4D">
              <w:rPr>
                <w:color w:val="000000"/>
                <w:sz w:val="22"/>
                <w:szCs w:val="22"/>
              </w:rPr>
              <w:t>106%</w:t>
            </w:r>
          </w:p>
        </w:tc>
      </w:tr>
      <w:tr w:rsidR="002B4D4D" w:rsidRPr="002B4D4D" w14:paraId="286FD222"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2450108" w14:textId="77777777" w:rsidR="002B4D4D" w:rsidRPr="002B4D4D" w:rsidRDefault="002B4D4D" w:rsidP="001733C9">
            <w:pPr>
              <w:jc w:val="both"/>
              <w:rPr>
                <w:color w:val="000000"/>
                <w:sz w:val="22"/>
                <w:szCs w:val="22"/>
              </w:rPr>
            </w:pPr>
            <w:r w:rsidRPr="002B4D4D">
              <w:rPr>
                <w:color w:val="000000"/>
                <w:sz w:val="22"/>
                <w:szCs w:val="22"/>
              </w:rPr>
              <w:t>Национальный проект "Экология"</w:t>
            </w:r>
          </w:p>
        </w:tc>
        <w:tc>
          <w:tcPr>
            <w:tcW w:w="1560" w:type="dxa"/>
            <w:tcBorders>
              <w:top w:val="nil"/>
              <w:left w:val="nil"/>
              <w:bottom w:val="single" w:sz="4" w:space="0" w:color="auto"/>
              <w:right w:val="single" w:sz="4" w:space="0" w:color="auto"/>
            </w:tcBorders>
            <w:shd w:val="clear" w:color="000000" w:fill="FFFFFF"/>
            <w:vAlign w:val="center"/>
            <w:hideMark/>
          </w:tcPr>
          <w:p w14:paraId="1C454DB9" w14:textId="77777777" w:rsidR="002B4D4D" w:rsidRPr="002B4D4D" w:rsidRDefault="002B4D4D" w:rsidP="001733C9">
            <w:pPr>
              <w:jc w:val="right"/>
              <w:rPr>
                <w:color w:val="000000"/>
                <w:sz w:val="22"/>
                <w:szCs w:val="22"/>
              </w:rPr>
            </w:pPr>
            <w:r w:rsidRPr="002B4D4D">
              <w:rPr>
                <w:color w:val="000000"/>
                <w:sz w:val="22"/>
                <w:szCs w:val="22"/>
              </w:rPr>
              <w:t>119,51</w:t>
            </w:r>
          </w:p>
        </w:tc>
        <w:tc>
          <w:tcPr>
            <w:tcW w:w="1418" w:type="dxa"/>
            <w:tcBorders>
              <w:top w:val="nil"/>
              <w:left w:val="nil"/>
              <w:bottom w:val="single" w:sz="4" w:space="0" w:color="auto"/>
              <w:right w:val="single" w:sz="4" w:space="0" w:color="auto"/>
            </w:tcBorders>
            <w:shd w:val="clear" w:color="auto" w:fill="auto"/>
            <w:noWrap/>
            <w:vAlign w:val="center"/>
            <w:hideMark/>
          </w:tcPr>
          <w:p w14:paraId="29C3866E"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13%</w:t>
            </w:r>
          </w:p>
        </w:tc>
        <w:tc>
          <w:tcPr>
            <w:tcW w:w="1559" w:type="dxa"/>
            <w:tcBorders>
              <w:top w:val="nil"/>
              <w:left w:val="nil"/>
              <w:bottom w:val="single" w:sz="4" w:space="0" w:color="auto"/>
              <w:right w:val="single" w:sz="4" w:space="0" w:color="auto"/>
            </w:tcBorders>
            <w:shd w:val="clear" w:color="auto" w:fill="auto"/>
            <w:noWrap/>
            <w:vAlign w:val="center"/>
            <w:hideMark/>
          </w:tcPr>
          <w:p w14:paraId="4D08E3BB"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92%</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915587E" w14:textId="77777777" w:rsidR="002B4D4D" w:rsidRPr="002B4D4D" w:rsidRDefault="002B4D4D" w:rsidP="001733C9">
            <w:pPr>
              <w:jc w:val="right"/>
              <w:rPr>
                <w:color w:val="000000"/>
                <w:sz w:val="22"/>
                <w:szCs w:val="22"/>
              </w:rPr>
            </w:pPr>
            <w:r w:rsidRPr="002B4D4D">
              <w:rPr>
                <w:color w:val="000000"/>
                <w:sz w:val="22"/>
                <w:szCs w:val="22"/>
              </w:rPr>
              <w:t>88,38</w:t>
            </w:r>
          </w:p>
        </w:tc>
        <w:tc>
          <w:tcPr>
            <w:tcW w:w="1559" w:type="dxa"/>
            <w:tcBorders>
              <w:top w:val="nil"/>
              <w:left w:val="nil"/>
              <w:bottom w:val="single" w:sz="4" w:space="0" w:color="auto"/>
              <w:right w:val="single" w:sz="4" w:space="0" w:color="auto"/>
            </w:tcBorders>
            <w:shd w:val="clear" w:color="auto" w:fill="auto"/>
            <w:noWrap/>
            <w:vAlign w:val="center"/>
            <w:hideMark/>
          </w:tcPr>
          <w:p w14:paraId="72F0D8A0"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95%</w:t>
            </w:r>
          </w:p>
        </w:tc>
        <w:tc>
          <w:tcPr>
            <w:tcW w:w="1701" w:type="dxa"/>
            <w:tcBorders>
              <w:top w:val="nil"/>
              <w:left w:val="nil"/>
              <w:bottom w:val="single" w:sz="4" w:space="0" w:color="auto"/>
              <w:right w:val="single" w:sz="4" w:space="0" w:color="auto"/>
            </w:tcBorders>
            <w:shd w:val="clear" w:color="auto" w:fill="auto"/>
            <w:noWrap/>
            <w:vAlign w:val="center"/>
            <w:hideMark/>
          </w:tcPr>
          <w:p w14:paraId="1CB35FD3"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89%</w:t>
            </w:r>
          </w:p>
        </w:tc>
      </w:tr>
      <w:tr w:rsidR="002B4D4D" w:rsidRPr="002B4D4D" w14:paraId="0128BE45"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4DD29D5" w14:textId="77777777" w:rsidR="002B4D4D" w:rsidRPr="002B4D4D" w:rsidRDefault="002B4D4D" w:rsidP="001733C9">
            <w:pPr>
              <w:jc w:val="both"/>
              <w:rPr>
                <w:color w:val="000000"/>
                <w:sz w:val="22"/>
                <w:szCs w:val="22"/>
              </w:rPr>
            </w:pPr>
            <w:bookmarkStart w:id="6" w:name="RANGE!A11"/>
            <w:r w:rsidRPr="002B4D4D">
              <w:rPr>
                <w:color w:val="000000"/>
                <w:sz w:val="22"/>
                <w:szCs w:val="22"/>
              </w:rPr>
              <w:t>Национальный проект "Безопасные качественные дороги"</w:t>
            </w:r>
            <w:bookmarkEnd w:id="6"/>
          </w:p>
        </w:tc>
        <w:tc>
          <w:tcPr>
            <w:tcW w:w="1560" w:type="dxa"/>
            <w:tcBorders>
              <w:top w:val="nil"/>
              <w:left w:val="nil"/>
              <w:bottom w:val="single" w:sz="4" w:space="0" w:color="auto"/>
              <w:right w:val="single" w:sz="4" w:space="0" w:color="auto"/>
            </w:tcBorders>
            <w:shd w:val="clear" w:color="000000" w:fill="FFFFFF"/>
            <w:vAlign w:val="center"/>
            <w:hideMark/>
          </w:tcPr>
          <w:p w14:paraId="139AB529" w14:textId="77777777" w:rsidR="002B4D4D" w:rsidRPr="002B4D4D" w:rsidRDefault="002B4D4D" w:rsidP="001733C9">
            <w:pPr>
              <w:jc w:val="right"/>
              <w:rPr>
                <w:color w:val="000000"/>
                <w:sz w:val="22"/>
                <w:szCs w:val="22"/>
              </w:rPr>
            </w:pPr>
            <w:r w:rsidRPr="002B4D4D">
              <w:rPr>
                <w:color w:val="000000"/>
                <w:sz w:val="22"/>
                <w:szCs w:val="22"/>
              </w:rPr>
              <w:t>397,51</w:t>
            </w:r>
          </w:p>
        </w:tc>
        <w:tc>
          <w:tcPr>
            <w:tcW w:w="1418" w:type="dxa"/>
            <w:tcBorders>
              <w:top w:val="nil"/>
              <w:left w:val="nil"/>
              <w:bottom w:val="single" w:sz="4" w:space="0" w:color="auto"/>
              <w:right w:val="single" w:sz="4" w:space="0" w:color="auto"/>
            </w:tcBorders>
            <w:shd w:val="clear" w:color="auto" w:fill="auto"/>
            <w:noWrap/>
            <w:vAlign w:val="center"/>
            <w:hideMark/>
          </w:tcPr>
          <w:p w14:paraId="3124A523"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45%</w:t>
            </w:r>
          </w:p>
        </w:tc>
        <w:tc>
          <w:tcPr>
            <w:tcW w:w="1559" w:type="dxa"/>
            <w:tcBorders>
              <w:top w:val="nil"/>
              <w:left w:val="nil"/>
              <w:bottom w:val="single" w:sz="4" w:space="0" w:color="auto"/>
              <w:right w:val="single" w:sz="4" w:space="0" w:color="auto"/>
            </w:tcBorders>
            <w:shd w:val="clear" w:color="auto" w:fill="auto"/>
            <w:noWrap/>
            <w:vAlign w:val="center"/>
            <w:hideMark/>
          </w:tcPr>
          <w:p w14:paraId="65DFEEE1"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165%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ADC0C4C" w14:textId="77777777" w:rsidR="002B4D4D" w:rsidRPr="002B4D4D" w:rsidRDefault="002B4D4D" w:rsidP="001733C9">
            <w:pPr>
              <w:jc w:val="right"/>
              <w:rPr>
                <w:color w:val="000000"/>
                <w:sz w:val="22"/>
                <w:szCs w:val="22"/>
              </w:rPr>
            </w:pPr>
            <w:r w:rsidRPr="002B4D4D">
              <w:rPr>
                <w:color w:val="000000"/>
                <w:sz w:val="22"/>
                <w:szCs w:val="22"/>
              </w:rPr>
              <w:t>541,22</w:t>
            </w:r>
          </w:p>
        </w:tc>
        <w:tc>
          <w:tcPr>
            <w:tcW w:w="1559" w:type="dxa"/>
            <w:tcBorders>
              <w:top w:val="nil"/>
              <w:left w:val="nil"/>
              <w:bottom w:val="single" w:sz="4" w:space="0" w:color="auto"/>
              <w:right w:val="single" w:sz="4" w:space="0" w:color="auto"/>
            </w:tcBorders>
            <w:shd w:val="clear" w:color="auto" w:fill="auto"/>
            <w:noWrap/>
            <w:vAlign w:val="center"/>
            <w:hideMark/>
          </w:tcPr>
          <w:p w14:paraId="46D0A24A"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89%</w:t>
            </w:r>
          </w:p>
        </w:tc>
        <w:tc>
          <w:tcPr>
            <w:tcW w:w="1701" w:type="dxa"/>
            <w:tcBorders>
              <w:top w:val="nil"/>
              <w:left w:val="nil"/>
              <w:bottom w:val="single" w:sz="4" w:space="0" w:color="auto"/>
              <w:right w:val="single" w:sz="4" w:space="0" w:color="auto"/>
            </w:tcBorders>
            <w:shd w:val="clear" w:color="auto" w:fill="auto"/>
            <w:noWrap/>
            <w:vAlign w:val="center"/>
            <w:hideMark/>
          </w:tcPr>
          <w:p w14:paraId="4CEED330"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99%</w:t>
            </w:r>
          </w:p>
        </w:tc>
      </w:tr>
      <w:tr w:rsidR="002B4D4D" w:rsidRPr="002B4D4D" w14:paraId="1C622021" w14:textId="77777777" w:rsidTr="001733C9">
        <w:trPr>
          <w:trHeight w:val="20"/>
        </w:trPr>
        <w:tc>
          <w:tcPr>
            <w:tcW w:w="15021" w:type="dxa"/>
            <w:gridSpan w:val="8"/>
            <w:tcBorders>
              <w:top w:val="single" w:sz="4" w:space="0" w:color="auto"/>
              <w:left w:val="single" w:sz="4" w:space="0" w:color="auto"/>
              <w:bottom w:val="single" w:sz="4" w:space="0" w:color="auto"/>
              <w:right w:val="single" w:sz="4" w:space="0" w:color="000000"/>
            </w:tcBorders>
            <w:shd w:val="clear" w:color="000000" w:fill="FBE4D5"/>
            <w:vAlign w:val="center"/>
            <w:hideMark/>
          </w:tcPr>
          <w:p w14:paraId="13180AC7" w14:textId="77777777" w:rsidR="002B4D4D" w:rsidRPr="002B4D4D" w:rsidRDefault="002B4D4D" w:rsidP="001733C9">
            <w:pPr>
              <w:jc w:val="center"/>
              <w:rPr>
                <w:b/>
                <w:bCs/>
                <w:color w:val="000000"/>
                <w:sz w:val="22"/>
                <w:szCs w:val="22"/>
              </w:rPr>
            </w:pPr>
            <w:r w:rsidRPr="002B4D4D">
              <w:rPr>
                <w:b/>
                <w:bCs/>
                <w:color w:val="000000"/>
                <w:sz w:val="22"/>
                <w:szCs w:val="22"/>
              </w:rPr>
              <w:t>Экономический рост</w:t>
            </w:r>
          </w:p>
        </w:tc>
      </w:tr>
      <w:tr w:rsidR="002B4D4D" w:rsidRPr="002B4D4D" w14:paraId="414D0412"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B775AED" w14:textId="77777777" w:rsidR="002B4D4D" w:rsidRPr="002B4D4D" w:rsidRDefault="002B4D4D" w:rsidP="001733C9">
            <w:pPr>
              <w:jc w:val="both"/>
              <w:rPr>
                <w:color w:val="000000"/>
                <w:sz w:val="22"/>
                <w:szCs w:val="22"/>
              </w:rPr>
            </w:pPr>
            <w:r w:rsidRPr="002B4D4D">
              <w:rPr>
                <w:color w:val="000000"/>
                <w:sz w:val="22"/>
                <w:szCs w:val="22"/>
              </w:rPr>
              <w:t>Национальный проект "Производительность труда"</w:t>
            </w:r>
          </w:p>
        </w:tc>
        <w:tc>
          <w:tcPr>
            <w:tcW w:w="1560" w:type="dxa"/>
            <w:tcBorders>
              <w:top w:val="nil"/>
              <w:left w:val="nil"/>
              <w:bottom w:val="single" w:sz="4" w:space="0" w:color="auto"/>
              <w:right w:val="single" w:sz="4" w:space="0" w:color="auto"/>
            </w:tcBorders>
            <w:shd w:val="clear" w:color="000000" w:fill="FFFFFF"/>
            <w:vAlign w:val="center"/>
            <w:hideMark/>
          </w:tcPr>
          <w:p w14:paraId="2CE842DA" w14:textId="77777777" w:rsidR="002B4D4D" w:rsidRPr="002B4D4D" w:rsidRDefault="002B4D4D" w:rsidP="001733C9">
            <w:pPr>
              <w:jc w:val="right"/>
              <w:rPr>
                <w:color w:val="000000"/>
                <w:sz w:val="22"/>
                <w:szCs w:val="22"/>
              </w:rPr>
            </w:pPr>
            <w:r w:rsidRPr="002B4D4D">
              <w:rPr>
                <w:color w:val="000000"/>
                <w:sz w:val="22"/>
                <w:szCs w:val="22"/>
              </w:rPr>
              <w:t>5,12</w:t>
            </w:r>
          </w:p>
        </w:tc>
        <w:tc>
          <w:tcPr>
            <w:tcW w:w="1418" w:type="dxa"/>
            <w:tcBorders>
              <w:top w:val="nil"/>
              <w:left w:val="nil"/>
              <w:bottom w:val="single" w:sz="4" w:space="0" w:color="auto"/>
              <w:right w:val="single" w:sz="4" w:space="0" w:color="auto"/>
            </w:tcBorders>
            <w:shd w:val="clear" w:color="auto" w:fill="auto"/>
            <w:noWrap/>
            <w:vAlign w:val="center"/>
            <w:hideMark/>
          </w:tcPr>
          <w:p w14:paraId="65597418"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56%</w:t>
            </w:r>
          </w:p>
        </w:tc>
        <w:tc>
          <w:tcPr>
            <w:tcW w:w="1559" w:type="dxa"/>
            <w:tcBorders>
              <w:top w:val="nil"/>
              <w:left w:val="nil"/>
              <w:bottom w:val="single" w:sz="4" w:space="0" w:color="auto"/>
              <w:right w:val="single" w:sz="4" w:space="0" w:color="auto"/>
            </w:tcBorders>
            <w:shd w:val="clear" w:color="auto" w:fill="auto"/>
            <w:noWrap/>
            <w:vAlign w:val="center"/>
            <w:hideMark/>
          </w:tcPr>
          <w:p w14:paraId="33C7A0D3"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88%</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C718BE8" w14:textId="77777777" w:rsidR="002B4D4D" w:rsidRPr="002B4D4D" w:rsidRDefault="002B4D4D" w:rsidP="001733C9">
            <w:pPr>
              <w:jc w:val="right"/>
              <w:rPr>
                <w:color w:val="000000"/>
                <w:sz w:val="22"/>
                <w:szCs w:val="22"/>
              </w:rPr>
            </w:pPr>
            <w:r w:rsidRPr="002B4D4D">
              <w:rPr>
                <w:color w:val="000000"/>
                <w:sz w:val="22"/>
                <w:szCs w:val="22"/>
              </w:rPr>
              <w:t>6,00</w:t>
            </w:r>
          </w:p>
        </w:tc>
        <w:tc>
          <w:tcPr>
            <w:tcW w:w="1559" w:type="dxa"/>
            <w:tcBorders>
              <w:top w:val="nil"/>
              <w:left w:val="nil"/>
              <w:bottom w:val="single" w:sz="4" w:space="0" w:color="auto"/>
              <w:right w:val="single" w:sz="4" w:space="0" w:color="auto"/>
            </w:tcBorders>
            <w:shd w:val="clear" w:color="auto" w:fill="auto"/>
            <w:noWrap/>
            <w:vAlign w:val="center"/>
            <w:hideMark/>
          </w:tcPr>
          <w:p w14:paraId="7B11012B"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88%</w:t>
            </w:r>
          </w:p>
        </w:tc>
        <w:tc>
          <w:tcPr>
            <w:tcW w:w="1701" w:type="dxa"/>
            <w:tcBorders>
              <w:top w:val="nil"/>
              <w:left w:val="nil"/>
              <w:bottom w:val="single" w:sz="4" w:space="0" w:color="auto"/>
              <w:right w:val="single" w:sz="4" w:space="0" w:color="auto"/>
            </w:tcBorders>
            <w:shd w:val="clear" w:color="auto" w:fill="auto"/>
            <w:noWrap/>
            <w:vAlign w:val="center"/>
            <w:hideMark/>
          </w:tcPr>
          <w:p w14:paraId="5666D02C"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88%</w:t>
            </w:r>
          </w:p>
        </w:tc>
      </w:tr>
      <w:tr w:rsidR="002B4D4D" w:rsidRPr="002B4D4D" w14:paraId="0340E010"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2A20972" w14:textId="77777777" w:rsidR="002B4D4D" w:rsidRPr="002B4D4D" w:rsidRDefault="002B4D4D" w:rsidP="001733C9">
            <w:pPr>
              <w:jc w:val="both"/>
              <w:rPr>
                <w:color w:val="000000"/>
                <w:sz w:val="22"/>
                <w:szCs w:val="22"/>
              </w:rPr>
            </w:pPr>
            <w:r w:rsidRPr="002B4D4D">
              <w:rPr>
                <w:color w:val="000000"/>
                <w:sz w:val="22"/>
                <w:szCs w:val="22"/>
              </w:rPr>
              <w:t>Национальный проект "Наука и университеты"</w:t>
            </w:r>
          </w:p>
        </w:tc>
        <w:tc>
          <w:tcPr>
            <w:tcW w:w="1560" w:type="dxa"/>
            <w:tcBorders>
              <w:top w:val="nil"/>
              <w:left w:val="nil"/>
              <w:bottom w:val="single" w:sz="4" w:space="0" w:color="auto"/>
              <w:right w:val="single" w:sz="4" w:space="0" w:color="auto"/>
            </w:tcBorders>
            <w:shd w:val="clear" w:color="000000" w:fill="FFFFFF"/>
            <w:vAlign w:val="center"/>
            <w:hideMark/>
          </w:tcPr>
          <w:p w14:paraId="5D512B43" w14:textId="77777777" w:rsidR="002B4D4D" w:rsidRPr="002B4D4D" w:rsidRDefault="002B4D4D" w:rsidP="001733C9">
            <w:pPr>
              <w:jc w:val="right"/>
              <w:rPr>
                <w:color w:val="000000"/>
                <w:sz w:val="22"/>
                <w:szCs w:val="22"/>
              </w:rPr>
            </w:pPr>
            <w:r w:rsidRPr="002B4D4D">
              <w:rPr>
                <w:color w:val="000000"/>
                <w:sz w:val="22"/>
                <w:szCs w:val="22"/>
              </w:rPr>
              <w:t>144,82</w:t>
            </w:r>
          </w:p>
        </w:tc>
        <w:tc>
          <w:tcPr>
            <w:tcW w:w="1418" w:type="dxa"/>
            <w:tcBorders>
              <w:top w:val="nil"/>
              <w:left w:val="nil"/>
              <w:bottom w:val="single" w:sz="4" w:space="0" w:color="auto"/>
              <w:right w:val="single" w:sz="4" w:space="0" w:color="auto"/>
            </w:tcBorders>
            <w:shd w:val="clear" w:color="auto" w:fill="auto"/>
            <w:noWrap/>
            <w:vAlign w:val="center"/>
            <w:hideMark/>
          </w:tcPr>
          <w:p w14:paraId="0DF582CF"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98%</w:t>
            </w:r>
          </w:p>
        </w:tc>
        <w:tc>
          <w:tcPr>
            <w:tcW w:w="1559" w:type="dxa"/>
            <w:tcBorders>
              <w:top w:val="nil"/>
              <w:left w:val="nil"/>
              <w:bottom w:val="single" w:sz="4" w:space="0" w:color="auto"/>
              <w:right w:val="single" w:sz="4" w:space="0" w:color="auto"/>
            </w:tcBorders>
            <w:shd w:val="clear" w:color="auto" w:fill="auto"/>
            <w:noWrap/>
            <w:vAlign w:val="center"/>
            <w:hideMark/>
          </w:tcPr>
          <w:p w14:paraId="1EA7EE08"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121%</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B63708A" w14:textId="77777777" w:rsidR="002B4D4D" w:rsidRPr="002B4D4D" w:rsidRDefault="002B4D4D" w:rsidP="001733C9">
            <w:pPr>
              <w:jc w:val="right"/>
              <w:rPr>
                <w:color w:val="000000"/>
                <w:sz w:val="22"/>
                <w:szCs w:val="22"/>
              </w:rPr>
            </w:pPr>
            <w:r w:rsidRPr="002B4D4D">
              <w:rPr>
                <w:color w:val="000000"/>
                <w:sz w:val="22"/>
                <w:szCs w:val="22"/>
              </w:rPr>
              <w:t>154,74</w:t>
            </w:r>
          </w:p>
        </w:tc>
        <w:tc>
          <w:tcPr>
            <w:tcW w:w="1559" w:type="dxa"/>
            <w:tcBorders>
              <w:top w:val="nil"/>
              <w:left w:val="nil"/>
              <w:bottom w:val="single" w:sz="4" w:space="0" w:color="auto"/>
              <w:right w:val="single" w:sz="4" w:space="0" w:color="auto"/>
            </w:tcBorders>
            <w:shd w:val="clear" w:color="auto" w:fill="auto"/>
            <w:noWrap/>
            <w:vAlign w:val="center"/>
            <w:hideMark/>
          </w:tcPr>
          <w:p w14:paraId="20E12A7D"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FF0000"/>
                <w:sz w:val="22"/>
                <w:szCs w:val="22"/>
              </w:rPr>
              <w:t xml:space="preserve"> </w:t>
            </w:r>
            <w:r w:rsidRPr="002B4D4D">
              <w:rPr>
                <w:color w:val="000000"/>
                <w:sz w:val="22"/>
                <w:szCs w:val="22"/>
              </w:rPr>
              <w:t>96%</w:t>
            </w:r>
          </w:p>
        </w:tc>
        <w:tc>
          <w:tcPr>
            <w:tcW w:w="1701" w:type="dxa"/>
            <w:tcBorders>
              <w:top w:val="nil"/>
              <w:left w:val="nil"/>
              <w:bottom w:val="single" w:sz="4" w:space="0" w:color="auto"/>
              <w:right w:val="single" w:sz="4" w:space="0" w:color="auto"/>
            </w:tcBorders>
            <w:shd w:val="clear" w:color="auto" w:fill="auto"/>
            <w:noWrap/>
            <w:vAlign w:val="center"/>
            <w:hideMark/>
          </w:tcPr>
          <w:p w14:paraId="7927B468"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111%</w:t>
            </w:r>
          </w:p>
        </w:tc>
      </w:tr>
      <w:tr w:rsidR="002B4D4D" w:rsidRPr="002B4D4D" w14:paraId="3892D260"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AE0770A" w14:textId="77777777" w:rsidR="002B4D4D" w:rsidRPr="002B4D4D" w:rsidRDefault="002B4D4D" w:rsidP="001733C9">
            <w:pPr>
              <w:jc w:val="both"/>
              <w:rPr>
                <w:color w:val="000000"/>
                <w:sz w:val="22"/>
                <w:szCs w:val="22"/>
              </w:rPr>
            </w:pPr>
            <w:r w:rsidRPr="002B4D4D">
              <w:rPr>
                <w:color w:val="000000"/>
                <w:sz w:val="22"/>
                <w:szCs w:val="22"/>
              </w:rPr>
              <w:t>Национальная программа "Цифровая экономика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14:paraId="4043A170" w14:textId="77777777" w:rsidR="002B4D4D" w:rsidRPr="002B4D4D" w:rsidRDefault="002B4D4D" w:rsidP="001733C9">
            <w:pPr>
              <w:jc w:val="right"/>
              <w:rPr>
                <w:color w:val="000000"/>
                <w:sz w:val="22"/>
                <w:szCs w:val="22"/>
              </w:rPr>
            </w:pPr>
            <w:r w:rsidRPr="002B4D4D">
              <w:rPr>
                <w:color w:val="000000"/>
                <w:sz w:val="22"/>
                <w:szCs w:val="22"/>
              </w:rPr>
              <w:t>129,26</w:t>
            </w:r>
          </w:p>
        </w:tc>
        <w:tc>
          <w:tcPr>
            <w:tcW w:w="1418" w:type="dxa"/>
            <w:tcBorders>
              <w:top w:val="nil"/>
              <w:left w:val="nil"/>
              <w:bottom w:val="single" w:sz="4" w:space="0" w:color="auto"/>
              <w:right w:val="single" w:sz="4" w:space="0" w:color="auto"/>
            </w:tcBorders>
            <w:shd w:val="clear" w:color="auto" w:fill="auto"/>
            <w:noWrap/>
            <w:vAlign w:val="center"/>
            <w:hideMark/>
          </w:tcPr>
          <w:p w14:paraId="7D951854"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FF0000"/>
                <w:sz w:val="22"/>
                <w:szCs w:val="22"/>
              </w:rPr>
              <w:t xml:space="preserve"> </w:t>
            </w:r>
            <w:r w:rsidRPr="002B4D4D">
              <w:rPr>
                <w:color w:val="000000"/>
                <w:sz w:val="22"/>
                <w:szCs w:val="22"/>
              </w:rPr>
              <w:t>51%</w:t>
            </w:r>
          </w:p>
        </w:tc>
        <w:tc>
          <w:tcPr>
            <w:tcW w:w="1559" w:type="dxa"/>
            <w:tcBorders>
              <w:top w:val="nil"/>
              <w:left w:val="nil"/>
              <w:bottom w:val="single" w:sz="4" w:space="0" w:color="auto"/>
              <w:right w:val="single" w:sz="4" w:space="0" w:color="auto"/>
            </w:tcBorders>
            <w:shd w:val="clear" w:color="auto" w:fill="auto"/>
            <w:noWrap/>
            <w:vAlign w:val="center"/>
            <w:hideMark/>
          </w:tcPr>
          <w:p w14:paraId="5BD35C21"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67%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824384" w14:textId="77777777" w:rsidR="002B4D4D" w:rsidRPr="002B4D4D" w:rsidRDefault="002B4D4D" w:rsidP="001733C9">
            <w:pPr>
              <w:jc w:val="right"/>
              <w:rPr>
                <w:color w:val="000000"/>
                <w:sz w:val="22"/>
                <w:szCs w:val="22"/>
              </w:rPr>
            </w:pPr>
            <w:r w:rsidRPr="002B4D4D">
              <w:rPr>
                <w:color w:val="000000"/>
                <w:sz w:val="22"/>
                <w:szCs w:val="22"/>
              </w:rPr>
              <w:t>126,93</w:t>
            </w:r>
          </w:p>
        </w:tc>
        <w:tc>
          <w:tcPr>
            <w:tcW w:w="1559" w:type="dxa"/>
            <w:tcBorders>
              <w:top w:val="nil"/>
              <w:left w:val="nil"/>
              <w:bottom w:val="single" w:sz="4" w:space="0" w:color="auto"/>
              <w:right w:val="single" w:sz="4" w:space="0" w:color="auto"/>
            </w:tcBorders>
            <w:shd w:val="clear" w:color="auto" w:fill="auto"/>
            <w:noWrap/>
            <w:vAlign w:val="center"/>
            <w:hideMark/>
          </w:tcPr>
          <w:p w14:paraId="5E64FD83"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68%</w:t>
            </w:r>
          </w:p>
        </w:tc>
        <w:tc>
          <w:tcPr>
            <w:tcW w:w="1701" w:type="dxa"/>
            <w:tcBorders>
              <w:top w:val="nil"/>
              <w:left w:val="nil"/>
              <w:bottom w:val="single" w:sz="4" w:space="0" w:color="auto"/>
              <w:right w:val="single" w:sz="4" w:space="0" w:color="auto"/>
            </w:tcBorders>
            <w:shd w:val="clear" w:color="auto" w:fill="auto"/>
            <w:noWrap/>
            <w:vAlign w:val="center"/>
            <w:hideMark/>
          </w:tcPr>
          <w:p w14:paraId="635E6D45"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67%</w:t>
            </w:r>
          </w:p>
        </w:tc>
      </w:tr>
      <w:tr w:rsidR="002B4D4D" w:rsidRPr="002B4D4D" w14:paraId="7ED12B89"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39D6C56" w14:textId="77777777" w:rsidR="002B4D4D" w:rsidRPr="002B4D4D" w:rsidRDefault="002B4D4D" w:rsidP="001733C9">
            <w:pPr>
              <w:jc w:val="both"/>
              <w:rPr>
                <w:color w:val="000000"/>
                <w:sz w:val="22"/>
                <w:szCs w:val="22"/>
              </w:rPr>
            </w:pPr>
            <w:r w:rsidRPr="002B4D4D">
              <w:rPr>
                <w:color w:val="000000"/>
                <w:sz w:val="22"/>
                <w:szCs w:val="22"/>
              </w:rPr>
              <w:t>Национальный проект "Малое и среднее предпринимательство и поддержка индивидуальной предпринимательской инициативы"</w:t>
            </w:r>
          </w:p>
        </w:tc>
        <w:tc>
          <w:tcPr>
            <w:tcW w:w="1560" w:type="dxa"/>
            <w:tcBorders>
              <w:top w:val="nil"/>
              <w:left w:val="nil"/>
              <w:bottom w:val="single" w:sz="4" w:space="0" w:color="auto"/>
              <w:right w:val="single" w:sz="4" w:space="0" w:color="auto"/>
            </w:tcBorders>
            <w:shd w:val="clear" w:color="000000" w:fill="FFFFFF"/>
            <w:vAlign w:val="center"/>
            <w:hideMark/>
          </w:tcPr>
          <w:p w14:paraId="795219AC" w14:textId="77777777" w:rsidR="002B4D4D" w:rsidRPr="002B4D4D" w:rsidRDefault="002B4D4D" w:rsidP="001733C9">
            <w:pPr>
              <w:jc w:val="right"/>
              <w:rPr>
                <w:color w:val="000000"/>
                <w:sz w:val="22"/>
                <w:szCs w:val="22"/>
              </w:rPr>
            </w:pPr>
            <w:r w:rsidRPr="002B4D4D">
              <w:rPr>
                <w:color w:val="000000"/>
                <w:sz w:val="22"/>
                <w:szCs w:val="22"/>
              </w:rPr>
              <w:t>79,46</w:t>
            </w:r>
          </w:p>
        </w:tc>
        <w:tc>
          <w:tcPr>
            <w:tcW w:w="1418" w:type="dxa"/>
            <w:tcBorders>
              <w:top w:val="nil"/>
              <w:left w:val="nil"/>
              <w:bottom w:val="single" w:sz="4" w:space="0" w:color="auto"/>
              <w:right w:val="single" w:sz="4" w:space="0" w:color="auto"/>
            </w:tcBorders>
            <w:shd w:val="clear" w:color="auto" w:fill="auto"/>
            <w:noWrap/>
            <w:vAlign w:val="center"/>
            <w:hideMark/>
          </w:tcPr>
          <w:p w14:paraId="5DAFD431"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74%</w:t>
            </w:r>
          </w:p>
        </w:tc>
        <w:tc>
          <w:tcPr>
            <w:tcW w:w="1559" w:type="dxa"/>
            <w:tcBorders>
              <w:top w:val="nil"/>
              <w:left w:val="nil"/>
              <w:bottom w:val="single" w:sz="4" w:space="0" w:color="auto"/>
              <w:right w:val="single" w:sz="4" w:space="0" w:color="auto"/>
            </w:tcBorders>
            <w:shd w:val="clear" w:color="auto" w:fill="auto"/>
            <w:noWrap/>
            <w:vAlign w:val="center"/>
            <w:hideMark/>
          </w:tcPr>
          <w:p w14:paraId="3D6C4D9E" w14:textId="77777777" w:rsidR="002B4D4D" w:rsidRPr="002B4D4D" w:rsidRDefault="002B4D4D" w:rsidP="001733C9">
            <w:pPr>
              <w:jc w:val="right"/>
              <w:rPr>
                <w:color w:val="000000"/>
                <w:sz w:val="22"/>
                <w:szCs w:val="22"/>
              </w:rPr>
            </w:pPr>
            <w:r w:rsidRPr="002B4D4D">
              <w:rPr>
                <w:color w:val="000000"/>
                <w:sz w:val="22"/>
                <w:szCs w:val="22"/>
              </w:rPr>
              <w:t>99%</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7EEA7CDD" w14:textId="77777777" w:rsidR="002B4D4D" w:rsidRPr="002B4D4D" w:rsidRDefault="002B4D4D" w:rsidP="001733C9">
            <w:pPr>
              <w:jc w:val="right"/>
              <w:rPr>
                <w:color w:val="000000"/>
                <w:sz w:val="22"/>
                <w:szCs w:val="22"/>
              </w:rPr>
            </w:pPr>
            <w:r w:rsidRPr="002B4D4D">
              <w:rPr>
                <w:color w:val="000000"/>
                <w:sz w:val="22"/>
                <w:szCs w:val="22"/>
              </w:rPr>
              <w:t>74,67</w:t>
            </w:r>
          </w:p>
        </w:tc>
        <w:tc>
          <w:tcPr>
            <w:tcW w:w="1559" w:type="dxa"/>
            <w:tcBorders>
              <w:top w:val="nil"/>
              <w:left w:val="nil"/>
              <w:bottom w:val="single" w:sz="4" w:space="0" w:color="auto"/>
              <w:right w:val="single" w:sz="4" w:space="0" w:color="auto"/>
            </w:tcBorders>
            <w:shd w:val="clear" w:color="auto" w:fill="auto"/>
            <w:noWrap/>
            <w:vAlign w:val="center"/>
            <w:hideMark/>
          </w:tcPr>
          <w:p w14:paraId="04C51BA8"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105%</w:t>
            </w:r>
          </w:p>
        </w:tc>
        <w:tc>
          <w:tcPr>
            <w:tcW w:w="1701" w:type="dxa"/>
            <w:tcBorders>
              <w:top w:val="nil"/>
              <w:left w:val="nil"/>
              <w:bottom w:val="single" w:sz="4" w:space="0" w:color="auto"/>
              <w:right w:val="single" w:sz="4" w:space="0" w:color="auto"/>
            </w:tcBorders>
            <w:shd w:val="clear" w:color="auto" w:fill="auto"/>
            <w:noWrap/>
            <w:vAlign w:val="center"/>
            <w:hideMark/>
          </w:tcPr>
          <w:p w14:paraId="18C2A8C4" w14:textId="77777777" w:rsidR="002B4D4D" w:rsidRPr="002B4D4D" w:rsidRDefault="002B4D4D" w:rsidP="001733C9">
            <w:pPr>
              <w:jc w:val="right"/>
              <w:rPr>
                <w:color w:val="000000"/>
                <w:sz w:val="22"/>
                <w:szCs w:val="22"/>
              </w:rPr>
            </w:pPr>
            <w:r w:rsidRPr="002B4D4D">
              <w:rPr>
                <w:color w:val="000000"/>
                <w:sz w:val="22"/>
                <w:szCs w:val="22"/>
              </w:rPr>
              <w:t>99%</w:t>
            </w:r>
          </w:p>
        </w:tc>
      </w:tr>
      <w:tr w:rsidR="002B4D4D" w:rsidRPr="002B4D4D" w14:paraId="4FCC42C5"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98019C9" w14:textId="77777777" w:rsidR="002B4D4D" w:rsidRPr="002B4D4D" w:rsidRDefault="002B4D4D" w:rsidP="001733C9">
            <w:pPr>
              <w:jc w:val="both"/>
              <w:rPr>
                <w:color w:val="000000"/>
                <w:sz w:val="22"/>
                <w:szCs w:val="22"/>
              </w:rPr>
            </w:pPr>
            <w:r w:rsidRPr="002B4D4D">
              <w:rPr>
                <w:color w:val="000000"/>
                <w:sz w:val="22"/>
                <w:szCs w:val="22"/>
              </w:rPr>
              <w:t>Национальный проект "Международная кооперация и экспорт"</w:t>
            </w:r>
          </w:p>
        </w:tc>
        <w:tc>
          <w:tcPr>
            <w:tcW w:w="1560" w:type="dxa"/>
            <w:tcBorders>
              <w:top w:val="nil"/>
              <w:left w:val="nil"/>
              <w:bottom w:val="single" w:sz="4" w:space="0" w:color="auto"/>
              <w:right w:val="single" w:sz="4" w:space="0" w:color="auto"/>
            </w:tcBorders>
            <w:shd w:val="clear" w:color="000000" w:fill="FFFFFF"/>
            <w:vAlign w:val="center"/>
            <w:hideMark/>
          </w:tcPr>
          <w:p w14:paraId="026A06F8" w14:textId="77777777" w:rsidR="002B4D4D" w:rsidRPr="002B4D4D" w:rsidRDefault="002B4D4D" w:rsidP="001733C9">
            <w:pPr>
              <w:jc w:val="right"/>
              <w:rPr>
                <w:color w:val="000000"/>
                <w:sz w:val="22"/>
                <w:szCs w:val="22"/>
              </w:rPr>
            </w:pPr>
            <w:r w:rsidRPr="002B4D4D">
              <w:rPr>
                <w:color w:val="000000"/>
                <w:sz w:val="22"/>
                <w:szCs w:val="22"/>
              </w:rPr>
              <w:t>126,43</w:t>
            </w:r>
          </w:p>
        </w:tc>
        <w:tc>
          <w:tcPr>
            <w:tcW w:w="1418" w:type="dxa"/>
            <w:tcBorders>
              <w:top w:val="nil"/>
              <w:left w:val="nil"/>
              <w:bottom w:val="single" w:sz="4" w:space="0" w:color="auto"/>
              <w:right w:val="single" w:sz="4" w:space="0" w:color="auto"/>
            </w:tcBorders>
            <w:shd w:val="clear" w:color="auto" w:fill="auto"/>
            <w:noWrap/>
            <w:vAlign w:val="center"/>
            <w:hideMark/>
          </w:tcPr>
          <w:p w14:paraId="389A0E7E"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56%</w:t>
            </w:r>
          </w:p>
        </w:tc>
        <w:tc>
          <w:tcPr>
            <w:tcW w:w="1559" w:type="dxa"/>
            <w:tcBorders>
              <w:top w:val="nil"/>
              <w:left w:val="nil"/>
              <w:bottom w:val="single" w:sz="4" w:space="0" w:color="auto"/>
              <w:right w:val="single" w:sz="4" w:space="0" w:color="auto"/>
            </w:tcBorders>
            <w:shd w:val="clear" w:color="auto" w:fill="auto"/>
            <w:noWrap/>
            <w:vAlign w:val="center"/>
            <w:hideMark/>
          </w:tcPr>
          <w:p w14:paraId="092ACCAC"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73%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9FAA53F" w14:textId="77777777" w:rsidR="002B4D4D" w:rsidRPr="002B4D4D" w:rsidRDefault="002B4D4D" w:rsidP="001733C9">
            <w:pPr>
              <w:jc w:val="right"/>
              <w:rPr>
                <w:color w:val="000000"/>
                <w:sz w:val="22"/>
                <w:szCs w:val="22"/>
              </w:rPr>
            </w:pPr>
            <w:r w:rsidRPr="002B4D4D">
              <w:rPr>
                <w:color w:val="000000"/>
                <w:sz w:val="22"/>
                <w:szCs w:val="22"/>
              </w:rPr>
              <w:t>157,88</w:t>
            </w:r>
          </w:p>
        </w:tc>
        <w:tc>
          <w:tcPr>
            <w:tcW w:w="1559" w:type="dxa"/>
            <w:tcBorders>
              <w:top w:val="nil"/>
              <w:left w:val="nil"/>
              <w:bottom w:val="single" w:sz="4" w:space="0" w:color="auto"/>
              <w:right w:val="single" w:sz="4" w:space="0" w:color="auto"/>
            </w:tcBorders>
            <w:shd w:val="clear" w:color="auto" w:fill="auto"/>
            <w:noWrap/>
            <w:vAlign w:val="center"/>
            <w:hideMark/>
          </w:tcPr>
          <w:p w14:paraId="2FA235A8"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72%</w:t>
            </w:r>
          </w:p>
        </w:tc>
        <w:tc>
          <w:tcPr>
            <w:tcW w:w="1701" w:type="dxa"/>
            <w:tcBorders>
              <w:top w:val="nil"/>
              <w:left w:val="nil"/>
              <w:bottom w:val="single" w:sz="4" w:space="0" w:color="auto"/>
              <w:right w:val="single" w:sz="4" w:space="0" w:color="auto"/>
            </w:tcBorders>
            <w:shd w:val="clear" w:color="auto" w:fill="auto"/>
            <w:noWrap/>
            <w:vAlign w:val="center"/>
            <w:hideMark/>
          </w:tcPr>
          <w:p w14:paraId="7CF14AB7"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FF0000"/>
                <w:sz w:val="22"/>
                <w:szCs w:val="22"/>
              </w:rPr>
              <w:t xml:space="preserve"> </w:t>
            </w:r>
            <w:r w:rsidRPr="002B4D4D">
              <w:rPr>
                <w:color w:val="000000"/>
                <w:sz w:val="22"/>
                <w:szCs w:val="22"/>
              </w:rPr>
              <w:t>79%</w:t>
            </w:r>
          </w:p>
        </w:tc>
      </w:tr>
      <w:tr w:rsidR="002B4D4D" w:rsidRPr="002B4D4D" w14:paraId="70B105FF"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A2A55CE" w14:textId="77777777" w:rsidR="002B4D4D" w:rsidRPr="002B4D4D" w:rsidRDefault="002B4D4D" w:rsidP="001733C9">
            <w:pPr>
              <w:jc w:val="both"/>
              <w:rPr>
                <w:color w:val="000000"/>
                <w:sz w:val="22"/>
                <w:szCs w:val="22"/>
              </w:rPr>
            </w:pPr>
            <w:r w:rsidRPr="002B4D4D">
              <w:rPr>
                <w:color w:val="000000"/>
                <w:sz w:val="22"/>
                <w:szCs w:val="22"/>
              </w:rPr>
              <w:t>Комплексный план модернизации и расширения магистральной инфраструктуры</w:t>
            </w:r>
          </w:p>
        </w:tc>
        <w:tc>
          <w:tcPr>
            <w:tcW w:w="1560" w:type="dxa"/>
            <w:tcBorders>
              <w:top w:val="nil"/>
              <w:left w:val="nil"/>
              <w:bottom w:val="single" w:sz="4" w:space="0" w:color="auto"/>
              <w:right w:val="single" w:sz="4" w:space="0" w:color="auto"/>
            </w:tcBorders>
            <w:shd w:val="clear" w:color="000000" w:fill="FFFFFF"/>
            <w:vAlign w:val="center"/>
            <w:hideMark/>
          </w:tcPr>
          <w:p w14:paraId="752AC2A8" w14:textId="77777777" w:rsidR="002B4D4D" w:rsidRPr="002B4D4D" w:rsidRDefault="002B4D4D" w:rsidP="001733C9">
            <w:pPr>
              <w:jc w:val="right"/>
              <w:rPr>
                <w:color w:val="000000"/>
                <w:sz w:val="22"/>
                <w:szCs w:val="22"/>
              </w:rPr>
            </w:pPr>
            <w:r w:rsidRPr="002B4D4D">
              <w:rPr>
                <w:color w:val="000000"/>
                <w:sz w:val="22"/>
                <w:szCs w:val="22"/>
              </w:rPr>
              <w:t>129,36</w:t>
            </w:r>
          </w:p>
        </w:tc>
        <w:tc>
          <w:tcPr>
            <w:tcW w:w="1418" w:type="dxa"/>
            <w:tcBorders>
              <w:top w:val="nil"/>
              <w:left w:val="nil"/>
              <w:bottom w:val="single" w:sz="4" w:space="0" w:color="auto"/>
              <w:right w:val="single" w:sz="4" w:space="0" w:color="auto"/>
            </w:tcBorders>
            <w:shd w:val="clear" w:color="auto" w:fill="auto"/>
            <w:noWrap/>
            <w:vAlign w:val="center"/>
            <w:hideMark/>
          </w:tcPr>
          <w:p w14:paraId="047AACC8"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19%</w:t>
            </w:r>
          </w:p>
        </w:tc>
        <w:tc>
          <w:tcPr>
            <w:tcW w:w="1559" w:type="dxa"/>
            <w:tcBorders>
              <w:top w:val="nil"/>
              <w:left w:val="nil"/>
              <w:bottom w:val="single" w:sz="4" w:space="0" w:color="auto"/>
              <w:right w:val="single" w:sz="4" w:space="0" w:color="auto"/>
            </w:tcBorders>
            <w:shd w:val="clear" w:color="auto" w:fill="auto"/>
            <w:noWrap/>
            <w:vAlign w:val="center"/>
            <w:hideMark/>
          </w:tcPr>
          <w:p w14:paraId="714330F9"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45%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9BAA2C3" w14:textId="77777777" w:rsidR="002B4D4D" w:rsidRPr="002B4D4D" w:rsidRDefault="002B4D4D" w:rsidP="001733C9">
            <w:pPr>
              <w:jc w:val="right"/>
              <w:rPr>
                <w:color w:val="000000"/>
                <w:sz w:val="22"/>
                <w:szCs w:val="22"/>
              </w:rPr>
            </w:pPr>
            <w:r w:rsidRPr="002B4D4D">
              <w:rPr>
                <w:color w:val="000000"/>
                <w:sz w:val="22"/>
                <w:szCs w:val="22"/>
              </w:rPr>
              <w:t>111,54</w:t>
            </w:r>
          </w:p>
        </w:tc>
        <w:tc>
          <w:tcPr>
            <w:tcW w:w="1559" w:type="dxa"/>
            <w:tcBorders>
              <w:top w:val="nil"/>
              <w:left w:val="nil"/>
              <w:bottom w:val="single" w:sz="4" w:space="0" w:color="auto"/>
              <w:right w:val="single" w:sz="4" w:space="0" w:color="auto"/>
            </w:tcBorders>
            <w:shd w:val="clear" w:color="auto" w:fill="auto"/>
            <w:noWrap/>
            <w:vAlign w:val="center"/>
            <w:hideMark/>
          </w:tcPr>
          <w:p w14:paraId="4802F8AB"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89%</w:t>
            </w:r>
          </w:p>
        </w:tc>
        <w:tc>
          <w:tcPr>
            <w:tcW w:w="1701" w:type="dxa"/>
            <w:tcBorders>
              <w:top w:val="nil"/>
              <w:left w:val="nil"/>
              <w:bottom w:val="single" w:sz="4" w:space="0" w:color="auto"/>
              <w:right w:val="single" w:sz="4" w:space="0" w:color="auto"/>
            </w:tcBorders>
            <w:shd w:val="clear" w:color="auto" w:fill="auto"/>
            <w:noWrap/>
            <w:vAlign w:val="center"/>
            <w:hideMark/>
          </w:tcPr>
          <w:p w14:paraId="350A8C31" w14:textId="77777777" w:rsidR="002B4D4D" w:rsidRPr="002B4D4D" w:rsidRDefault="002B4D4D" w:rsidP="001733C9">
            <w:pPr>
              <w:jc w:val="right"/>
              <w:rPr>
                <w:color w:val="000000"/>
                <w:sz w:val="22"/>
                <w:szCs w:val="22"/>
              </w:rPr>
            </w:pPr>
            <w:r w:rsidRPr="002B4D4D">
              <w:rPr>
                <w:color w:val="00B050"/>
                <w:sz w:val="22"/>
                <w:szCs w:val="22"/>
              </w:rPr>
              <w:sym w:font="Symbol" w:char="F0AD"/>
            </w:r>
            <w:r w:rsidRPr="002B4D4D">
              <w:rPr>
                <w:color w:val="000000"/>
                <w:sz w:val="22"/>
                <w:szCs w:val="22"/>
              </w:rPr>
              <w:t xml:space="preserve"> 125%</w:t>
            </w:r>
          </w:p>
        </w:tc>
      </w:tr>
      <w:tr w:rsidR="002B4D4D" w:rsidRPr="002B4D4D" w14:paraId="26752821" w14:textId="77777777" w:rsidTr="001733C9">
        <w:trPr>
          <w:trHeight w:val="2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23FEB71" w14:textId="77777777" w:rsidR="002B4D4D" w:rsidRPr="002B4D4D" w:rsidRDefault="002B4D4D" w:rsidP="001733C9">
            <w:pPr>
              <w:jc w:val="both"/>
              <w:rPr>
                <w:color w:val="000000"/>
                <w:sz w:val="22"/>
                <w:szCs w:val="22"/>
              </w:rPr>
            </w:pPr>
            <w:r w:rsidRPr="002B4D4D">
              <w:rPr>
                <w:color w:val="000000"/>
                <w:sz w:val="22"/>
                <w:szCs w:val="22"/>
              </w:rPr>
              <w:t>Национальный проект "Туризм и индустрия гостеприимства"</w:t>
            </w:r>
          </w:p>
        </w:tc>
        <w:tc>
          <w:tcPr>
            <w:tcW w:w="1560" w:type="dxa"/>
            <w:tcBorders>
              <w:top w:val="nil"/>
              <w:left w:val="nil"/>
              <w:bottom w:val="single" w:sz="4" w:space="0" w:color="auto"/>
              <w:right w:val="single" w:sz="4" w:space="0" w:color="auto"/>
            </w:tcBorders>
            <w:shd w:val="clear" w:color="000000" w:fill="FFFFFF"/>
            <w:vAlign w:val="center"/>
            <w:hideMark/>
          </w:tcPr>
          <w:p w14:paraId="793825CA" w14:textId="77777777" w:rsidR="002B4D4D" w:rsidRPr="002B4D4D" w:rsidRDefault="002B4D4D" w:rsidP="001733C9">
            <w:pPr>
              <w:jc w:val="right"/>
              <w:rPr>
                <w:color w:val="000000"/>
                <w:sz w:val="22"/>
                <w:szCs w:val="22"/>
              </w:rPr>
            </w:pPr>
            <w:r w:rsidRPr="002B4D4D">
              <w:rPr>
                <w:color w:val="000000"/>
                <w:sz w:val="22"/>
                <w:szCs w:val="22"/>
              </w:rPr>
              <w:t>48,18</w:t>
            </w:r>
          </w:p>
        </w:tc>
        <w:tc>
          <w:tcPr>
            <w:tcW w:w="1418" w:type="dxa"/>
            <w:tcBorders>
              <w:top w:val="nil"/>
              <w:left w:val="nil"/>
              <w:bottom w:val="single" w:sz="4" w:space="0" w:color="auto"/>
              <w:right w:val="single" w:sz="4" w:space="0" w:color="auto"/>
            </w:tcBorders>
            <w:shd w:val="clear" w:color="auto" w:fill="auto"/>
            <w:noWrap/>
            <w:vAlign w:val="center"/>
            <w:hideMark/>
          </w:tcPr>
          <w:p w14:paraId="7A0EAB1E" w14:textId="77777777" w:rsidR="002B4D4D" w:rsidRPr="002B4D4D" w:rsidRDefault="002B4D4D" w:rsidP="001733C9">
            <w:pPr>
              <w:jc w:val="right"/>
              <w:rPr>
                <w:color w:val="000000"/>
                <w:sz w:val="22"/>
                <w:szCs w:val="22"/>
              </w:rPr>
            </w:pPr>
            <w:r w:rsidRPr="002B4D4D">
              <w:rPr>
                <w:color w:val="000000"/>
                <w:sz w:val="22"/>
                <w:szCs w:val="22"/>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FC79E1A"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8091D31" w14:textId="77777777" w:rsidR="002B4D4D" w:rsidRPr="002B4D4D" w:rsidRDefault="002B4D4D" w:rsidP="001733C9">
            <w:pPr>
              <w:jc w:val="right"/>
              <w:rPr>
                <w:color w:val="000000"/>
                <w:sz w:val="22"/>
                <w:szCs w:val="22"/>
              </w:rPr>
            </w:pPr>
            <w:r w:rsidRPr="002B4D4D">
              <w:rPr>
                <w:color w:val="000000"/>
                <w:sz w:val="22"/>
                <w:szCs w:val="22"/>
              </w:rPr>
              <w:t>47,69</w:t>
            </w:r>
          </w:p>
        </w:tc>
        <w:tc>
          <w:tcPr>
            <w:tcW w:w="1559" w:type="dxa"/>
            <w:tcBorders>
              <w:top w:val="nil"/>
              <w:left w:val="nil"/>
              <w:bottom w:val="single" w:sz="4" w:space="0" w:color="auto"/>
              <w:right w:val="single" w:sz="4" w:space="0" w:color="auto"/>
            </w:tcBorders>
            <w:shd w:val="clear" w:color="auto" w:fill="auto"/>
            <w:noWrap/>
            <w:vAlign w:val="center"/>
            <w:hideMark/>
          </w:tcPr>
          <w:p w14:paraId="20B1C129"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83%</w:t>
            </w:r>
          </w:p>
        </w:tc>
        <w:tc>
          <w:tcPr>
            <w:tcW w:w="1701" w:type="dxa"/>
            <w:tcBorders>
              <w:top w:val="nil"/>
              <w:left w:val="nil"/>
              <w:bottom w:val="single" w:sz="4" w:space="0" w:color="auto"/>
              <w:right w:val="single" w:sz="4" w:space="0" w:color="auto"/>
            </w:tcBorders>
            <w:shd w:val="clear" w:color="auto" w:fill="auto"/>
            <w:noWrap/>
            <w:vAlign w:val="center"/>
            <w:hideMark/>
          </w:tcPr>
          <w:p w14:paraId="5E4C0BFF" w14:textId="77777777" w:rsidR="002B4D4D" w:rsidRPr="002B4D4D" w:rsidRDefault="002B4D4D" w:rsidP="001733C9">
            <w:pPr>
              <w:jc w:val="right"/>
              <w:rPr>
                <w:color w:val="000000"/>
                <w:sz w:val="22"/>
                <w:szCs w:val="22"/>
              </w:rPr>
            </w:pPr>
            <w:r w:rsidRPr="002B4D4D">
              <w:rPr>
                <w:color w:val="FF0000"/>
                <w:sz w:val="22"/>
                <w:szCs w:val="22"/>
              </w:rPr>
              <w:sym w:font="Symbol" w:char="F0AF"/>
            </w:r>
            <w:r w:rsidRPr="002B4D4D">
              <w:rPr>
                <w:color w:val="000000"/>
                <w:sz w:val="22"/>
                <w:szCs w:val="22"/>
              </w:rPr>
              <w:t xml:space="preserve"> 83%</w:t>
            </w:r>
          </w:p>
        </w:tc>
      </w:tr>
    </w:tbl>
    <w:p w14:paraId="1AAEDBB2" w14:textId="77777777" w:rsidR="002B4D4D" w:rsidRPr="002B4D4D" w:rsidRDefault="002B4D4D" w:rsidP="002B4D4D">
      <w:pPr>
        <w:pStyle w:val="ae"/>
        <w:rPr>
          <w:i/>
          <w:iCs/>
          <w:sz w:val="24"/>
          <w:szCs w:val="24"/>
        </w:rPr>
      </w:pPr>
      <w:r w:rsidRPr="002B4D4D">
        <w:rPr>
          <w:bCs/>
          <w:i/>
          <w:iCs/>
          <w:sz w:val="24"/>
          <w:szCs w:val="24"/>
        </w:rPr>
        <w:t xml:space="preserve">Источник: составлено </w:t>
      </w:r>
      <w:r w:rsidRPr="002B4D4D">
        <w:rPr>
          <w:i/>
          <w:iCs/>
          <w:sz w:val="24"/>
          <w:szCs w:val="24"/>
        </w:rPr>
        <w:t>на основе данных законопроекта, данных федерального закона от 06.12.2021 №390-ФЗ «О федеральном бюджете на 2022 год и на плановый период 2023 и 2024 годов» и данных паспортов государственных программ</w:t>
      </w:r>
    </w:p>
    <w:p w14:paraId="412EEBD8" w14:textId="77777777" w:rsidR="002B4D4D" w:rsidRPr="004336CF" w:rsidRDefault="002B4D4D" w:rsidP="002B4D4D">
      <w:pPr>
        <w:spacing w:line="360" w:lineRule="auto"/>
        <w:jc w:val="both"/>
        <w:rPr>
          <w:bCs/>
          <w:i/>
          <w:iCs/>
          <w:sz w:val="24"/>
          <w:szCs w:val="24"/>
        </w:rPr>
        <w:sectPr w:rsidR="002B4D4D" w:rsidRPr="004336CF" w:rsidSect="001733C9">
          <w:pgSz w:w="16838" w:h="11906" w:orient="landscape"/>
          <w:pgMar w:top="1701" w:right="1134" w:bottom="851" w:left="1134" w:header="709" w:footer="709" w:gutter="0"/>
          <w:cols w:space="708"/>
          <w:docGrid w:linePitch="360"/>
        </w:sectPr>
      </w:pPr>
    </w:p>
    <w:p w14:paraId="6A524973" w14:textId="77777777" w:rsidR="002B4D4D" w:rsidRDefault="002B4D4D" w:rsidP="002B4D4D">
      <w:pPr>
        <w:spacing w:line="360" w:lineRule="auto"/>
        <w:ind w:firstLine="709"/>
        <w:jc w:val="both"/>
        <w:rPr>
          <w:bCs/>
          <w:sz w:val="24"/>
          <w:szCs w:val="32"/>
        </w:rPr>
      </w:pPr>
      <w:r>
        <w:rPr>
          <w:bCs/>
          <w:sz w:val="24"/>
          <w:szCs w:val="32"/>
        </w:rPr>
        <w:lastRenderedPageBreak/>
        <w:t>Негативно следует оценить существенное недофинансирование нацп</w:t>
      </w:r>
      <w:r w:rsidRPr="005C2D8D">
        <w:rPr>
          <w:bCs/>
          <w:sz w:val="24"/>
          <w:szCs w:val="32"/>
        </w:rPr>
        <w:t>роект</w:t>
      </w:r>
      <w:r>
        <w:rPr>
          <w:bCs/>
          <w:sz w:val="24"/>
          <w:szCs w:val="32"/>
        </w:rPr>
        <w:t>а</w:t>
      </w:r>
      <w:r w:rsidRPr="005C2D8D">
        <w:rPr>
          <w:bCs/>
          <w:sz w:val="24"/>
          <w:szCs w:val="32"/>
        </w:rPr>
        <w:t xml:space="preserve"> «Производительность труда» </w:t>
      </w:r>
      <w:r>
        <w:rPr>
          <w:bCs/>
          <w:sz w:val="24"/>
          <w:szCs w:val="32"/>
        </w:rPr>
        <w:t xml:space="preserve">на уровне </w:t>
      </w:r>
      <w:r w:rsidRPr="005C2D8D">
        <w:rPr>
          <w:bCs/>
          <w:sz w:val="24"/>
          <w:szCs w:val="32"/>
        </w:rPr>
        <w:t>10–25%</w:t>
      </w:r>
      <w:r>
        <w:rPr>
          <w:bCs/>
          <w:sz w:val="24"/>
          <w:szCs w:val="32"/>
        </w:rPr>
        <w:t xml:space="preserve"> от утвержденных ранее значений в 2023–2024 годах</w:t>
      </w:r>
      <w:r w:rsidRPr="005C2D8D">
        <w:rPr>
          <w:bCs/>
          <w:sz w:val="24"/>
          <w:szCs w:val="32"/>
        </w:rPr>
        <w:t>.</w:t>
      </w:r>
      <w:r>
        <w:rPr>
          <w:bCs/>
          <w:sz w:val="24"/>
          <w:szCs w:val="32"/>
        </w:rPr>
        <w:t xml:space="preserve"> Кроме того, актуальной проблемой является неравномерное распределение средств внутри нацпроектов между программами. Так нацпроекта «</w:t>
      </w:r>
      <w:r w:rsidRPr="004250FD">
        <w:rPr>
          <w:bCs/>
          <w:sz w:val="24"/>
          <w:szCs w:val="32"/>
        </w:rPr>
        <w:t>Наука и университеты»</w:t>
      </w:r>
      <w:r>
        <w:rPr>
          <w:bCs/>
          <w:sz w:val="24"/>
          <w:szCs w:val="32"/>
        </w:rPr>
        <w:t xml:space="preserve"> содержит </w:t>
      </w:r>
      <w:r w:rsidRPr="002618BA">
        <w:rPr>
          <w:bCs/>
          <w:sz w:val="24"/>
          <w:szCs w:val="32"/>
        </w:rPr>
        <w:t xml:space="preserve">Федеральный проект </w:t>
      </w:r>
      <w:r>
        <w:rPr>
          <w:bCs/>
          <w:sz w:val="24"/>
          <w:szCs w:val="32"/>
        </w:rPr>
        <w:t>«</w:t>
      </w:r>
      <w:r w:rsidRPr="002618BA">
        <w:rPr>
          <w:bCs/>
          <w:sz w:val="24"/>
          <w:szCs w:val="32"/>
        </w:rPr>
        <w:t>Развитие масштабных научных и научно-технологических проектов по приоритетным исследовательским направлениям</w:t>
      </w:r>
      <w:r>
        <w:rPr>
          <w:bCs/>
          <w:sz w:val="24"/>
          <w:szCs w:val="32"/>
        </w:rPr>
        <w:t xml:space="preserve">», финансирование по которому составит 90% от ранее заложенных в Федеральном законе №390-ФЗ, а также </w:t>
      </w:r>
      <w:r w:rsidRPr="00A24092">
        <w:rPr>
          <w:bCs/>
          <w:sz w:val="24"/>
          <w:szCs w:val="32"/>
        </w:rPr>
        <w:t xml:space="preserve">Федеральный проект </w:t>
      </w:r>
      <w:r>
        <w:rPr>
          <w:bCs/>
          <w:sz w:val="24"/>
          <w:szCs w:val="32"/>
        </w:rPr>
        <w:t>«</w:t>
      </w:r>
      <w:r w:rsidRPr="00A24092">
        <w:rPr>
          <w:bCs/>
          <w:sz w:val="24"/>
          <w:szCs w:val="32"/>
        </w:rPr>
        <w:t>Развитие человеческого капитала в интересах регионов, отраслей и сектора исследований и разработок</w:t>
      </w:r>
      <w:r>
        <w:rPr>
          <w:bCs/>
          <w:sz w:val="24"/>
          <w:szCs w:val="32"/>
        </w:rPr>
        <w:t xml:space="preserve">» с объемом плановых ассигнований </w:t>
      </w:r>
      <w:r w:rsidRPr="00A24092">
        <w:rPr>
          <w:bCs/>
          <w:sz w:val="24"/>
          <w:szCs w:val="32"/>
        </w:rPr>
        <w:t>155,3</w:t>
      </w:r>
      <w:r>
        <w:rPr>
          <w:bCs/>
          <w:sz w:val="24"/>
          <w:szCs w:val="32"/>
        </w:rPr>
        <w:t xml:space="preserve">% и </w:t>
      </w:r>
      <w:r w:rsidRPr="00A24092">
        <w:rPr>
          <w:bCs/>
          <w:sz w:val="24"/>
          <w:szCs w:val="32"/>
        </w:rPr>
        <w:t>239,3</w:t>
      </w:r>
      <w:r>
        <w:rPr>
          <w:bCs/>
          <w:sz w:val="24"/>
          <w:szCs w:val="32"/>
        </w:rPr>
        <w:t>% в 2023 и 2024 годах соответственно.</w:t>
      </w:r>
    </w:p>
    <w:p w14:paraId="1F9EDAD4" w14:textId="5285E24B" w:rsidR="002B4D4D" w:rsidRDefault="002B4D4D" w:rsidP="002B4D4D">
      <w:pPr>
        <w:spacing w:line="360" w:lineRule="auto"/>
        <w:ind w:firstLine="709"/>
        <w:jc w:val="both"/>
        <w:rPr>
          <w:bCs/>
          <w:sz w:val="24"/>
          <w:szCs w:val="32"/>
        </w:rPr>
      </w:pPr>
      <w:r>
        <w:rPr>
          <w:bCs/>
          <w:sz w:val="24"/>
          <w:szCs w:val="32"/>
        </w:rPr>
        <w:t xml:space="preserve">В целом проведенная оценка выявила </w:t>
      </w:r>
      <w:r w:rsidRPr="00316FDF">
        <w:rPr>
          <w:bCs/>
          <w:sz w:val="24"/>
          <w:szCs w:val="32"/>
        </w:rPr>
        <w:t>существенн</w:t>
      </w:r>
      <w:r>
        <w:rPr>
          <w:bCs/>
          <w:sz w:val="24"/>
          <w:szCs w:val="32"/>
        </w:rPr>
        <w:t>ую</w:t>
      </w:r>
      <w:r w:rsidRPr="00316FDF">
        <w:rPr>
          <w:bCs/>
          <w:sz w:val="24"/>
          <w:szCs w:val="32"/>
        </w:rPr>
        <w:t xml:space="preserve"> корректировк</w:t>
      </w:r>
      <w:r>
        <w:rPr>
          <w:bCs/>
          <w:sz w:val="24"/>
          <w:szCs w:val="32"/>
        </w:rPr>
        <w:t>у</w:t>
      </w:r>
      <w:r w:rsidRPr="00316FDF">
        <w:rPr>
          <w:bCs/>
          <w:sz w:val="24"/>
          <w:szCs w:val="32"/>
        </w:rPr>
        <w:t xml:space="preserve"> и уточнение показателей бюджетных ассигнований на реализацию </w:t>
      </w:r>
      <w:r>
        <w:rPr>
          <w:bCs/>
          <w:sz w:val="24"/>
          <w:szCs w:val="32"/>
        </w:rPr>
        <w:t xml:space="preserve">практически всех </w:t>
      </w:r>
      <w:r w:rsidRPr="00316FDF">
        <w:rPr>
          <w:bCs/>
          <w:sz w:val="24"/>
          <w:szCs w:val="32"/>
        </w:rPr>
        <w:t>приоритетных национальных проектов в 202</w:t>
      </w:r>
      <w:r w:rsidRPr="0034753A">
        <w:rPr>
          <w:bCs/>
          <w:sz w:val="24"/>
          <w:szCs w:val="32"/>
        </w:rPr>
        <w:t>3 и 2024</w:t>
      </w:r>
      <w:r w:rsidRPr="00316FDF">
        <w:rPr>
          <w:bCs/>
          <w:sz w:val="24"/>
          <w:szCs w:val="32"/>
        </w:rPr>
        <w:t xml:space="preserve"> год</w:t>
      </w:r>
      <w:r w:rsidRPr="0034753A">
        <w:rPr>
          <w:bCs/>
          <w:sz w:val="24"/>
          <w:szCs w:val="32"/>
        </w:rPr>
        <w:t>ах</w:t>
      </w:r>
      <w:r>
        <w:rPr>
          <w:bCs/>
          <w:sz w:val="24"/>
          <w:szCs w:val="32"/>
        </w:rPr>
        <w:t xml:space="preserve"> (табл. 4)</w:t>
      </w:r>
      <w:r w:rsidRPr="0034753A">
        <w:rPr>
          <w:bCs/>
          <w:sz w:val="24"/>
          <w:szCs w:val="32"/>
        </w:rPr>
        <w:t>.</w:t>
      </w:r>
      <w:r w:rsidRPr="00316FDF">
        <w:rPr>
          <w:bCs/>
          <w:sz w:val="24"/>
          <w:szCs w:val="32"/>
        </w:rPr>
        <w:t xml:space="preserve"> В первую очередь, это связано </w:t>
      </w:r>
      <w:r w:rsidRPr="0034753A">
        <w:rPr>
          <w:bCs/>
          <w:sz w:val="24"/>
          <w:szCs w:val="32"/>
        </w:rPr>
        <w:t>адаптаци</w:t>
      </w:r>
      <w:r>
        <w:rPr>
          <w:bCs/>
          <w:sz w:val="24"/>
          <w:szCs w:val="32"/>
        </w:rPr>
        <w:t>ей</w:t>
      </w:r>
      <w:r w:rsidRPr="0034753A">
        <w:rPr>
          <w:bCs/>
          <w:sz w:val="24"/>
          <w:szCs w:val="32"/>
        </w:rPr>
        <w:t xml:space="preserve"> экономики к новым условиям</w:t>
      </w:r>
      <w:r w:rsidRPr="00316FDF">
        <w:rPr>
          <w:bCs/>
          <w:sz w:val="24"/>
          <w:szCs w:val="32"/>
        </w:rPr>
        <w:t xml:space="preserve">, а также с </w:t>
      </w:r>
      <w:r w:rsidRPr="0034753A">
        <w:rPr>
          <w:bCs/>
          <w:sz w:val="24"/>
          <w:szCs w:val="32"/>
        </w:rPr>
        <w:t>завершением</w:t>
      </w:r>
      <w:r w:rsidRPr="00316FDF">
        <w:rPr>
          <w:bCs/>
          <w:sz w:val="24"/>
          <w:szCs w:val="32"/>
        </w:rPr>
        <w:t xml:space="preserve"> реализации национальных проектов в 2024 году.</w:t>
      </w:r>
    </w:p>
    <w:p w14:paraId="2C3DBE46" w14:textId="7D3AC9AD" w:rsidR="002B4D4D" w:rsidRDefault="002B4D4D" w:rsidP="002B4D4D">
      <w:pPr>
        <w:spacing w:line="360" w:lineRule="auto"/>
        <w:ind w:firstLine="709"/>
        <w:jc w:val="both"/>
        <w:rPr>
          <w:bCs/>
          <w:sz w:val="24"/>
          <w:szCs w:val="32"/>
        </w:rPr>
      </w:pPr>
      <w:r w:rsidRPr="00B841B1">
        <w:rPr>
          <w:bCs/>
          <w:sz w:val="24"/>
          <w:szCs w:val="32"/>
        </w:rPr>
        <w:t xml:space="preserve">Кроме того, следует </w:t>
      </w:r>
      <w:r>
        <w:rPr>
          <w:bCs/>
          <w:sz w:val="24"/>
          <w:szCs w:val="32"/>
        </w:rPr>
        <w:t xml:space="preserve">положительно оценить </w:t>
      </w:r>
      <w:r w:rsidRPr="00B841B1">
        <w:rPr>
          <w:bCs/>
          <w:sz w:val="24"/>
          <w:szCs w:val="32"/>
        </w:rPr>
        <w:t>существенный рост исполнения национальных проектов в 2021 году, по сравнению с предыдущими периодами. Так, п</w:t>
      </w:r>
      <w:r w:rsidRPr="00316FDF">
        <w:rPr>
          <w:bCs/>
          <w:sz w:val="24"/>
          <w:szCs w:val="32"/>
        </w:rPr>
        <w:t xml:space="preserve">о состоянию на 1 января 2022 года исполнение </w:t>
      </w:r>
      <w:r w:rsidRPr="00B841B1">
        <w:rPr>
          <w:bCs/>
          <w:sz w:val="24"/>
          <w:szCs w:val="32"/>
        </w:rPr>
        <w:t xml:space="preserve">национальных проектов в общей сложности </w:t>
      </w:r>
      <w:r w:rsidRPr="00316FDF">
        <w:rPr>
          <w:bCs/>
          <w:sz w:val="24"/>
          <w:szCs w:val="32"/>
        </w:rPr>
        <w:t xml:space="preserve">составило 2 549 </w:t>
      </w:r>
      <w:r w:rsidRPr="00B841B1">
        <w:rPr>
          <w:bCs/>
          <w:sz w:val="24"/>
          <w:szCs w:val="32"/>
        </w:rPr>
        <w:t>млрд</w:t>
      </w:r>
      <w:r w:rsidRPr="00316FDF">
        <w:rPr>
          <w:bCs/>
          <w:sz w:val="24"/>
          <w:szCs w:val="32"/>
        </w:rPr>
        <w:t xml:space="preserve"> рублей или 97,8 % от плановых назначений.</w:t>
      </w:r>
      <w:r w:rsidRPr="00B841B1">
        <w:rPr>
          <w:bCs/>
          <w:sz w:val="24"/>
          <w:szCs w:val="32"/>
        </w:rPr>
        <w:t xml:space="preserve"> Д</w:t>
      </w:r>
      <w:r w:rsidRPr="00316FDF">
        <w:rPr>
          <w:bCs/>
          <w:sz w:val="24"/>
          <w:szCs w:val="32"/>
        </w:rPr>
        <w:t xml:space="preserve">остигнутый уровень финансирования и исполнения национальных проектов </w:t>
      </w:r>
      <w:r w:rsidRPr="00B841B1">
        <w:rPr>
          <w:bCs/>
          <w:sz w:val="24"/>
          <w:szCs w:val="32"/>
        </w:rPr>
        <w:t xml:space="preserve">в настоящее время </w:t>
      </w:r>
      <w:r w:rsidRPr="00316FDF">
        <w:rPr>
          <w:bCs/>
          <w:sz w:val="24"/>
          <w:szCs w:val="32"/>
        </w:rPr>
        <w:t>обеспечивает начало структурной перестройки российской экономики</w:t>
      </w:r>
      <w:r w:rsidR="008F6714">
        <w:rPr>
          <w:bCs/>
          <w:sz w:val="24"/>
          <w:szCs w:val="32"/>
        </w:rPr>
        <w:t xml:space="preserve">. </w:t>
      </w:r>
      <w:r w:rsidR="008F6714" w:rsidRPr="00C32587">
        <w:rPr>
          <w:bCs/>
          <w:sz w:val="24"/>
          <w:szCs w:val="32"/>
        </w:rPr>
        <w:t xml:space="preserve">Вместе с тем </w:t>
      </w:r>
      <w:r w:rsidRPr="00C32587">
        <w:rPr>
          <w:bCs/>
          <w:sz w:val="24"/>
          <w:szCs w:val="32"/>
        </w:rPr>
        <w:t xml:space="preserve">сохраняются риски </w:t>
      </w:r>
      <w:r w:rsidR="00C32587" w:rsidRPr="00C32587">
        <w:rPr>
          <w:bCs/>
          <w:sz w:val="24"/>
          <w:szCs w:val="32"/>
        </w:rPr>
        <w:t>не</w:t>
      </w:r>
      <w:r w:rsidRPr="00C32587">
        <w:rPr>
          <w:bCs/>
          <w:sz w:val="24"/>
          <w:szCs w:val="32"/>
        </w:rPr>
        <w:t>полного достижения целей национального развития в</w:t>
      </w:r>
      <w:r>
        <w:rPr>
          <w:bCs/>
          <w:sz w:val="24"/>
          <w:szCs w:val="32"/>
        </w:rPr>
        <w:t xml:space="preserve"> связи с существенными отклонениями показателей финансирования нацпроектов от их объемов, утвержденных</w:t>
      </w:r>
      <w:r w:rsidRPr="00B4169D">
        <w:rPr>
          <w:bCs/>
          <w:sz w:val="24"/>
          <w:szCs w:val="32"/>
        </w:rPr>
        <w:t xml:space="preserve"> паспорт</w:t>
      </w:r>
      <w:r>
        <w:rPr>
          <w:bCs/>
          <w:sz w:val="24"/>
          <w:szCs w:val="32"/>
        </w:rPr>
        <w:t>ами</w:t>
      </w:r>
      <w:r w:rsidRPr="00B4169D">
        <w:rPr>
          <w:bCs/>
          <w:sz w:val="24"/>
          <w:szCs w:val="32"/>
        </w:rPr>
        <w:t xml:space="preserve"> нацпроектов</w:t>
      </w:r>
      <w:r>
        <w:rPr>
          <w:bCs/>
          <w:sz w:val="24"/>
          <w:szCs w:val="32"/>
        </w:rPr>
        <w:t>, а также от утвержденных в предыдущем бюджетном цикле проектировок</w:t>
      </w:r>
      <w:r w:rsidRPr="00B841B1">
        <w:rPr>
          <w:bCs/>
          <w:sz w:val="24"/>
          <w:szCs w:val="32"/>
        </w:rPr>
        <w:t>.</w:t>
      </w:r>
      <w:r w:rsidR="008F6714">
        <w:rPr>
          <w:bCs/>
          <w:sz w:val="24"/>
          <w:szCs w:val="32"/>
        </w:rPr>
        <w:t xml:space="preserve"> </w:t>
      </w:r>
    </w:p>
    <w:p w14:paraId="66C95F18" w14:textId="77777777" w:rsidR="00BC3C02" w:rsidRDefault="00BC3C02" w:rsidP="008553E6">
      <w:pPr>
        <w:spacing w:line="360" w:lineRule="auto"/>
        <w:jc w:val="both"/>
        <w:rPr>
          <w:bCs/>
          <w:sz w:val="24"/>
          <w:szCs w:val="32"/>
        </w:rPr>
      </w:pPr>
    </w:p>
    <w:p w14:paraId="6E5860C7" w14:textId="513FB2DD" w:rsidR="00C32587" w:rsidRPr="008553E6" w:rsidRDefault="002B4D4D" w:rsidP="008553E6">
      <w:pPr>
        <w:pStyle w:val="aa"/>
        <w:numPr>
          <w:ilvl w:val="0"/>
          <w:numId w:val="38"/>
        </w:numPr>
        <w:spacing w:line="360" w:lineRule="auto"/>
        <w:ind w:left="924" w:hanging="357"/>
        <w:rPr>
          <w:rFonts w:ascii="Times New Roman" w:hAnsi="Times New Roman"/>
          <w:b/>
          <w:i/>
          <w:iCs/>
          <w:sz w:val="24"/>
          <w:szCs w:val="32"/>
        </w:rPr>
      </w:pPr>
      <w:r w:rsidRPr="002B4D4D">
        <w:rPr>
          <w:rFonts w:ascii="Times New Roman" w:hAnsi="Times New Roman"/>
          <w:b/>
          <w:i/>
          <w:iCs/>
          <w:sz w:val="24"/>
          <w:szCs w:val="32"/>
        </w:rPr>
        <w:t>Программная структура расходов федерального бюджета на 2023 год и на плановый период 2024 и 2025 годов</w:t>
      </w:r>
    </w:p>
    <w:p w14:paraId="42E34AFB" w14:textId="77777777" w:rsidR="002B4D4D" w:rsidRDefault="002B4D4D" w:rsidP="002B4D4D">
      <w:pPr>
        <w:spacing w:line="360" w:lineRule="auto"/>
        <w:ind w:firstLine="709"/>
        <w:jc w:val="both"/>
        <w:rPr>
          <w:bCs/>
          <w:sz w:val="24"/>
          <w:szCs w:val="32"/>
        </w:rPr>
      </w:pPr>
      <w:r w:rsidRPr="009C587A">
        <w:rPr>
          <w:bCs/>
          <w:sz w:val="24"/>
          <w:szCs w:val="32"/>
        </w:rPr>
        <w:t>На достижение национальных целей развития ориентированы как национальные проекты, так и мероприятия государственных программ, реализация которых способствует достижению национальных целей в рамках Единого плана по достижению национальных целей развития на период до 2024 года и на плановый период до 2030 года.</w:t>
      </w:r>
    </w:p>
    <w:p w14:paraId="24C052F5" w14:textId="77777777" w:rsidR="002B4D4D" w:rsidRDefault="002B4D4D" w:rsidP="002B4D4D">
      <w:pPr>
        <w:spacing w:line="360" w:lineRule="auto"/>
        <w:ind w:firstLine="709"/>
        <w:jc w:val="both"/>
        <w:rPr>
          <w:bCs/>
          <w:sz w:val="24"/>
          <w:szCs w:val="32"/>
        </w:rPr>
      </w:pPr>
      <w:r w:rsidRPr="007D6314">
        <w:rPr>
          <w:bCs/>
          <w:sz w:val="24"/>
          <w:szCs w:val="32"/>
        </w:rPr>
        <w:t>Распоряжение</w:t>
      </w:r>
      <w:r>
        <w:rPr>
          <w:bCs/>
          <w:sz w:val="24"/>
          <w:szCs w:val="32"/>
        </w:rPr>
        <w:t xml:space="preserve">м </w:t>
      </w:r>
      <w:r w:rsidRPr="007D6314">
        <w:rPr>
          <w:bCs/>
          <w:sz w:val="24"/>
          <w:szCs w:val="32"/>
        </w:rPr>
        <w:t xml:space="preserve">Правительства РФ от 11.11.2010 </w:t>
      </w:r>
      <w:r>
        <w:rPr>
          <w:bCs/>
          <w:sz w:val="24"/>
          <w:szCs w:val="32"/>
        </w:rPr>
        <w:t>№</w:t>
      </w:r>
      <w:r w:rsidRPr="007D6314">
        <w:rPr>
          <w:bCs/>
          <w:sz w:val="24"/>
          <w:szCs w:val="32"/>
        </w:rPr>
        <w:t>1950-р</w:t>
      </w:r>
      <w:r>
        <w:rPr>
          <w:bCs/>
          <w:sz w:val="24"/>
          <w:szCs w:val="32"/>
        </w:rPr>
        <w:t xml:space="preserve"> «</w:t>
      </w:r>
      <w:r w:rsidRPr="007D6314">
        <w:rPr>
          <w:bCs/>
          <w:sz w:val="24"/>
          <w:szCs w:val="32"/>
        </w:rPr>
        <w:t>Об утверждении перечня государственных программ Российской Федерации</w:t>
      </w:r>
      <w:r>
        <w:rPr>
          <w:bCs/>
          <w:sz w:val="24"/>
          <w:szCs w:val="32"/>
        </w:rPr>
        <w:t xml:space="preserve">» было выделено 8 основных </w:t>
      </w:r>
      <w:r>
        <w:rPr>
          <w:bCs/>
          <w:sz w:val="24"/>
          <w:szCs w:val="32"/>
        </w:rPr>
        <w:lastRenderedPageBreak/>
        <w:t>программных направлений развития: с</w:t>
      </w:r>
      <w:r w:rsidRPr="00403B68">
        <w:rPr>
          <w:bCs/>
          <w:sz w:val="24"/>
          <w:szCs w:val="32"/>
        </w:rPr>
        <w:t>охранение населения, здоровье и благополучие людей (5 программ)</w:t>
      </w:r>
      <w:r>
        <w:rPr>
          <w:bCs/>
          <w:sz w:val="24"/>
          <w:szCs w:val="32"/>
        </w:rPr>
        <w:t>; в</w:t>
      </w:r>
      <w:r w:rsidRPr="00403B68">
        <w:rPr>
          <w:bCs/>
          <w:sz w:val="24"/>
          <w:szCs w:val="32"/>
        </w:rPr>
        <w:t>озможности для самореализации и развития талантов (4 программы)</w:t>
      </w:r>
      <w:r>
        <w:rPr>
          <w:bCs/>
          <w:sz w:val="24"/>
          <w:szCs w:val="32"/>
        </w:rPr>
        <w:t>; к</w:t>
      </w:r>
      <w:r w:rsidRPr="00403B68">
        <w:rPr>
          <w:bCs/>
          <w:sz w:val="24"/>
          <w:szCs w:val="32"/>
        </w:rPr>
        <w:t>омфортная и безопасная среда для жизни (8 программ)</w:t>
      </w:r>
      <w:r>
        <w:rPr>
          <w:bCs/>
          <w:sz w:val="24"/>
          <w:szCs w:val="32"/>
        </w:rPr>
        <w:t>; д</w:t>
      </w:r>
      <w:r w:rsidRPr="00403B68">
        <w:rPr>
          <w:bCs/>
          <w:sz w:val="24"/>
          <w:szCs w:val="32"/>
        </w:rPr>
        <w:t>остойный, эффективный труд и успешное предпринимательство (8 программ)</w:t>
      </w:r>
      <w:r>
        <w:rPr>
          <w:bCs/>
          <w:sz w:val="24"/>
          <w:szCs w:val="32"/>
        </w:rPr>
        <w:t>; р</w:t>
      </w:r>
      <w:r w:rsidRPr="00403B68">
        <w:rPr>
          <w:bCs/>
          <w:sz w:val="24"/>
          <w:szCs w:val="32"/>
        </w:rPr>
        <w:t>азвитие науки, промышленности и технологий (8 программ)</w:t>
      </w:r>
      <w:r>
        <w:rPr>
          <w:bCs/>
          <w:sz w:val="24"/>
          <w:szCs w:val="32"/>
        </w:rPr>
        <w:t>; ц</w:t>
      </w:r>
      <w:r w:rsidRPr="00403B68">
        <w:rPr>
          <w:bCs/>
          <w:sz w:val="24"/>
          <w:szCs w:val="32"/>
        </w:rPr>
        <w:t>ифровая трансформация (2 программы)</w:t>
      </w:r>
      <w:r>
        <w:rPr>
          <w:bCs/>
          <w:sz w:val="24"/>
          <w:szCs w:val="32"/>
        </w:rPr>
        <w:t>; с</w:t>
      </w:r>
      <w:r w:rsidRPr="00403B68">
        <w:rPr>
          <w:bCs/>
          <w:sz w:val="24"/>
          <w:szCs w:val="32"/>
        </w:rPr>
        <w:t>балансированное региональное развитие (6 программ)</w:t>
      </w:r>
      <w:r>
        <w:rPr>
          <w:bCs/>
          <w:sz w:val="24"/>
          <w:szCs w:val="32"/>
        </w:rPr>
        <w:t>; о</w:t>
      </w:r>
      <w:r w:rsidRPr="00403B68">
        <w:rPr>
          <w:bCs/>
          <w:sz w:val="24"/>
          <w:szCs w:val="32"/>
        </w:rPr>
        <w:t>беспечение национальной безопасности и международного сотрудничества (9 программ)</w:t>
      </w:r>
      <w:r>
        <w:rPr>
          <w:bCs/>
          <w:sz w:val="24"/>
          <w:szCs w:val="32"/>
        </w:rPr>
        <w:t>.</w:t>
      </w:r>
    </w:p>
    <w:p w14:paraId="013B3755" w14:textId="77777777" w:rsidR="002B4D4D" w:rsidRDefault="002B4D4D" w:rsidP="002B4D4D">
      <w:pPr>
        <w:spacing w:line="360" w:lineRule="auto"/>
        <w:ind w:firstLine="709"/>
        <w:jc w:val="both"/>
        <w:rPr>
          <w:sz w:val="24"/>
          <w:szCs w:val="24"/>
        </w:rPr>
      </w:pPr>
      <w:r w:rsidRPr="004336CF">
        <w:rPr>
          <w:bCs/>
          <w:sz w:val="24"/>
          <w:szCs w:val="32"/>
        </w:rPr>
        <w:t>Бюджетные ассигнования, предусмотренные законопроектом на реализацию 48 из 50 госу</w:t>
      </w:r>
      <w:r>
        <w:rPr>
          <w:bCs/>
          <w:sz w:val="24"/>
          <w:szCs w:val="32"/>
        </w:rPr>
        <w:t xml:space="preserve">дарственных программ в открытой части и расходов </w:t>
      </w:r>
      <w:r w:rsidRPr="00946844">
        <w:rPr>
          <w:bCs/>
          <w:sz w:val="24"/>
          <w:szCs w:val="32"/>
        </w:rPr>
        <w:t xml:space="preserve">на реализацию государственных программ </w:t>
      </w:r>
      <w:r>
        <w:rPr>
          <w:bCs/>
          <w:sz w:val="24"/>
          <w:szCs w:val="32"/>
        </w:rPr>
        <w:t xml:space="preserve">в </w:t>
      </w:r>
      <w:r w:rsidRPr="00946844">
        <w:rPr>
          <w:bCs/>
          <w:sz w:val="24"/>
          <w:szCs w:val="32"/>
        </w:rPr>
        <w:t>закрыт</w:t>
      </w:r>
      <w:r>
        <w:rPr>
          <w:bCs/>
          <w:sz w:val="24"/>
          <w:szCs w:val="32"/>
        </w:rPr>
        <w:t xml:space="preserve">ой </w:t>
      </w:r>
      <w:r w:rsidRPr="00946844">
        <w:rPr>
          <w:bCs/>
          <w:sz w:val="24"/>
          <w:szCs w:val="32"/>
        </w:rPr>
        <w:t>част</w:t>
      </w:r>
      <w:r>
        <w:rPr>
          <w:bCs/>
          <w:sz w:val="24"/>
          <w:szCs w:val="32"/>
        </w:rPr>
        <w:t>и</w:t>
      </w:r>
      <w:r w:rsidRPr="008B5427">
        <w:rPr>
          <w:bCs/>
          <w:sz w:val="24"/>
          <w:szCs w:val="32"/>
        </w:rPr>
        <w:t>, составляют</w:t>
      </w:r>
      <w:r>
        <w:rPr>
          <w:bCs/>
          <w:sz w:val="24"/>
          <w:szCs w:val="32"/>
        </w:rPr>
        <w:t xml:space="preserve"> в 2023 и 2024 годы чуть более 70% от совокупных расходов федерального бюджета (</w:t>
      </w:r>
      <w:r w:rsidRPr="00CE3743">
        <w:rPr>
          <w:bCs/>
          <w:sz w:val="24"/>
          <w:szCs w:val="32"/>
        </w:rPr>
        <w:t xml:space="preserve">рис. 12). </w:t>
      </w:r>
    </w:p>
    <w:p w14:paraId="54EA8CD7" w14:textId="3AA431CB" w:rsidR="004F3E1E" w:rsidRDefault="004F3E1E" w:rsidP="004F3E1E">
      <w:pPr>
        <w:spacing w:line="360" w:lineRule="auto"/>
        <w:ind w:firstLine="709"/>
        <w:jc w:val="both"/>
        <w:rPr>
          <w:bCs/>
          <w:sz w:val="24"/>
          <w:szCs w:val="32"/>
        </w:rPr>
      </w:pPr>
      <w:r w:rsidRPr="00264082">
        <w:rPr>
          <w:bCs/>
          <w:sz w:val="24"/>
          <w:szCs w:val="32"/>
        </w:rPr>
        <w:t>Следует отметить, что несмотря на номинальное увеличение расходов на программные мероприятия в 2023 и 2024 годы в сравнении с их объемами в федеральном законе №390-ФЗ «О федеральном бюджете на 2022 год и плановый период 2023–2024 годов» (на 6,6 и 5,1</w:t>
      </w:r>
      <w:r>
        <w:rPr>
          <w:bCs/>
          <w:sz w:val="24"/>
          <w:szCs w:val="32"/>
        </w:rPr>
        <w:t>%</w:t>
      </w:r>
      <w:r w:rsidRPr="00264082">
        <w:rPr>
          <w:bCs/>
          <w:sz w:val="24"/>
          <w:szCs w:val="32"/>
        </w:rPr>
        <w:t xml:space="preserve"> соответственно), их доля в совокупных расходах существенно ниже аналогичных показателей в прошлом бюджетном цикле. Так, доля программных расходов в общих расходах федерального бюджета предусматривалась на уровне до 77,6% к 2024 году. Однако в течение 2023–2025 годов удельный вес расходов на финансирование государственных программ снизится с 82,2% в 2022 г. до 69,4% в 2025 году.</w:t>
      </w:r>
      <w:r>
        <w:rPr>
          <w:bCs/>
          <w:sz w:val="24"/>
          <w:szCs w:val="32"/>
        </w:rPr>
        <w:t xml:space="preserve"> </w:t>
      </w:r>
      <w:r w:rsidRPr="00264082">
        <w:rPr>
          <w:bCs/>
          <w:sz w:val="24"/>
          <w:szCs w:val="32"/>
        </w:rPr>
        <w:t>При этом ежегодно доля программных расходов в 2023-2025 годах демонстрирует устойчивое снижение к предыдущему году соответственно, что противоречит поставленной в Бюджетном прогнозе на период до 2036 года цели довести уровень расходов на финансирование государственных программ в общих расходах федерального бюджета до 93,4 и 93,6% в 2023 и 2024 годах соответственно.</w:t>
      </w:r>
    </w:p>
    <w:p w14:paraId="48171954" w14:textId="39338A87" w:rsidR="00BC3C02" w:rsidRPr="00264082" w:rsidRDefault="00BC3C02" w:rsidP="004F3E1E">
      <w:pPr>
        <w:spacing w:line="360" w:lineRule="auto"/>
        <w:ind w:firstLine="709"/>
        <w:jc w:val="both"/>
        <w:rPr>
          <w:bCs/>
          <w:sz w:val="24"/>
          <w:szCs w:val="32"/>
        </w:rPr>
      </w:pPr>
      <w:r>
        <w:rPr>
          <w:bCs/>
          <w:sz w:val="24"/>
          <w:szCs w:val="32"/>
        </w:rPr>
        <w:t>По структуре программные расходы в целом повторяют приоритеты финансирования национальных проектов, а именно: более 20% расходов ежегодно предусмотрено на финансирование направления «</w:t>
      </w:r>
      <w:r w:rsidRPr="008D4F1D">
        <w:rPr>
          <w:bCs/>
          <w:sz w:val="24"/>
          <w:szCs w:val="32"/>
        </w:rPr>
        <w:t>Сохранение населения, здоровье и благополучие людей</w:t>
      </w:r>
      <w:r>
        <w:rPr>
          <w:bCs/>
          <w:sz w:val="24"/>
          <w:szCs w:val="32"/>
        </w:rPr>
        <w:t>», т.е. на развитие человеческого капитала страны. На втором месте по объему бюджетных ассигнований находится направление «</w:t>
      </w:r>
      <w:r w:rsidRPr="006E5E2A">
        <w:rPr>
          <w:bCs/>
          <w:sz w:val="24"/>
          <w:szCs w:val="32"/>
        </w:rPr>
        <w:t>Комфортная и безопасная среда для жизни</w:t>
      </w:r>
      <w:r>
        <w:rPr>
          <w:bCs/>
          <w:sz w:val="24"/>
          <w:szCs w:val="32"/>
        </w:rPr>
        <w:t>» - более 16% расходов ежегодно. Устойчивый рост финансирования ежегодно на уровне 120% наблюдается по г</w:t>
      </w:r>
      <w:r w:rsidRPr="006E5E2A">
        <w:rPr>
          <w:bCs/>
          <w:sz w:val="24"/>
          <w:szCs w:val="32"/>
        </w:rPr>
        <w:t>осударственн</w:t>
      </w:r>
      <w:r>
        <w:rPr>
          <w:bCs/>
          <w:sz w:val="24"/>
          <w:szCs w:val="32"/>
        </w:rPr>
        <w:t>ой</w:t>
      </w:r>
      <w:r w:rsidRPr="006E5E2A">
        <w:rPr>
          <w:bCs/>
          <w:sz w:val="24"/>
          <w:szCs w:val="32"/>
        </w:rPr>
        <w:t xml:space="preserve"> программ</w:t>
      </w:r>
      <w:r>
        <w:rPr>
          <w:bCs/>
          <w:sz w:val="24"/>
          <w:szCs w:val="32"/>
        </w:rPr>
        <w:t>е «</w:t>
      </w:r>
      <w:r w:rsidRPr="006E5E2A">
        <w:rPr>
          <w:bCs/>
          <w:sz w:val="24"/>
          <w:szCs w:val="32"/>
        </w:rPr>
        <w:t>Комплексное развитие сельских территорий</w:t>
      </w:r>
      <w:r>
        <w:rPr>
          <w:bCs/>
          <w:sz w:val="24"/>
          <w:szCs w:val="32"/>
        </w:rPr>
        <w:t>» в обеспечение достижения цели выравнивания регионального развития.</w:t>
      </w:r>
    </w:p>
    <w:p w14:paraId="7048484B" w14:textId="77777777" w:rsidR="002B4D4D" w:rsidRDefault="002B4D4D" w:rsidP="002B4D4D">
      <w:pPr>
        <w:spacing w:line="360" w:lineRule="auto"/>
        <w:jc w:val="both"/>
        <w:rPr>
          <w:bCs/>
          <w:sz w:val="24"/>
          <w:szCs w:val="32"/>
        </w:rPr>
      </w:pPr>
      <w:r>
        <w:rPr>
          <w:noProof/>
        </w:rPr>
        <w:lastRenderedPageBreak/>
        <w:drawing>
          <wp:inline distT="0" distB="0" distL="0" distR="0" wp14:anchorId="5CF7FE79" wp14:editId="30EA5C8C">
            <wp:extent cx="5924550" cy="2324100"/>
            <wp:effectExtent l="0" t="0" r="0" b="0"/>
            <wp:docPr id="13" name="Диаграмма 13">
              <a:extLst xmlns:a="http://schemas.openxmlformats.org/drawingml/2006/main">
                <a:ext uri="{FF2B5EF4-FFF2-40B4-BE49-F238E27FC236}">
                  <a16:creationId xmlns:a16="http://schemas.microsoft.com/office/drawing/2014/main" id="{54952412-3791-FF17-EBD3-6A388C535D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0A4D2D" w14:textId="77777777" w:rsidR="002B4D4D" w:rsidRPr="00E305E8" w:rsidRDefault="002B4D4D" w:rsidP="002B4D4D">
      <w:pPr>
        <w:spacing w:line="360" w:lineRule="auto"/>
        <w:jc w:val="both"/>
        <w:rPr>
          <w:bCs/>
          <w:i/>
          <w:sz w:val="24"/>
          <w:szCs w:val="32"/>
        </w:rPr>
      </w:pPr>
      <w:r w:rsidRPr="00CE3743">
        <w:rPr>
          <w:bCs/>
          <w:i/>
          <w:sz w:val="24"/>
          <w:szCs w:val="32"/>
        </w:rPr>
        <w:t>Рисунок 12 - Финансирова</w:t>
      </w:r>
      <w:r w:rsidRPr="00E305E8">
        <w:rPr>
          <w:bCs/>
          <w:i/>
          <w:sz w:val="24"/>
          <w:szCs w:val="32"/>
        </w:rPr>
        <w:t xml:space="preserve">ние </w:t>
      </w:r>
      <w:r>
        <w:rPr>
          <w:bCs/>
          <w:i/>
          <w:sz w:val="24"/>
          <w:szCs w:val="32"/>
        </w:rPr>
        <w:t>государственных программ</w:t>
      </w:r>
      <w:r w:rsidRPr="00E305E8">
        <w:rPr>
          <w:bCs/>
          <w:i/>
          <w:sz w:val="24"/>
          <w:szCs w:val="32"/>
        </w:rPr>
        <w:t xml:space="preserve"> в 2023–2025 </w:t>
      </w:r>
      <w:r>
        <w:rPr>
          <w:bCs/>
          <w:i/>
          <w:sz w:val="24"/>
          <w:szCs w:val="32"/>
        </w:rPr>
        <w:t>годы</w:t>
      </w:r>
    </w:p>
    <w:p w14:paraId="463F686D" w14:textId="77777777" w:rsidR="002B4D4D" w:rsidRPr="00E305E8" w:rsidRDefault="002B4D4D" w:rsidP="002B4D4D">
      <w:pPr>
        <w:spacing w:line="360" w:lineRule="auto"/>
        <w:jc w:val="both"/>
        <w:rPr>
          <w:bCs/>
          <w:i/>
          <w:sz w:val="24"/>
          <w:szCs w:val="32"/>
        </w:rPr>
      </w:pPr>
      <w:r w:rsidRPr="00E305E8">
        <w:rPr>
          <w:bCs/>
          <w:i/>
          <w:sz w:val="24"/>
          <w:szCs w:val="32"/>
        </w:rPr>
        <w:t>Источник: составлено по данным законопроекта</w:t>
      </w:r>
    </w:p>
    <w:p w14:paraId="0995F677" w14:textId="77777777" w:rsidR="002B4D4D" w:rsidRDefault="002B4D4D" w:rsidP="002B4D4D">
      <w:pPr>
        <w:spacing w:line="360" w:lineRule="auto"/>
        <w:ind w:firstLine="709"/>
        <w:jc w:val="both"/>
        <w:rPr>
          <w:bCs/>
          <w:sz w:val="24"/>
          <w:szCs w:val="32"/>
        </w:rPr>
      </w:pPr>
    </w:p>
    <w:p w14:paraId="473E233C" w14:textId="45F08C5E" w:rsidR="002B4D4D" w:rsidRDefault="002B4D4D" w:rsidP="002B4D4D">
      <w:pPr>
        <w:spacing w:line="360" w:lineRule="auto"/>
        <w:ind w:firstLine="709"/>
        <w:jc w:val="both"/>
        <w:rPr>
          <w:bCs/>
          <w:sz w:val="24"/>
          <w:szCs w:val="32"/>
        </w:rPr>
      </w:pPr>
      <w:r>
        <w:rPr>
          <w:bCs/>
          <w:sz w:val="24"/>
          <w:szCs w:val="32"/>
        </w:rPr>
        <w:t>Таким образом,</w:t>
      </w:r>
      <w:r w:rsidRPr="00BC0192">
        <w:rPr>
          <w:bCs/>
          <w:sz w:val="24"/>
          <w:szCs w:val="32"/>
        </w:rPr>
        <w:t xml:space="preserve"> увеличение бюджетных</w:t>
      </w:r>
      <w:r>
        <w:rPr>
          <w:bCs/>
          <w:sz w:val="24"/>
          <w:szCs w:val="32"/>
        </w:rPr>
        <w:t xml:space="preserve"> </w:t>
      </w:r>
      <w:r w:rsidRPr="00BC0192">
        <w:rPr>
          <w:bCs/>
          <w:sz w:val="24"/>
          <w:szCs w:val="32"/>
        </w:rPr>
        <w:t>ассигнований (открытая часть) по сравнению с показателями</w:t>
      </w:r>
      <w:r>
        <w:rPr>
          <w:bCs/>
          <w:sz w:val="24"/>
          <w:szCs w:val="32"/>
        </w:rPr>
        <w:t xml:space="preserve">, заложенными в Федеральном законе №390-ФЗ, прогнозируется по </w:t>
      </w:r>
      <w:r w:rsidRPr="00BC0192">
        <w:rPr>
          <w:bCs/>
          <w:sz w:val="24"/>
          <w:szCs w:val="32"/>
        </w:rPr>
        <w:t xml:space="preserve">5 </w:t>
      </w:r>
      <w:r>
        <w:rPr>
          <w:bCs/>
          <w:sz w:val="24"/>
          <w:szCs w:val="32"/>
        </w:rPr>
        <w:t xml:space="preserve">из 8 </w:t>
      </w:r>
      <w:r w:rsidRPr="00BC0192">
        <w:rPr>
          <w:bCs/>
          <w:sz w:val="24"/>
          <w:szCs w:val="32"/>
        </w:rPr>
        <w:t>направлени</w:t>
      </w:r>
      <w:r>
        <w:rPr>
          <w:bCs/>
          <w:sz w:val="24"/>
          <w:szCs w:val="32"/>
        </w:rPr>
        <w:t xml:space="preserve">й программных расходов </w:t>
      </w:r>
      <w:r w:rsidRPr="00CE3743">
        <w:rPr>
          <w:bCs/>
          <w:sz w:val="24"/>
          <w:szCs w:val="32"/>
        </w:rPr>
        <w:t xml:space="preserve">(рис. 13). </w:t>
      </w:r>
    </w:p>
    <w:p w14:paraId="35DA7E27" w14:textId="77777777" w:rsidR="002B4D4D" w:rsidRDefault="002B4D4D" w:rsidP="002B4D4D">
      <w:pPr>
        <w:spacing w:line="360" w:lineRule="auto"/>
        <w:ind w:firstLine="709"/>
        <w:jc w:val="both"/>
        <w:rPr>
          <w:bCs/>
          <w:sz w:val="24"/>
          <w:szCs w:val="32"/>
        </w:rPr>
      </w:pPr>
    </w:p>
    <w:p w14:paraId="1A267157" w14:textId="77777777" w:rsidR="002B4D4D" w:rsidRPr="008B5427" w:rsidRDefault="002B4D4D" w:rsidP="002B4D4D">
      <w:pPr>
        <w:spacing w:line="360" w:lineRule="auto"/>
        <w:jc w:val="both"/>
        <w:rPr>
          <w:bCs/>
          <w:sz w:val="24"/>
          <w:szCs w:val="32"/>
          <w:lang w:val="en-US"/>
        </w:rPr>
      </w:pPr>
      <w:r>
        <w:rPr>
          <w:noProof/>
        </w:rPr>
        <w:drawing>
          <wp:inline distT="0" distB="0" distL="0" distR="0" wp14:anchorId="29ED329D" wp14:editId="0BBB7D04">
            <wp:extent cx="5762625" cy="2990850"/>
            <wp:effectExtent l="0" t="0" r="9525" b="0"/>
            <wp:docPr id="14" name="Диаграмма 14">
              <a:extLst xmlns:a="http://schemas.openxmlformats.org/drawingml/2006/main">
                <a:ext uri="{FF2B5EF4-FFF2-40B4-BE49-F238E27FC236}">
                  <a16:creationId xmlns:a16="http://schemas.microsoft.com/office/drawing/2014/main" id="{C5DB0989-36B9-AC06-6EBD-7101CDA133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D6E1E8" w14:textId="77777777" w:rsidR="002B4D4D" w:rsidRPr="006E5E2A" w:rsidRDefault="002B4D4D" w:rsidP="002B4D4D">
      <w:pPr>
        <w:spacing w:line="360" w:lineRule="auto"/>
        <w:ind w:firstLine="709"/>
        <w:jc w:val="both"/>
        <w:rPr>
          <w:bCs/>
          <w:i/>
          <w:sz w:val="24"/>
          <w:szCs w:val="32"/>
        </w:rPr>
      </w:pPr>
      <w:r w:rsidRPr="00CE3743">
        <w:rPr>
          <w:bCs/>
          <w:i/>
          <w:sz w:val="24"/>
          <w:szCs w:val="32"/>
        </w:rPr>
        <w:t xml:space="preserve">Рисунок 13 - Доли финансирования </w:t>
      </w:r>
      <w:r>
        <w:rPr>
          <w:bCs/>
          <w:i/>
          <w:sz w:val="24"/>
          <w:szCs w:val="32"/>
        </w:rPr>
        <w:t>по основным направлениям</w:t>
      </w:r>
      <w:r w:rsidRPr="006E5E2A">
        <w:rPr>
          <w:bCs/>
          <w:i/>
          <w:sz w:val="24"/>
          <w:szCs w:val="32"/>
        </w:rPr>
        <w:t xml:space="preserve"> государственных программ в 2023–2025 </w:t>
      </w:r>
      <w:r>
        <w:rPr>
          <w:bCs/>
          <w:i/>
          <w:sz w:val="24"/>
          <w:szCs w:val="32"/>
        </w:rPr>
        <w:t>годы</w:t>
      </w:r>
    </w:p>
    <w:p w14:paraId="01A5702E" w14:textId="77777777" w:rsidR="002B4D4D" w:rsidRPr="006E5E2A" w:rsidRDefault="002B4D4D" w:rsidP="002B4D4D">
      <w:pPr>
        <w:spacing w:line="360" w:lineRule="auto"/>
        <w:ind w:firstLine="709"/>
        <w:jc w:val="both"/>
        <w:rPr>
          <w:bCs/>
          <w:i/>
          <w:sz w:val="24"/>
          <w:szCs w:val="32"/>
        </w:rPr>
      </w:pPr>
      <w:r w:rsidRPr="006E5E2A">
        <w:rPr>
          <w:bCs/>
          <w:i/>
          <w:sz w:val="24"/>
          <w:szCs w:val="32"/>
        </w:rPr>
        <w:t>Источник: составлено по данным законопроекта</w:t>
      </w:r>
    </w:p>
    <w:p w14:paraId="42CD4198" w14:textId="77777777" w:rsidR="002B4D4D" w:rsidRDefault="002B4D4D" w:rsidP="002B4D4D">
      <w:pPr>
        <w:spacing w:line="360" w:lineRule="auto"/>
        <w:ind w:firstLine="709"/>
        <w:jc w:val="both"/>
        <w:rPr>
          <w:bCs/>
          <w:sz w:val="24"/>
          <w:szCs w:val="32"/>
        </w:rPr>
      </w:pPr>
    </w:p>
    <w:p w14:paraId="3845D774" w14:textId="77777777" w:rsidR="00BC3C02" w:rsidRDefault="00BC3C02" w:rsidP="00BC3C02">
      <w:pPr>
        <w:spacing w:line="360" w:lineRule="auto"/>
        <w:ind w:firstLine="709"/>
        <w:jc w:val="both"/>
        <w:rPr>
          <w:bCs/>
          <w:sz w:val="24"/>
          <w:szCs w:val="32"/>
        </w:rPr>
      </w:pPr>
      <w:r w:rsidRPr="00CE3743">
        <w:rPr>
          <w:bCs/>
          <w:sz w:val="24"/>
          <w:szCs w:val="32"/>
        </w:rPr>
        <w:t>Н</w:t>
      </w:r>
      <w:r w:rsidRPr="00BC0192">
        <w:rPr>
          <w:bCs/>
          <w:sz w:val="24"/>
          <w:szCs w:val="32"/>
        </w:rPr>
        <w:t>аибольшее увеличение расходов</w:t>
      </w:r>
      <w:r>
        <w:rPr>
          <w:bCs/>
          <w:sz w:val="24"/>
          <w:szCs w:val="32"/>
        </w:rPr>
        <w:t xml:space="preserve"> </w:t>
      </w:r>
      <w:r w:rsidRPr="00BC0192">
        <w:rPr>
          <w:bCs/>
          <w:sz w:val="24"/>
          <w:szCs w:val="32"/>
        </w:rPr>
        <w:t>предусматривается по направлени</w:t>
      </w:r>
      <w:r>
        <w:rPr>
          <w:bCs/>
          <w:sz w:val="24"/>
          <w:szCs w:val="32"/>
        </w:rPr>
        <w:t>ям:</w:t>
      </w:r>
      <w:r w:rsidRPr="00BC0192">
        <w:rPr>
          <w:bCs/>
          <w:sz w:val="24"/>
          <w:szCs w:val="32"/>
        </w:rPr>
        <w:t xml:space="preserve"> </w:t>
      </w:r>
      <w:r>
        <w:rPr>
          <w:bCs/>
          <w:sz w:val="24"/>
          <w:szCs w:val="32"/>
        </w:rPr>
        <w:t>«</w:t>
      </w:r>
      <w:r w:rsidRPr="00106E23">
        <w:rPr>
          <w:bCs/>
          <w:sz w:val="24"/>
          <w:szCs w:val="32"/>
        </w:rPr>
        <w:t>Социально-экономическое развитие Дальневосточного федерального округа</w:t>
      </w:r>
      <w:r>
        <w:rPr>
          <w:bCs/>
          <w:sz w:val="24"/>
          <w:szCs w:val="32"/>
        </w:rPr>
        <w:t>» (140,7%), «</w:t>
      </w:r>
      <w:r w:rsidRPr="00106E23">
        <w:rPr>
          <w:bCs/>
          <w:sz w:val="24"/>
          <w:szCs w:val="32"/>
        </w:rPr>
        <w:t>Развитие фармацевтической и медицинской промышленности</w:t>
      </w:r>
      <w:r>
        <w:rPr>
          <w:bCs/>
          <w:sz w:val="24"/>
          <w:szCs w:val="32"/>
        </w:rPr>
        <w:t>» (138,6%), «</w:t>
      </w:r>
      <w:r w:rsidRPr="00106E23">
        <w:rPr>
          <w:bCs/>
          <w:sz w:val="24"/>
          <w:szCs w:val="32"/>
        </w:rPr>
        <w:t xml:space="preserve">Социальная </w:t>
      </w:r>
      <w:r w:rsidRPr="00106E23">
        <w:rPr>
          <w:bCs/>
          <w:sz w:val="24"/>
          <w:szCs w:val="32"/>
        </w:rPr>
        <w:lastRenderedPageBreak/>
        <w:t>поддержка граждан</w:t>
      </w:r>
      <w:r>
        <w:rPr>
          <w:bCs/>
          <w:sz w:val="24"/>
          <w:szCs w:val="32"/>
        </w:rPr>
        <w:t>» (130%), «</w:t>
      </w:r>
      <w:r w:rsidRPr="00AD0ABA">
        <w:rPr>
          <w:bCs/>
          <w:sz w:val="24"/>
          <w:szCs w:val="32"/>
        </w:rPr>
        <w:t>Сохранение населения, здоровье и благополучие людей</w:t>
      </w:r>
      <w:r>
        <w:rPr>
          <w:bCs/>
          <w:sz w:val="24"/>
          <w:szCs w:val="32"/>
        </w:rPr>
        <w:t>» (126,5</w:t>
      </w:r>
      <w:r w:rsidRPr="00BC0192">
        <w:rPr>
          <w:bCs/>
          <w:sz w:val="24"/>
          <w:szCs w:val="32"/>
        </w:rPr>
        <w:t>%.</w:t>
      </w:r>
      <w:r>
        <w:rPr>
          <w:bCs/>
          <w:sz w:val="24"/>
          <w:szCs w:val="32"/>
        </w:rPr>
        <w:t>), «</w:t>
      </w:r>
      <w:r w:rsidRPr="00106E23">
        <w:rPr>
          <w:bCs/>
          <w:sz w:val="24"/>
          <w:szCs w:val="32"/>
        </w:rPr>
        <w:t>Комплексное развитие сельских территорий</w:t>
      </w:r>
      <w:r>
        <w:rPr>
          <w:bCs/>
          <w:sz w:val="24"/>
          <w:szCs w:val="32"/>
        </w:rPr>
        <w:t>» (123,7%).</w:t>
      </w:r>
      <w:r w:rsidRPr="00FD7417">
        <w:rPr>
          <w:bCs/>
          <w:sz w:val="24"/>
          <w:szCs w:val="32"/>
        </w:rPr>
        <w:t xml:space="preserve"> </w:t>
      </w:r>
      <w:r>
        <w:rPr>
          <w:bCs/>
          <w:sz w:val="24"/>
          <w:szCs w:val="32"/>
        </w:rPr>
        <w:t>Наименьшая же доля ассигнований из федерального бюджета (на уровне 1,6%, 1,5% и 1,2% в 2023–2025 годы) предусмотрена по направлению «</w:t>
      </w:r>
      <w:r w:rsidRPr="006E5E2A">
        <w:rPr>
          <w:bCs/>
          <w:sz w:val="24"/>
          <w:szCs w:val="32"/>
        </w:rPr>
        <w:t>Цифровая трансформация</w:t>
      </w:r>
      <w:r>
        <w:rPr>
          <w:bCs/>
          <w:sz w:val="24"/>
          <w:szCs w:val="32"/>
        </w:rPr>
        <w:t>».</w:t>
      </w:r>
    </w:p>
    <w:p w14:paraId="575A367D" w14:textId="77777777" w:rsidR="002B4D4D" w:rsidRDefault="002B4D4D" w:rsidP="002B4D4D">
      <w:pPr>
        <w:spacing w:line="360" w:lineRule="auto"/>
        <w:ind w:firstLine="709"/>
        <w:jc w:val="both"/>
        <w:rPr>
          <w:bCs/>
          <w:sz w:val="24"/>
          <w:szCs w:val="32"/>
        </w:rPr>
      </w:pPr>
      <w:r>
        <w:rPr>
          <w:bCs/>
          <w:sz w:val="24"/>
          <w:szCs w:val="32"/>
        </w:rPr>
        <w:t xml:space="preserve">Оценка прогнозируемых объемов финансирования отдельных государственных программ в федеральном бюджете в 2023 году </w:t>
      </w:r>
      <w:r w:rsidRPr="00B8798D">
        <w:rPr>
          <w:bCs/>
          <w:sz w:val="24"/>
          <w:szCs w:val="32"/>
        </w:rPr>
        <w:t xml:space="preserve">по сравнению с </w:t>
      </w:r>
      <w:r>
        <w:rPr>
          <w:bCs/>
          <w:sz w:val="24"/>
          <w:szCs w:val="32"/>
        </w:rPr>
        <w:t>их объемами в</w:t>
      </w:r>
      <w:r w:rsidRPr="00B8798D">
        <w:rPr>
          <w:bCs/>
          <w:sz w:val="24"/>
          <w:szCs w:val="32"/>
        </w:rPr>
        <w:t xml:space="preserve"> Федерально</w:t>
      </w:r>
      <w:r>
        <w:rPr>
          <w:bCs/>
          <w:sz w:val="24"/>
          <w:szCs w:val="32"/>
        </w:rPr>
        <w:t>м</w:t>
      </w:r>
      <w:r w:rsidRPr="00B8798D">
        <w:rPr>
          <w:bCs/>
          <w:sz w:val="24"/>
          <w:szCs w:val="32"/>
        </w:rPr>
        <w:t xml:space="preserve"> закон</w:t>
      </w:r>
      <w:r>
        <w:rPr>
          <w:bCs/>
          <w:sz w:val="24"/>
          <w:szCs w:val="32"/>
        </w:rPr>
        <w:t>е</w:t>
      </w:r>
      <w:r w:rsidRPr="00B8798D">
        <w:rPr>
          <w:bCs/>
          <w:sz w:val="24"/>
          <w:szCs w:val="32"/>
        </w:rPr>
        <w:t xml:space="preserve"> № 3</w:t>
      </w:r>
      <w:r>
        <w:rPr>
          <w:bCs/>
          <w:sz w:val="24"/>
          <w:szCs w:val="32"/>
        </w:rPr>
        <w:t>90</w:t>
      </w:r>
      <w:r w:rsidRPr="00B8798D">
        <w:rPr>
          <w:bCs/>
          <w:sz w:val="24"/>
          <w:szCs w:val="32"/>
        </w:rPr>
        <w:t xml:space="preserve">-ФЗ </w:t>
      </w:r>
      <w:r>
        <w:rPr>
          <w:bCs/>
          <w:sz w:val="24"/>
          <w:szCs w:val="32"/>
        </w:rPr>
        <w:t>выявила увеличение расходов</w:t>
      </w:r>
      <w:r w:rsidRPr="00B8798D">
        <w:rPr>
          <w:bCs/>
          <w:sz w:val="24"/>
          <w:szCs w:val="32"/>
        </w:rPr>
        <w:t xml:space="preserve"> по 34 госпрограммам открытой части</w:t>
      </w:r>
      <w:r>
        <w:rPr>
          <w:bCs/>
          <w:sz w:val="24"/>
          <w:szCs w:val="32"/>
        </w:rPr>
        <w:t>, в 2024 году – по 31 госпрограмме открытой части, и в 2025 году – по 22 госпрограммам открытой части.</w:t>
      </w:r>
    </w:p>
    <w:p w14:paraId="3AE94FA6" w14:textId="77777777" w:rsidR="002B4D4D" w:rsidRDefault="002B4D4D" w:rsidP="002B4D4D">
      <w:pPr>
        <w:spacing w:line="360" w:lineRule="auto"/>
        <w:ind w:firstLine="709"/>
        <w:jc w:val="both"/>
        <w:rPr>
          <w:bCs/>
          <w:sz w:val="24"/>
          <w:szCs w:val="32"/>
        </w:rPr>
      </w:pPr>
      <w:r>
        <w:rPr>
          <w:bCs/>
          <w:sz w:val="24"/>
          <w:szCs w:val="32"/>
        </w:rPr>
        <w:t>Беспрецедентно кратный рост финансирования по отношению к показателям, заложенным Федеральным законом №390-ФЗ, предусмотрен в 2024 году по следующим госпрограммам: «</w:t>
      </w:r>
      <w:r w:rsidRPr="00B0267A">
        <w:rPr>
          <w:bCs/>
          <w:sz w:val="24"/>
          <w:szCs w:val="32"/>
        </w:rPr>
        <w:t>Развитие фармацевтической и медицинской промышленности</w:t>
      </w:r>
      <w:r>
        <w:rPr>
          <w:bCs/>
          <w:sz w:val="24"/>
          <w:szCs w:val="32"/>
        </w:rPr>
        <w:t>» (583,6%) и «</w:t>
      </w:r>
      <w:r w:rsidRPr="00B0267A">
        <w:rPr>
          <w:bCs/>
          <w:sz w:val="24"/>
          <w:szCs w:val="32"/>
        </w:rPr>
        <w:t>Развитие электронной и радиоэлектронной промышленности</w:t>
      </w:r>
      <w:r>
        <w:rPr>
          <w:bCs/>
          <w:sz w:val="24"/>
          <w:szCs w:val="32"/>
        </w:rPr>
        <w:t>» (</w:t>
      </w:r>
      <w:r w:rsidRPr="00B0267A">
        <w:rPr>
          <w:bCs/>
          <w:sz w:val="24"/>
          <w:szCs w:val="32"/>
        </w:rPr>
        <w:t>257,6</w:t>
      </w:r>
      <w:r>
        <w:rPr>
          <w:bCs/>
          <w:sz w:val="24"/>
          <w:szCs w:val="32"/>
        </w:rPr>
        <w:t>%).</w:t>
      </w:r>
    </w:p>
    <w:p w14:paraId="23A15EE9" w14:textId="77777777" w:rsidR="002B4D4D" w:rsidRPr="00BC0192" w:rsidRDefault="002B4D4D" w:rsidP="002B4D4D">
      <w:pPr>
        <w:spacing w:line="360" w:lineRule="auto"/>
        <w:ind w:firstLine="709"/>
        <w:jc w:val="both"/>
        <w:rPr>
          <w:bCs/>
          <w:sz w:val="24"/>
          <w:szCs w:val="32"/>
        </w:rPr>
      </w:pPr>
      <w:r>
        <w:rPr>
          <w:bCs/>
          <w:sz w:val="24"/>
          <w:szCs w:val="32"/>
        </w:rPr>
        <w:t>В 2025 году по отношению к показателям, заложенным в бюджетном прогнозе, запланирован существенный рост ассигнований по госпрограммам: «</w:t>
      </w:r>
      <w:r w:rsidRPr="00B0267A">
        <w:rPr>
          <w:bCs/>
          <w:sz w:val="24"/>
          <w:szCs w:val="32"/>
        </w:rPr>
        <w:t>Обеспечение химической и биологической безопасности Российской Федерации</w:t>
      </w:r>
      <w:r>
        <w:rPr>
          <w:bCs/>
          <w:sz w:val="24"/>
          <w:szCs w:val="32"/>
        </w:rPr>
        <w:t>» (2009%) и «</w:t>
      </w:r>
      <w:r w:rsidRPr="00B0267A">
        <w:rPr>
          <w:bCs/>
          <w:sz w:val="24"/>
          <w:szCs w:val="32"/>
        </w:rPr>
        <w:t>Социально-экономическое развитие Дальневосточного федерального округа</w:t>
      </w:r>
      <w:r>
        <w:rPr>
          <w:bCs/>
          <w:sz w:val="24"/>
          <w:szCs w:val="32"/>
        </w:rPr>
        <w:t xml:space="preserve">» (301,9%),  </w:t>
      </w:r>
    </w:p>
    <w:p w14:paraId="00C2CEB0" w14:textId="77777777" w:rsidR="002B4D4D" w:rsidRDefault="002B4D4D" w:rsidP="002B4D4D">
      <w:pPr>
        <w:spacing w:line="360" w:lineRule="auto"/>
        <w:ind w:firstLine="709"/>
        <w:jc w:val="both"/>
        <w:rPr>
          <w:bCs/>
          <w:sz w:val="24"/>
          <w:szCs w:val="32"/>
        </w:rPr>
      </w:pPr>
      <w:r>
        <w:rPr>
          <w:bCs/>
          <w:sz w:val="24"/>
          <w:szCs w:val="32"/>
        </w:rPr>
        <w:t xml:space="preserve">Наряду с ростом финансирования расходов федерального бюджета по большинству госпрограмм были выявлены наиболее недофинансированные программные направления. </w:t>
      </w:r>
      <w:r w:rsidRPr="00BC0192">
        <w:rPr>
          <w:bCs/>
          <w:sz w:val="24"/>
          <w:szCs w:val="32"/>
        </w:rPr>
        <w:t>На</w:t>
      </w:r>
      <w:r>
        <w:rPr>
          <w:bCs/>
          <w:sz w:val="24"/>
          <w:szCs w:val="32"/>
        </w:rPr>
        <w:t xml:space="preserve"> протяжении всего прогнозного периода самыми недофинансированными госпрограммами в сравнении с показателями федерального закона №390-ФЗ и Бюджетного прогноза являются: «</w:t>
      </w:r>
      <w:r w:rsidRPr="0030656E">
        <w:rPr>
          <w:bCs/>
          <w:sz w:val="24"/>
          <w:szCs w:val="32"/>
        </w:rPr>
        <w:t>Социально-экономическое развитие Калининградской области</w:t>
      </w:r>
      <w:r>
        <w:rPr>
          <w:bCs/>
          <w:sz w:val="24"/>
          <w:szCs w:val="32"/>
        </w:rPr>
        <w:t>» (</w:t>
      </w:r>
      <w:r w:rsidRPr="0030656E">
        <w:rPr>
          <w:bCs/>
          <w:sz w:val="24"/>
          <w:szCs w:val="32"/>
        </w:rPr>
        <w:t>34,6</w:t>
      </w:r>
      <w:r>
        <w:rPr>
          <w:bCs/>
          <w:sz w:val="24"/>
          <w:szCs w:val="32"/>
        </w:rPr>
        <w:t xml:space="preserve">%, </w:t>
      </w:r>
      <w:r w:rsidRPr="0030656E">
        <w:rPr>
          <w:bCs/>
          <w:sz w:val="24"/>
          <w:szCs w:val="32"/>
        </w:rPr>
        <w:t>40,8</w:t>
      </w:r>
      <w:r>
        <w:rPr>
          <w:bCs/>
          <w:sz w:val="24"/>
          <w:szCs w:val="32"/>
        </w:rPr>
        <w:t xml:space="preserve">% и </w:t>
      </w:r>
      <w:r w:rsidRPr="0030656E">
        <w:rPr>
          <w:bCs/>
          <w:sz w:val="24"/>
          <w:szCs w:val="32"/>
        </w:rPr>
        <w:t>46,1</w:t>
      </w:r>
      <w:r>
        <w:rPr>
          <w:bCs/>
          <w:sz w:val="24"/>
          <w:szCs w:val="32"/>
        </w:rPr>
        <w:t>% соответственно от предусмотренных плановых значений), а также «</w:t>
      </w:r>
      <w:r w:rsidRPr="0030656E">
        <w:rPr>
          <w:bCs/>
          <w:sz w:val="24"/>
          <w:szCs w:val="32"/>
        </w:rPr>
        <w:t>Развитие промышленности и повышение ее конкурентоспособности</w:t>
      </w:r>
      <w:r>
        <w:rPr>
          <w:bCs/>
          <w:sz w:val="24"/>
          <w:szCs w:val="32"/>
        </w:rPr>
        <w:t>» (</w:t>
      </w:r>
      <w:r w:rsidRPr="0030656E">
        <w:rPr>
          <w:bCs/>
          <w:sz w:val="24"/>
          <w:szCs w:val="32"/>
        </w:rPr>
        <w:t>77,1</w:t>
      </w:r>
      <w:r>
        <w:rPr>
          <w:bCs/>
          <w:sz w:val="24"/>
          <w:szCs w:val="32"/>
        </w:rPr>
        <w:t xml:space="preserve">%, </w:t>
      </w:r>
      <w:r w:rsidRPr="0030656E">
        <w:rPr>
          <w:bCs/>
          <w:sz w:val="24"/>
          <w:szCs w:val="32"/>
        </w:rPr>
        <w:t>72,5</w:t>
      </w:r>
      <w:r>
        <w:rPr>
          <w:bCs/>
          <w:sz w:val="24"/>
          <w:szCs w:val="32"/>
        </w:rPr>
        <w:t xml:space="preserve">% и </w:t>
      </w:r>
      <w:r w:rsidRPr="0030656E">
        <w:rPr>
          <w:bCs/>
          <w:sz w:val="24"/>
          <w:szCs w:val="32"/>
        </w:rPr>
        <w:t>58,2</w:t>
      </w:r>
      <w:r>
        <w:rPr>
          <w:bCs/>
          <w:sz w:val="24"/>
          <w:szCs w:val="32"/>
        </w:rPr>
        <w:t xml:space="preserve">% </w:t>
      </w:r>
      <w:r w:rsidRPr="00316FDF">
        <w:rPr>
          <w:bCs/>
          <w:sz w:val="24"/>
          <w:szCs w:val="32"/>
        </w:rPr>
        <w:t>от плановых значений)</w:t>
      </w:r>
      <w:r>
        <w:rPr>
          <w:bCs/>
          <w:sz w:val="24"/>
          <w:szCs w:val="32"/>
        </w:rPr>
        <w:t>.</w:t>
      </w:r>
    </w:p>
    <w:p w14:paraId="1BA7A1B5" w14:textId="746E98E8" w:rsidR="00C02C32" w:rsidRDefault="00C02C32" w:rsidP="00C02C32">
      <w:pPr>
        <w:spacing w:line="360" w:lineRule="auto"/>
        <w:ind w:firstLine="709"/>
        <w:jc w:val="both"/>
        <w:rPr>
          <w:bCs/>
          <w:sz w:val="24"/>
          <w:szCs w:val="32"/>
        </w:rPr>
      </w:pPr>
      <w:r>
        <w:rPr>
          <w:bCs/>
          <w:sz w:val="24"/>
          <w:szCs w:val="32"/>
        </w:rPr>
        <w:t>А</w:t>
      </w:r>
      <w:r w:rsidRPr="004336CF">
        <w:rPr>
          <w:bCs/>
          <w:sz w:val="24"/>
          <w:szCs w:val="32"/>
        </w:rPr>
        <w:t>нализ динамики финансирования госпрограмм в разрезе основных направлений программных расходов по темпам роста расходов к 2022 году</w:t>
      </w:r>
      <w:r>
        <w:rPr>
          <w:bCs/>
          <w:sz w:val="24"/>
          <w:szCs w:val="32"/>
        </w:rPr>
        <w:t xml:space="preserve"> выявил </w:t>
      </w:r>
      <w:r w:rsidRPr="004336CF">
        <w:rPr>
          <w:bCs/>
          <w:sz w:val="24"/>
          <w:szCs w:val="32"/>
        </w:rPr>
        <w:t xml:space="preserve">сокращение их финансирования </w:t>
      </w:r>
      <w:r>
        <w:rPr>
          <w:bCs/>
          <w:sz w:val="24"/>
          <w:szCs w:val="32"/>
        </w:rPr>
        <w:t>по большинству</w:t>
      </w:r>
      <w:r w:rsidRPr="004336CF">
        <w:rPr>
          <w:bCs/>
          <w:sz w:val="24"/>
          <w:szCs w:val="32"/>
        </w:rPr>
        <w:t xml:space="preserve"> направлени</w:t>
      </w:r>
      <w:r>
        <w:rPr>
          <w:bCs/>
          <w:sz w:val="24"/>
          <w:szCs w:val="32"/>
        </w:rPr>
        <w:t>й</w:t>
      </w:r>
      <w:r w:rsidRPr="004336CF">
        <w:rPr>
          <w:bCs/>
          <w:sz w:val="24"/>
          <w:szCs w:val="32"/>
        </w:rPr>
        <w:t xml:space="preserve"> </w:t>
      </w:r>
      <w:r w:rsidRPr="00CE3743">
        <w:rPr>
          <w:bCs/>
          <w:sz w:val="24"/>
          <w:szCs w:val="32"/>
        </w:rPr>
        <w:t>(табл. 5).</w:t>
      </w:r>
      <w:r>
        <w:rPr>
          <w:bCs/>
          <w:sz w:val="24"/>
          <w:szCs w:val="32"/>
        </w:rPr>
        <w:t xml:space="preserve"> </w:t>
      </w:r>
      <w:r w:rsidRPr="00C02C32">
        <w:rPr>
          <w:bCs/>
          <w:sz w:val="24"/>
          <w:szCs w:val="32"/>
        </w:rPr>
        <w:t>В наибольшей степени за три года бюджетного цикла сокращается финансирование по госпрограмме «Цифровая трансформация», по отношению к объему финансирования, утвержденному в 2022 году: на 27,08%, 32,05% и 47,26% в 2023–2025 годах соответственно.</w:t>
      </w:r>
    </w:p>
    <w:p w14:paraId="1713C8CB" w14:textId="77777777" w:rsidR="00BC3C02" w:rsidRDefault="00BC3C02" w:rsidP="00BC3C02">
      <w:pPr>
        <w:spacing w:line="360" w:lineRule="auto"/>
        <w:ind w:firstLine="709"/>
        <w:jc w:val="both"/>
        <w:rPr>
          <w:bCs/>
          <w:sz w:val="24"/>
          <w:szCs w:val="32"/>
        </w:rPr>
      </w:pPr>
      <w:r>
        <w:rPr>
          <w:bCs/>
          <w:sz w:val="24"/>
          <w:szCs w:val="32"/>
        </w:rPr>
        <w:t>Рост расходов федерального бюджета по отношению к показателям их финансирования в 2022 году предусмотрен по программным направлениям «</w:t>
      </w:r>
      <w:r w:rsidRPr="00957F94">
        <w:rPr>
          <w:bCs/>
          <w:sz w:val="24"/>
          <w:szCs w:val="32"/>
        </w:rPr>
        <w:t>Сохранение населения, здоровье и благополучие людей</w:t>
      </w:r>
      <w:r>
        <w:rPr>
          <w:bCs/>
          <w:sz w:val="24"/>
          <w:szCs w:val="32"/>
        </w:rPr>
        <w:t>» (+4,88%, 6,66% и 8,59% к 2022 году) и «</w:t>
      </w:r>
      <w:r w:rsidRPr="00957F94">
        <w:rPr>
          <w:bCs/>
          <w:sz w:val="24"/>
          <w:szCs w:val="32"/>
        </w:rPr>
        <w:t>Сбалансированное региональное развитие</w:t>
      </w:r>
      <w:r>
        <w:rPr>
          <w:bCs/>
          <w:sz w:val="24"/>
          <w:szCs w:val="32"/>
        </w:rPr>
        <w:t>» (+</w:t>
      </w:r>
      <w:r w:rsidRPr="00957F94">
        <w:rPr>
          <w:bCs/>
          <w:sz w:val="24"/>
          <w:szCs w:val="32"/>
        </w:rPr>
        <w:t>2,95</w:t>
      </w:r>
      <w:r>
        <w:rPr>
          <w:bCs/>
          <w:sz w:val="24"/>
          <w:szCs w:val="32"/>
        </w:rPr>
        <w:t xml:space="preserve">%, </w:t>
      </w:r>
      <w:r w:rsidRPr="00957F94">
        <w:rPr>
          <w:bCs/>
          <w:sz w:val="24"/>
          <w:szCs w:val="32"/>
        </w:rPr>
        <w:t>1,63</w:t>
      </w:r>
      <w:r>
        <w:rPr>
          <w:bCs/>
          <w:sz w:val="24"/>
          <w:szCs w:val="32"/>
        </w:rPr>
        <w:t xml:space="preserve">% и </w:t>
      </w:r>
      <w:r w:rsidRPr="00957F94">
        <w:rPr>
          <w:bCs/>
          <w:sz w:val="24"/>
          <w:szCs w:val="32"/>
        </w:rPr>
        <w:t>3,94</w:t>
      </w:r>
      <w:r>
        <w:rPr>
          <w:bCs/>
          <w:sz w:val="24"/>
          <w:szCs w:val="32"/>
        </w:rPr>
        <w:t xml:space="preserve">% к 2022 году), что, </w:t>
      </w:r>
      <w:r>
        <w:rPr>
          <w:bCs/>
          <w:sz w:val="24"/>
          <w:szCs w:val="32"/>
        </w:rPr>
        <w:lastRenderedPageBreak/>
        <w:t xml:space="preserve">безусловно, следует оценить положительно в непростых условиях сжатия доходных источников федерального бюджета. </w:t>
      </w:r>
    </w:p>
    <w:p w14:paraId="08F36BBB" w14:textId="77777777" w:rsidR="00C02C32" w:rsidRPr="00CE3743" w:rsidRDefault="00C02C32" w:rsidP="00C02C32">
      <w:pPr>
        <w:spacing w:line="360" w:lineRule="auto"/>
        <w:ind w:firstLine="709"/>
        <w:jc w:val="both"/>
        <w:rPr>
          <w:bCs/>
          <w:sz w:val="24"/>
          <w:szCs w:val="32"/>
        </w:rPr>
      </w:pPr>
    </w:p>
    <w:p w14:paraId="6DC88042" w14:textId="77777777" w:rsidR="002B4D4D" w:rsidRPr="0041214F" w:rsidRDefault="002B4D4D" w:rsidP="008553E6">
      <w:pPr>
        <w:spacing w:line="360" w:lineRule="auto"/>
        <w:jc w:val="both"/>
        <w:rPr>
          <w:bCs/>
          <w:i/>
          <w:iCs/>
          <w:sz w:val="24"/>
          <w:szCs w:val="32"/>
        </w:rPr>
      </w:pPr>
      <w:r w:rsidRPr="00CE3743">
        <w:rPr>
          <w:bCs/>
          <w:i/>
          <w:iCs/>
          <w:sz w:val="24"/>
          <w:szCs w:val="32"/>
        </w:rPr>
        <w:t xml:space="preserve">Таблица 5 </w:t>
      </w:r>
      <w:r w:rsidRPr="0041214F">
        <w:rPr>
          <w:bCs/>
          <w:i/>
          <w:iCs/>
          <w:sz w:val="24"/>
          <w:szCs w:val="32"/>
        </w:rPr>
        <w:t xml:space="preserve">- Динамика относительных изменений показателя финансирования </w:t>
      </w:r>
      <w:r>
        <w:rPr>
          <w:bCs/>
          <w:i/>
          <w:iCs/>
          <w:sz w:val="24"/>
          <w:szCs w:val="32"/>
        </w:rPr>
        <w:t>государственных</w:t>
      </w:r>
      <w:r w:rsidRPr="0041214F">
        <w:rPr>
          <w:bCs/>
          <w:i/>
          <w:iCs/>
          <w:sz w:val="24"/>
          <w:szCs w:val="32"/>
        </w:rPr>
        <w:t xml:space="preserve"> программ в 2023–2025 </w:t>
      </w:r>
      <w:r>
        <w:rPr>
          <w:bCs/>
          <w:i/>
          <w:iCs/>
          <w:sz w:val="24"/>
          <w:szCs w:val="32"/>
        </w:rPr>
        <w:t>годы</w:t>
      </w:r>
      <w:r w:rsidRPr="0041214F">
        <w:rPr>
          <w:bCs/>
          <w:i/>
          <w:iCs/>
          <w:sz w:val="24"/>
          <w:szCs w:val="32"/>
        </w:rPr>
        <w:t xml:space="preserve"> (к </w:t>
      </w:r>
      <w:r>
        <w:rPr>
          <w:bCs/>
          <w:i/>
          <w:iCs/>
          <w:sz w:val="24"/>
          <w:szCs w:val="32"/>
        </w:rPr>
        <w:t xml:space="preserve">базисному </w:t>
      </w:r>
      <w:r w:rsidRPr="0041214F">
        <w:rPr>
          <w:bCs/>
          <w:i/>
          <w:iCs/>
          <w:sz w:val="24"/>
          <w:szCs w:val="32"/>
        </w:rPr>
        <w:t>2022 г</w:t>
      </w:r>
      <w:r>
        <w:rPr>
          <w:bCs/>
          <w:i/>
          <w:iCs/>
          <w:sz w:val="24"/>
          <w:szCs w:val="32"/>
        </w:rPr>
        <w:t>оду</w:t>
      </w:r>
      <w:r w:rsidRPr="0041214F">
        <w:rPr>
          <w:bCs/>
          <w:i/>
          <w:iCs/>
          <w:sz w:val="24"/>
          <w:szCs w:val="32"/>
        </w:rPr>
        <w:t>)</w:t>
      </w:r>
    </w:p>
    <w:p w14:paraId="3FED5040" w14:textId="77777777" w:rsidR="002B4D4D" w:rsidRPr="0041214F" w:rsidRDefault="002B4D4D" w:rsidP="002B4D4D">
      <w:pPr>
        <w:spacing w:line="360" w:lineRule="auto"/>
        <w:jc w:val="center"/>
        <w:rPr>
          <w:bCs/>
          <w:sz w:val="24"/>
          <w:szCs w:val="32"/>
        </w:rPr>
      </w:pPr>
      <w:r w:rsidRPr="00DE6F41">
        <w:rPr>
          <w:bCs/>
          <w:noProof/>
          <w:sz w:val="24"/>
          <w:szCs w:val="32"/>
        </w:rPr>
        <w:drawing>
          <wp:inline distT="0" distB="0" distL="0" distR="0" wp14:anchorId="32B7BCF9" wp14:editId="4DD970FA">
            <wp:extent cx="5940425" cy="2120900"/>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0425" cy="2120900"/>
                    </a:xfrm>
                    <a:prstGeom prst="rect">
                      <a:avLst/>
                    </a:prstGeom>
                    <a:noFill/>
                    <a:ln>
                      <a:noFill/>
                    </a:ln>
                  </pic:spPr>
                </pic:pic>
              </a:graphicData>
            </a:graphic>
          </wp:inline>
        </w:drawing>
      </w:r>
    </w:p>
    <w:p w14:paraId="0E2C6CDD" w14:textId="77777777" w:rsidR="002B4D4D" w:rsidRDefault="002B4D4D" w:rsidP="002B4D4D">
      <w:pPr>
        <w:spacing w:line="360" w:lineRule="auto"/>
        <w:jc w:val="both"/>
        <w:rPr>
          <w:bCs/>
          <w:i/>
          <w:iCs/>
          <w:sz w:val="24"/>
          <w:szCs w:val="32"/>
        </w:rPr>
      </w:pPr>
      <w:r w:rsidRPr="0041214F">
        <w:rPr>
          <w:bCs/>
          <w:i/>
          <w:iCs/>
          <w:sz w:val="24"/>
          <w:szCs w:val="32"/>
        </w:rPr>
        <w:t xml:space="preserve">Источник: составлено по данным законопроекта и паспортов </w:t>
      </w:r>
      <w:r>
        <w:rPr>
          <w:bCs/>
          <w:i/>
          <w:iCs/>
          <w:sz w:val="24"/>
          <w:szCs w:val="32"/>
        </w:rPr>
        <w:t>государственных программ.</w:t>
      </w:r>
    </w:p>
    <w:p w14:paraId="595903F2" w14:textId="77777777" w:rsidR="002B4D4D" w:rsidRDefault="002B4D4D" w:rsidP="002B4D4D">
      <w:pPr>
        <w:spacing w:line="360" w:lineRule="auto"/>
        <w:ind w:firstLine="709"/>
        <w:jc w:val="both"/>
        <w:rPr>
          <w:bCs/>
          <w:i/>
          <w:iCs/>
          <w:sz w:val="24"/>
          <w:szCs w:val="32"/>
        </w:rPr>
      </w:pPr>
    </w:p>
    <w:p w14:paraId="7356CDD8" w14:textId="77777777" w:rsidR="002B4D4D" w:rsidRDefault="002B4D4D" w:rsidP="002B4D4D">
      <w:pPr>
        <w:spacing w:line="360" w:lineRule="auto"/>
        <w:ind w:firstLine="709"/>
        <w:jc w:val="both"/>
        <w:rPr>
          <w:bCs/>
          <w:sz w:val="24"/>
          <w:szCs w:val="32"/>
        </w:rPr>
      </w:pPr>
      <w:r>
        <w:rPr>
          <w:bCs/>
          <w:sz w:val="24"/>
          <w:szCs w:val="32"/>
        </w:rPr>
        <w:t>В то же время в</w:t>
      </w:r>
      <w:r w:rsidRPr="0041214F">
        <w:rPr>
          <w:bCs/>
          <w:sz w:val="24"/>
          <w:szCs w:val="32"/>
        </w:rPr>
        <w:t>ызывает</w:t>
      </w:r>
      <w:r>
        <w:rPr>
          <w:bCs/>
          <w:sz w:val="24"/>
          <w:szCs w:val="32"/>
        </w:rPr>
        <w:t xml:space="preserve"> </w:t>
      </w:r>
      <w:r w:rsidRPr="0041214F">
        <w:rPr>
          <w:bCs/>
          <w:sz w:val="24"/>
          <w:szCs w:val="32"/>
        </w:rPr>
        <w:t xml:space="preserve">обеспокоенность сокращение </w:t>
      </w:r>
      <w:r>
        <w:rPr>
          <w:bCs/>
          <w:sz w:val="24"/>
          <w:szCs w:val="32"/>
        </w:rPr>
        <w:t xml:space="preserve">финансирования </w:t>
      </w:r>
      <w:r w:rsidRPr="0041214F">
        <w:rPr>
          <w:bCs/>
          <w:sz w:val="24"/>
          <w:szCs w:val="32"/>
        </w:rPr>
        <w:t>госпрограмм по двум важнейшим</w:t>
      </w:r>
      <w:r>
        <w:rPr>
          <w:bCs/>
          <w:sz w:val="24"/>
          <w:szCs w:val="32"/>
        </w:rPr>
        <w:t xml:space="preserve"> </w:t>
      </w:r>
      <w:r w:rsidRPr="0041214F">
        <w:rPr>
          <w:bCs/>
          <w:sz w:val="24"/>
          <w:szCs w:val="32"/>
        </w:rPr>
        <w:t>для</w:t>
      </w:r>
      <w:r>
        <w:rPr>
          <w:bCs/>
          <w:sz w:val="24"/>
          <w:szCs w:val="32"/>
        </w:rPr>
        <w:t xml:space="preserve"> </w:t>
      </w:r>
      <w:r w:rsidRPr="0041214F">
        <w:rPr>
          <w:bCs/>
          <w:sz w:val="24"/>
          <w:szCs w:val="32"/>
        </w:rPr>
        <w:t>стимулирования экономического роста</w:t>
      </w:r>
      <w:r>
        <w:rPr>
          <w:bCs/>
          <w:sz w:val="24"/>
          <w:szCs w:val="32"/>
        </w:rPr>
        <w:t xml:space="preserve"> направлениям</w:t>
      </w:r>
      <w:r w:rsidRPr="0041214F">
        <w:rPr>
          <w:bCs/>
          <w:sz w:val="24"/>
          <w:szCs w:val="32"/>
        </w:rPr>
        <w:t>: «</w:t>
      </w:r>
      <w:r w:rsidRPr="00FC5B1B">
        <w:rPr>
          <w:bCs/>
          <w:sz w:val="24"/>
          <w:szCs w:val="32"/>
        </w:rPr>
        <w:t>Достойный, эффективный труд и успешное предпринимательство</w:t>
      </w:r>
      <w:r>
        <w:rPr>
          <w:bCs/>
          <w:sz w:val="24"/>
          <w:szCs w:val="32"/>
        </w:rPr>
        <w:t>» (в среднем на 11,88% за три года) и «</w:t>
      </w:r>
      <w:r w:rsidRPr="00FC5B1B">
        <w:rPr>
          <w:bCs/>
          <w:sz w:val="24"/>
          <w:szCs w:val="32"/>
        </w:rPr>
        <w:t>Развитие науки, промышленности и технологи</w:t>
      </w:r>
      <w:r>
        <w:rPr>
          <w:bCs/>
          <w:sz w:val="24"/>
          <w:szCs w:val="32"/>
        </w:rPr>
        <w:t>й» (</w:t>
      </w:r>
      <w:r w:rsidRPr="00FC5B1B">
        <w:rPr>
          <w:bCs/>
          <w:sz w:val="24"/>
          <w:szCs w:val="32"/>
        </w:rPr>
        <w:t xml:space="preserve">в среднем на </w:t>
      </w:r>
      <w:r>
        <w:rPr>
          <w:bCs/>
          <w:sz w:val="24"/>
          <w:szCs w:val="32"/>
        </w:rPr>
        <w:t>7,</w:t>
      </w:r>
      <w:r w:rsidRPr="00FC5B1B">
        <w:rPr>
          <w:bCs/>
          <w:sz w:val="24"/>
          <w:szCs w:val="32"/>
        </w:rPr>
        <w:t>11% за три года</w:t>
      </w:r>
      <w:r>
        <w:rPr>
          <w:bCs/>
          <w:sz w:val="24"/>
          <w:szCs w:val="32"/>
        </w:rPr>
        <w:t>).</w:t>
      </w:r>
    </w:p>
    <w:p w14:paraId="6423CA8F" w14:textId="5017FBAB" w:rsidR="002B4D4D" w:rsidRDefault="002B4D4D" w:rsidP="00C02C32">
      <w:pPr>
        <w:spacing w:line="360" w:lineRule="auto"/>
        <w:ind w:firstLine="397"/>
        <w:jc w:val="both"/>
        <w:rPr>
          <w:bCs/>
          <w:sz w:val="24"/>
          <w:szCs w:val="32"/>
        </w:rPr>
      </w:pPr>
      <w:r w:rsidRPr="0041214F">
        <w:rPr>
          <w:bCs/>
          <w:sz w:val="24"/>
          <w:szCs w:val="32"/>
        </w:rPr>
        <w:t xml:space="preserve">Таким образом, на основе оценки приоритетов </w:t>
      </w:r>
      <w:r>
        <w:rPr>
          <w:bCs/>
          <w:sz w:val="24"/>
          <w:szCs w:val="32"/>
        </w:rPr>
        <w:t xml:space="preserve">программных </w:t>
      </w:r>
      <w:r w:rsidRPr="0041214F">
        <w:rPr>
          <w:bCs/>
          <w:sz w:val="24"/>
          <w:szCs w:val="32"/>
        </w:rPr>
        <w:t>расходов федерального бюджета в</w:t>
      </w:r>
      <w:r>
        <w:rPr>
          <w:bCs/>
          <w:sz w:val="24"/>
          <w:szCs w:val="32"/>
        </w:rPr>
        <w:t xml:space="preserve"> </w:t>
      </w:r>
      <w:r w:rsidRPr="0041214F">
        <w:rPr>
          <w:bCs/>
          <w:sz w:val="24"/>
          <w:szCs w:val="32"/>
        </w:rPr>
        <w:t>20</w:t>
      </w:r>
      <w:r>
        <w:rPr>
          <w:bCs/>
          <w:sz w:val="24"/>
          <w:szCs w:val="32"/>
        </w:rPr>
        <w:t>23</w:t>
      </w:r>
      <w:r w:rsidRPr="0041214F">
        <w:rPr>
          <w:bCs/>
          <w:sz w:val="24"/>
          <w:szCs w:val="32"/>
        </w:rPr>
        <w:t xml:space="preserve">–2025 </w:t>
      </w:r>
      <w:r>
        <w:rPr>
          <w:bCs/>
          <w:sz w:val="24"/>
          <w:szCs w:val="32"/>
        </w:rPr>
        <w:t>годов</w:t>
      </w:r>
      <w:r w:rsidRPr="0041214F">
        <w:rPr>
          <w:bCs/>
          <w:sz w:val="24"/>
          <w:szCs w:val="32"/>
        </w:rPr>
        <w:t xml:space="preserve"> можно сделать вывод </w:t>
      </w:r>
      <w:r w:rsidRPr="00C02C32">
        <w:rPr>
          <w:bCs/>
          <w:sz w:val="24"/>
          <w:szCs w:val="32"/>
        </w:rPr>
        <w:t xml:space="preserve">о </w:t>
      </w:r>
      <w:r w:rsidR="008F6714" w:rsidRPr="00C02C32">
        <w:rPr>
          <w:bCs/>
          <w:sz w:val="24"/>
          <w:szCs w:val="32"/>
        </w:rPr>
        <w:t>необходимости более</w:t>
      </w:r>
      <w:r w:rsidR="008F6714">
        <w:rPr>
          <w:bCs/>
          <w:sz w:val="24"/>
          <w:szCs w:val="32"/>
        </w:rPr>
        <w:t xml:space="preserve"> </w:t>
      </w:r>
      <w:r>
        <w:rPr>
          <w:bCs/>
          <w:sz w:val="24"/>
          <w:szCs w:val="32"/>
        </w:rPr>
        <w:t>активно</w:t>
      </w:r>
      <w:r w:rsidR="00C02C32">
        <w:rPr>
          <w:bCs/>
          <w:sz w:val="24"/>
          <w:szCs w:val="32"/>
        </w:rPr>
        <w:t xml:space="preserve">го </w:t>
      </w:r>
      <w:r w:rsidRPr="00EA2626">
        <w:rPr>
          <w:bCs/>
          <w:sz w:val="24"/>
          <w:szCs w:val="32"/>
        </w:rPr>
        <w:t>стимулировани</w:t>
      </w:r>
      <w:r w:rsidR="00C02C32">
        <w:rPr>
          <w:bCs/>
          <w:sz w:val="24"/>
          <w:szCs w:val="32"/>
        </w:rPr>
        <w:t>я</w:t>
      </w:r>
      <w:r w:rsidRPr="00EA2626">
        <w:rPr>
          <w:bCs/>
          <w:sz w:val="24"/>
          <w:szCs w:val="32"/>
        </w:rPr>
        <w:t xml:space="preserve"> расходов</w:t>
      </w:r>
      <w:r>
        <w:rPr>
          <w:bCs/>
          <w:sz w:val="24"/>
          <w:szCs w:val="32"/>
        </w:rPr>
        <w:t xml:space="preserve"> на развитие экономического, научного и цифрового потенциалов роста российской экономики. Сохранение ранее утвержденных объемов финансирования по указанным направлениям является </w:t>
      </w:r>
      <w:r w:rsidRPr="0041214F">
        <w:rPr>
          <w:bCs/>
          <w:sz w:val="24"/>
          <w:szCs w:val="32"/>
        </w:rPr>
        <w:t>крайне необходим</w:t>
      </w:r>
      <w:r>
        <w:rPr>
          <w:bCs/>
          <w:sz w:val="24"/>
          <w:szCs w:val="32"/>
        </w:rPr>
        <w:t>ым</w:t>
      </w:r>
      <w:r w:rsidRPr="0041214F">
        <w:rPr>
          <w:bCs/>
          <w:sz w:val="24"/>
          <w:szCs w:val="32"/>
        </w:rPr>
        <w:t xml:space="preserve"> для </w:t>
      </w:r>
      <w:r>
        <w:rPr>
          <w:bCs/>
          <w:sz w:val="24"/>
          <w:szCs w:val="32"/>
        </w:rPr>
        <w:t>сохранения и поддержания технологического потенциала экономики России в условиях сохраняющ</w:t>
      </w:r>
      <w:r w:rsidR="008F6714">
        <w:rPr>
          <w:bCs/>
          <w:sz w:val="24"/>
          <w:szCs w:val="32"/>
        </w:rPr>
        <w:t>ихся санкций</w:t>
      </w:r>
      <w:r w:rsidR="00C02C32">
        <w:rPr>
          <w:bCs/>
          <w:sz w:val="24"/>
          <w:szCs w:val="32"/>
        </w:rPr>
        <w:t>.</w:t>
      </w:r>
      <w:r>
        <w:rPr>
          <w:bCs/>
          <w:sz w:val="24"/>
          <w:szCs w:val="32"/>
        </w:rPr>
        <w:t xml:space="preserve"> Считаем, что дальнейшее р</w:t>
      </w:r>
      <w:r w:rsidRPr="00500246">
        <w:rPr>
          <w:bCs/>
          <w:sz w:val="24"/>
          <w:szCs w:val="32"/>
        </w:rPr>
        <w:t>азвитие института гос</w:t>
      </w:r>
      <w:r>
        <w:rPr>
          <w:bCs/>
          <w:sz w:val="24"/>
          <w:szCs w:val="32"/>
        </w:rPr>
        <w:t xml:space="preserve">ударственных </w:t>
      </w:r>
      <w:r w:rsidRPr="00500246">
        <w:rPr>
          <w:bCs/>
          <w:sz w:val="24"/>
          <w:szCs w:val="32"/>
        </w:rPr>
        <w:t>программ</w:t>
      </w:r>
      <w:r>
        <w:rPr>
          <w:bCs/>
          <w:sz w:val="24"/>
          <w:szCs w:val="32"/>
        </w:rPr>
        <w:t xml:space="preserve"> посредством дальнейшего приоритетного их финансирования</w:t>
      </w:r>
      <w:r w:rsidRPr="00500246">
        <w:rPr>
          <w:bCs/>
          <w:sz w:val="24"/>
          <w:szCs w:val="32"/>
        </w:rPr>
        <w:t xml:space="preserve">, совершенствование проектных принципов управления </w:t>
      </w:r>
      <w:r>
        <w:rPr>
          <w:bCs/>
          <w:sz w:val="24"/>
          <w:szCs w:val="32"/>
        </w:rPr>
        <w:t>являются</w:t>
      </w:r>
      <w:r w:rsidRPr="00500246">
        <w:rPr>
          <w:bCs/>
          <w:sz w:val="24"/>
          <w:szCs w:val="32"/>
        </w:rPr>
        <w:t xml:space="preserve"> ключевыми мерами государственной поддержки </w:t>
      </w:r>
      <w:r>
        <w:rPr>
          <w:bCs/>
          <w:sz w:val="24"/>
          <w:szCs w:val="32"/>
        </w:rPr>
        <w:t xml:space="preserve">и условием </w:t>
      </w:r>
      <w:r w:rsidRPr="00500246">
        <w:rPr>
          <w:bCs/>
          <w:sz w:val="24"/>
          <w:szCs w:val="32"/>
        </w:rPr>
        <w:t>достижени</w:t>
      </w:r>
      <w:r>
        <w:rPr>
          <w:bCs/>
          <w:sz w:val="24"/>
          <w:szCs w:val="32"/>
        </w:rPr>
        <w:t>я</w:t>
      </w:r>
      <w:r w:rsidRPr="00500246">
        <w:rPr>
          <w:bCs/>
          <w:sz w:val="24"/>
          <w:szCs w:val="32"/>
        </w:rPr>
        <w:t xml:space="preserve"> национальных целей развития.</w:t>
      </w:r>
    </w:p>
    <w:p w14:paraId="42913EC4" w14:textId="431EAA75" w:rsidR="001E26A1" w:rsidRDefault="001E26A1" w:rsidP="006C1C7A">
      <w:pPr>
        <w:pStyle w:val="aa"/>
        <w:spacing w:after="120"/>
        <w:ind w:left="0"/>
        <w:contextualSpacing w:val="0"/>
        <w:rPr>
          <w:sz w:val="24"/>
          <w:szCs w:val="24"/>
        </w:rPr>
      </w:pPr>
    </w:p>
    <w:p w14:paraId="0A7E3475" w14:textId="6D0ACE90" w:rsidR="00C02C32" w:rsidRDefault="00C02C32" w:rsidP="006C1C7A">
      <w:pPr>
        <w:pStyle w:val="aa"/>
        <w:spacing w:after="120"/>
        <w:ind w:left="0"/>
        <w:contextualSpacing w:val="0"/>
        <w:rPr>
          <w:sz w:val="24"/>
          <w:szCs w:val="24"/>
        </w:rPr>
      </w:pPr>
    </w:p>
    <w:p w14:paraId="52A35AB4" w14:textId="77777777" w:rsidR="00BC3C02" w:rsidRDefault="00BC3C02" w:rsidP="006C1C7A">
      <w:pPr>
        <w:pStyle w:val="aa"/>
        <w:spacing w:after="120"/>
        <w:ind w:left="0"/>
        <w:contextualSpacing w:val="0"/>
        <w:rPr>
          <w:sz w:val="24"/>
          <w:szCs w:val="24"/>
        </w:rPr>
      </w:pPr>
    </w:p>
    <w:p w14:paraId="232D6DBC" w14:textId="26AF19D6" w:rsidR="004F3E1E" w:rsidRPr="00C02C32" w:rsidRDefault="00297C15" w:rsidP="004F3E1E">
      <w:pPr>
        <w:pStyle w:val="aa"/>
        <w:numPr>
          <w:ilvl w:val="0"/>
          <w:numId w:val="40"/>
        </w:numPr>
        <w:spacing w:line="360" w:lineRule="auto"/>
        <w:ind w:left="754" w:hanging="357"/>
        <w:jc w:val="both"/>
        <w:rPr>
          <w:rFonts w:ascii="Times New Roman" w:hAnsi="Times New Roman"/>
          <w:i/>
          <w:iCs/>
          <w:sz w:val="24"/>
          <w:szCs w:val="24"/>
        </w:rPr>
      </w:pPr>
      <w:r w:rsidRPr="00100F1E">
        <w:rPr>
          <w:rFonts w:ascii="Times New Roman" w:hAnsi="Times New Roman"/>
          <w:b/>
          <w:bCs/>
          <w:i/>
          <w:iCs/>
          <w:sz w:val="24"/>
          <w:szCs w:val="24"/>
        </w:rPr>
        <w:lastRenderedPageBreak/>
        <w:t xml:space="preserve">Оценка обоснованности и достаточности источников финансирования дефицита федерального бюджета, объемов государственных заимствований и параметров Фонда национального благосостояния </w:t>
      </w:r>
      <w:r w:rsidRPr="00100F1E">
        <w:rPr>
          <w:rFonts w:ascii="Times New Roman" w:hAnsi="Times New Roman"/>
          <w:b/>
          <w:i/>
          <w:iCs/>
          <w:sz w:val="24"/>
          <w:szCs w:val="32"/>
        </w:rPr>
        <w:t>на 2023 год и на плановый период 2024 и 2025 годов</w:t>
      </w:r>
    </w:p>
    <w:p w14:paraId="06FB799A" w14:textId="64805ACF" w:rsidR="00297C15" w:rsidRPr="004F3E1E" w:rsidRDefault="00297C15" w:rsidP="004F3E1E">
      <w:pPr>
        <w:spacing w:line="360" w:lineRule="auto"/>
        <w:ind w:firstLine="709"/>
        <w:contextualSpacing/>
        <w:jc w:val="both"/>
        <w:rPr>
          <w:rFonts w:eastAsia="Calibri"/>
          <w:i/>
          <w:iCs/>
          <w:sz w:val="24"/>
          <w:szCs w:val="24"/>
        </w:rPr>
      </w:pPr>
      <w:r w:rsidRPr="004F3E1E">
        <w:rPr>
          <w:rFonts w:eastAsiaTheme="minorHAnsi"/>
          <w:sz w:val="24"/>
          <w:szCs w:val="24"/>
        </w:rPr>
        <w:t>Проект федерального бюджета на 2023 год и на плановый период 2024 и 2025 годов составлен с учетом планируемого превышения расходов федерального бюджета над доходами в каждом отчетном периоде бюджетного цикла. Это кардинально отличает параметры сбалансированности федерального бюджета в прогнозном периоде от их значений, утвержденных Федеральным законом «О федеральном бюджете на 2022 год и на плановый период 2023 и 2024 годов» от 06.12.2021 № 390-ФЗ и предусматривающих ранее профицит федерального бюджета в указанные периоды. Изменения обусловлены введением в отношении Российской Федерации беспрецедентных санкционных ограничений по экспорту углеводородов и других ресурсов и будут сказываться в основном на сокращении нефтегазовых доходов федерального бюджета.</w:t>
      </w:r>
    </w:p>
    <w:p w14:paraId="4B390CCC" w14:textId="77777777" w:rsidR="00C02C32" w:rsidRDefault="00297C15" w:rsidP="00C02C32">
      <w:pPr>
        <w:spacing w:line="360" w:lineRule="auto"/>
        <w:ind w:firstLine="709"/>
        <w:contextualSpacing/>
        <w:jc w:val="both"/>
        <w:rPr>
          <w:sz w:val="24"/>
          <w:szCs w:val="24"/>
        </w:rPr>
      </w:pPr>
      <w:r w:rsidRPr="00346513">
        <w:rPr>
          <w:sz w:val="24"/>
          <w:szCs w:val="24"/>
        </w:rPr>
        <w:t>Основными источниками финансирования дефицита федерального бюджета в 202</w:t>
      </w:r>
      <w:r>
        <w:rPr>
          <w:sz w:val="24"/>
          <w:szCs w:val="24"/>
        </w:rPr>
        <w:t>3–2025</w:t>
      </w:r>
      <w:r w:rsidRPr="00346513">
        <w:rPr>
          <w:sz w:val="24"/>
          <w:szCs w:val="24"/>
        </w:rPr>
        <w:t xml:space="preserve"> годах, также</w:t>
      </w:r>
      <w:r>
        <w:rPr>
          <w:sz w:val="24"/>
          <w:szCs w:val="24"/>
        </w:rPr>
        <w:t>,</w:t>
      </w:r>
      <w:r w:rsidRPr="00346513">
        <w:rPr>
          <w:sz w:val="24"/>
          <w:szCs w:val="24"/>
        </w:rPr>
        <w:t xml:space="preserve"> как и в предыдущ</w:t>
      </w:r>
      <w:r>
        <w:rPr>
          <w:sz w:val="24"/>
          <w:szCs w:val="24"/>
        </w:rPr>
        <w:t>ем</w:t>
      </w:r>
      <w:r w:rsidRPr="00346513">
        <w:rPr>
          <w:sz w:val="24"/>
          <w:szCs w:val="24"/>
        </w:rPr>
        <w:t xml:space="preserve"> бюджетн</w:t>
      </w:r>
      <w:r>
        <w:rPr>
          <w:sz w:val="24"/>
          <w:szCs w:val="24"/>
        </w:rPr>
        <w:t>ом</w:t>
      </w:r>
      <w:r w:rsidRPr="00346513">
        <w:rPr>
          <w:sz w:val="24"/>
          <w:szCs w:val="24"/>
        </w:rPr>
        <w:t xml:space="preserve"> цикл</w:t>
      </w:r>
      <w:r>
        <w:rPr>
          <w:sz w:val="24"/>
          <w:szCs w:val="24"/>
        </w:rPr>
        <w:t xml:space="preserve">е, </w:t>
      </w:r>
      <w:r w:rsidRPr="00346513">
        <w:rPr>
          <w:sz w:val="24"/>
          <w:szCs w:val="24"/>
        </w:rPr>
        <w:t>будут являться государственные займы и средства Фонда национального благосостояния</w:t>
      </w:r>
      <w:r>
        <w:rPr>
          <w:sz w:val="24"/>
          <w:szCs w:val="24"/>
        </w:rPr>
        <w:t xml:space="preserve"> (рис.14)</w:t>
      </w:r>
      <w:r w:rsidRPr="00346513">
        <w:rPr>
          <w:sz w:val="24"/>
          <w:szCs w:val="24"/>
        </w:rPr>
        <w:t xml:space="preserve">. </w:t>
      </w:r>
    </w:p>
    <w:p w14:paraId="321F84E4" w14:textId="5387DD9B" w:rsidR="00297C15" w:rsidRDefault="00C02C32" w:rsidP="00C02C32">
      <w:pPr>
        <w:spacing w:line="360" w:lineRule="auto"/>
        <w:ind w:firstLine="709"/>
        <w:contextualSpacing/>
        <w:jc w:val="both"/>
        <w:rPr>
          <w:sz w:val="24"/>
          <w:szCs w:val="24"/>
        </w:rPr>
      </w:pPr>
      <w:r w:rsidRPr="001A034A">
        <w:rPr>
          <w:sz w:val="24"/>
          <w:szCs w:val="24"/>
        </w:rPr>
        <w:t>При этом, согласно законопроекту, в отношении принципов балансировки федерального бюджета произошли изменения, обусловившие превышение предельных объемов финансирования расходов в сравнении с их объемом при действующей конструкции «бюджетных правил». Применяемая до недавнего времени редакция бюджетных правил не могла быть применена в условиях 2022 года.</w:t>
      </w:r>
      <w:r w:rsidRPr="001A034A">
        <w:rPr>
          <w:sz w:val="24"/>
          <w:szCs w:val="24"/>
        </w:rPr>
        <w:br/>
        <w:t xml:space="preserve">Во-первых, установление цены отсечения в долларах США за </w:t>
      </w:r>
      <w:r>
        <w:rPr>
          <w:sz w:val="24"/>
          <w:szCs w:val="24"/>
        </w:rPr>
        <w:t xml:space="preserve">1 </w:t>
      </w:r>
      <w:r w:rsidRPr="001A034A">
        <w:rPr>
          <w:sz w:val="24"/>
          <w:szCs w:val="24"/>
        </w:rPr>
        <w:t xml:space="preserve">баррель </w:t>
      </w:r>
      <w:r>
        <w:rPr>
          <w:sz w:val="24"/>
          <w:szCs w:val="24"/>
        </w:rPr>
        <w:t xml:space="preserve">нефти </w:t>
      </w:r>
      <w:r w:rsidRPr="001A034A">
        <w:rPr>
          <w:sz w:val="24"/>
          <w:szCs w:val="24"/>
        </w:rPr>
        <w:t xml:space="preserve">приводило к сильной зависимости </w:t>
      </w:r>
      <w:r>
        <w:rPr>
          <w:sz w:val="24"/>
          <w:szCs w:val="24"/>
        </w:rPr>
        <w:t>объемов</w:t>
      </w:r>
      <w:r w:rsidRPr="001A034A">
        <w:rPr>
          <w:sz w:val="24"/>
          <w:szCs w:val="24"/>
        </w:rPr>
        <w:t xml:space="preserve"> нефтегазовых доходов федерального бюджета</w:t>
      </w:r>
      <w:r>
        <w:rPr>
          <w:sz w:val="24"/>
          <w:szCs w:val="24"/>
        </w:rPr>
        <w:t xml:space="preserve">, в т.ч. </w:t>
      </w:r>
      <w:r w:rsidRPr="001A034A">
        <w:rPr>
          <w:sz w:val="24"/>
          <w:szCs w:val="24"/>
        </w:rPr>
        <w:t xml:space="preserve"> отчислений в ФНБ от </w:t>
      </w:r>
      <w:r>
        <w:rPr>
          <w:sz w:val="24"/>
          <w:szCs w:val="24"/>
        </w:rPr>
        <w:t>конъюнктурных факто</w:t>
      </w:r>
      <w:r w:rsidRPr="001A034A">
        <w:rPr>
          <w:sz w:val="24"/>
          <w:szCs w:val="24"/>
        </w:rPr>
        <w:t>ров</w:t>
      </w:r>
      <w:r>
        <w:rPr>
          <w:sz w:val="24"/>
          <w:szCs w:val="24"/>
        </w:rPr>
        <w:t xml:space="preserve"> с высокой волатильностью и степенью непредсказуемости (средние мировые цены на нефть и валютный курс доллара к рублю)</w:t>
      </w:r>
      <w:r w:rsidRPr="001A034A">
        <w:rPr>
          <w:sz w:val="24"/>
          <w:szCs w:val="24"/>
        </w:rPr>
        <w:t>.</w:t>
      </w:r>
    </w:p>
    <w:p w14:paraId="18CD4E8C" w14:textId="77777777" w:rsidR="00BC3C02" w:rsidRPr="001A034A" w:rsidRDefault="00BC3C02" w:rsidP="00BC3C02">
      <w:pPr>
        <w:spacing w:line="360" w:lineRule="auto"/>
        <w:ind w:firstLine="708"/>
        <w:jc w:val="both"/>
        <w:rPr>
          <w:sz w:val="24"/>
          <w:szCs w:val="24"/>
        </w:rPr>
      </w:pPr>
      <w:r w:rsidRPr="001A034A">
        <w:rPr>
          <w:sz w:val="24"/>
          <w:szCs w:val="24"/>
        </w:rPr>
        <w:t xml:space="preserve">Во-вторых, использование бюджетного правила не представляется возможным </w:t>
      </w:r>
      <w:r>
        <w:rPr>
          <w:sz w:val="24"/>
          <w:szCs w:val="24"/>
        </w:rPr>
        <w:t>ввиду</w:t>
      </w:r>
      <w:r w:rsidRPr="001A034A">
        <w:rPr>
          <w:sz w:val="24"/>
          <w:szCs w:val="24"/>
        </w:rPr>
        <w:t xml:space="preserve"> необходимости осуществления дополнительных расходов федерального бюджета на реализацию антикризисных мер поддержки российской экономики</w:t>
      </w:r>
      <w:r>
        <w:rPr>
          <w:sz w:val="24"/>
          <w:szCs w:val="24"/>
        </w:rPr>
        <w:t xml:space="preserve">, в т.ч. их финансирования за счет </w:t>
      </w:r>
      <w:r w:rsidRPr="001A034A">
        <w:rPr>
          <w:sz w:val="24"/>
          <w:szCs w:val="24"/>
        </w:rPr>
        <w:t>средств ФНБ.</w:t>
      </w:r>
    </w:p>
    <w:p w14:paraId="1E4D5BF3" w14:textId="174B1F76" w:rsidR="00BC3C02" w:rsidRDefault="00BC3C02" w:rsidP="00BC3C02">
      <w:pPr>
        <w:spacing w:line="360" w:lineRule="auto"/>
        <w:ind w:firstLine="709"/>
        <w:contextualSpacing/>
        <w:jc w:val="both"/>
        <w:rPr>
          <w:sz w:val="24"/>
          <w:szCs w:val="24"/>
        </w:rPr>
      </w:pPr>
      <w:r>
        <w:rPr>
          <w:sz w:val="24"/>
          <w:szCs w:val="24"/>
        </w:rPr>
        <w:t>В этой связи д</w:t>
      </w:r>
      <w:r w:rsidRPr="006A0B6B">
        <w:rPr>
          <w:sz w:val="24"/>
          <w:szCs w:val="24"/>
        </w:rPr>
        <w:t xml:space="preserve">ефицит федерального бюджета </w:t>
      </w:r>
      <w:r>
        <w:rPr>
          <w:sz w:val="24"/>
          <w:szCs w:val="24"/>
        </w:rPr>
        <w:t>во всех отчетных</w:t>
      </w:r>
      <w:r w:rsidRPr="006A0B6B">
        <w:rPr>
          <w:sz w:val="24"/>
          <w:szCs w:val="24"/>
        </w:rPr>
        <w:t xml:space="preserve"> период</w:t>
      </w:r>
      <w:r>
        <w:rPr>
          <w:sz w:val="24"/>
          <w:szCs w:val="24"/>
        </w:rPr>
        <w:t>ах прогнозируемого бюджетного цикла</w:t>
      </w:r>
      <w:r w:rsidRPr="006A0B6B">
        <w:rPr>
          <w:sz w:val="24"/>
          <w:szCs w:val="24"/>
        </w:rPr>
        <w:t xml:space="preserve"> обусловлен </w:t>
      </w:r>
      <w:r>
        <w:rPr>
          <w:sz w:val="24"/>
          <w:szCs w:val="24"/>
        </w:rPr>
        <w:t xml:space="preserve">не только ухудшением внешней экономической конъюнктуры, приводящей к выпадению части доходов федерального бюджета, но и необходимым увеличением его расходов в рамках </w:t>
      </w:r>
      <w:r w:rsidRPr="006A0B6B">
        <w:rPr>
          <w:sz w:val="24"/>
          <w:szCs w:val="24"/>
        </w:rPr>
        <w:t xml:space="preserve">проводимой </w:t>
      </w:r>
      <w:proofErr w:type="spellStart"/>
      <w:r w:rsidRPr="006A0B6B">
        <w:rPr>
          <w:sz w:val="24"/>
          <w:szCs w:val="24"/>
        </w:rPr>
        <w:lastRenderedPageBreak/>
        <w:t>контрциклической</w:t>
      </w:r>
      <w:proofErr w:type="spellEnd"/>
      <w:r w:rsidRPr="006A0B6B">
        <w:rPr>
          <w:sz w:val="24"/>
          <w:szCs w:val="24"/>
        </w:rPr>
        <w:t xml:space="preserve"> бюджетной политико</w:t>
      </w:r>
      <w:r>
        <w:rPr>
          <w:sz w:val="24"/>
          <w:szCs w:val="24"/>
        </w:rPr>
        <w:t xml:space="preserve">й, направленной на </w:t>
      </w:r>
      <w:r w:rsidRPr="006A0B6B">
        <w:rPr>
          <w:sz w:val="24"/>
          <w:szCs w:val="24"/>
        </w:rPr>
        <w:t>поддержк</w:t>
      </w:r>
      <w:r>
        <w:rPr>
          <w:sz w:val="24"/>
          <w:szCs w:val="24"/>
        </w:rPr>
        <w:t>у наиболее уязвимых групп</w:t>
      </w:r>
      <w:r w:rsidRPr="006A0B6B">
        <w:rPr>
          <w:sz w:val="24"/>
          <w:szCs w:val="24"/>
        </w:rPr>
        <w:t xml:space="preserve"> населения</w:t>
      </w:r>
      <w:r>
        <w:rPr>
          <w:sz w:val="24"/>
          <w:szCs w:val="24"/>
        </w:rPr>
        <w:t xml:space="preserve"> и организаций из пострадавших отраслей.</w:t>
      </w:r>
    </w:p>
    <w:p w14:paraId="7E39DEE3" w14:textId="77777777" w:rsidR="00297C15" w:rsidRDefault="00297C15" w:rsidP="00297C15">
      <w:pPr>
        <w:jc w:val="center"/>
        <w:rPr>
          <w:sz w:val="24"/>
          <w:szCs w:val="24"/>
        </w:rPr>
      </w:pPr>
      <w:r>
        <w:rPr>
          <w:noProof/>
        </w:rPr>
        <w:drawing>
          <wp:inline distT="0" distB="0" distL="0" distR="0" wp14:anchorId="469756B1" wp14:editId="36E58CD5">
            <wp:extent cx="4914900" cy="29241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FFA8EF" w14:textId="04B269AF" w:rsidR="00297C15" w:rsidRPr="00297C15" w:rsidRDefault="00297C15" w:rsidP="00297C15">
      <w:pPr>
        <w:spacing w:line="360" w:lineRule="auto"/>
        <w:jc w:val="center"/>
        <w:rPr>
          <w:i/>
          <w:iCs/>
          <w:sz w:val="24"/>
          <w:szCs w:val="24"/>
        </w:rPr>
      </w:pPr>
      <w:r w:rsidRPr="00297C15">
        <w:rPr>
          <w:i/>
          <w:iCs/>
          <w:sz w:val="24"/>
          <w:szCs w:val="24"/>
        </w:rPr>
        <w:t>Рисунок 14 - Источники финансирования дефицита федерального бюджета в 2023–2025</w:t>
      </w:r>
      <w:r>
        <w:rPr>
          <w:i/>
          <w:iCs/>
          <w:sz w:val="24"/>
          <w:szCs w:val="24"/>
        </w:rPr>
        <w:t xml:space="preserve"> </w:t>
      </w:r>
      <w:r w:rsidRPr="00297C15">
        <w:rPr>
          <w:i/>
          <w:iCs/>
          <w:sz w:val="24"/>
          <w:szCs w:val="24"/>
        </w:rPr>
        <w:t xml:space="preserve">годах, млрд рублей </w:t>
      </w:r>
    </w:p>
    <w:p w14:paraId="68008C4C" w14:textId="39442478" w:rsidR="00297C15" w:rsidRDefault="00297C15" w:rsidP="00297C15">
      <w:pPr>
        <w:jc w:val="both"/>
        <w:rPr>
          <w:i/>
          <w:iCs/>
          <w:sz w:val="24"/>
          <w:szCs w:val="24"/>
        </w:rPr>
      </w:pPr>
      <w:r w:rsidRPr="00346513">
        <w:rPr>
          <w:i/>
          <w:iCs/>
          <w:sz w:val="24"/>
          <w:szCs w:val="24"/>
        </w:rPr>
        <w:t xml:space="preserve">Источник: </w:t>
      </w:r>
      <w:r>
        <w:rPr>
          <w:i/>
          <w:iCs/>
          <w:sz w:val="24"/>
          <w:szCs w:val="24"/>
        </w:rPr>
        <w:t xml:space="preserve">составлено на основе данных </w:t>
      </w:r>
      <w:r w:rsidRPr="00346513">
        <w:rPr>
          <w:i/>
          <w:iCs/>
          <w:sz w:val="24"/>
          <w:szCs w:val="24"/>
        </w:rPr>
        <w:t>пояснительн</w:t>
      </w:r>
      <w:r>
        <w:rPr>
          <w:i/>
          <w:iCs/>
          <w:sz w:val="24"/>
          <w:szCs w:val="24"/>
        </w:rPr>
        <w:t>ой</w:t>
      </w:r>
      <w:r w:rsidRPr="00346513">
        <w:rPr>
          <w:i/>
          <w:iCs/>
          <w:sz w:val="24"/>
          <w:szCs w:val="24"/>
        </w:rPr>
        <w:t xml:space="preserve"> записк</w:t>
      </w:r>
      <w:r>
        <w:rPr>
          <w:i/>
          <w:iCs/>
          <w:sz w:val="24"/>
          <w:szCs w:val="24"/>
        </w:rPr>
        <w:t>и</w:t>
      </w:r>
      <w:r w:rsidRPr="00346513">
        <w:rPr>
          <w:i/>
          <w:iCs/>
          <w:sz w:val="24"/>
          <w:szCs w:val="24"/>
        </w:rPr>
        <w:t xml:space="preserve"> к законопроект</w:t>
      </w:r>
      <w:r>
        <w:rPr>
          <w:i/>
          <w:iCs/>
          <w:sz w:val="24"/>
          <w:szCs w:val="24"/>
        </w:rPr>
        <w:t>у</w:t>
      </w:r>
    </w:p>
    <w:p w14:paraId="781337A4" w14:textId="77777777" w:rsidR="00297C15" w:rsidRPr="00346513" w:rsidRDefault="00297C15" w:rsidP="00297C15">
      <w:pPr>
        <w:jc w:val="center"/>
        <w:rPr>
          <w:i/>
          <w:iCs/>
          <w:sz w:val="24"/>
          <w:szCs w:val="24"/>
        </w:rPr>
      </w:pPr>
    </w:p>
    <w:p w14:paraId="0B43212F" w14:textId="617B5565" w:rsidR="00297C15" w:rsidRPr="00346513" w:rsidRDefault="00297C15" w:rsidP="00297C15">
      <w:pPr>
        <w:spacing w:line="360" w:lineRule="auto"/>
        <w:ind w:firstLine="708"/>
        <w:jc w:val="both"/>
        <w:rPr>
          <w:sz w:val="24"/>
          <w:szCs w:val="24"/>
        </w:rPr>
      </w:pPr>
      <w:r>
        <w:rPr>
          <w:sz w:val="24"/>
          <w:szCs w:val="24"/>
        </w:rPr>
        <w:t>В этих условиях п</w:t>
      </w:r>
      <w:r w:rsidRPr="00346513">
        <w:rPr>
          <w:sz w:val="24"/>
          <w:szCs w:val="24"/>
        </w:rPr>
        <w:t xml:space="preserve">редельные расходы </w:t>
      </w:r>
      <w:r>
        <w:rPr>
          <w:sz w:val="24"/>
          <w:szCs w:val="24"/>
        </w:rPr>
        <w:t xml:space="preserve">федерального бюджета </w:t>
      </w:r>
      <w:r w:rsidRPr="00346513">
        <w:rPr>
          <w:sz w:val="24"/>
          <w:szCs w:val="24"/>
        </w:rPr>
        <w:t xml:space="preserve">будут определены в соответствии с </w:t>
      </w:r>
      <w:r>
        <w:rPr>
          <w:sz w:val="24"/>
          <w:szCs w:val="24"/>
        </w:rPr>
        <w:t>некоторой модификацией отдельных элементов «</w:t>
      </w:r>
      <w:r w:rsidRPr="00346513">
        <w:rPr>
          <w:sz w:val="24"/>
          <w:szCs w:val="24"/>
        </w:rPr>
        <w:t>бюджетн</w:t>
      </w:r>
      <w:r>
        <w:rPr>
          <w:sz w:val="24"/>
          <w:szCs w:val="24"/>
        </w:rPr>
        <w:t>ого</w:t>
      </w:r>
      <w:r w:rsidRPr="00346513">
        <w:rPr>
          <w:sz w:val="24"/>
          <w:szCs w:val="24"/>
        </w:rPr>
        <w:t xml:space="preserve"> правил</w:t>
      </w:r>
      <w:r>
        <w:rPr>
          <w:sz w:val="24"/>
          <w:szCs w:val="24"/>
        </w:rPr>
        <w:t>а»</w:t>
      </w:r>
      <w:r w:rsidRPr="00346513">
        <w:rPr>
          <w:sz w:val="24"/>
          <w:szCs w:val="24"/>
        </w:rPr>
        <w:t>, что позволит снизить бюджетные риски, сохранить уровень доверия инвесторов к проводимой макроэкономической политике и выйти на "безопасный" уровень функционирования экономики.</w:t>
      </w:r>
    </w:p>
    <w:p w14:paraId="295CB46F" w14:textId="77777777" w:rsidR="00297C15" w:rsidRPr="001A034A" w:rsidRDefault="00297C15" w:rsidP="00297C15">
      <w:pPr>
        <w:spacing w:line="360" w:lineRule="auto"/>
        <w:ind w:firstLine="708"/>
        <w:jc w:val="both"/>
        <w:rPr>
          <w:sz w:val="24"/>
          <w:szCs w:val="24"/>
        </w:rPr>
      </w:pPr>
      <w:r w:rsidRPr="00346513">
        <w:rPr>
          <w:sz w:val="24"/>
          <w:szCs w:val="24"/>
        </w:rPr>
        <w:t>Согласно планам Минфина России</w:t>
      </w:r>
      <w:r>
        <w:rPr>
          <w:sz w:val="24"/>
          <w:szCs w:val="24"/>
        </w:rPr>
        <w:t>,</w:t>
      </w:r>
      <w:r w:rsidRPr="00346513">
        <w:rPr>
          <w:sz w:val="24"/>
          <w:szCs w:val="24"/>
        </w:rPr>
        <w:t xml:space="preserve"> к 2025 году</w:t>
      </w:r>
      <w:r>
        <w:rPr>
          <w:sz w:val="24"/>
          <w:szCs w:val="24"/>
        </w:rPr>
        <w:t xml:space="preserve"> </w:t>
      </w:r>
      <w:r w:rsidRPr="00346513">
        <w:rPr>
          <w:sz w:val="24"/>
          <w:szCs w:val="24"/>
        </w:rPr>
        <w:t>планируется постепенное внедрение новой редакции бюджетного правила и переход к профицитному бюджету</w:t>
      </w:r>
      <w:r>
        <w:rPr>
          <w:sz w:val="24"/>
          <w:szCs w:val="24"/>
        </w:rPr>
        <w:t xml:space="preserve"> на федеральном уровне </w:t>
      </w:r>
      <w:r w:rsidRPr="006B5D25">
        <w:rPr>
          <w:sz w:val="24"/>
          <w:szCs w:val="24"/>
        </w:rPr>
        <w:t>безотносительно</w:t>
      </w:r>
      <w:r>
        <w:rPr>
          <w:sz w:val="24"/>
          <w:szCs w:val="24"/>
        </w:rPr>
        <w:t xml:space="preserve"> </w:t>
      </w:r>
      <w:r w:rsidRPr="006B5D25">
        <w:rPr>
          <w:sz w:val="24"/>
          <w:szCs w:val="24"/>
        </w:rPr>
        <w:t>последстви</w:t>
      </w:r>
      <w:r>
        <w:rPr>
          <w:sz w:val="24"/>
          <w:szCs w:val="24"/>
        </w:rPr>
        <w:t xml:space="preserve">й роста </w:t>
      </w:r>
      <w:r w:rsidRPr="006B5D25">
        <w:rPr>
          <w:sz w:val="24"/>
          <w:szCs w:val="24"/>
        </w:rPr>
        <w:t xml:space="preserve">долговых обязательств, </w:t>
      </w:r>
      <w:r>
        <w:rPr>
          <w:sz w:val="24"/>
          <w:szCs w:val="24"/>
        </w:rPr>
        <w:t xml:space="preserve">обусловленных </w:t>
      </w:r>
      <w:r w:rsidRPr="006B5D25">
        <w:rPr>
          <w:sz w:val="24"/>
          <w:szCs w:val="24"/>
        </w:rPr>
        <w:t>государственными заимствованиями пр</w:t>
      </w:r>
      <w:r>
        <w:rPr>
          <w:sz w:val="24"/>
          <w:szCs w:val="24"/>
        </w:rPr>
        <w:t>ошлых</w:t>
      </w:r>
      <w:r w:rsidRPr="006B5D25">
        <w:rPr>
          <w:sz w:val="24"/>
          <w:szCs w:val="24"/>
        </w:rPr>
        <w:t xml:space="preserve"> лет. </w:t>
      </w:r>
    </w:p>
    <w:p w14:paraId="73E84B56" w14:textId="319F2538" w:rsidR="008343C5" w:rsidRDefault="00297C15" w:rsidP="008343C5">
      <w:pPr>
        <w:spacing w:line="360" w:lineRule="auto"/>
        <w:ind w:firstLine="708"/>
        <w:jc w:val="both"/>
        <w:rPr>
          <w:sz w:val="24"/>
          <w:szCs w:val="24"/>
        </w:rPr>
      </w:pPr>
      <w:r>
        <w:rPr>
          <w:sz w:val="24"/>
          <w:szCs w:val="24"/>
        </w:rPr>
        <w:t>Оценивая</w:t>
      </w:r>
      <w:r w:rsidRPr="00346513">
        <w:rPr>
          <w:sz w:val="24"/>
          <w:szCs w:val="24"/>
        </w:rPr>
        <w:t xml:space="preserve"> размер дефицита федерального бюджета </w:t>
      </w:r>
      <w:r>
        <w:rPr>
          <w:sz w:val="24"/>
          <w:szCs w:val="24"/>
        </w:rPr>
        <w:t>в прогнозном периоде, следует</w:t>
      </w:r>
      <w:r w:rsidRPr="00346513">
        <w:rPr>
          <w:sz w:val="24"/>
          <w:szCs w:val="24"/>
        </w:rPr>
        <w:t xml:space="preserve"> отметить, что он находится на допустимом уровне (менее 3% ВВП)</w:t>
      </w:r>
      <w:r>
        <w:rPr>
          <w:sz w:val="24"/>
          <w:szCs w:val="24"/>
        </w:rPr>
        <w:t>, что</w:t>
      </w:r>
      <w:r w:rsidRPr="00346513">
        <w:rPr>
          <w:sz w:val="24"/>
          <w:szCs w:val="24"/>
        </w:rPr>
        <w:t xml:space="preserve"> означает высокую </w:t>
      </w:r>
      <w:r>
        <w:rPr>
          <w:sz w:val="24"/>
          <w:szCs w:val="24"/>
        </w:rPr>
        <w:t xml:space="preserve">степень вероятности </w:t>
      </w:r>
      <w:r w:rsidRPr="00346513">
        <w:rPr>
          <w:sz w:val="24"/>
          <w:szCs w:val="24"/>
        </w:rPr>
        <w:t xml:space="preserve">его преодоления </w:t>
      </w:r>
      <w:r>
        <w:rPr>
          <w:sz w:val="24"/>
          <w:szCs w:val="24"/>
        </w:rPr>
        <w:t xml:space="preserve">к концу прогнозного бюджетного цикла. </w:t>
      </w:r>
      <w:r w:rsidRPr="00346513">
        <w:rPr>
          <w:sz w:val="24"/>
          <w:szCs w:val="24"/>
        </w:rPr>
        <w:t>(рис</w:t>
      </w:r>
      <w:r>
        <w:rPr>
          <w:sz w:val="24"/>
          <w:szCs w:val="24"/>
        </w:rPr>
        <w:t>. 15</w:t>
      </w:r>
      <w:r w:rsidRPr="00346513">
        <w:rPr>
          <w:sz w:val="24"/>
          <w:szCs w:val="24"/>
        </w:rPr>
        <w:t>).</w:t>
      </w:r>
      <w:r w:rsidR="008343C5">
        <w:rPr>
          <w:sz w:val="24"/>
          <w:szCs w:val="24"/>
        </w:rPr>
        <w:t xml:space="preserve"> </w:t>
      </w:r>
      <w:r w:rsidR="008343C5" w:rsidRPr="00EC11B9">
        <w:rPr>
          <w:sz w:val="24"/>
          <w:szCs w:val="24"/>
        </w:rPr>
        <w:t>Снижение отрицательного сальдо федерального бюджета в течение бюджетного цикла 2023–2025 годов обеспечивается в том числе за счет снижения отдельных его расходов.</w:t>
      </w:r>
      <w:r w:rsidR="008343C5" w:rsidRPr="008343C5">
        <w:rPr>
          <w:sz w:val="24"/>
          <w:szCs w:val="24"/>
        </w:rPr>
        <w:t xml:space="preserve"> </w:t>
      </w:r>
    </w:p>
    <w:p w14:paraId="05B18EB7" w14:textId="4A6A87CB" w:rsidR="008343C5" w:rsidRPr="00EC11B9" w:rsidRDefault="008343C5" w:rsidP="008343C5">
      <w:pPr>
        <w:spacing w:line="360" w:lineRule="auto"/>
        <w:ind w:firstLine="708"/>
        <w:jc w:val="both"/>
        <w:rPr>
          <w:sz w:val="24"/>
          <w:szCs w:val="24"/>
        </w:rPr>
      </w:pPr>
      <w:r w:rsidRPr="00EC11B9">
        <w:rPr>
          <w:sz w:val="24"/>
          <w:szCs w:val="24"/>
        </w:rPr>
        <w:t xml:space="preserve">Следует отметить, что формирование федерального бюджета на 2020–2022 годы осуществлялось также в условиях сокращения части расходов с целью выполнения принципа сбалансированности бюджета. Вместе с тем стремление обеспечить минимальный дефицит в условиях сжатия бюджетных доходов или их выпадения приводит, </w:t>
      </w:r>
      <w:r w:rsidRPr="00EC11B9">
        <w:rPr>
          <w:sz w:val="24"/>
          <w:szCs w:val="24"/>
        </w:rPr>
        <w:lastRenderedPageBreak/>
        <w:t xml:space="preserve">с одной стороны, к постоянной приостановке действий «бюджетных правил» или их модификации, с другой – к необходимости финансирования «дополнительных», хотя и необходимых расходов федерального бюджета за счет растущего объема государственных заимствований. Одновременно на федеральном уровне в отношении показателей сбалансированности бюджетов субъектов Российской Федерации проводится довольно жесткая политика, направленная на ограничение дефицитов региональных бюджетов и как следствие - субфедеральных заимствований. </w:t>
      </w:r>
    </w:p>
    <w:p w14:paraId="092C9BF9" w14:textId="77777777" w:rsidR="00297C15" w:rsidRPr="00346513" w:rsidRDefault="00297C15" w:rsidP="00297C15">
      <w:pPr>
        <w:spacing w:line="360" w:lineRule="auto"/>
        <w:ind w:firstLine="708"/>
        <w:jc w:val="both"/>
        <w:rPr>
          <w:sz w:val="24"/>
          <w:szCs w:val="24"/>
        </w:rPr>
      </w:pPr>
      <w:r w:rsidRPr="00346513">
        <w:rPr>
          <w:noProof/>
          <w:sz w:val="24"/>
          <w:szCs w:val="24"/>
        </w:rPr>
        <w:drawing>
          <wp:inline distT="0" distB="0" distL="0" distR="0" wp14:anchorId="1F589AA0" wp14:editId="0E47234D">
            <wp:extent cx="4709160" cy="2468880"/>
            <wp:effectExtent l="0" t="0" r="0" b="7620"/>
            <wp:docPr id="16" name="Диаграмма 16">
              <a:extLst xmlns:a="http://schemas.openxmlformats.org/drawingml/2006/main">
                <a:ext uri="{FF2B5EF4-FFF2-40B4-BE49-F238E27FC236}">
                  <a16:creationId xmlns:a16="http://schemas.microsoft.com/office/drawing/2014/main" id="{B9859570-EDD2-F740-AF53-8D87A7CAE9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684A18" w14:textId="07B359E3" w:rsidR="00297C15" w:rsidRPr="008343C5" w:rsidRDefault="00297C15" w:rsidP="008343C5">
      <w:pPr>
        <w:spacing w:line="360" w:lineRule="auto"/>
        <w:ind w:firstLine="708"/>
        <w:contextualSpacing/>
        <w:jc w:val="both"/>
        <w:rPr>
          <w:i/>
          <w:iCs/>
          <w:sz w:val="24"/>
          <w:szCs w:val="24"/>
        </w:rPr>
      </w:pPr>
      <w:r w:rsidRPr="008343C5">
        <w:rPr>
          <w:i/>
          <w:iCs/>
          <w:sz w:val="24"/>
          <w:szCs w:val="24"/>
        </w:rPr>
        <w:t xml:space="preserve">Рисунок </w:t>
      </w:r>
      <w:r w:rsidR="008343C5" w:rsidRPr="008343C5">
        <w:rPr>
          <w:i/>
          <w:iCs/>
          <w:sz w:val="24"/>
          <w:szCs w:val="24"/>
        </w:rPr>
        <w:t xml:space="preserve">15 </w:t>
      </w:r>
      <w:r w:rsidRPr="008343C5">
        <w:rPr>
          <w:i/>
          <w:iCs/>
          <w:sz w:val="24"/>
          <w:szCs w:val="24"/>
        </w:rPr>
        <w:t>- Первичный дефицит (-)/профицит (+) федерального бюджета</w:t>
      </w:r>
    </w:p>
    <w:p w14:paraId="2EEF3BC2" w14:textId="77777777" w:rsidR="00297C15" w:rsidRPr="008343C5" w:rsidRDefault="00297C15" w:rsidP="008343C5">
      <w:pPr>
        <w:spacing w:line="360" w:lineRule="auto"/>
        <w:contextualSpacing/>
        <w:jc w:val="both"/>
        <w:rPr>
          <w:i/>
          <w:iCs/>
          <w:sz w:val="24"/>
          <w:szCs w:val="24"/>
        </w:rPr>
      </w:pPr>
      <w:r w:rsidRPr="008343C5">
        <w:rPr>
          <w:i/>
          <w:iCs/>
          <w:sz w:val="24"/>
          <w:szCs w:val="24"/>
        </w:rPr>
        <w:t>Источник: составлено авторами на основе данных пояснительной записки к законопроекту</w:t>
      </w:r>
    </w:p>
    <w:p w14:paraId="2AD44E6E" w14:textId="77777777" w:rsidR="00297C15" w:rsidRPr="008343C5" w:rsidRDefault="00297C15" w:rsidP="008343C5">
      <w:pPr>
        <w:spacing w:line="360" w:lineRule="auto"/>
        <w:ind w:firstLine="708"/>
        <w:contextualSpacing/>
        <w:jc w:val="both"/>
        <w:rPr>
          <w:i/>
          <w:iCs/>
          <w:sz w:val="24"/>
          <w:szCs w:val="24"/>
        </w:rPr>
      </w:pPr>
    </w:p>
    <w:p w14:paraId="5D1AE747" w14:textId="77777777" w:rsidR="00297C15" w:rsidRDefault="00297C15" w:rsidP="00297C15">
      <w:pPr>
        <w:autoSpaceDE w:val="0"/>
        <w:autoSpaceDN w:val="0"/>
        <w:adjustRightInd w:val="0"/>
        <w:spacing w:line="360" w:lineRule="auto"/>
        <w:ind w:firstLine="709"/>
        <w:jc w:val="both"/>
        <w:rPr>
          <w:sz w:val="24"/>
        </w:rPr>
      </w:pPr>
      <w:r w:rsidRPr="00EC11B9">
        <w:rPr>
          <w:sz w:val="24"/>
          <w:szCs w:val="24"/>
        </w:rPr>
        <w:t xml:space="preserve">Оценка структуры источников финансирования дефицита федерального бюджета в анализируемый период, согласно данным пояснительной записки к законопроекту, показывает, что основной объем ресурсов на финансирование дополнительных расходов федерального бюджета в 2023 и 2024 году будет обеспечен за счет средств Фонда национального благосостояния, на который придется соответственно 99,2 и 59,4 процентов в источниках в указанные периоды (или </w:t>
      </w:r>
      <w:r w:rsidRPr="00EC11B9">
        <w:rPr>
          <w:sz w:val="24"/>
        </w:rPr>
        <w:t xml:space="preserve">2,9 и 1,3 трлн рублей соответственно). </w:t>
      </w:r>
      <w:r>
        <w:rPr>
          <w:sz w:val="24"/>
        </w:rPr>
        <w:t xml:space="preserve">Замещение в структуре источников финансирования дефицита федерального бюджета государственных займов средствами ФНБ в 2023 и 2024 годы является на наш взгляд обоснованным, так как в текущих условиях усиления санкционного давления на российскую экономику, с одной стороны, ухода с российского рынка гособлигаций нерезидентов и снижения инвестиционной активности российских инвесторов ввиду высокой экономической неопределенности, с другой, использование государственных займов в ранее предусмотренных объемах сопряжено с высоким риском их неразмещения на рынке. </w:t>
      </w:r>
    </w:p>
    <w:p w14:paraId="6C27694E" w14:textId="77777777" w:rsidR="00297C15" w:rsidRPr="00EC11B9" w:rsidRDefault="00297C15" w:rsidP="00297C15">
      <w:pPr>
        <w:autoSpaceDE w:val="0"/>
        <w:autoSpaceDN w:val="0"/>
        <w:adjustRightInd w:val="0"/>
        <w:spacing w:line="360" w:lineRule="auto"/>
        <w:ind w:firstLine="709"/>
        <w:jc w:val="both"/>
        <w:rPr>
          <w:sz w:val="24"/>
          <w:szCs w:val="24"/>
        </w:rPr>
      </w:pPr>
      <w:r w:rsidRPr="00EC11B9">
        <w:rPr>
          <w:sz w:val="24"/>
        </w:rPr>
        <w:lastRenderedPageBreak/>
        <w:t xml:space="preserve">Несмотря на то, что в </w:t>
      </w:r>
      <w:r w:rsidRPr="00EC11B9">
        <w:rPr>
          <w:sz w:val="24"/>
          <w:szCs w:val="24"/>
        </w:rPr>
        <w:t xml:space="preserve">2024 и 2025 годах ожидается пополнение средств Фонда национального </w:t>
      </w:r>
      <w:r w:rsidRPr="00346513">
        <w:rPr>
          <w:sz w:val="24"/>
          <w:szCs w:val="24"/>
        </w:rPr>
        <w:t>благосостояния за счет перечисления дополнительных нефтегазовых доходов федерального бюджета, полученных в 2023–2024  годах</w:t>
      </w:r>
      <w:r>
        <w:rPr>
          <w:sz w:val="24"/>
          <w:szCs w:val="24"/>
        </w:rPr>
        <w:t>,</w:t>
      </w:r>
      <w:r w:rsidRPr="00346513">
        <w:rPr>
          <w:sz w:val="24"/>
          <w:szCs w:val="24"/>
        </w:rPr>
        <w:t xml:space="preserve"> в объемах 939,0 млрд рублей и 656,3 млрд рублей </w:t>
      </w:r>
      <w:r w:rsidRPr="00EC11B9">
        <w:rPr>
          <w:sz w:val="24"/>
          <w:szCs w:val="24"/>
        </w:rPr>
        <w:t xml:space="preserve">соответственно, его объем к концу прогнозного бюджетного цикла будет составлять менее 4-х процентов к ВВП (при прогнозируемом изначально его объеме на конец текущего бюджетного цикла более 15 процентов ВВП). Это вызывает опасения быстрого исчерпания суверенных резервов за пределами 2025 года в случае сохранения экономической турбулентности в течение долгосрочного периода.  </w:t>
      </w:r>
    </w:p>
    <w:p w14:paraId="3EFFBF5C" w14:textId="77777777" w:rsidR="00297C15" w:rsidRPr="00346513" w:rsidRDefault="00297C15" w:rsidP="00297C15">
      <w:pPr>
        <w:autoSpaceDE w:val="0"/>
        <w:autoSpaceDN w:val="0"/>
        <w:adjustRightInd w:val="0"/>
        <w:spacing w:line="360" w:lineRule="auto"/>
        <w:ind w:firstLine="709"/>
        <w:jc w:val="both"/>
        <w:rPr>
          <w:sz w:val="24"/>
          <w:szCs w:val="24"/>
        </w:rPr>
      </w:pPr>
      <w:r w:rsidRPr="00EC11B9">
        <w:rPr>
          <w:sz w:val="24"/>
          <w:szCs w:val="24"/>
        </w:rPr>
        <w:t xml:space="preserve">Согласно законопроекту, планируется дальнейшее использование </w:t>
      </w:r>
      <w:r w:rsidRPr="00346513">
        <w:rPr>
          <w:sz w:val="24"/>
          <w:szCs w:val="24"/>
        </w:rPr>
        <w:t xml:space="preserve">средств Фонда национального благосостояния на реализацию инвестиционных проектов и на софинансирование формирования пенсионных накоплений застрахованных лиц, уплативших дополнительные страховые взносы на накопительную пенсию. </w:t>
      </w:r>
      <w:r>
        <w:rPr>
          <w:sz w:val="24"/>
          <w:szCs w:val="24"/>
        </w:rPr>
        <w:t xml:space="preserve">Следует подчеркнуть, что указанные </w:t>
      </w:r>
      <w:r w:rsidRPr="00346513">
        <w:rPr>
          <w:sz w:val="24"/>
          <w:szCs w:val="24"/>
        </w:rPr>
        <w:t xml:space="preserve">направления использования средств </w:t>
      </w:r>
      <w:r>
        <w:rPr>
          <w:sz w:val="24"/>
          <w:szCs w:val="24"/>
        </w:rPr>
        <w:t>Ф</w:t>
      </w:r>
      <w:r w:rsidRPr="00346513">
        <w:rPr>
          <w:sz w:val="24"/>
          <w:szCs w:val="24"/>
        </w:rPr>
        <w:t xml:space="preserve">онда </w:t>
      </w:r>
      <w:r>
        <w:rPr>
          <w:sz w:val="24"/>
          <w:szCs w:val="24"/>
        </w:rPr>
        <w:t xml:space="preserve">полностью </w:t>
      </w:r>
      <w:r w:rsidRPr="00346513">
        <w:rPr>
          <w:sz w:val="24"/>
          <w:szCs w:val="24"/>
        </w:rPr>
        <w:t>соответствуют установленным Бюджетным кодексом (ст. 96.10) требованиям.</w:t>
      </w:r>
    </w:p>
    <w:p w14:paraId="46CE5A76" w14:textId="77777777" w:rsidR="00C02C32" w:rsidRDefault="00297C15" w:rsidP="00C02C32">
      <w:pPr>
        <w:spacing w:line="360" w:lineRule="auto"/>
        <w:ind w:firstLine="709"/>
        <w:jc w:val="both"/>
        <w:rPr>
          <w:sz w:val="24"/>
          <w:szCs w:val="24"/>
        </w:rPr>
      </w:pPr>
      <w:r>
        <w:rPr>
          <w:sz w:val="24"/>
          <w:szCs w:val="24"/>
        </w:rPr>
        <w:t>Оценка</w:t>
      </w:r>
      <w:r w:rsidRPr="00EC11B9">
        <w:rPr>
          <w:sz w:val="24"/>
          <w:szCs w:val="24"/>
        </w:rPr>
        <w:t xml:space="preserve"> объем</w:t>
      </w:r>
      <w:r>
        <w:rPr>
          <w:sz w:val="24"/>
          <w:szCs w:val="24"/>
        </w:rPr>
        <w:t>ов</w:t>
      </w:r>
      <w:r w:rsidRPr="00EC11B9">
        <w:rPr>
          <w:sz w:val="24"/>
          <w:szCs w:val="24"/>
        </w:rPr>
        <w:t xml:space="preserve"> государственного долга</w:t>
      </w:r>
      <w:r>
        <w:rPr>
          <w:sz w:val="24"/>
          <w:szCs w:val="24"/>
        </w:rPr>
        <w:t xml:space="preserve"> Российской Федерации отражает его умеренный рост в течение всего прогнозного периода, при чем в объемах меньше, чем утвержденные его значения в  </w:t>
      </w:r>
      <w:r w:rsidRPr="00346513">
        <w:rPr>
          <w:sz w:val="24"/>
          <w:szCs w:val="24"/>
        </w:rPr>
        <w:t>Федеральн</w:t>
      </w:r>
      <w:r>
        <w:rPr>
          <w:sz w:val="24"/>
          <w:szCs w:val="24"/>
        </w:rPr>
        <w:t>ом</w:t>
      </w:r>
      <w:r w:rsidRPr="00346513">
        <w:rPr>
          <w:sz w:val="24"/>
          <w:szCs w:val="24"/>
        </w:rPr>
        <w:t xml:space="preserve"> закон</w:t>
      </w:r>
      <w:r>
        <w:rPr>
          <w:sz w:val="24"/>
          <w:szCs w:val="24"/>
        </w:rPr>
        <w:t>е</w:t>
      </w:r>
      <w:r w:rsidRPr="00346513">
        <w:rPr>
          <w:sz w:val="24"/>
          <w:szCs w:val="24"/>
        </w:rPr>
        <w:t xml:space="preserve"> «О федеральном бюджете на 2022 год и на плановый период 2023 и 2024 годов»</w:t>
      </w:r>
      <w:r>
        <w:rPr>
          <w:sz w:val="24"/>
          <w:szCs w:val="24"/>
        </w:rPr>
        <w:t xml:space="preserve"> </w:t>
      </w:r>
      <w:r w:rsidRPr="00346513">
        <w:rPr>
          <w:sz w:val="24"/>
          <w:szCs w:val="24"/>
        </w:rPr>
        <w:t>от 06.12.2021 № 390-ФЗ</w:t>
      </w:r>
      <w:r w:rsidR="008343C5">
        <w:rPr>
          <w:sz w:val="24"/>
          <w:szCs w:val="24"/>
        </w:rPr>
        <w:t xml:space="preserve"> (табл. 6)</w:t>
      </w:r>
      <w:r>
        <w:rPr>
          <w:sz w:val="24"/>
          <w:szCs w:val="24"/>
        </w:rPr>
        <w:t xml:space="preserve">. </w:t>
      </w:r>
      <w:r w:rsidR="00C02C32">
        <w:rPr>
          <w:sz w:val="24"/>
          <w:szCs w:val="24"/>
        </w:rPr>
        <w:t>К концу бюджетного цикла объем государственного долга Российской Федерации, по</w:t>
      </w:r>
      <w:r w:rsidR="00C02C32" w:rsidRPr="00EC11B9">
        <w:rPr>
          <w:sz w:val="24"/>
          <w:szCs w:val="24"/>
        </w:rPr>
        <w:t xml:space="preserve"> предварительной оценке</w:t>
      </w:r>
      <w:r w:rsidR="00C02C32">
        <w:rPr>
          <w:sz w:val="24"/>
          <w:szCs w:val="24"/>
        </w:rPr>
        <w:t>,</w:t>
      </w:r>
      <w:r w:rsidR="00C02C32" w:rsidRPr="00EC11B9">
        <w:rPr>
          <w:sz w:val="24"/>
          <w:szCs w:val="24"/>
        </w:rPr>
        <w:t xml:space="preserve"> не превысит 18% ВВП</w:t>
      </w:r>
      <w:r w:rsidR="00C02C32">
        <w:rPr>
          <w:sz w:val="24"/>
          <w:szCs w:val="24"/>
        </w:rPr>
        <w:t>. Э</w:t>
      </w:r>
      <w:r w:rsidR="00C02C32" w:rsidRPr="00EC11B9">
        <w:rPr>
          <w:sz w:val="24"/>
          <w:szCs w:val="24"/>
        </w:rPr>
        <w:t xml:space="preserve">то </w:t>
      </w:r>
      <w:r w:rsidR="00C02C32">
        <w:rPr>
          <w:sz w:val="24"/>
          <w:szCs w:val="24"/>
        </w:rPr>
        <w:t>значение существенно (на 3,5% к ВВП) ниже</w:t>
      </w:r>
      <w:r w:rsidR="00C02C32" w:rsidRPr="00EC11B9">
        <w:rPr>
          <w:sz w:val="24"/>
          <w:szCs w:val="24"/>
        </w:rPr>
        <w:t>, чем предполагалось</w:t>
      </w:r>
      <w:r w:rsidR="00C02C32">
        <w:rPr>
          <w:sz w:val="24"/>
          <w:szCs w:val="24"/>
        </w:rPr>
        <w:t xml:space="preserve"> федеральным законом </w:t>
      </w:r>
      <w:r w:rsidR="00C02C32" w:rsidRPr="00346513">
        <w:rPr>
          <w:sz w:val="24"/>
          <w:szCs w:val="24"/>
        </w:rPr>
        <w:t>№ 390-ФЗ</w:t>
      </w:r>
      <w:r w:rsidR="00C02C32">
        <w:rPr>
          <w:sz w:val="24"/>
          <w:szCs w:val="24"/>
        </w:rPr>
        <w:t xml:space="preserve"> на конец 2024 года, в то же время на 2% выше, чем запланировано в Бюджетном прогнозе Российской Федерации на 2025 год</w:t>
      </w:r>
      <w:r w:rsidR="00C02C32">
        <w:rPr>
          <w:rStyle w:val="af0"/>
          <w:sz w:val="24"/>
          <w:szCs w:val="24"/>
        </w:rPr>
        <w:footnoteReference w:id="4"/>
      </w:r>
      <w:r w:rsidR="00C02C32" w:rsidRPr="00EC11B9">
        <w:rPr>
          <w:sz w:val="24"/>
          <w:szCs w:val="24"/>
        </w:rPr>
        <w:t xml:space="preserve">.  </w:t>
      </w:r>
      <w:r w:rsidR="00C02C32">
        <w:rPr>
          <w:sz w:val="24"/>
          <w:szCs w:val="24"/>
        </w:rPr>
        <w:t>Тем не менее величина государственного долга Российской Федерации будет оставаться в пределах безопасных значений (менее 20% ВВП), установленных для него в паспорте Г</w:t>
      </w:r>
      <w:r w:rsidR="00C02C32" w:rsidRPr="00346513">
        <w:rPr>
          <w:sz w:val="24"/>
          <w:szCs w:val="24"/>
        </w:rPr>
        <w:t>осударственной программ</w:t>
      </w:r>
      <w:r w:rsidR="00C02C32">
        <w:rPr>
          <w:sz w:val="24"/>
          <w:szCs w:val="24"/>
        </w:rPr>
        <w:t>ы</w:t>
      </w:r>
      <w:r w:rsidR="00C02C32" w:rsidRPr="00346513">
        <w:rPr>
          <w:sz w:val="24"/>
          <w:szCs w:val="24"/>
        </w:rPr>
        <w:t xml:space="preserve"> Российской Федерации «Управление государственными финансами и регулирование финансовых рынков»</w:t>
      </w:r>
      <w:r w:rsidR="00C02C32">
        <w:rPr>
          <w:rStyle w:val="af0"/>
          <w:sz w:val="24"/>
          <w:szCs w:val="24"/>
        </w:rPr>
        <w:footnoteReference w:id="5"/>
      </w:r>
      <w:r w:rsidR="00C02C32" w:rsidRPr="00346513">
        <w:rPr>
          <w:sz w:val="24"/>
          <w:szCs w:val="24"/>
        </w:rPr>
        <w:t xml:space="preserve">. </w:t>
      </w:r>
    </w:p>
    <w:p w14:paraId="2AD2EAAF" w14:textId="77777777" w:rsidR="00BC3C02" w:rsidRPr="00EC11B9" w:rsidRDefault="00BC3C02" w:rsidP="00BC3C02">
      <w:pPr>
        <w:spacing w:line="360" w:lineRule="auto"/>
        <w:ind w:firstLine="709"/>
        <w:jc w:val="both"/>
        <w:rPr>
          <w:sz w:val="24"/>
          <w:szCs w:val="24"/>
        </w:rPr>
      </w:pPr>
      <w:r w:rsidRPr="00EC11B9">
        <w:rPr>
          <w:sz w:val="24"/>
          <w:szCs w:val="24"/>
        </w:rPr>
        <w:t>Ожидается, что в следующ</w:t>
      </w:r>
      <w:r>
        <w:rPr>
          <w:sz w:val="24"/>
          <w:szCs w:val="24"/>
        </w:rPr>
        <w:t xml:space="preserve">ем бюджетном цикле </w:t>
      </w:r>
      <w:r w:rsidRPr="00EC11B9">
        <w:rPr>
          <w:sz w:val="24"/>
          <w:szCs w:val="24"/>
        </w:rPr>
        <w:t>государственный долг Российской Федерации продолжит увеличиваться в основном за счет роста государственного внутреннего долга с 20 814, 96 млрд руб. (15,6% к ВВП) на 1.01.2023 г. до 24 994,02 млрд руб. (14,7% к ВВП) на начало 2026 г., или на 4 179,06 млрд. руб. (на 20,1 %).</w:t>
      </w:r>
    </w:p>
    <w:p w14:paraId="2FE88876" w14:textId="75712D84" w:rsidR="00297C15" w:rsidRPr="00EC11B9" w:rsidRDefault="00297C15" w:rsidP="008343C5">
      <w:pPr>
        <w:spacing w:line="360" w:lineRule="auto"/>
        <w:ind w:firstLine="709"/>
        <w:jc w:val="both"/>
        <w:rPr>
          <w:sz w:val="24"/>
          <w:szCs w:val="24"/>
        </w:rPr>
      </w:pPr>
    </w:p>
    <w:p w14:paraId="06C7E552" w14:textId="6A6B87C6" w:rsidR="00297C15" w:rsidRDefault="00297C15" w:rsidP="008553E6">
      <w:pPr>
        <w:tabs>
          <w:tab w:val="left" w:pos="1276"/>
        </w:tabs>
        <w:ind w:firstLine="708"/>
        <w:rPr>
          <w:i/>
          <w:iCs/>
          <w:sz w:val="24"/>
          <w:szCs w:val="24"/>
        </w:rPr>
      </w:pPr>
      <w:r w:rsidRPr="008343C5">
        <w:rPr>
          <w:i/>
          <w:iCs/>
          <w:sz w:val="24"/>
          <w:szCs w:val="24"/>
        </w:rPr>
        <w:lastRenderedPageBreak/>
        <w:t>Таблица</w:t>
      </w:r>
      <w:r w:rsidR="008343C5" w:rsidRPr="008343C5">
        <w:rPr>
          <w:i/>
          <w:iCs/>
          <w:sz w:val="24"/>
          <w:szCs w:val="24"/>
        </w:rPr>
        <w:t xml:space="preserve"> 6</w:t>
      </w:r>
      <w:r w:rsidRPr="008343C5">
        <w:rPr>
          <w:i/>
          <w:iCs/>
          <w:sz w:val="24"/>
          <w:szCs w:val="24"/>
        </w:rPr>
        <w:t xml:space="preserve"> – Объем государственного долга Российской Федерации (млрд руб.)</w:t>
      </w:r>
    </w:p>
    <w:p w14:paraId="762BAE2C" w14:textId="77777777" w:rsidR="008343C5" w:rsidRPr="008343C5" w:rsidRDefault="008343C5" w:rsidP="00297C15">
      <w:pPr>
        <w:tabs>
          <w:tab w:val="left" w:pos="1276"/>
        </w:tabs>
        <w:ind w:firstLine="708"/>
        <w:jc w:val="both"/>
        <w:rPr>
          <w:i/>
          <w:iCs/>
          <w:sz w:val="24"/>
          <w:szCs w:val="24"/>
        </w:rPr>
      </w:pPr>
    </w:p>
    <w:tbl>
      <w:tblPr>
        <w:tblStyle w:val="afa"/>
        <w:tblW w:w="9924" w:type="dxa"/>
        <w:tblInd w:w="-431" w:type="dxa"/>
        <w:tblLayout w:type="fixed"/>
        <w:tblLook w:val="04A0" w:firstRow="1" w:lastRow="0" w:firstColumn="1" w:lastColumn="0" w:noHBand="0" w:noVBand="1"/>
      </w:tblPr>
      <w:tblGrid>
        <w:gridCol w:w="1730"/>
        <w:gridCol w:w="990"/>
        <w:gridCol w:w="992"/>
        <w:gridCol w:w="992"/>
        <w:gridCol w:w="710"/>
        <w:gridCol w:w="994"/>
        <w:gridCol w:w="964"/>
        <w:gridCol w:w="681"/>
        <w:gridCol w:w="6"/>
        <w:gridCol w:w="1014"/>
        <w:gridCol w:w="851"/>
      </w:tblGrid>
      <w:tr w:rsidR="00297C15" w:rsidRPr="00346513" w14:paraId="7EA38271" w14:textId="77777777" w:rsidTr="008F6714">
        <w:tc>
          <w:tcPr>
            <w:tcW w:w="1730" w:type="dxa"/>
            <w:vMerge w:val="restart"/>
            <w:vAlign w:val="center"/>
          </w:tcPr>
          <w:p w14:paraId="3DB53515" w14:textId="77777777" w:rsidR="00297C15" w:rsidRPr="00D72539" w:rsidRDefault="00297C15" w:rsidP="001733C9">
            <w:pPr>
              <w:jc w:val="center"/>
              <w:rPr>
                <w:sz w:val="20"/>
              </w:rPr>
            </w:pPr>
            <w:r w:rsidRPr="00D72539">
              <w:rPr>
                <w:sz w:val="20"/>
              </w:rPr>
              <w:t>Показатели</w:t>
            </w:r>
          </w:p>
        </w:tc>
        <w:tc>
          <w:tcPr>
            <w:tcW w:w="990" w:type="dxa"/>
            <w:vAlign w:val="center"/>
          </w:tcPr>
          <w:p w14:paraId="6BC24C9B" w14:textId="77777777" w:rsidR="00297C15" w:rsidRPr="00D72539" w:rsidRDefault="00297C15" w:rsidP="001733C9">
            <w:pPr>
              <w:jc w:val="center"/>
              <w:rPr>
                <w:sz w:val="20"/>
              </w:rPr>
            </w:pPr>
            <w:r w:rsidRPr="00D72539">
              <w:rPr>
                <w:sz w:val="20"/>
              </w:rPr>
              <w:t>2022</w:t>
            </w:r>
          </w:p>
        </w:tc>
        <w:tc>
          <w:tcPr>
            <w:tcW w:w="2694" w:type="dxa"/>
            <w:gridSpan w:val="3"/>
            <w:vAlign w:val="center"/>
          </w:tcPr>
          <w:p w14:paraId="1801B851" w14:textId="77777777" w:rsidR="00297C15" w:rsidRPr="00D72539" w:rsidRDefault="00297C15" w:rsidP="001733C9">
            <w:pPr>
              <w:jc w:val="center"/>
              <w:rPr>
                <w:sz w:val="20"/>
              </w:rPr>
            </w:pPr>
            <w:r w:rsidRPr="00D72539">
              <w:rPr>
                <w:sz w:val="20"/>
              </w:rPr>
              <w:t>2023</w:t>
            </w:r>
          </w:p>
        </w:tc>
        <w:tc>
          <w:tcPr>
            <w:tcW w:w="2645" w:type="dxa"/>
            <w:gridSpan w:val="4"/>
            <w:vAlign w:val="center"/>
          </w:tcPr>
          <w:p w14:paraId="1508C562" w14:textId="77777777" w:rsidR="00297C15" w:rsidRPr="00D72539" w:rsidRDefault="00297C15" w:rsidP="001733C9">
            <w:pPr>
              <w:jc w:val="center"/>
              <w:rPr>
                <w:sz w:val="20"/>
              </w:rPr>
            </w:pPr>
            <w:r w:rsidRPr="00D72539">
              <w:rPr>
                <w:sz w:val="20"/>
              </w:rPr>
              <w:t>2024</w:t>
            </w:r>
          </w:p>
        </w:tc>
        <w:tc>
          <w:tcPr>
            <w:tcW w:w="1865" w:type="dxa"/>
            <w:gridSpan w:val="2"/>
            <w:vAlign w:val="center"/>
          </w:tcPr>
          <w:p w14:paraId="0C88FECC" w14:textId="77777777" w:rsidR="00297C15" w:rsidRPr="00D72539" w:rsidRDefault="00297C15" w:rsidP="001733C9">
            <w:pPr>
              <w:jc w:val="center"/>
              <w:rPr>
                <w:sz w:val="20"/>
              </w:rPr>
            </w:pPr>
            <w:r w:rsidRPr="00D72539">
              <w:rPr>
                <w:sz w:val="20"/>
              </w:rPr>
              <w:t>2025</w:t>
            </w:r>
          </w:p>
        </w:tc>
      </w:tr>
      <w:tr w:rsidR="00297C15" w:rsidRPr="00346513" w14:paraId="48758153" w14:textId="77777777" w:rsidTr="008F6714">
        <w:tc>
          <w:tcPr>
            <w:tcW w:w="1730" w:type="dxa"/>
            <w:vMerge/>
            <w:vAlign w:val="center"/>
          </w:tcPr>
          <w:p w14:paraId="61D01AF1" w14:textId="77777777" w:rsidR="00297C15" w:rsidRPr="00D72539" w:rsidRDefault="00297C15" w:rsidP="001733C9">
            <w:pPr>
              <w:jc w:val="both"/>
              <w:rPr>
                <w:sz w:val="20"/>
              </w:rPr>
            </w:pPr>
          </w:p>
        </w:tc>
        <w:tc>
          <w:tcPr>
            <w:tcW w:w="990" w:type="dxa"/>
            <w:vAlign w:val="center"/>
          </w:tcPr>
          <w:p w14:paraId="07A66CFD" w14:textId="77777777" w:rsidR="00297C15" w:rsidRPr="00D72539" w:rsidRDefault="00297C15" w:rsidP="001733C9">
            <w:pPr>
              <w:jc w:val="both"/>
              <w:rPr>
                <w:sz w:val="20"/>
              </w:rPr>
            </w:pPr>
            <w:r w:rsidRPr="00D72539">
              <w:rPr>
                <w:sz w:val="20"/>
              </w:rPr>
              <w:t>Оценка</w:t>
            </w:r>
          </w:p>
        </w:tc>
        <w:tc>
          <w:tcPr>
            <w:tcW w:w="992" w:type="dxa"/>
            <w:vAlign w:val="center"/>
          </w:tcPr>
          <w:p w14:paraId="16AFECCC" w14:textId="77777777" w:rsidR="00297C15" w:rsidRPr="00D72539" w:rsidRDefault="00297C15" w:rsidP="001733C9">
            <w:pPr>
              <w:jc w:val="both"/>
              <w:rPr>
                <w:sz w:val="20"/>
              </w:rPr>
            </w:pPr>
            <w:r w:rsidRPr="00D72539">
              <w:rPr>
                <w:sz w:val="20"/>
              </w:rPr>
              <w:t>390-ФЗ</w:t>
            </w:r>
          </w:p>
        </w:tc>
        <w:tc>
          <w:tcPr>
            <w:tcW w:w="992" w:type="dxa"/>
            <w:vAlign w:val="center"/>
          </w:tcPr>
          <w:p w14:paraId="761BFB23" w14:textId="77777777" w:rsidR="00297C15" w:rsidRPr="00D72539" w:rsidRDefault="00297C15" w:rsidP="001733C9">
            <w:pPr>
              <w:jc w:val="both"/>
              <w:rPr>
                <w:sz w:val="20"/>
              </w:rPr>
            </w:pPr>
            <w:proofErr w:type="spellStart"/>
            <w:r w:rsidRPr="00D72539">
              <w:rPr>
                <w:sz w:val="20"/>
              </w:rPr>
              <w:t>Законо</w:t>
            </w:r>
            <w:proofErr w:type="spellEnd"/>
            <w:r w:rsidRPr="00D72539">
              <w:rPr>
                <w:sz w:val="20"/>
              </w:rPr>
              <w:t>-проект</w:t>
            </w:r>
          </w:p>
        </w:tc>
        <w:tc>
          <w:tcPr>
            <w:tcW w:w="710" w:type="dxa"/>
            <w:vAlign w:val="center"/>
          </w:tcPr>
          <w:p w14:paraId="2A7E744A" w14:textId="77777777" w:rsidR="00297C15" w:rsidRPr="00D72539" w:rsidRDefault="00297C15" w:rsidP="001733C9">
            <w:pPr>
              <w:jc w:val="both"/>
              <w:rPr>
                <w:sz w:val="20"/>
              </w:rPr>
            </w:pPr>
            <w:r w:rsidRPr="00D72539">
              <w:rPr>
                <w:sz w:val="20"/>
              </w:rPr>
              <w:t>изменение, в %</w:t>
            </w:r>
          </w:p>
        </w:tc>
        <w:tc>
          <w:tcPr>
            <w:tcW w:w="994" w:type="dxa"/>
            <w:vAlign w:val="center"/>
          </w:tcPr>
          <w:p w14:paraId="503FF70D" w14:textId="77777777" w:rsidR="00297C15" w:rsidRPr="00D72539" w:rsidRDefault="00297C15" w:rsidP="001733C9">
            <w:pPr>
              <w:jc w:val="both"/>
              <w:rPr>
                <w:sz w:val="20"/>
              </w:rPr>
            </w:pPr>
            <w:r w:rsidRPr="00D72539">
              <w:rPr>
                <w:sz w:val="20"/>
              </w:rPr>
              <w:t>390-ФЗ</w:t>
            </w:r>
          </w:p>
        </w:tc>
        <w:tc>
          <w:tcPr>
            <w:tcW w:w="964" w:type="dxa"/>
            <w:vAlign w:val="center"/>
          </w:tcPr>
          <w:p w14:paraId="40F58218" w14:textId="77777777" w:rsidR="00297C15" w:rsidRPr="00D72539" w:rsidRDefault="00297C15" w:rsidP="001733C9">
            <w:pPr>
              <w:jc w:val="both"/>
              <w:rPr>
                <w:sz w:val="20"/>
              </w:rPr>
            </w:pPr>
            <w:proofErr w:type="spellStart"/>
            <w:r w:rsidRPr="00D72539">
              <w:rPr>
                <w:sz w:val="20"/>
              </w:rPr>
              <w:t>Законо</w:t>
            </w:r>
            <w:proofErr w:type="spellEnd"/>
            <w:r w:rsidRPr="00D72539">
              <w:rPr>
                <w:sz w:val="20"/>
              </w:rPr>
              <w:t>-проект</w:t>
            </w:r>
          </w:p>
        </w:tc>
        <w:tc>
          <w:tcPr>
            <w:tcW w:w="681" w:type="dxa"/>
            <w:vAlign w:val="center"/>
          </w:tcPr>
          <w:p w14:paraId="258C9A6D" w14:textId="77777777" w:rsidR="00297C15" w:rsidRPr="00D72539" w:rsidRDefault="00297C15" w:rsidP="001733C9">
            <w:pPr>
              <w:jc w:val="both"/>
              <w:rPr>
                <w:sz w:val="20"/>
              </w:rPr>
            </w:pPr>
            <w:r w:rsidRPr="00D72539">
              <w:rPr>
                <w:sz w:val="20"/>
              </w:rPr>
              <w:t>изменение, в %</w:t>
            </w:r>
          </w:p>
        </w:tc>
        <w:tc>
          <w:tcPr>
            <w:tcW w:w="1020" w:type="dxa"/>
            <w:gridSpan w:val="2"/>
            <w:vAlign w:val="center"/>
          </w:tcPr>
          <w:p w14:paraId="1E0D1AEC" w14:textId="77777777" w:rsidR="00297C15" w:rsidRPr="00D72539" w:rsidRDefault="00297C15" w:rsidP="001733C9">
            <w:pPr>
              <w:jc w:val="both"/>
              <w:rPr>
                <w:sz w:val="20"/>
              </w:rPr>
            </w:pPr>
            <w:proofErr w:type="spellStart"/>
            <w:r w:rsidRPr="00D72539">
              <w:rPr>
                <w:sz w:val="20"/>
              </w:rPr>
              <w:t>Законо</w:t>
            </w:r>
            <w:proofErr w:type="spellEnd"/>
            <w:r w:rsidRPr="00D72539">
              <w:rPr>
                <w:sz w:val="20"/>
              </w:rPr>
              <w:t>-проект</w:t>
            </w:r>
          </w:p>
        </w:tc>
        <w:tc>
          <w:tcPr>
            <w:tcW w:w="851" w:type="dxa"/>
            <w:vAlign w:val="center"/>
          </w:tcPr>
          <w:p w14:paraId="77CE829C" w14:textId="77777777" w:rsidR="00297C15" w:rsidRPr="00D72539" w:rsidRDefault="00297C15" w:rsidP="001733C9">
            <w:pPr>
              <w:jc w:val="both"/>
              <w:rPr>
                <w:sz w:val="20"/>
              </w:rPr>
            </w:pPr>
            <w:r w:rsidRPr="00D72539">
              <w:rPr>
                <w:sz w:val="20"/>
              </w:rPr>
              <w:t>изменение, в %</w:t>
            </w:r>
          </w:p>
        </w:tc>
      </w:tr>
      <w:tr w:rsidR="00297C15" w:rsidRPr="00346513" w14:paraId="44555996" w14:textId="77777777" w:rsidTr="008F6714">
        <w:trPr>
          <w:trHeight w:val="413"/>
        </w:trPr>
        <w:tc>
          <w:tcPr>
            <w:tcW w:w="1730" w:type="dxa"/>
            <w:vAlign w:val="center"/>
          </w:tcPr>
          <w:p w14:paraId="5EEF214C" w14:textId="77777777" w:rsidR="00297C15" w:rsidRPr="00D72539" w:rsidRDefault="00297C15" w:rsidP="001733C9">
            <w:pPr>
              <w:jc w:val="center"/>
              <w:rPr>
                <w:sz w:val="20"/>
              </w:rPr>
            </w:pPr>
            <w:r w:rsidRPr="00D72539">
              <w:rPr>
                <w:sz w:val="20"/>
              </w:rPr>
              <w:t>1</w:t>
            </w:r>
          </w:p>
        </w:tc>
        <w:tc>
          <w:tcPr>
            <w:tcW w:w="990" w:type="dxa"/>
            <w:vAlign w:val="center"/>
          </w:tcPr>
          <w:p w14:paraId="16DD39C7" w14:textId="77777777" w:rsidR="00297C15" w:rsidRPr="00D72539" w:rsidRDefault="00297C15" w:rsidP="001733C9">
            <w:pPr>
              <w:jc w:val="center"/>
              <w:rPr>
                <w:sz w:val="20"/>
              </w:rPr>
            </w:pPr>
            <w:r w:rsidRPr="00D72539">
              <w:rPr>
                <w:sz w:val="20"/>
              </w:rPr>
              <w:t>3</w:t>
            </w:r>
          </w:p>
        </w:tc>
        <w:tc>
          <w:tcPr>
            <w:tcW w:w="992" w:type="dxa"/>
            <w:vAlign w:val="center"/>
          </w:tcPr>
          <w:p w14:paraId="3FFE409D" w14:textId="77777777" w:rsidR="00297C15" w:rsidRPr="00D72539" w:rsidRDefault="00297C15" w:rsidP="001733C9">
            <w:pPr>
              <w:jc w:val="center"/>
              <w:rPr>
                <w:sz w:val="20"/>
              </w:rPr>
            </w:pPr>
            <w:r w:rsidRPr="00D72539">
              <w:rPr>
                <w:sz w:val="20"/>
              </w:rPr>
              <w:t>5</w:t>
            </w:r>
          </w:p>
        </w:tc>
        <w:tc>
          <w:tcPr>
            <w:tcW w:w="992" w:type="dxa"/>
            <w:vAlign w:val="center"/>
          </w:tcPr>
          <w:p w14:paraId="18019F27" w14:textId="77777777" w:rsidR="00297C15" w:rsidRPr="00D72539" w:rsidRDefault="00297C15" w:rsidP="001733C9">
            <w:pPr>
              <w:jc w:val="center"/>
              <w:rPr>
                <w:sz w:val="20"/>
              </w:rPr>
            </w:pPr>
            <w:r w:rsidRPr="00D72539">
              <w:rPr>
                <w:sz w:val="20"/>
              </w:rPr>
              <w:t>6</w:t>
            </w:r>
          </w:p>
        </w:tc>
        <w:tc>
          <w:tcPr>
            <w:tcW w:w="710" w:type="dxa"/>
            <w:vAlign w:val="center"/>
          </w:tcPr>
          <w:p w14:paraId="11436606" w14:textId="77777777" w:rsidR="00297C15" w:rsidRPr="00D72539" w:rsidRDefault="00297C15" w:rsidP="001733C9">
            <w:pPr>
              <w:rPr>
                <w:sz w:val="20"/>
              </w:rPr>
            </w:pPr>
            <w:r w:rsidRPr="00D72539">
              <w:rPr>
                <w:sz w:val="20"/>
              </w:rPr>
              <w:t>7=6/5*100</w:t>
            </w:r>
          </w:p>
        </w:tc>
        <w:tc>
          <w:tcPr>
            <w:tcW w:w="994" w:type="dxa"/>
            <w:vAlign w:val="center"/>
          </w:tcPr>
          <w:p w14:paraId="61ADB943" w14:textId="77777777" w:rsidR="00297C15" w:rsidRPr="00D72539" w:rsidRDefault="00297C15" w:rsidP="001733C9">
            <w:pPr>
              <w:jc w:val="center"/>
              <w:rPr>
                <w:sz w:val="20"/>
              </w:rPr>
            </w:pPr>
            <w:r w:rsidRPr="00D72539">
              <w:rPr>
                <w:sz w:val="20"/>
              </w:rPr>
              <w:t>8</w:t>
            </w:r>
          </w:p>
        </w:tc>
        <w:tc>
          <w:tcPr>
            <w:tcW w:w="964" w:type="dxa"/>
            <w:vAlign w:val="center"/>
          </w:tcPr>
          <w:p w14:paraId="60A92B4F" w14:textId="77777777" w:rsidR="00297C15" w:rsidRPr="00D72539" w:rsidRDefault="00297C15" w:rsidP="001733C9">
            <w:pPr>
              <w:jc w:val="center"/>
              <w:rPr>
                <w:sz w:val="20"/>
              </w:rPr>
            </w:pPr>
            <w:r w:rsidRPr="00D72539">
              <w:rPr>
                <w:sz w:val="20"/>
              </w:rPr>
              <w:t>9</w:t>
            </w:r>
          </w:p>
        </w:tc>
        <w:tc>
          <w:tcPr>
            <w:tcW w:w="681" w:type="dxa"/>
            <w:vAlign w:val="center"/>
          </w:tcPr>
          <w:p w14:paraId="54EF6C16" w14:textId="77777777" w:rsidR="00297C15" w:rsidRPr="00D72539" w:rsidRDefault="00297C15" w:rsidP="001733C9">
            <w:pPr>
              <w:rPr>
                <w:sz w:val="20"/>
              </w:rPr>
            </w:pPr>
            <w:r w:rsidRPr="00D72539">
              <w:rPr>
                <w:sz w:val="20"/>
              </w:rPr>
              <w:t>10=9/8*100</w:t>
            </w:r>
          </w:p>
          <w:p w14:paraId="00126189" w14:textId="77777777" w:rsidR="00297C15" w:rsidRPr="00D72539" w:rsidRDefault="00297C15" w:rsidP="001733C9">
            <w:pPr>
              <w:jc w:val="center"/>
              <w:rPr>
                <w:sz w:val="20"/>
              </w:rPr>
            </w:pPr>
          </w:p>
        </w:tc>
        <w:tc>
          <w:tcPr>
            <w:tcW w:w="1020" w:type="dxa"/>
            <w:gridSpan w:val="2"/>
            <w:vAlign w:val="center"/>
          </w:tcPr>
          <w:p w14:paraId="5C347A91" w14:textId="77777777" w:rsidR="00297C15" w:rsidRPr="00D72539" w:rsidRDefault="00297C15" w:rsidP="001733C9">
            <w:pPr>
              <w:jc w:val="center"/>
              <w:rPr>
                <w:sz w:val="20"/>
              </w:rPr>
            </w:pPr>
            <w:r w:rsidRPr="00D72539">
              <w:rPr>
                <w:sz w:val="20"/>
              </w:rPr>
              <w:t>11</w:t>
            </w:r>
          </w:p>
        </w:tc>
        <w:tc>
          <w:tcPr>
            <w:tcW w:w="851" w:type="dxa"/>
            <w:vAlign w:val="center"/>
          </w:tcPr>
          <w:p w14:paraId="644EF68D" w14:textId="77777777" w:rsidR="00297C15" w:rsidRPr="00D72539" w:rsidRDefault="00297C15" w:rsidP="001733C9">
            <w:pPr>
              <w:rPr>
                <w:sz w:val="20"/>
              </w:rPr>
            </w:pPr>
            <w:r w:rsidRPr="00D72539">
              <w:rPr>
                <w:sz w:val="20"/>
              </w:rPr>
              <w:t>12=11/9*100</w:t>
            </w:r>
          </w:p>
        </w:tc>
      </w:tr>
      <w:tr w:rsidR="00297C15" w:rsidRPr="00346513" w14:paraId="1CEAE716" w14:textId="77777777" w:rsidTr="008F6714">
        <w:tc>
          <w:tcPr>
            <w:tcW w:w="1730" w:type="dxa"/>
            <w:vAlign w:val="center"/>
          </w:tcPr>
          <w:p w14:paraId="195AAB95" w14:textId="77777777" w:rsidR="00297C15" w:rsidRPr="00D72539" w:rsidRDefault="00297C15" w:rsidP="001733C9">
            <w:pPr>
              <w:jc w:val="both"/>
              <w:rPr>
                <w:sz w:val="20"/>
              </w:rPr>
            </w:pPr>
            <w:r w:rsidRPr="00D72539">
              <w:rPr>
                <w:sz w:val="20"/>
              </w:rPr>
              <w:t>Объем государственного долга России, всего</w:t>
            </w:r>
          </w:p>
        </w:tc>
        <w:tc>
          <w:tcPr>
            <w:tcW w:w="990" w:type="dxa"/>
            <w:tcBorders>
              <w:bottom w:val="single" w:sz="4" w:space="0" w:color="auto"/>
            </w:tcBorders>
            <w:vAlign w:val="center"/>
          </w:tcPr>
          <w:p w14:paraId="46752FAC" w14:textId="77777777" w:rsidR="00297C15" w:rsidRPr="008F6714" w:rsidRDefault="00297C15" w:rsidP="001733C9">
            <w:pPr>
              <w:jc w:val="center"/>
              <w:rPr>
                <w:sz w:val="16"/>
                <w:szCs w:val="16"/>
              </w:rPr>
            </w:pPr>
            <w:r w:rsidRPr="008F6714">
              <w:rPr>
                <w:sz w:val="16"/>
                <w:szCs w:val="16"/>
              </w:rPr>
              <w:t>23 407</w:t>
            </w:r>
          </w:p>
        </w:tc>
        <w:tc>
          <w:tcPr>
            <w:tcW w:w="992" w:type="dxa"/>
            <w:tcBorders>
              <w:bottom w:val="single" w:sz="4" w:space="0" w:color="auto"/>
            </w:tcBorders>
            <w:vAlign w:val="center"/>
          </w:tcPr>
          <w:p w14:paraId="18B2AA56" w14:textId="77777777" w:rsidR="00297C15" w:rsidRPr="008F6714" w:rsidRDefault="00297C15" w:rsidP="001733C9">
            <w:pPr>
              <w:jc w:val="center"/>
              <w:rPr>
                <w:sz w:val="16"/>
                <w:szCs w:val="16"/>
              </w:rPr>
            </w:pPr>
            <w:r w:rsidRPr="008F6714">
              <w:rPr>
                <w:sz w:val="16"/>
                <w:szCs w:val="16"/>
              </w:rPr>
              <w:t>28 765,1</w:t>
            </w:r>
          </w:p>
        </w:tc>
        <w:tc>
          <w:tcPr>
            <w:tcW w:w="992" w:type="dxa"/>
            <w:tcBorders>
              <w:bottom w:val="single" w:sz="4" w:space="0" w:color="auto"/>
            </w:tcBorders>
            <w:vAlign w:val="center"/>
          </w:tcPr>
          <w:p w14:paraId="193D5859" w14:textId="77777777" w:rsidR="00297C15" w:rsidRPr="008F6714" w:rsidRDefault="00297C15" w:rsidP="001733C9">
            <w:pPr>
              <w:jc w:val="center"/>
              <w:rPr>
                <w:sz w:val="16"/>
                <w:szCs w:val="16"/>
              </w:rPr>
            </w:pPr>
            <w:r w:rsidRPr="008F6714">
              <w:rPr>
                <w:sz w:val="16"/>
                <w:szCs w:val="16"/>
              </w:rPr>
              <w:t>25 368,6</w:t>
            </w:r>
          </w:p>
        </w:tc>
        <w:tc>
          <w:tcPr>
            <w:tcW w:w="710" w:type="dxa"/>
            <w:tcBorders>
              <w:bottom w:val="single" w:sz="4" w:space="0" w:color="auto"/>
            </w:tcBorders>
            <w:vAlign w:val="center"/>
          </w:tcPr>
          <w:p w14:paraId="6172FD29" w14:textId="77777777" w:rsidR="00297C15" w:rsidRPr="008F6714" w:rsidRDefault="00297C15" w:rsidP="001733C9">
            <w:pPr>
              <w:jc w:val="center"/>
              <w:rPr>
                <w:sz w:val="16"/>
                <w:szCs w:val="16"/>
              </w:rPr>
            </w:pPr>
            <w:r w:rsidRPr="008F6714">
              <w:rPr>
                <w:sz w:val="16"/>
                <w:szCs w:val="16"/>
              </w:rPr>
              <w:t>88,19</w:t>
            </w:r>
          </w:p>
        </w:tc>
        <w:tc>
          <w:tcPr>
            <w:tcW w:w="994" w:type="dxa"/>
            <w:tcBorders>
              <w:bottom w:val="single" w:sz="4" w:space="0" w:color="auto"/>
            </w:tcBorders>
            <w:vAlign w:val="center"/>
          </w:tcPr>
          <w:p w14:paraId="1366FBE4" w14:textId="77777777" w:rsidR="00297C15" w:rsidRPr="008F6714" w:rsidRDefault="00297C15" w:rsidP="001733C9">
            <w:pPr>
              <w:jc w:val="center"/>
              <w:rPr>
                <w:sz w:val="16"/>
                <w:szCs w:val="16"/>
              </w:rPr>
            </w:pPr>
            <w:r w:rsidRPr="008F6714">
              <w:rPr>
                <w:sz w:val="16"/>
                <w:szCs w:val="16"/>
              </w:rPr>
              <w:t>31 939,7</w:t>
            </w:r>
          </w:p>
          <w:p w14:paraId="70DA262D" w14:textId="77777777" w:rsidR="00297C15" w:rsidRPr="008F6714" w:rsidRDefault="00297C15" w:rsidP="001733C9">
            <w:pPr>
              <w:jc w:val="center"/>
              <w:rPr>
                <w:sz w:val="16"/>
                <w:szCs w:val="16"/>
              </w:rPr>
            </w:pPr>
          </w:p>
        </w:tc>
        <w:tc>
          <w:tcPr>
            <w:tcW w:w="964" w:type="dxa"/>
            <w:tcBorders>
              <w:bottom w:val="single" w:sz="4" w:space="0" w:color="auto"/>
            </w:tcBorders>
            <w:vAlign w:val="center"/>
          </w:tcPr>
          <w:p w14:paraId="7BF79011" w14:textId="77777777" w:rsidR="00297C15" w:rsidRPr="008F6714" w:rsidRDefault="00297C15" w:rsidP="001733C9">
            <w:pPr>
              <w:jc w:val="center"/>
              <w:rPr>
                <w:sz w:val="16"/>
                <w:szCs w:val="16"/>
              </w:rPr>
            </w:pPr>
            <w:r w:rsidRPr="008F6714">
              <w:rPr>
                <w:sz w:val="16"/>
                <w:szCs w:val="16"/>
              </w:rPr>
              <w:t>27 679,0</w:t>
            </w:r>
          </w:p>
        </w:tc>
        <w:tc>
          <w:tcPr>
            <w:tcW w:w="681" w:type="dxa"/>
            <w:tcBorders>
              <w:bottom w:val="single" w:sz="4" w:space="0" w:color="auto"/>
            </w:tcBorders>
            <w:vAlign w:val="center"/>
          </w:tcPr>
          <w:p w14:paraId="635EE8F7" w14:textId="77777777" w:rsidR="00297C15" w:rsidRPr="008F6714" w:rsidRDefault="00297C15" w:rsidP="001733C9">
            <w:pPr>
              <w:jc w:val="center"/>
              <w:rPr>
                <w:sz w:val="16"/>
                <w:szCs w:val="16"/>
              </w:rPr>
            </w:pPr>
            <w:r w:rsidRPr="008F6714">
              <w:rPr>
                <w:sz w:val="16"/>
                <w:szCs w:val="16"/>
              </w:rPr>
              <w:t>86,66</w:t>
            </w:r>
          </w:p>
        </w:tc>
        <w:tc>
          <w:tcPr>
            <w:tcW w:w="1020" w:type="dxa"/>
            <w:gridSpan w:val="2"/>
            <w:tcBorders>
              <w:bottom w:val="single" w:sz="4" w:space="0" w:color="auto"/>
            </w:tcBorders>
            <w:vAlign w:val="center"/>
          </w:tcPr>
          <w:p w14:paraId="4B1C3142" w14:textId="77777777" w:rsidR="00297C15" w:rsidRPr="008F6714" w:rsidRDefault="00297C15" w:rsidP="001733C9">
            <w:pPr>
              <w:jc w:val="center"/>
              <w:rPr>
                <w:sz w:val="16"/>
                <w:szCs w:val="16"/>
              </w:rPr>
            </w:pPr>
            <w:r w:rsidRPr="008F6714">
              <w:rPr>
                <w:sz w:val="16"/>
                <w:szCs w:val="16"/>
              </w:rPr>
              <w:t>29 939,5</w:t>
            </w:r>
          </w:p>
        </w:tc>
        <w:tc>
          <w:tcPr>
            <w:tcW w:w="851" w:type="dxa"/>
            <w:tcBorders>
              <w:bottom w:val="single" w:sz="4" w:space="0" w:color="auto"/>
            </w:tcBorders>
            <w:vAlign w:val="center"/>
          </w:tcPr>
          <w:p w14:paraId="139A8F8A" w14:textId="77777777" w:rsidR="00297C15" w:rsidRPr="008F6714" w:rsidRDefault="00297C15" w:rsidP="001733C9">
            <w:pPr>
              <w:jc w:val="center"/>
              <w:rPr>
                <w:sz w:val="16"/>
                <w:szCs w:val="16"/>
              </w:rPr>
            </w:pPr>
            <w:r w:rsidRPr="008F6714">
              <w:rPr>
                <w:sz w:val="16"/>
                <w:szCs w:val="16"/>
              </w:rPr>
              <w:t>108,17</w:t>
            </w:r>
          </w:p>
          <w:p w14:paraId="2B815D74" w14:textId="77777777" w:rsidR="00297C15" w:rsidRPr="008F6714" w:rsidRDefault="00297C15" w:rsidP="001733C9">
            <w:pPr>
              <w:jc w:val="center"/>
              <w:rPr>
                <w:sz w:val="16"/>
                <w:szCs w:val="16"/>
              </w:rPr>
            </w:pPr>
          </w:p>
        </w:tc>
      </w:tr>
      <w:tr w:rsidR="00297C15" w:rsidRPr="00346513" w14:paraId="5C76F318" w14:textId="77777777" w:rsidTr="008F6714">
        <w:tc>
          <w:tcPr>
            <w:tcW w:w="1730" w:type="dxa"/>
            <w:vAlign w:val="center"/>
          </w:tcPr>
          <w:p w14:paraId="7AAFF674" w14:textId="77777777" w:rsidR="00297C15" w:rsidRPr="00D72539" w:rsidRDefault="00297C15" w:rsidP="001733C9">
            <w:pPr>
              <w:jc w:val="both"/>
              <w:rPr>
                <w:sz w:val="20"/>
              </w:rPr>
            </w:pPr>
            <w:r w:rsidRPr="00D72539">
              <w:rPr>
                <w:sz w:val="20"/>
              </w:rPr>
              <w:t>%% к ВВП</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B8EBA93" w14:textId="77777777" w:rsidR="00297C15" w:rsidRPr="008F6714" w:rsidRDefault="00297C15" w:rsidP="001733C9">
            <w:pPr>
              <w:jc w:val="center"/>
              <w:rPr>
                <w:i/>
                <w:iCs/>
                <w:sz w:val="16"/>
                <w:szCs w:val="16"/>
              </w:rPr>
            </w:pPr>
            <w:r w:rsidRPr="008F6714">
              <w:rPr>
                <w:i/>
                <w:iCs/>
                <w:sz w:val="16"/>
                <w:szCs w:val="16"/>
              </w:rPr>
              <w:t>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86BC0" w14:textId="77777777" w:rsidR="00297C15" w:rsidRPr="008F6714" w:rsidRDefault="00297C15" w:rsidP="001733C9">
            <w:pPr>
              <w:jc w:val="center"/>
              <w:rPr>
                <w:i/>
                <w:iCs/>
                <w:sz w:val="16"/>
                <w:szCs w:val="16"/>
              </w:rPr>
            </w:pPr>
            <w:r w:rsidRPr="008F6714">
              <w:rPr>
                <w:i/>
                <w:iCs/>
                <w:sz w:val="16"/>
                <w:szCs w:val="16"/>
              </w:rPr>
              <w:t>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6A7021" w14:textId="77777777" w:rsidR="00297C15" w:rsidRPr="008F6714" w:rsidRDefault="00297C15" w:rsidP="001733C9">
            <w:pPr>
              <w:jc w:val="center"/>
              <w:rPr>
                <w:i/>
                <w:iCs/>
                <w:sz w:val="16"/>
                <w:szCs w:val="16"/>
              </w:rPr>
            </w:pPr>
            <w:r w:rsidRPr="008F6714">
              <w:rPr>
                <w:i/>
                <w:iCs/>
                <w:sz w:val="16"/>
                <w:szCs w:val="16"/>
              </w:rPr>
              <w:t>16,9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D5C717C" w14:textId="77777777" w:rsidR="00297C15" w:rsidRPr="008F6714" w:rsidRDefault="00297C15" w:rsidP="001733C9">
            <w:pPr>
              <w:jc w:val="center"/>
              <w:rPr>
                <w:i/>
                <w:iCs/>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E7A9789" w14:textId="77777777" w:rsidR="00297C15" w:rsidRPr="008F6714" w:rsidRDefault="00297C15" w:rsidP="001733C9">
            <w:pPr>
              <w:jc w:val="center"/>
              <w:rPr>
                <w:i/>
                <w:iCs/>
                <w:sz w:val="16"/>
                <w:szCs w:val="16"/>
              </w:rPr>
            </w:pPr>
            <w:r w:rsidRPr="008F6714">
              <w:rPr>
                <w:i/>
                <w:iCs/>
                <w:sz w:val="16"/>
                <w:szCs w:val="16"/>
              </w:rPr>
              <w:t>21,1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014356B" w14:textId="77777777" w:rsidR="00297C15" w:rsidRPr="008F6714" w:rsidRDefault="00297C15" w:rsidP="001733C9">
            <w:pPr>
              <w:jc w:val="center"/>
              <w:rPr>
                <w:i/>
                <w:iCs/>
                <w:sz w:val="16"/>
                <w:szCs w:val="16"/>
              </w:rPr>
            </w:pPr>
            <w:r w:rsidRPr="008F6714">
              <w:rPr>
                <w:i/>
                <w:iCs/>
                <w:sz w:val="16"/>
                <w:szCs w:val="16"/>
              </w:rPr>
              <w:t>17,3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2520AC3" w14:textId="77777777" w:rsidR="00297C15" w:rsidRPr="008F6714" w:rsidRDefault="00297C15" w:rsidP="001733C9">
            <w:pPr>
              <w:jc w:val="center"/>
              <w:rPr>
                <w:i/>
                <w:iCs/>
                <w:sz w:val="16"/>
                <w:szCs w:val="16"/>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399DB" w14:textId="77777777" w:rsidR="00297C15" w:rsidRPr="008F6714" w:rsidRDefault="00297C15" w:rsidP="001733C9">
            <w:pPr>
              <w:jc w:val="center"/>
              <w:rPr>
                <w:i/>
                <w:iCs/>
                <w:sz w:val="16"/>
                <w:szCs w:val="16"/>
              </w:rPr>
            </w:pPr>
            <w:r w:rsidRPr="008F6714">
              <w:rPr>
                <w:i/>
                <w:iCs/>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tcPr>
          <w:p w14:paraId="2DE244D2" w14:textId="77777777" w:rsidR="00297C15" w:rsidRPr="008F6714" w:rsidRDefault="00297C15" w:rsidP="001733C9">
            <w:pPr>
              <w:jc w:val="center"/>
              <w:rPr>
                <w:i/>
                <w:iCs/>
                <w:sz w:val="16"/>
                <w:szCs w:val="16"/>
              </w:rPr>
            </w:pPr>
          </w:p>
        </w:tc>
      </w:tr>
      <w:tr w:rsidR="00297C15" w:rsidRPr="00346513" w14:paraId="5E815E57" w14:textId="77777777" w:rsidTr="008F6714">
        <w:tc>
          <w:tcPr>
            <w:tcW w:w="1730" w:type="dxa"/>
            <w:vAlign w:val="center"/>
          </w:tcPr>
          <w:p w14:paraId="5A58D282" w14:textId="77777777" w:rsidR="00297C15" w:rsidRPr="00D72539" w:rsidRDefault="00297C15" w:rsidP="001733C9">
            <w:pPr>
              <w:jc w:val="both"/>
              <w:rPr>
                <w:sz w:val="20"/>
              </w:rPr>
            </w:pPr>
            <w:r w:rsidRPr="00D72539">
              <w:rPr>
                <w:sz w:val="20"/>
              </w:rPr>
              <w:t>в т.ч.</w:t>
            </w:r>
          </w:p>
        </w:tc>
        <w:tc>
          <w:tcPr>
            <w:tcW w:w="990" w:type="dxa"/>
            <w:tcBorders>
              <w:top w:val="single" w:sz="4" w:space="0" w:color="auto"/>
            </w:tcBorders>
            <w:vAlign w:val="center"/>
          </w:tcPr>
          <w:p w14:paraId="1C90A98F" w14:textId="77777777" w:rsidR="00297C15" w:rsidRPr="008F6714" w:rsidRDefault="00297C15" w:rsidP="001733C9">
            <w:pPr>
              <w:jc w:val="center"/>
              <w:rPr>
                <w:sz w:val="16"/>
                <w:szCs w:val="16"/>
              </w:rPr>
            </w:pPr>
          </w:p>
        </w:tc>
        <w:tc>
          <w:tcPr>
            <w:tcW w:w="992" w:type="dxa"/>
            <w:tcBorders>
              <w:top w:val="single" w:sz="4" w:space="0" w:color="auto"/>
            </w:tcBorders>
            <w:vAlign w:val="center"/>
          </w:tcPr>
          <w:p w14:paraId="74C58EBD" w14:textId="77777777" w:rsidR="00297C15" w:rsidRPr="008F6714" w:rsidRDefault="00297C15" w:rsidP="001733C9">
            <w:pPr>
              <w:jc w:val="center"/>
              <w:rPr>
                <w:sz w:val="16"/>
                <w:szCs w:val="16"/>
              </w:rPr>
            </w:pPr>
          </w:p>
        </w:tc>
        <w:tc>
          <w:tcPr>
            <w:tcW w:w="992" w:type="dxa"/>
            <w:tcBorders>
              <w:top w:val="single" w:sz="4" w:space="0" w:color="auto"/>
            </w:tcBorders>
            <w:vAlign w:val="center"/>
          </w:tcPr>
          <w:p w14:paraId="5A01E6EA" w14:textId="77777777" w:rsidR="00297C15" w:rsidRPr="008F6714" w:rsidRDefault="00297C15" w:rsidP="001733C9">
            <w:pPr>
              <w:jc w:val="center"/>
              <w:rPr>
                <w:sz w:val="16"/>
                <w:szCs w:val="16"/>
              </w:rPr>
            </w:pPr>
          </w:p>
        </w:tc>
        <w:tc>
          <w:tcPr>
            <w:tcW w:w="710" w:type="dxa"/>
            <w:tcBorders>
              <w:top w:val="single" w:sz="4" w:space="0" w:color="auto"/>
            </w:tcBorders>
            <w:vAlign w:val="center"/>
          </w:tcPr>
          <w:p w14:paraId="16047B66" w14:textId="77777777" w:rsidR="00297C15" w:rsidRPr="008F6714" w:rsidRDefault="00297C15" w:rsidP="001733C9">
            <w:pPr>
              <w:jc w:val="center"/>
              <w:rPr>
                <w:sz w:val="16"/>
                <w:szCs w:val="16"/>
              </w:rPr>
            </w:pPr>
          </w:p>
        </w:tc>
        <w:tc>
          <w:tcPr>
            <w:tcW w:w="994" w:type="dxa"/>
            <w:tcBorders>
              <w:top w:val="single" w:sz="4" w:space="0" w:color="auto"/>
            </w:tcBorders>
            <w:vAlign w:val="center"/>
          </w:tcPr>
          <w:p w14:paraId="44FEAA1B" w14:textId="77777777" w:rsidR="00297C15" w:rsidRPr="008F6714" w:rsidRDefault="00297C15" w:rsidP="001733C9">
            <w:pPr>
              <w:jc w:val="center"/>
              <w:rPr>
                <w:sz w:val="16"/>
                <w:szCs w:val="16"/>
              </w:rPr>
            </w:pPr>
          </w:p>
        </w:tc>
        <w:tc>
          <w:tcPr>
            <w:tcW w:w="964" w:type="dxa"/>
            <w:tcBorders>
              <w:top w:val="single" w:sz="4" w:space="0" w:color="auto"/>
            </w:tcBorders>
            <w:vAlign w:val="center"/>
          </w:tcPr>
          <w:p w14:paraId="78D0B488" w14:textId="77777777" w:rsidR="00297C15" w:rsidRPr="008F6714" w:rsidRDefault="00297C15" w:rsidP="001733C9">
            <w:pPr>
              <w:jc w:val="center"/>
              <w:rPr>
                <w:sz w:val="16"/>
                <w:szCs w:val="16"/>
              </w:rPr>
            </w:pPr>
          </w:p>
        </w:tc>
        <w:tc>
          <w:tcPr>
            <w:tcW w:w="681" w:type="dxa"/>
            <w:tcBorders>
              <w:top w:val="single" w:sz="4" w:space="0" w:color="auto"/>
            </w:tcBorders>
            <w:vAlign w:val="center"/>
          </w:tcPr>
          <w:p w14:paraId="79AAC6BB" w14:textId="77777777" w:rsidR="00297C15" w:rsidRPr="008F6714" w:rsidRDefault="00297C15" w:rsidP="001733C9">
            <w:pPr>
              <w:jc w:val="center"/>
              <w:rPr>
                <w:sz w:val="16"/>
                <w:szCs w:val="16"/>
              </w:rPr>
            </w:pPr>
          </w:p>
        </w:tc>
        <w:tc>
          <w:tcPr>
            <w:tcW w:w="1020" w:type="dxa"/>
            <w:gridSpan w:val="2"/>
            <w:tcBorders>
              <w:top w:val="single" w:sz="4" w:space="0" w:color="auto"/>
            </w:tcBorders>
            <w:vAlign w:val="center"/>
          </w:tcPr>
          <w:p w14:paraId="2796E18E" w14:textId="77777777" w:rsidR="00297C15" w:rsidRPr="008F6714" w:rsidRDefault="00297C15" w:rsidP="001733C9">
            <w:pPr>
              <w:jc w:val="center"/>
              <w:rPr>
                <w:sz w:val="16"/>
                <w:szCs w:val="16"/>
              </w:rPr>
            </w:pPr>
          </w:p>
        </w:tc>
        <w:tc>
          <w:tcPr>
            <w:tcW w:w="851" w:type="dxa"/>
            <w:tcBorders>
              <w:top w:val="single" w:sz="4" w:space="0" w:color="auto"/>
            </w:tcBorders>
            <w:vAlign w:val="center"/>
          </w:tcPr>
          <w:p w14:paraId="6257D488" w14:textId="77777777" w:rsidR="00297C15" w:rsidRPr="008F6714" w:rsidRDefault="00297C15" w:rsidP="001733C9">
            <w:pPr>
              <w:jc w:val="center"/>
              <w:rPr>
                <w:sz w:val="16"/>
                <w:szCs w:val="16"/>
              </w:rPr>
            </w:pPr>
          </w:p>
        </w:tc>
      </w:tr>
      <w:tr w:rsidR="00297C15" w:rsidRPr="00346513" w14:paraId="5D0A1321" w14:textId="77777777" w:rsidTr="008F6714">
        <w:tc>
          <w:tcPr>
            <w:tcW w:w="1730" w:type="dxa"/>
            <w:vAlign w:val="center"/>
          </w:tcPr>
          <w:p w14:paraId="240D0FE4" w14:textId="77777777" w:rsidR="00297C15" w:rsidRPr="00D72539" w:rsidRDefault="00297C15" w:rsidP="001733C9">
            <w:pPr>
              <w:jc w:val="both"/>
              <w:rPr>
                <w:sz w:val="20"/>
              </w:rPr>
            </w:pPr>
            <w:r w:rsidRPr="00D72539">
              <w:rPr>
                <w:sz w:val="20"/>
              </w:rPr>
              <w:t>Объем внутреннего государственного долга России</w:t>
            </w:r>
          </w:p>
        </w:tc>
        <w:tc>
          <w:tcPr>
            <w:tcW w:w="990" w:type="dxa"/>
            <w:tcBorders>
              <w:bottom w:val="single" w:sz="4" w:space="0" w:color="auto"/>
            </w:tcBorders>
            <w:vAlign w:val="center"/>
          </w:tcPr>
          <w:p w14:paraId="242760F7" w14:textId="77777777" w:rsidR="00297C15" w:rsidRPr="008F6714" w:rsidRDefault="00297C15" w:rsidP="001733C9">
            <w:pPr>
              <w:jc w:val="center"/>
              <w:rPr>
                <w:sz w:val="16"/>
                <w:szCs w:val="16"/>
              </w:rPr>
            </w:pPr>
            <w:r w:rsidRPr="008F6714">
              <w:rPr>
                <w:sz w:val="16"/>
                <w:szCs w:val="16"/>
              </w:rPr>
              <w:t>20814,96</w:t>
            </w:r>
          </w:p>
        </w:tc>
        <w:tc>
          <w:tcPr>
            <w:tcW w:w="992" w:type="dxa"/>
            <w:tcBorders>
              <w:bottom w:val="single" w:sz="4" w:space="0" w:color="auto"/>
            </w:tcBorders>
            <w:vAlign w:val="center"/>
          </w:tcPr>
          <w:p w14:paraId="15BFB3FB" w14:textId="77777777" w:rsidR="00297C15" w:rsidRPr="008F6714" w:rsidRDefault="00297C15" w:rsidP="001733C9">
            <w:pPr>
              <w:jc w:val="center"/>
              <w:rPr>
                <w:sz w:val="16"/>
                <w:szCs w:val="16"/>
              </w:rPr>
            </w:pPr>
            <w:r w:rsidRPr="008F6714">
              <w:rPr>
                <w:sz w:val="16"/>
                <w:szCs w:val="16"/>
              </w:rPr>
              <w:t>23 526,72</w:t>
            </w:r>
          </w:p>
          <w:p w14:paraId="76686C43" w14:textId="77777777" w:rsidR="00297C15" w:rsidRPr="008F6714" w:rsidRDefault="00297C15" w:rsidP="001733C9">
            <w:pPr>
              <w:jc w:val="center"/>
              <w:rPr>
                <w:sz w:val="16"/>
                <w:szCs w:val="16"/>
              </w:rPr>
            </w:pPr>
          </w:p>
        </w:tc>
        <w:tc>
          <w:tcPr>
            <w:tcW w:w="992" w:type="dxa"/>
            <w:tcBorders>
              <w:bottom w:val="single" w:sz="4" w:space="0" w:color="auto"/>
            </w:tcBorders>
            <w:vAlign w:val="center"/>
          </w:tcPr>
          <w:p w14:paraId="1F0E3C81" w14:textId="77777777" w:rsidR="00297C15" w:rsidRPr="008F6714" w:rsidRDefault="00297C15" w:rsidP="001733C9">
            <w:pPr>
              <w:jc w:val="center"/>
              <w:rPr>
                <w:sz w:val="16"/>
                <w:szCs w:val="16"/>
              </w:rPr>
            </w:pPr>
            <w:r w:rsidRPr="008F6714">
              <w:rPr>
                <w:sz w:val="16"/>
                <w:szCs w:val="16"/>
              </w:rPr>
              <w:t>20 696,96</w:t>
            </w:r>
          </w:p>
        </w:tc>
        <w:tc>
          <w:tcPr>
            <w:tcW w:w="710" w:type="dxa"/>
            <w:tcBorders>
              <w:bottom w:val="single" w:sz="4" w:space="0" w:color="auto"/>
            </w:tcBorders>
            <w:vAlign w:val="center"/>
          </w:tcPr>
          <w:p w14:paraId="0033E594" w14:textId="77777777" w:rsidR="00297C15" w:rsidRPr="008F6714" w:rsidRDefault="00297C15" w:rsidP="001733C9">
            <w:pPr>
              <w:jc w:val="center"/>
              <w:rPr>
                <w:sz w:val="16"/>
                <w:szCs w:val="16"/>
              </w:rPr>
            </w:pPr>
            <w:r w:rsidRPr="008F6714">
              <w:rPr>
                <w:sz w:val="16"/>
                <w:szCs w:val="16"/>
              </w:rPr>
              <w:t>87,97</w:t>
            </w:r>
          </w:p>
        </w:tc>
        <w:tc>
          <w:tcPr>
            <w:tcW w:w="994" w:type="dxa"/>
            <w:tcBorders>
              <w:bottom w:val="single" w:sz="4" w:space="0" w:color="auto"/>
            </w:tcBorders>
            <w:vAlign w:val="center"/>
          </w:tcPr>
          <w:p w14:paraId="61FB0188" w14:textId="77777777" w:rsidR="00297C15" w:rsidRPr="008F6714" w:rsidRDefault="00297C15" w:rsidP="001733C9">
            <w:pPr>
              <w:jc w:val="center"/>
              <w:rPr>
                <w:sz w:val="16"/>
                <w:szCs w:val="16"/>
              </w:rPr>
            </w:pPr>
            <w:r w:rsidRPr="008F6714">
              <w:rPr>
                <w:sz w:val="16"/>
                <w:szCs w:val="16"/>
              </w:rPr>
              <w:t>26 342,20</w:t>
            </w:r>
          </w:p>
        </w:tc>
        <w:tc>
          <w:tcPr>
            <w:tcW w:w="964" w:type="dxa"/>
            <w:tcBorders>
              <w:bottom w:val="single" w:sz="4" w:space="0" w:color="auto"/>
            </w:tcBorders>
            <w:vAlign w:val="center"/>
          </w:tcPr>
          <w:p w14:paraId="7576A309" w14:textId="77777777" w:rsidR="00297C15" w:rsidRPr="008F6714" w:rsidRDefault="00297C15" w:rsidP="001733C9">
            <w:pPr>
              <w:jc w:val="center"/>
              <w:rPr>
                <w:sz w:val="16"/>
                <w:szCs w:val="16"/>
              </w:rPr>
            </w:pPr>
            <w:r w:rsidRPr="008F6714">
              <w:rPr>
                <w:sz w:val="16"/>
                <w:szCs w:val="16"/>
              </w:rPr>
              <w:t>22 804,29</w:t>
            </w:r>
          </w:p>
        </w:tc>
        <w:tc>
          <w:tcPr>
            <w:tcW w:w="681" w:type="dxa"/>
            <w:tcBorders>
              <w:bottom w:val="single" w:sz="4" w:space="0" w:color="auto"/>
            </w:tcBorders>
            <w:vAlign w:val="center"/>
          </w:tcPr>
          <w:p w14:paraId="63597652" w14:textId="77777777" w:rsidR="00297C15" w:rsidRPr="008F6714" w:rsidRDefault="00297C15" w:rsidP="001733C9">
            <w:pPr>
              <w:jc w:val="center"/>
              <w:rPr>
                <w:sz w:val="16"/>
                <w:szCs w:val="16"/>
              </w:rPr>
            </w:pPr>
            <w:r w:rsidRPr="008F6714">
              <w:rPr>
                <w:sz w:val="16"/>
                <w:szCs w:val="16"/>
              </w:rPr>
              <w:t>86,57</w:t>
            </w:r>
          </w:p>
        </w:tc>
        <w:tc>
          <w:tcPr>
            <w:tcW w:w="1020" w:type="dxa"/>
            <w:gridSpan w:val="2"/>
            <w:tcBorders>
              <w:bottom w:val="single" w:sz="4" w:space="0" w:color="auto"/>
            </w:tcBorders>
            <w:vAlign w:val="center"/>
          </w:tcPr>
          <w:p w14:paraId="7A1D10E9" w14:textId="77777777" w:rsidR="00297C15" w:rsidRPr="008F6714" w:rsidRDefault="00297C15" w:rsidP="001733C9">
            <w:pPr>
              <w:jc w:val="center"/>
              <w:rPr>
                <w:sz w:val="16"/>
                <w:szCs w:val="16"/>
              </w:rPr>
            </w:pPr>
            <w:r w:rsidRPr="008F6714">
              <w:rPr>
                <w:sz w:val="16"/>
                <w:szCs w:val="16"/>
              </w:rPr>
              <w:t>24 994,02</w:t>
            </w:r>
          </w:p>
        </w:tc>
        <w:tc>
          <w:tcPr>
            <w:tcW w:w="851" w:type="dxa"/>
            <w:tcBorders>
              <w:bottom w:val="single" w:sz="4" w:space="0" w:color="auto"/>
            </w:tcBorders>
            <w:vAlign w:val="center"/>
          </w:tcPr>
          <w:p w14:paraId="481EB4C7" w14:textId="77777777" w:rsidR="00297C15" w:rsidRPr="008F6714" w:rsidRDefault="00297C15" w:rsidP="001733C9">
            <w:pPr>
              <w:jc w:val="center"/>
              <w:rPr>
                <w:sz w:val="16"/>
                <w:szCs w:val="16"/>
              </w:rPr>
            </w:pPr>
            <w:r w:rsidRPr="008F6714">
              <w:rPr>
                <w:sz w:val="16"/>
                <w:szCs w:val="16"/>
              </w:rPr>
              <w:t>109,60</w:t>
            </w:r>
          </w:p>
        </w:tc>
      </w:tr>
      <w:tr w:rsidR="00297C15" w:rsidRPr="00346513" w14:paraId="19DD4605" w14:textId="77777777" w:rsidTr="008F6714">
        <w:tc>
          <w:tcPr>
            <w:tcW w:w="1730" w:type="dxa"/>
            <w:vAlign w:val="center"/>
          </w:tcPr>
          <w:p w14:paraId="668CB4D9" w14:textId="77777777" w:rsidR="00297C15" w:rsidRPr="00D72539" w:rsidRDefault="00297C15" w:rsidP="001733C9">
            <w:pPr>
              <w:jc w:val="both"/>
              <w:rPr>
                <w:i/>
                <w:iCs/>
                <w:sz w:val="20"/>
              </w:rPr>
            </w:pPr>
            <w:r w:rsidRPr="00D72539">
              <w:rPr>
                <w:i/>
                <w:iCs/>
                <w:sz w:val="20"/>
              </w:rPr>
              <w:t>%% к ВВП</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02DD32" w14:textId="77777777" w:rsidR="00297C15" w:rsidRPr="008F6714" w:rsidRDefault="00297C15" w:rsidP="001733C9">
            <w:pPr>
              <w:jc w:val="center"/>
              <w:rPr>
                <w:i/>
                <w:iCs/>
                <w:sz w:val="16"/>
                <w:szCs w:val="16"/>
              </w:rPr>
            </w:pPr>
            <w:r w:rsidRPr="008F6714">
              <w:rPr>
                <w:i/>
                <w:iCs/>
                <w:sz w:val="16"/>
                <w:szCs w:val="16"/>
              </w:rPr>
              <w:t>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CA45F" w14:textId="77777777" w:rsidR="00297C15" w:rsidRPr="008F6714" w:rsidRDefault="00297C15" w:rsidP="001733C9">
            <w:pPr>
              <w:jc w:val="center"/>
              <w:rPr>
                <w:i/>
                <w:iCs/>
                <w:sz w:val="16"/>
                <w:szCs w:val="16"/>
              </w:rPr>
            </w:pPr>
            <w:r w:rsidRPr="008F6714">
              <w:rPr>
                <w:i/>
                <w:iCs/>
                <w:sz w:val="16"/>
                <w:szCs w:val="16"/>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6ACF36" w14:textId="77777777" w:rsidR="00297C15" w:rsidRPr="008F6714" w:rsidRDefault="00297C15" w:rsidP="001733C9">
            <w:pPr>
              <w:jc w:val="center"/>
              <w:rPr>
                <w:i/>
                <w:iCs/>
                <w:sz w:val="16"/>
                <w:szCs w:val="16"/>
              </w:rPr>
            </w:pPr>
            <w:r w:rsidRPr="008F6714">
              <w:rPr>
                <w:i/>
                <w:iCs/>
                <w:sz w:val="16"/>
                <w:szCs w:val="16"/>
              </w:rPr>
              <w:t>13,8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C9C50D0" w14:textId="77777777" w:rsidR="00297C15" w:rsidRPr="008F6714" w:rsidRDefault="00297C15" w:rsidP="001733C9">
            <w:pPr>
              <w:jc w:val="center"/>
              <w:rPr>
                <w:i/>
                <w:iCs/>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3D521B1" w14:textId="77777777" w:rsidR="00297C15" w:rsidRPr="008F6714" w:rsidRDefault="00297C15" w:rsidP="001733C9">
            <w:pPr>
              <w:jc w:val="center"/>
              <w:rPr>
                <w:i/>
                <w:iCs/>
                <w:sz w:val="16"/>
                <w:szCs w:val="16"/>
              </w:rPr>
            </w:pPr>
            <w:r w:rsidRPr="008F6714">
              <w:rPr>
                <w:i/>
                <w:iCs/>
                <w:sz w:val="16"/>
                <w:szCs w:val="16"/>
              </w:rPr>
              <w:t>17,4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27A4CE1" w14:textId="77777777" w:rsidR="00297C15" w:rsidRPr="008F6714" w:rsidRDefault="00297C15" w:rsidP="001733C9">
            <w:pPr>
              <w:jc w:val="center"/>
              <w:rPr>
                <w:i/>
                <w:iCs/>
                <w:sz w:val="16"/>
                <w:szCs w:val="16"/>
              </w:rPr>
            </w:pPr>
            <w:r w:rsidRPr="008F6714">
              <w:rPr>
                <w:i/>
                <w:iCs/>
                <w:sz w:val="16"/>
                <w:szCs w:val="16"/>
              </w:rPr>
              <w:t>14,3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8E43BD0" w14:textId="77777777" w:rsidR="00297C15" w:rsidRPr="008F6714" w:rsidRDefault="00297C15" w:rsidP="001733C9">
            <w:pPr>
              <w:jc w:val="center"/>
              <w:rPr>
                <w:i/>
                <w:iCs/>
                <w:sz w:val="16"/>
                <w:szCs w:val="16"/>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77FDE" w14:textId="77777777" w:rsidR="00297C15" w:rsidRPr="008F6714" w:rsidRDefault="00297C15" w:rsidP="001733C9">
            <w:pPr>
              <w:jc w:val="center"/>
              <w:rPr>
                <w:i/>
                <w:iCs/>
                <w:sz w:val="16"/>
                <w:szCs w:val="16"/>
              </w:rPr>
            </w:pPr>
            <w:r w:rsidRPr="008F6714">
              <w:rPr>
                <w:i/>
                <w:iCs/>
                <w:sz w:val="16"/>
                <w:szCs w:val="16"/>
              </w:rPr>
              <w:t>14,7</w:t>
            </w:r>
          </w:p>
        </w:tc>
        <w:tc>
          <w:tcPr>
            <w:tcW w:w="851" w:type="dxa"/>
            <w:tcBorders>
              <w:top w:val="single" w:sz="4" w:space="0" w:color="auto"/>
              <w:left w:val="single" w:sz="4" w:space="0" w:color="auto"/>
              <w:bottom w:val="single" w:sz="4" w:space="0" w:color="auto"/>
              <w:right w:val="single" w:sz="4" w:space="0" w:color="auto"/>
            </w:tcBorders>
            <w:vAlign w:val="center"/>
          </w:tcPr>
          <w:p w14:paraId="6451314D" w14:textId="77777777" w:rsidR="00297C15" w:rsidRPr="008F6714" w:rsidRDefault="00297C15" w:rsidP="001733C9">
            <w:pPr>
              <w:jc w:val="center"/>
              <w:rPr>
                <w:i/>
                <w:iCs/>
                <w:sz w:val="16"/>
                <w:szCs w:val="16"/>
              </w:rPr>
            </w:pPr>
          </w:p>
        </w:tc>
      </w:tr>
      <w:tr w:rsidR="00297C15" w:rsidRPr="00346513" w14:paraId="2A21C9FC" w14:textId="77777777" w:rsidTr="008F6714">
        <w:trPr>
          <w:trHeight w:val="339"/>
        </w:trPr>
        <w:tc>
          <w:tcPr>
            <w:tcW w:w="1730" w:type="dxa"/>
            <w:vAlign w:val="center"/>
            <w:hideMark/>
          </w:tcPr>
          <w:p w14:paraId="58D3E8A2" w14:textId="77777777" w:rsidR="00297C15" w:rsidRPr="00D72539" w:rsidRDefault="00297C15" w:rsidP="001733C9">
            <w:pPr>
              <w:jc w:val="both"/>
              <w:rPr>
                <w:i/>
                <w:iCs/>
                <w:color w:val="000000"/>
                <w:sz w:val="20"/>
              </w:rPr>
            </w:pPr>
            <w:r w:rsidRPr="00D72539">
              <w:rPr>
                <w:i/>
                <w:iCs/>
                <w:color w:val="000000"/>
                <w:sz w:val="20"/>
              </w:rPr>
              <w:t>%% к общему объему</w:t>
            </w:r>
          </w:p>
        </w:tc>
        <w:tc>
          <w:tcPr>
            <w:tcW w:w="990" w:type="dxa"/>
            <w:vAlign w:val="center"/>
            <w:hideMark/>
          </w:tcPr>
          <w:p w14:paraId="54907F3E" w14:textId="77777777" w:rsidR="00297C15" w:rsidRPr="008F6714" w:rsidRDefault="00297C15" w:rsidP="001733C9">
            <w:pPr>
              <w:jc w:val="center"/>
              <w:rPr>
                <w:i/>
                <w:iCs/>
                <w:color w:val="000000"/>
                <w:sz w:val="16"/>
                <w:szCs w:val="16"/>
              </w:rPr>
            </w:pPr>
            <w:r w:rsidRPr="008F6714">
              <w:rPr>
                <w:i/>
                <w:iCs/>
                <w:color w:val="000000"/>
                <w:sz w:val="16"/>
                <w:szCs w:val="16"/>
              </w:rPr>
              <w:t>88,92</w:t>
            </w:r>
          </w:p>
        </w:tc>
        <w:tc>
          <w:tcPr>
            <w:tcW w:w="992" w:type="dxa"/>
            <w:vAlign w:val="center"/>
            <w:hideMark/>
          </w:tcPr>
          <w:p w14:paraId="466E590C" w14:textId="77777777" w:rsidR="00297C15" w:rsidRPr="008F6714" w:rsidRDefault="00297C15" w:rsidP="001733C9">
            <w:pPr>
              <w:jc w:val="center"/>
              <w:rPr>
                <w:i/>
                <w:iCs/>
                <w:color w:val="000000"/>
                <w:sz w:val="16"/>
                <w:szCs w:val="16"/>
              </w:rPr>
            </w:pPr>
            <w:r w:rsidRPr="008F6714">
              <w:rPr>
                <w:i/>
                <w:iCs/>
                <w:color w:val="000000"/>
                <w:sz w:val="16"/>
                <w:szCs w:val="16"/>
              </w:rPr>
              <w:t>81,78</w:t>
            </w:r>
          </w:p>
        </w:tc>
        <w:tc>
          <w:tcPr>
            <w:tcW w:w="992" w:type="dxa"/>
            <w:vAlign w:val="center"/>
            <w:hideMark/>
          </w:tcPr>
          <w:p w14:paraId="125AEDF0" w14:textId="77777777" w:rsidR="00297C15" w:rsidRPr="008F6714" w:rsidRDefault="00297C15" w:rsidP="001733C9">
            <w:pPr>
              <w:jc w:val="center"/>
              <w:rPr>
                <w:i/>
                <w:iCs/>
                <w:color w:val="000000"/>
                <w:sz w:val="16"/>
                <w:szCs w:val="16"/>
              </w:rPr>
            </w:pPr>
            <w:r w:rsidRPr="008F6714">
              <w:rPr>
                <w:i/>
                <w:iCs/>
                <w:color w:val="000000"/>
                <w:sz w:val="16"/>
                <w:szCs w:val="16"/>
              </w:rPr>
              <w:t>81,58</w:t>
            </w:r>
          </w:p>
        </w:tc>
        <w:tc>
          <w:tcPr>
            <w:tcW w:w="710" w:type="dxa"/>
            <w:vAlign w:val="center"/>
            <w:hideMark/>
          </w:tcPr>
          <w:p w14:paraId="4566DC17" w14:textId="77777777" w:rsidR="00297C15" w:rsidRPr="008F6714" w:rsidRDefault="00297C15" w:rsidP="001733C9">
            <w:pPr>
              <w:jc w:val="center"/>
              <w:rPr>
                <w:i/>
                <w:iCs/>
                <w:color w:val="000000"/>
                <w:sz w:val="16"/>
                <w:szCs w:val="16"/>
              </w:rPr>
            </w:pPr>
          </w:p>
        </w:tc>
        <w:tc>
          <w:tcPr>
            <w:tcW w:w="994" w:type="dxa"/>
            <w:vAlign w:val="center"/>
            <w:hideMark/>
          </w:tcPr>
          <w:p w14:paraId="16163846" w14:textId="77777777" w:rsidR="00297C15" w:rsidRPr="008F6714" w:rsidRDefault="00297C15" w:rsidP="001733C9">
            <w:pPr>
              <w:jc w:val="center"/>
              <w:rPr>
                <w:i/>
                <w:iCs/>
                <w:color w:val="000000"/>
                <w:sz w:val="16"/>
                <w:szCs w:val="16"/>
              </w:rPr>
            </w:pPr>
            <w:r w:rsidRPr="008F6714">
              <w:rPr>
                <w:i/>
                <w:iCs/>
                <w:color w:val="000000"/>
                <w:sz w:val="16"/>
                <w:szCs w:val="16"/>
              </w:rPr>
              <w:t>82,47</w:t>
            </w:r>
          </w:p>
        </w:tc>
        <w:tc>
          <w:tcPr>
            <w:tcW w:w="964" w:type="dxa"/>
            <w:vAlign w:val="center"/>
            <w:hideMark/>
          </w:tcPr>
          <w:p w14:paraId="6D7987B4" w14:textId="77777777" w:rsidR="00297C15" w:rsidRPr="008F6714" w:rsidRDefault="00297C15" w:rsidP="001733C9">
            <w:pPr>
              <w:jc w:val="center"/>
              <w:rPr>
                <w:i/>
                <w:iCs/>
                <w:color w:val="000000"/>
                <w:sz w:val="16"/>
                <w:szCs w:val="16"/>
              </w:rPr>
            </w:pPr>
            <w:r w:rsidRPr="008F6714">
              <w:rPr>
                <w:i/>
                <w:iCs/>
                <w:color w:val="000000"/>
                <w:sz w:val="16"/>
                <w:szCs w:val="16"/>
              </w:rPr>
              <w:t>82,38</w:t>
            </w:r>
          </w:p>
        </w:tc>
        <w:tc>
          <w:tcPr>
            <w:tcW w:w="681" w:type="dxa"/>
            <w:vAlign w:val="center"/>
          </w:tcPr>
          <w:p w14:paraId="6A580005" w14:textId="77777777" w:rsidR="00297C15" w:rsidRPr="008F6714" w:rsidRDefault="00297C15" w:rsidP="001733C9">
            <w:pPr>
              <w:jc w:val="center"/>
              <w:rPr>
                <w:i/>
                <w:iCs/>
                <w:color w:val="000000"/>
                <w:sz w:val="16"/>
                <w:szCs w:val="16"/>
              </w:rPr>
            </w:pPr>
            <w:r w:rsidRPr="008F6714">
              <w:rPr>
                <w:i/>
                <w:iCs/>
                <w:color w:val="000000"/>
                <w:sz w:val="16"/>
                <w:szCs w:val="16"/>
              </w:rPr>
              <w:t>99,89</w:t>
            </w:r>
          </w:p>
        </w:tc>
        <w:tc>
          <w:tcPr>
            <w:tcW w:w="1020" w:type="dxa"/>
            <w:gridSpan w:val="2"/>
            <w:vAlign w:val="center"/>
          </w:tcPr>
          <w:p w14:paraId="4D05B4EE" w14:textId="77777777" w:rsidR="00297C15" w:rsidRPr="008F6714" w:rsidRDefault="00297C15" w:rsidP="001733C9">
            <w:pPr>
              <w:jc w:val="center"/>
              <w:rPr>
                <w:i/>
                <w:iCs/>
                <w:color w:val="000000"/>
                <w:sz w:val="16"/>
                <w:szCs w:val="16"/>
              </w:rPr>
            </w:pPr>
          </w:p>
        </w:tc>
        <w:tc>
          <w:tcPr>
            <w:tcW w:w="851" w:type="dxa"/>
            <w:vAlign w:val="center"/>
          </w:tcPr>
          <w:p w14:paraId="6EFAE4A0" w14:textId="77777777" w:rsidR="00297C15" w:rsidRPr="008F6714" w:rsidRDefault="00297C15" w:rsidP="001733C9">
            <w:pPr>
              <w:jc w:val="center"/>
              <w:rPr>
                <w:i/>
                <w:iCs/>
                <w:color w:val="000000"/>
                <w:sz w:val="16"/>
                <w:szCs w:val="16"/>
              </w:rPr>
            </w:pPr>
            <w:r w:rsidRPr="008F6714">
              <w:rPr>
                <w:i/>
                <w:iCs/>
                <w:color w:val="000000"/>
                <w:sz w:val="16"/>
                <w:szCs w:val="16"/>
              </w:rPr>
              <w:t>109,40</w:t>
            </w:r>
          </w:p>
        </w:tc>
      </w:tr>
      <w:tr w:rsidR="00297C15" w:rsidRPr="00346513" w14:paraId="0E7FE372" w14:textId="77777777" w:rsidTr="008F6714">
        <w:trPr>
          <w:trHeight w:val="630"/>
        </w:trPr>
        <w:tc>
          <w:tcPr>
            <w:tcW w:w="1730" w:type="dxa"/>
            <w:vAlign w:val="center"/>
          </w:tcPr>
          <w:p w14:paraId="6D4E85C3" w14:textId="77777777" w:rsidR="00297C15" w:rsidRPr="00D72539" w:rsidRDefault="00297C15" w:rsidP="001733C9">
            <w:pPr>
              <w:jc w:val="both"/>
              <w:rPr>
                <w:sz w:val="20"/>
              </w:rPr>
            </w:pPr>
            <w:r w:rsidRPr="00D72539">
              <w:rPr>
                <w:sz w:val="20"/>
              </w:rPr>
              <w:t>Объем внешнего государственного долга России</w:t>
            </w:r>
          </w:p>
        </w:tc>
        <w:tc>
          <w:tcPr>
            <w:tcW w:w="990" w:type="dxa"/>
            <w:tcBorders>
              <w:top w:val="single" w:sz="4" w:space="0" w:color="auto"/>
            </w:tcBorders>
            <w:vAlign w:val="center"/>
          </w:tcPr>
          <w:p w14:paraId="786E7309" w14:textId="77777777" w:rsidR="00297C15" w:rsidRPr="008F6714" w:rsidRDefault="00297C15" w:rsidP="001733C9">
            <w:pPr>
              <w:jc w:val="center"/>
              <w:rPr>
                <w:sz w:val="16"/>
                <w:szCs w:val="16"/>
              </w:rPr>
            </w:pPr>
            <w:r w:rsidRPr="008F6714">
              <w:rPr>
                <w:sz w:val="16"/>
                <w:szCs w:val="16"/>
              </w:rPr>
              <w:t>70,0</w:t>
            </w:r>
          </w:p>
        </w:tc>
        <w:tc>
          <w:tcPr>
            <w:tcW w:w="992" w:type="dxa"/>
            <w:tcBorders>
              <w:top w:val="single" w:sz="4" w:space="0" w:color="auto"/>
            </w:tcBorders>
            <w:vAlign w:val="center"/>
          </w:tcPr>
          <w:p w14:paraId="4040215F" w14:textId="77777777" w:rsidR="00297C15" w:rsidRPr="008F6714" w:rsidRDefault="00297C15" w:rsidP="001733C9">
            <w:pPr>
              <w:jc w:val="center"/>
              <w:rPr>
                <w:sz w:val="16"/>
                <w:szCs w:val="16"/>
              </w:rPr>
            </w:pPr>
            <w:r w:rsidRPr="008F6714">
              <w:rPr>
                <w:sz w:val="16"/>
                <w:szCs w:val="16"/>
              </w:rPr>
              <w:t>71,7</w:t>
            </w:r>
          </w:p>
        </w:tc>
        <w:tc>
          <w:tcPr>
            <w:tcW w:w="992" w:type="dxa"/>
            <w:tcBorders>
              <w:top w:val="single" w:sz="4" w:space="0" w:color="auto"/>
            </w:tcBorders>
            <w:vAlign w:val="center"/>
          </w:tcPr>
          <w:p w14:paraId="774D1226" w14:textId="77777777" w:rsidR="00297C15" w:rsidRPr="008F6714" w:rsidRDefault="00297C15" w:rsidP="001733C9">
            <w:pPr>
              <w:jc w:val="center"/>
              <w:rPr>
                <w:sz w:val="16"/>
                <w:szCs w:val="16"/>
              </w:rPr>
            </w:pPr>
            <w:r w:rsidRPr="008F6714">
              <w:rPr>
                <w:sz w:val="16"/>
                <w:szCs w:val="16"/>
              </w:rPr>
              <w:t>66,6</w:t>
            </w:r>
          </w:p>
        </w:tc>
        <w:tc>
          <w:tcPr>
            <w:tcW w:w="710" w:type="dxa"/>
            <w:tcBorders>
              <w:top w:val="single" w:sz="4" w:space="0" w:color="auto"/>
            </w:tcBorders>
            <w:vAlign w:val="center"/>
          </w:tcPr>
          <w:p w14:paraId="62BE376F" w14:textId="77777777" w:rsidR="00297C15" w:rsidRPr="008F6714" w:rsidRDefault="00297C15" w:rsidP="001733C9">
            <w:pPr>
              <w:jc w:val="center"/>
              <w:rPr>
                <w:sz w:val="16"/>
                <w:szCs w:val="16"/>
              </w:rPr>
            </w:pPr>
            <w:r w:rsidRPr="008F6714">
              <w:rPr>
                <w:sz w:val="16"/>
                <w:szCs w:val="16"/>
              </w:rPr>
              <w:t>92,89</w:t>
            </w:r>
          </w:p>
          <w:p w14:paraId="36619270" w14:textId="77777777" w:rsidR="00297C15" w:rsidRPr="008F6714" w:rsidRDefault="00297C15" w:rsidP="001733C9">
            <w:pPr>
              <w:jc w:val="center"/>
              <w:rPr>
                <w:sz w:val="16"/>
                <w:szCs w:val="16"/>
              </w:rPr>
            </w:pPr>
          </w:p>
        </w:tc>
        <w:tc>
          <w:tcPr>
            <w:tcW w:w="994" w:type="dxa"/>
            <w:tcBorders>
              <w:top w:val="single" w:sz="4" w:space="0" w:color="auto"/>
            </w:tcBorders>
            <w:vAlign w:val="center"/>
          </w:tcPr>
          <w:p w14:paraId="583BA8DB" w14:textId="77777777" w:rsidR="00297C15" w:rsidRPr="008F6714" w:rsidRDefault="00297C15" w:rsidP="001733C9">
            <w:pPr>
              <w:jc w:val="center"/>
              <w:rPr>
                <w:sz w:val="16"/>
                <w:szCs w:val="16"/>
              </w:rPr>
            </w:pPr>
            <w:r w:rsidRPr="008F6714">
              <w:rPr>
                <w:sz w:val="16"/>
                <w:szCs w:val="16"/>
              </w:rPr>
              <w:t>75,7</w:t>
            </w:r>
          </w:p>
        </w:tc>
        <w:tc>
          <w:tcPr>
            <w:tcW w:w="964" w:type="dxa"/>
            <w:tcBorders>
              <w:top w:val="single" w:sz="4" w:space="0" w:color="auto"/>
            </w:tcBorders>
            <w:vAlign w:val="center"/>
          </w:tcPr>
          <w:p w14:paraId="03C9AF0E" w14:textId="77777777" w:rsidR="00297C15" w:rsidRPr="008F6714" w:rsidRDefault="00297C15" w:rsidP="001733C9">
            <w:pPr>
              <w:jc w:val="center"/>
              <w:rPr>
                <w:sz w:val="16"/>
                <w:szCs w:val="16"/>
              </w:rPr>
            </w:pPr>
            <w:r w:rsidRPr="008F6714">
              <w:rPr>
                <w:sz w:val="16"/>
                <w:szCs w:val="16"/>
              </w:rPr>
              <w:t>68,1</w:t>
            </w:r>
          </w:p>
        </w:tc>
        <w:tc>
          <w:tcPr>
            <w:tcW w:w="681" w:type="dxa"/>
            <w:tcBorders>
              <w:top w:val="single" w:sz="4" w:space="0" w:color="auto"/>
            </w:tcBorders>
            <w:vAlign w:val="center"/>
          </w:tcPr>
          <w:p w14:paraId="6B4D693A" w14:textId="77777777" w:rsidR="00297C15" w:rsidRPr="008F6714" w:rsidRDefault="00297C15" w:rsidP="001733C9">
            <w:pPr>
              <w:jc w:val="center"/>
              <w:rPr>
                <w:sz w:val="16"/>
                <w:szCs w:val="16"/>
              </w:rPr>
            </w:pPr>
            <w:r w:rsidRPr="008F6714">
              <w:rPr>
                <w:sz w:val="16"/>
                <w:szCs w:val="16"/>
              </w:rPr>
              <w:t>89,96</w:t>
            </w:r>
          </w:p>
        </w:tc>
        <w:tc>
          <w:tcPr>
            <w:tcW w:w="1020" w:type="dxa"/>
            <w:gridSpan w:val="2"/>
            <w:tcBorders>
              <w:top w:val="single" w:sz="4" w:space="0" w:color="auto"/>
            </w:tcBorders>
            <w:vAlign w:val="center"/>
          </w:tcPr>
          <w:p w14:paraId="13CAB84E" w14:textId="77777777" w:rsidR="00297C15" w:rsidRPr="008F6714" w:rsidRDefault="00297C15" w:rsidP="001733C9">
            <w:pPr>
              <w:jc w:val="center"/>
              <w:rPr>
                <w:sz w:val="16"/>
                <w:szCs w:val="16"/>
              </w:rPr>
            </w:pPr>
            <w:r w:rsidRPr="008F6714">
              <w:rPr>
                <w:sz w:val="16"/>
                <w:szCs w:val="16"/>
              </w:rPr>
              <w:t>68,0</w:t>
            </w:r>
          </w:p>
        </w:tc>
        <w:tc>
          <w:tcPr>
            <w:tcW w:w="851" w:type="dxa"/>
            <w:tcBorders>
              <w:top w:val="single" w:sz="4" w:space="0" w:color="auto"/>
            </w:tcBorders>
            <w:vAlign w:val="center"/>
          </w:tcPr>
          <w:p w14:paraId="630D40E8" w14:textId="77777777" w:rsidR="00297C15" w:rsidRPr="008F6714" w:rsidRDefault="00297C15" w:rsidP="001733C9">
            <w:pPr>
              <w:jc w:val="center"/>
              <w:rPr>
                <w:sz w:val="16"/>
                <w:szCs w:val="16"/>
              </w:rPr>
            </w:pPr>
            <w:r w:rsidRPr="008F6714">
              <w:rPr>
                <w:sz w:val="16"/>
                <w:szCs w:val="16"/>
              </w:rPr>
              <w:t>99,85</w:t>
            </w:r>
          </w:p>
        </w:tc>
      </w:tr>
      <w:tr w:rsidR="00297C15" w:rsidRPr="00346513" w14:paraId="11C2DFE9" w14:textId="77777777" w:rsidTr="008F6714">
        <w:tc>
          <w:tcPr>
            <w:tcW w:w="1730" w:type="dxa"/>
            <w:vAlign w:val="center"/>
          </w:tcPr>
          <w:p w14:paraId="5B4533C0" w14:textId="77777777" w:rsidR="00297C15" w:rsidRPr="00D72539" w:rsidRDefault="00297C15" w:rsidP="001733C9">
            <w:pPr>
              <w:jc w:val="both"/>
              <w:rPr>
                <w:i/>
                <w:iCs/>
                <w:sz w:val="20"/>
              </w:rPr>
            </w:pPr>
            <w:proofErr w:type="spellStart"/>
            <w:r w:rsidRPr="00D72539">
              <w:rPr>
                <w:i/>
                <w:iCs/>
                <w:sz w:val="20"/>
              </w:rPr>
              <w:t>Справочно</w:t>
            </w:r>
            <w:proofErr w:type="spellEnd"/>
            <w:r w:rsidRPr="00D72539">
              <w:rPr>
                <w:i/>
                <w:iCs/>
                <w:sz w:val="20"/>
              </w:rPr>
              <w:t>:</w:t>
            </w:r>
          </w:p>
          <w:p w14:paraId="08DF3474" w14:textId="77777777" w:rsidR="00297C15" w:rsidRPr="00D72539" w:rsidRDefault="00297C15" w:rsidP="001733C9">
            <w:pPr>
              <w:jc w:val="both"/>
              <w:rPr>
                <w:i/>
                <w:iCs/>
                <w:sz w:val="20"/>
              </w:rPr>
            </w:pPr>
            <w:r w:rsidRPr="00D72539">
              <w:rPr>
                <w:i/>
                <w:iCs/>
                <w:sz w:val="20"/>
              </w:rPr>
              <w:t>ВВП</w:t>
            </w:r>
          </w:p>
        </w:tc>
        <w:tc>
          <w:tcPr>
            <w:tcW w:w="990" w:type="dxa"/>
            <w:vAlign w:val="center"/>
          </w:tcPr>
          <w:p w14:paraId="75EC0899" w14:textId="77777777" w:rsidR="00297C15" w:rsidRPr="008F6714" w:rsidRDefault="00297C15" w:rsidP="001733C9">
            <w:pPr>
              <w:jc w:val="center"/>
              <w:rPr>
                <w:i/>
                <w:iCs/>
                <w:sz w:val="16"/>
                <w:szCs w:val="16"/>
              </w:rPr>
            </w:pPr>
            <w:r w:rsidRPr="008F6714">
              <w:rPr>
                <w:i/>
                <w:iCs/>
                <w:sz w:val="16"/>
                <w:szCs w:val="16"/>
              </w:rPr>
              <w:t>133 328</w:t>
            </w:r>
          </w:p>
        </w:tc>
        <w:tc>
          <w:tcPr>
            <w:tcW w:w="992" w:type="dxa"/>
            <w:vAlign w:val="center"/>
          </w:tcPr>
          <w:p w14:paraId="7B12DA34" w14:textId="77777777" w:rsidR="00297C15" w:rsidRPr="008F6714" w:rsidRDefault="00297C15" w:rsidP="001733C9">
            <w:pPr>
              <w:jc w:val="center"/>
              <w:rPr>
                <w:i/>
                <w:iCs/>
                <w:sz w:val="16"/>
                <w:szCs w:val="16"/>
              </w:rPr>
            </w:pPr>
            <w:r w:rsidRPr="008F6714">
              <w:rPr>
                <w:i/>
                <w:iCs/>
                <w:sz w:val="16"/>
                <w:szCs w:val="16"/>
              </w:rPr>
              <w:t>141 881</w:t>
            </w:r>
          </w:p>
        </w:tc>
        <w:tc>
          <w:tcPr>
            <w:tcW w:w="992" w:type="dxa"/>
            <w:vAlign w:val="center"/>
          </w:tcPr>
          <w:p w14:paraId="1D49EA37" w14:textId="77777777" w:rsidR="00297C15" w:rsidRPr="008F6714" w:rsidRDefault="00297C15" w:rsidP="001733C9">
            <w:pPr>
              <w:jc w:val="center"/>
              <w:rPr>
                <w:i/>
                <w:iCs/>
                <w:sz w:val="16"/>
                <w:szCs w:val="16"/>
              </w:rPr>
            </w:pPr>
            <w:r w:rsidRPr="008F6714">
              <w:rPr>
                <w:i/>
                <w:iCs/>
                <w:sz w:val="16"/>
                <w:szCs w:val="16"/>
              </w:rPr>
              <w:t>149 949</w:t>
            </w:r>
          </w:p>
        </w:tc>
        <w:tc>
          <w:tcPr>
            <w:tcW w:w="710" w:type="dxa"/>
            <w:vAlign w:val="center"/>
          </w:tcPr>
          <w:p w14:paraId="37AAF40E" w14:textId="77777777" w:rsidR="00297C15" w:rsidRPr="008F6714" w:rsidRDefault="00297C15" w:rsidP="001733C9">
            <w:pPr>
              <w:jc w:val="center"/>
              <w:rPr>
                <w:i/>
                <w:iCs/>
                <w:sz w:val="16"/>
                <w:szCs w:val="16"/>
              </w:rPr>
            </w:pPr>
          </w:p>
        </w:tc>
        <w:tc>
          <w:tcPr>
            <w:tcW w:w="994" w:type="dxa"/>
            <w:vAlign w:val="center"/>
          </w:tcPr>
          <w:p w14:paraId="3461A024" w14:textId="77777777" w:rsidR="00297C15" w:rsidRPr="008F6714" w:rsidRDefault="00297C15" w:rsidP="001733C9">
            <w:pPr>
              <w:jc w:val="center"/>
              <w:rPr>
                <w:i/>
                <w:iCs/>
                <w:sz w:val="16"/>
                <w:szCs w:val="16"/>
              </w:rPr>
            </w:pPr>
            <w:r w:rsidRPr="008F6714">
              <w:rPr>
                <w:i/>
                <w:iCs/>
                <w:sz w:val="16"/>
                <w:szCs w:val="16"/>
              </w:rPr>
              <w:t>151 513</w:t>
            </w:r>
          </w:p>
        </w:tc>
        <w:tc>
          <w:tcPr>
            <w:tcW w:w="964" w:type="dxa"/>
            <w:vAlign w:val="center"/>
          </w:tcPr>
          <w:p w14:paraId="204963DD" w14:textId="77777777" w:rsidR="00297C15" w:rsidRPr="008F6714" w:rsidRDefault="00297C15" w:rsidP="001733C9">
            <w:pPr>
              <w:jc w:val="center"/>
              <w:rPr>
                <w:i/>
                <w:iCs/>
                <w:sz w:val="16"/>
                <w:szCs w:val="16"/>
              </w:rPr>
            </w:pPr>
            <w:r w:rsidRPr="008F6714">
              <w:rPr>
                <w:i/>
                <w:iCs/>
                <w:sz w:val="16"/>
                <w:szCs w:val="16"/>
              </w:rPr>
              <w:t>159 714</w:t>
            </w:r>
          </w:p>
        </w:tc>
        <w:tc>
          <w:tcPr>
            <w:tcW w:w="681" w:type="dxa"/>
            <w:vAlign w:val="center"/>
          </w:tcPr>
          <w:p w14:paraId="3A88E682" w14:textId="77777777" w:rsidR="00297C15" w:rsidRPr="008F6714" w:rsidRDefault="00297C15" w:rsidP="001733C9">
            <w:pPr>
              <w:jc w:val="center"/>
              <w:rPr>
                <w:i/>
                <w:iCs/>
                <w:sz w:val="16"/>
                <w:szCs w:val="16"/>
              </w:rPr>
            </w:pPr>
          </w:p>
        </w:tc>
        <w:tc>
          <w:tcPr>
            <w:tcW w:w="1020" w:type="dxa"/>
            <w:gridSpan w:val="2"/>
            <w:vAlign w:val="center"/>
          </w:tcPr>
          <w:p w14:paraId="30FFDF2C" w14:textId="77777777" w:rsidR="00297C15" w:rsidRPr="008F6714" w:rsidRDefault="00297C15" w:rsidP="001733C9">
            <w:pPr>
              <w:jc w:val="center"/>
              <w:rPr>
                <w:i/>
                <w:iCs/>
                <w:sz w:val="16"/>
                <w:szCs w:val="16"/>
              </w:rPr>
            </w:pPr>
            <w:r w:rsidRPr="008F6714">
              <w:rPr>
                <w:i/>
                <w:iCs/>
                <w:sz w:val="16"/>
                <w:szCs w:val="16"/>
              </w:rPr>
              <w:t>170598</w:t>
            </w:r>
          </w:p>
        </w:tc>
        <w:tc>
          <w:tcPr>
            <w:tcW w:w="851" w:type="dxa"/>
            <w:vAlign w:val="center"/>
          </w:tcPr>
          <w:p w14:paraId="63215B92" w14:textId="77777777" w:rsidR="00297C15" w:rsidRPr="008F6714" w:rsidRDefault="00297C15" w:rsidP="001733C9">
            <w:pPr>
              <w:jc w:val="center"/>
              <w:rPr>
                <w:i/>
                <w:iCs/>
                <w:sz w:val="16"/>
                <w:szCs w:val="16"/>
              </w:rPr>
            </w:pPr>
          </w:p>
        </w:tc>
      </w:tr>
    </w:tbl>
    <w:p w14:paraId="7C14A863" w14:textId="77777777" w:rsidR="00297C15" w:rsidRPr="00346513" w:rsidRDefault="00297C15" w:rsidP="00297C15">
      <w:pPr>
        <w:jc w:val="both"/>
        <w:rPr>
          <w:i/>
          <w:iCs/>
          <w:sz w:val="24"/>
          <w:szCs w:val="24"/>
        </w:rPr>
      </w:pPr>
      <w:r w:rsidRPr="00346513">
        <w:rPr>
          <w:i/>
          <w:iCs/>
          <w:sz w:val="24"/>
          <w:szCs w:val="24"/>
        </w:rPr>
        <w:t>Источник: Федеральный закон «О федеральном бюджете на 2022 год и на плановый период 2023 и 2024 годов» от 06.12.2021 № 390-ФЗ; законопроект, пояснительная записка к законопроекту</w:t>
      </w:r>
    </w:p>
    <w:p w14:paraId="3F8CC764" w14:textId="77777777" w:rsidR="00297C15" w:rsidRDefault="00297C15" w:rsidP="00297C15">
      <w:pPr>
        <w:autoSpaceDE w:val="0"/>
        <w:autoSpaceDN w:val="0"/>
        <w:adjustRightInd w:val="0"/>
        <w:spacing w:line="360" w:lineRule="auto"/>
        <w:ind w:firstLine="709"/>
        <w:jc w:val="both"/>
        <w:rPr>
          <w:sz w:val="24"/>
          <w:szCs w:val="24"/>
        </w:rPr>
      </w:pPr>
    </w:p>
    <w:p w14:paraId="16CA10B0" w14:textId="77777777" w:rsidR="00297C15" w:rsidRPr="00346513" w:rsidRDefault="00297C15" w:rsidP="00297C15">
      <w:pPr>
        <w:autoSpaceDE w:val="0"/>
        <w:autoSpaceDN w:val="0"/>
        <w:adjustRightInd w:val="0"/>
        <w:spacing w:line="360" w:lineRule="auto"/>
        <w:ind w:firstLine="709"/>
        <w:jc w:val="both"/>
        <w:rPr>
          <w:sz w:val="24"/>
          <w:szCs w:val="24"/>
        </w:rPr>
      </w:pPr>
      <w:r w:rsidRPr="00346513">
        <w:rPr>
          <w:sz w:val="24"/>
          <w:szCs w:val="24"/>
        </w:rPr>
        <w:t>В общем объеме государственного долга Российской Федерации</w:t>
      </w:r>
      <w:r>
        <w:rPr>
          <w:sz w:val="24"/>
          <w:szCs w:val="24"/>
        </w:rPr>
        <w:t xml:space="preserve">, как и предполагается Бюджетным прогнозом и Основными направлениями, </w:t>
      </w:r>
      <w:r w:rsidRPr="00346513">
        <w:rPr>
          <w:sz w:val="24"/>
          <w:szCs w:val="24"/>
        </w:rPr>
        <w:t>будет преобладать государственный внутренний долг Российской Федерации в связи с преимущественным выпуском государственных ценных бумаг Российской Федерации, номинальная стоимость которых указана в валюте Российской Федерации</w:t>
      </w:r>
      <w:r>
        <w:rPr>
          <w:sz w:val="24"/>
          <w:szCs w:val="24"/>
        </w:rPr>
        <w:t>: его доля в</w:t>
      </w:r>
      <w:r w:rsidRPr="00346513">
        <w:rPr>
          <w:sz w:val="24"/>
          <w:szCs w:val="24"/>
        </w:rPr>
        <w:t xml:space="preserve"> общем объеме государственного долга Российской Федерации составит 81,6% в 2023 году, 82,4% в 2024 году и 83,5% в 2025 году.</w:t>
      </w:r>
    </w:p>
    <w:p w14:paraId="60EEDCBE" w14:textId="31FE6531" w:rsidR="00297C15" w:rsidRDefault="00297C15" w:rsidP="00297C15">
      <w:pPr>
        <w:spacing w:line="360" w:lineRule="auto"/>
        <w:ind w:firstLine="708"/>
        <w:jc w:val="both"/>
        <w:rPr>
          <w:iCs/>
          <w:sz w:val="24"/>
          <w:szCs w:val="24"/>
        </w:rPr>
      </w:pPr>
      <w:r w:rsidRPr="00297C15">
        <w:rPr>
          <w:iCs/>
          <w:sz w:val="24"/>
          <w:szCs w:val="24"/>
        </w:rPr>
        <w:t xml:space="preserve">Таким образом, формирование федерального бюджета с дефицитом в течение всего прогнозного периода полностью обосновано необходимостью реализации посредством него антикризисных мер. Размер дефицита федерального бюджета будет находиться на допустимом уровне (менее 3% ВВП), что означает высокую степень вероятности его преодоления к концу прогнозного бюджетного цикла. Кроме того, к 2025 году планируется выход на положительное первичное сальдо бюджета и достижение показателей структурного первичного баланса в соответствии с принципами «бюджетного правила». В связи с этим следует отметить, что сбалансированность федерального бюджета в </w:t>
      </w:r>
      <w:r w:rsidRPr="00297C15">
        <w:rPr>
          <w:iCs/>
          <w:sz w:val="24"/>
          <w:szCs w:val="24"/>
        </w:rPr>
        <w:lastRenderedPageBreak/>
        <w:t xml:space="preserve">среднесрочном периоде будет зависеть от грамотной реализации долговой политики, регулярного пересмотра расходов федерального бюджета по принципу их </w:t>
      </w:r>
      <w:proofErr w:type="spellStart"/>
      <w:r w:rsidRPr="00297C15">
        <w:rPr>
          <w:iCs/>
          <w:sz w:val="24"/>
          <w:szCs w:val="24"/>
        </w:rPr>
        <w:t>приоритизации</w:t>
      </w:r>
      <w:proofErr w:type="spellEnd"/>
      <w:r w:rsidRPr="00297C15">
        <w:rPr>
          <w:iCs/>
          <w:sz w:val="24"/>
          <w:szCs w:val="24"/>
        </w:rPr>
        <w:t xml:space="preserve"> с применением различных инструментов оценки их финансовой эффективности, например обзора бюджетных расходов.</w:t>
      </w:r>
    </w:p>
    <w:p w14:paraId="077CD24F" w14:textId="5A9CDB71" w:rsidR="00C02C32" w:rsidRDefault="00C02C32" w:rsidP="00297C15">
      <w:pPr>
        <w:spacing w:line="360" w:lineRule="auto"/>
        <w:ind w:firstLine="708"/>
        <w:jc w:val="both"/>
        <w:rPr>
          <w:iCs/>
          <w:sz w:val="24"/>
          <w:szCs w:val="24"/>
        </w:rPr>
      </w:pPr>
    </w:p>
    <w:p w14:paraId="242B8BD5" w14:textId="77777777" w:rsidR="00E1435B" w:rsidRPr="00643E17" w:rsidRDefault="00E1435B" w:rsidP="00E1435B">
      <w:pPr>
        <w:pStyle w:val="aa"/>
        <w:numPr>
          <w:ilvl w:val="0"/>
          <w:numId w:val="41"/>
        </w:numPr>
        <w:spacing w:line="360" w:lineRule="auto"/>
        <w:ind w:left="924" w:hanging="357"/>
        <w:jc w:val="both"/>
        <w:rPr>
          <w:rFonts w:ascii="Times New Roman" w:hAnsi="Times New Roman"/>
          <w:b/>
          <w:i/>
          <w:iCs/>
          <w:noProof/>
          <w:sz w:val="24"/>
          <w:szCs w:val="24"/>
          <w:lang w:eastAsia="ru-RU"/>
        </w:rPr>
      </w:pPr>
      <w:r w:rsidRPr="00643E17">
        <w:rPr>
          <w:rFonts w:ascii="Times New Roman" w:hAnsi="Times New Roman"/>
          <w:b/>
          <w:i/>
          <w:iCs/>
          <w:noProof/>
          <w:sz w:val="24"/>
          <w:szCs w:val="24"/>
          <w:lang w:eastAsia="ru-RU"/>
        </w:rPr>
        <w:t>Оценка форм и методов мебюджетного регулирования для обеспечения сбалансированности бюджетов субъектов Российской Федерации</w:t>
      </w:r>
    </w:p>
    <w:p w14:paraId="35A03083" w14:textId="77777777" w:rsidR="00E1435B" w:rsidRDefault="00E1435B" w:rsidP="00E1435B">
      <w:pPr>
        <w:spacing w:line="360" w:lineRule="auto"/>
        <w:ind w:firstLine="709"/>
        <w:jc w:val="both"/>
        <w:rPr>
          <w:noProof/>
          <w:sz w:val="24"/>
          <w:szCs w:val="24"/>
        </w:rPr>
      </w:pPr>
      <w:r w:rsidRPr="00753A80">
        <w:rPr>
          <w:noProof/>
          <w:sz w:val="24"/>
          <w:szCs w:val="24"/>
        </w:rPr>
        <w:t xml:space="preserve">На формирование основных параметров бюджетов </w:t>
      </w:r>
      <w:r w:rsidRPr="00753A80">
        <w:rPr>
          <w:sz w:val="24"/>
          <w:szCs w:val="24"/>
        </w:rPr>
        <w:t xml:space="preserve">субъектов Российской Федерации </w:t>
      </w:r>
      <w:r w:rsidRPr="00753A80">
        <w:rPr>
          <w:noProof/>
          <w:sz w:val="24"/>
          <w:szCs w:val="24"/>
        </w:rPr>
        <w:t xml:space="preserve">в бюджетном цикле 2023-2025 годов будут оказывать влияние геополитические факторы, необходимость достижения целей социально-экономического развития в условиях удорожания стоимости работ и, как следствие, рост расходов бюджетов субъектов РФ. Нарушение экономических и логистических связей, необходимость переориентации на новые экспортные и импортные рынки создает трудности в осуществлении деятельности организаций, что может вызвать негативный эффект, выражаемый в недополучении налоговых доходов бюджетной системой, прежде всего зачисляемых в бюджеты </w:t>
      </w:r>
      <w:r w:rsidRPr="00753A80">
        <w:rPr>
          <w:sz w:val="24"/>
          <w:szCs w:val="24"/>
        </w:rPr>
        <w:t>субъектов Российской Федерации</w:t>
      </w:r>
      <w:r w:rsidRPr="00753A80">
        <w:rPr>
          <w:noProof/>
          <w:sz w:val="24"/>
          <w:szCs w:val="24"/>
        </w:rPr>
        <w:t>. Высокая доля специализации отдельных регионов, в том числе по экспортной направленности, в условиях внешнего санкционного давления является дополнительным дестабилизирующим фактором углубления дифференциации уровня их бюджетной обеспечености.</w:t>
      </w:r>
    </w:p>
    <w:p w14:paraId="5D71EC07" w14:textId="2E0CBCC1" w:rsidR="00E1435B" w:rsidRDefault="00E1435B" w:rsidP="00E1435B">
      <w:pPr>
        <w:spacing w:line="360" w:lineRule="auto"/>
        <w:ind w:firstLine="709"/>
        <w:jc w:val="both"/>
        <w:rPr>
          <w:noProof/>
          <w:sz w:val="24"/>
          <w:szCs w:val="24"/>
        </w:rPr>
      </w:pPr>
      <w:r w:rsidRPr="00753A80">
        <w:rPr>
          <w:noProof/>
          <w:sz w:val="24"/>
          <w:szCs w:val="24"/>
        </w:rPr>
        <w:t xml:space="preserve">В бюджетном цикле 2023-2025 годов предусмотрен более высокий темп роста доходов по отношению к темпу роста расходов консолидированных бюджетов </w:t>
      </w:r>
      <w:r w:rsidRPr="00753A80">
        <w:rPr>
          <w:sz w:val="24"/>
          <w:szCs w:val="24"/>
        </w:rPr>
        <w:t xml:space="preserve">субъектов Российской Федерации </w:t>
      </w:r>
      <w:r w:rsidRPr="00753A80">
        <w:rPr>
          <w:noProof/>
          <w:sz w:val="24"/>
          <w:szCs w:val="24"/>
        </w:rPr>
        <w:t>при сокращении объемов межбюджетных трансфертов как в номинальном, так и в относительном выражении</w:t>
      </w:r>
      <w:r>
        <w:rPr>
          <w:noProof/>
          <w:sz w:val="24"/>
          <w:szCs w:val="24"/>
        </w:rPr>
        <w:t xml:space="preserve"> (табл. 7)</w:t>
      </w:r>
      <w:r w:rsidRPr="00753A80">
        <w:rPr>
          <w:noProof/>
          <w:sz w:val="24"/>
          <w:szCs w:val="24"/>
        </w:rPr>
        <w:t>.</w:t>
      </w:r>
    </w:p>
    <w:p w14:paraId="7E98989F" w14:textId="77777777" w:rsidR="00BC3C02" w:rsidRPr="00753A80" w:rsidRDefault="00BC3C02" w:rsidP="00BC3C02">
      <w:pPr>
        <w:spacing w:line="360" w:lineRule="auto"/>
        <w:ind w:firstLine="709"/>
        <w:jc w:val="both"/>
        <w:rPr>
          <w:noProof/>
          <w:sz w:val="24"/>
          <w:szCs w:val="24"/>
        </w:rPr>
      </w:pPr>
      <w:r w:rsidRPr="00753A80">
        <w:rPr>
          <w:noProof/>
          <w:sz w:val="24"/>
          <w:szCs w:val="24"/>
        </w:rPr>
        <w:t xml:space="preserve">Однако, усугубление экономической ситуации может негативно сказаться на финансовых результатах организаций, как следствие, - привести к необходимости возмещения из бюджетов </w:t>
      </w:r>
      <w:r w:rsidRPr="00753A80">
        <w:rPr>
          <w:sz w:val="24"/>
          <w:szCs w:val="24"/>
        </w:rPr>
        <w:t xml:space="preserve">субъектов Российской Федерации </w:t>
      </w:r>
      <w:r w:rsidRPr="00753A80">
        <w:rPr>
          <w:noProof/>
          <w:sz w:val="24"/>
          <w:szCs w:val="24"/>
        </w:rPr>
        <w:t xml:space="preserve">средств, полученных в рамках авансовых платежей по налогу на прибыль организаций в предстоящем бюджетном цикле. Возможное сокращение налоговых доходов при снижающихся объемах межбюджетных трансфертов, определенных в закопроекте, несет в себе риски сбалансированности бюджетов </w:t>
      </w:r>
      <w:r w:rsidRPr="00753A80">
        <w:rPr>
          <w:sz w:val="24"/>
          <w:szCs w:val="24"/>
        </w:rPr>
        <w:t>субъектов Российской Федерации</w:t>
      </w:r>
      <w:r w:rsidRPr="00753A80">
        <w:rPr>
          <w:noProof/>
          <w:sz w:val="24"/>
          <w:szCs w:val="24"/>
        </w:rPr>
        <w:t>, необходимости привлечения заемного финансирования для замещенеия выпадающих доходов и как следствие - снижение возможности по реализации субъектами Российской Федерации эффективной долговой политики, нацеленной на сокращение государственного долга субъекта РФ.</w:t>
      </w:r>
    </w:p>
    <w:p w14:paraId="39B20C8F" w14:textId="77777777" w:rsidR="00BC3C02" w:rsidRDefault="00BC3C02" w:rsidP="00E1435B">
      <w:pPr>
        <w:spacing w:line="360" w:lineRule="auto"/>
        <w:ind w:firstLine="709"/>
        <w:jc w:val="both"/>
        <w:rPr>
          <w:noProof/>
          <w:sz w:val="24"/>
          <w:szCs w:val="24"/>
        </w:rPr>
      </w:pPr>
    </w:p>
    <w:p w14:paraId="7678AB98" w14:textId="77777777" w:rsidR="00E1435B" w:rsidRPr="00643E17" w:rsidRDefault="00E1435B" w:rsidP="008553E6">
      <w:pPr>
        <w:spacing w:line="360" w:lineRule="auto"/>
        <w:jc w:val="both"/>
        <w:rPr>
          <w:bCs/>
          <w:i/>
          <w:iCs/>
          <w:noProof/>
          <w:sz w:val="24"/>
          <w:szCs w:val="24"/>
        </w:rPr>
      </w:pPr>
      <w:r w:rsidRPr="00643E17">
        <w:rPr>
          <w:bCs/>
          <w:i/>
          <w:iCs/>
          <w:noProof/>
          <w:sz w:val="24"/>
          <w:szCs w:val="24"/>
        </w:rPr>
        <w:lastRenderedPageBreak/>
        <w:t xml:space="preserve">Таблица </w:t>
      </w:r>
      <w:r>
        <w:rPr>
          <w:bCs/>
          <w:i/>
          <w:iCs/>
          <w:noProof/>
          <w:sz w:val="24"/>
          <w:szCs w:val="24"/>
        </w:rPr>
        <w:t xml:space="preserve">7 - </w:t>
      </w:r>
      <w:r w:rsidRPr="00643E17">
        <w:rPr>
          <w:bCs/>
          <w:i/>
          <w:iCs/>
          <w:noProof/>
          <w:sz w:val="24"/>
          <w:szCs w:val="24"/>
        </w:rPr>
        <w:t>Показатели консолидированных субфедеральных бюджетов</w:t>
      </w:r>
    </w:p>
    <w:tbl>
      <w:tblPr>
        <w:tblW w:w="8020" w:type="dxa"/>
        <w:jc w:val="center"/>
        <w:tblLook w:val="04A0" w:firstRow="1" w:lastRow="0" w:firstColumn="1" w:lastColumn="0" w:noHBand="0" w:noVBand="1"/>
      </w:tblPr>
      <w:tblGrid>
        <w:gridCol w:w="2405"/>
        <w:gridCol w:w="1418"/>
        <w:gridCol w:w="1417"/>
        <w:gridCol w:w="1418"/>
        <w:gridCol w:w="1362"/>
      </w:tblGrid>
      <w:tr w:rsidR="00E1435B" w:rsidRPr="00643E17" w14:paraId="600DAE2E" w14:textId="77777777" w:rsidTr="001733C9">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14:paraId="0E5BEB5F" w14:textId="18AF1CD8" w:rsidR="00E1435B" w:rsidRPr="00643E17" w:rsidRDefault="008F6714" w:rsidP="001733C9">
            <w:pPr>
              <w:rPr>
                <w:color w:val="000000"/>
                <w:sz w:val="22"/>
                <w:szCs w:val="22"/>
              </w:rPr>
            </w:pPr>
            <w:r>
              <w:rPr>
                <w:color w:val="000000"/>
                <w:sz w:val="22"/>
                <w:szCs w:val="22"/>
              </w:rPr>
              <w:t>Показатели</w:t>
            </w:r>
          </w:p>
        </w:tc>
        <w:tc>
          <w:tcPr>
            <w:tcW w:w="1418" w:type="dxa"/>
            <w:tcBorders>
              <w:top w:val="single" w:sz="4" w:space="0" w:color="auto"/>
              <w:left w:val="nil"/>
              <w:bottom w:val="single" w:sz="4" w:space="0" w:color="auto"/>
              <w:right w:val="single" w:sz="4" w:space="0" w:color="auto"/>
            </w:tcBorders>
            <w:shd w:val="clear" w:color="auto" w:fill="auto"/>
            <w:vAlign w:val="bottom"/>
          </w:tcPr>
          <w:p w14:paraId="77614671" w14:textId="77777777" w:rsidR="00E1435B" w:rsidRPr="00643E17" w:rsidRDefault="00E1435B" w:rsidP="001733C9">
            <w:pPr>
              <w:jc w:val="center"/>
              <w:rPr>
                <w:color w:val="000000"/>
                <w:sz w:val="22"/>
                <w:szCs w:val="22"/>
              </w:rPr>
            </w:pPr>
            <w:r w:rsidRPr="00643E17">
              <w:rPr>
                <w:color w:val="000000"/>
                <w:sz w:val="22"/>
                <w:szCs w:val="22"/>
              </w:rPr>
              <w:t>2022</w:t>
            </w:r>
          </w:p>
        </w:tc>
        <w:tc>
          <w:tcPr>
            <w:tcW w:w="1417" w:type="dxa"/>
            <w:tcBorders>
              <w:top w:val="single" w:sz="4" w:space="0" w:color="auto"/>
              <w:left w:val="nil"/>
              <w:bottom w:val="single" w:sz="4" w:space="0" w:color="auto"/>
              <w:right w:val="single" w:sz="4" w:space="0" w:color="auto"/>
            </w:tcBorders>
            <w:shd w:val="clear" w:color="auto" w:fill="auto"/>
            <w:vAlign w:val="bottom"/>
          </w:tcPr>
          <w:p w14:paraId="69D86053" w14:textId="77777777" w:rsidR="00E1435B" w:rsidRPr="00643E17" w:rsidRDefault="00E1435B" w:rsidP="001733C9">
            <w:pPr>
              <w:jc w:val="center"/>
              <w:rPr>
                <w:color w:val="000000"/>
                <w:sz w:val="22"/>
                <w:szCs w:val="22"/>
              </w:rPr>
            </w:pPr>
            <w:r w:rsidRPr="00643E17">
              <w:rPr>
                <w:color w:val="000000"/>
                <w:sz w:val="22"/>
                <w:szCs w:val="22"/>
              </w:rPr>
              <w:t>2023</w:t>
            </w:r>
          </w:p>
        </w:tc>
        <w:tc>
          <w:tcPr>
            <w:tcW w:w="1418" w:type="dxa"/>
            <w:tcBorders>
              <w:top w:val="single" w:sz="4" w:space="0" w:color="auto"/>
              <w:left w:val="nil"/>
              <w:bottom w:val="single" w:sz="4" w:space="0" w:color="auto"/>
              <w:right w:val="single" w:sz="4" w:space="0" w:color="auto"/>
            </w:tcBorders>
            <w:shd w:val="clear" w:color="auto" w:fill="auto"/>
            <w:vAlign w:val="bottom"/>
          </w:tcPr>
          <w:p w14:paraId="2CF432FC" w14:textId="77777777" w:rsidR="00E1435B" w:rsidRPr="00643E17" w:rsidRDefault="00E1435B" w:rsidP="001733C9">
            <w:pPr>
              <w:jc w:val="center"/>
              <w:rPr>
                <w:color w:val="000000"/>
                <w:sz w:val="22"/>
                <w:szCs w:val="22"/>
              </w:rPr>
            </w:pPr>
            <w:r w:rsidRPr="00643E17">
              <w:rPr>
                <w:color w:val="000000"/>
                <w:sz w:val="22"/>
                <w:szCs w:val="22"/>
              </w:rPr>
              <w:t>2024</w:t>
            </w:r>
          </w:p>
        </w:tc>
        <w:tc>
          <w:tcPr>
            <w:tcW w:w="1362" w:type="dxa"/>
            <w:tcBorders>
              <w:top w:val="single" w:sz="4" w:space="0" w:color="auto"/>
              <w:left w:val="nil"/>
              <w:bottom w:val="single" w:sz="4" w:space="0" w:color="auto"/>
              <w:right w:val="single" w:sz="4" w:space="0" w:color="auto"/>
            </w:tcBorders>
            <w:shd w:val="clear" w:color="auto" w:fill="auto"/>
            <w:vAlign w:val="bottom"/>
          </w:tcPr>
          <w:p w14:paraId="2F54B76D" w14:textId="77777777" w:rsidR="00E1435B" w:rsidRPr="00643E17" w:rsidRDefault="00E1435B" w:rsidP="001733C9">
            <w:pPr>
              <w:jc w:val="center"/>
              <w:rPr>
                <w:color w:val="000000"/>
                <w:sz w:val="22"/>
                <w:szCs w:val="22"/>
              </w:rPr>
            </w:pPr>
            <w:r w:rsidRPr="00643E17">
              <w:rPr>
                <w:color w:val="000000"/>
                <w:sz w:val="22"/>
                <w:szCs w:val="22"/>
              </w:rPr>
              <w:t>2025</w:t>
            </w:r>
          </w:p>
        </w:tc>
      </w:tr>
      <w:tr w:rsidR="00E1435B" w:rsidRPr="00643E17" w14:paraId="7DE134E7" w14:textId="77777777" w:rsidTr="001733C9">
        <w:trPr>
          <w:trHeight w:val="1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14:paraId="07E015E6" w14:textId="77777777" w:rsidR="00E1435B" w:rsidRPr="008F6714" w:rsidRDefault="00E1435B" w:rsidP="001733C9">
            <w:pPr>
              <w:rPr>
                <w:b/>
                <w:color w:val="000000"/>
                <w:sz w:val="22"/>
                <w:szCs w:val="22"/>
              </w:rPr>
            </w:pPr>
            <w:r w:rsidRPr="008F6714">
              <w:rPr>
                <w:b/>
                <w:color w:val="000000"/>
                <w:sz w:val="22"/>
                <w:szCs w:val="22"/>
              </w:rPr>
              <w:t>Расходы</w:t>
            </w:r>
          </w:p>
        </w:tc>
        <w:tc>
          <w:tcPr>
            <w:tcW w:w="1418" w:type="dxa"/>
            <w:tcBorders>
              <w:top w:val="single" w:sz="4" w:space="0" w:color="auto"/>
              <w:left w:val="nil"/>
              <w:bottom w:val="single" w:sz="4" w:space="0" w:color="auto"/>
              <w:right w:val="single" w:sz="4" w:space="0" w:color="auto"/>
            </w:tcBorders>
            <w:shd w:val="clear" w:color="auto" w:fill="auto"/>
            <w:vAlign w:val="bottom"/>
          </w:tcPr>
          <w:p w14:paraId="3AB4BD58" w14:textId="77777777" w:rsidR="00E1435B" w:rsidRPr="008F6714" w:rsidRDefault="00E1435B" w:rsidP="001733C9">
            <w:pPr>
              <w:jc w:val="center"/>
              <w:rPr>
                <w:b/>
                <w:color w:val="000000"/>
                <w:sz w:val="22"/>
                <w:szCs w:val="22"/>
              </w:rPr>
            </w:pPr>
            <w:r w:rsidRPr="008F6714">
              <w:rPr>
                <w:b/>
                <w:color w:val="000000"/>
                <w:sz w:val="22"/>
                <w:szCs w:val="22"/>
              </w:rPr>
              <w:t>19 072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D0B9ED" w14:textId="77777777" w:rsidR="00E1435B" w:rsidRPr="008F6714" w:rsidRDefault="00E1435B" w:rsidP="001733C9">
            <w:pPr>
              <w:jc w:val="center"/>
              <w:rPr>
                <w:b/>
                <w:color w:val="000000"/>
                <w:sz w:val="22"/>
                <w:szCs w:val="22"/>
              </w:rPr>
            </w:pPr>
            <w:r w:rsidRPr="008F6714">
              <w:rPr>
                <w:b/>
                <w:color w:val="000000"/>
                <w:sz w:val="22"/>
                <w:szCs w:val="22"/>
              </w:rPr>
              <w:t>19 361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799495" w14:textId="77777777" w:rsidR="00E1435B" w:rsidRPr="008F6714" w:rsidRDefault="00E1435B" w:rsidP="001733C9">
            <w:pPr>
              <w:jc w:val="center"/>
              <w:rPr>
                <w:b/>
                <w:color w:val="000000"/>
                <w:sz w:val="22"/>
                <w:szCs w:val="22"/>
              </w:rPr>
            </w:pPr>
            <w:r w:rsidRPr="008F6714">
              <w:rPr>
                <w:b/>
                <w:color w:val="000000"/>
                <w:sz w:val="22"/>
                <w:szCs w:val="22"/>
              </w:rPr>
              <w:t>20 415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tcPr>
          <w:p w14:paraId="3F461004" w14:textId="77777777" w:rsidR="00E1435B" w:rsidRPr="008F6714" w:rsidRDefault="00E1435B" w:rsidP="001733C9">
            <w:pPr>
              <w:jc w:val="center"/>
              <w:rPr>
                <w:b/>
                <w:color w:val="000000"/>
                <w:sz w:val="22"/>
                <w:szCs w:val="22"/>
              </w:rPr>
            </w:pPr>
            <w:r w:rsidRPr="008F6714">
              <w:rPr>
                <w:b/>
                <w:color w:val="000000"/>
                <w:sz w:val="22"/>
                <w:szCs w:val="22"/>
              </w:rPr>
              <w:t>21 285</w:t>
            </w:r>
          </w:p>
        </w:tc>
      </w:tr>
      <w:tr w:rsidR="00E1435B" w:rsidRPr="00643E17" w14:paraId="51B4EF6F" w14:textId="77777777" w:rsidTr="001733C9">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77EC0" w14:textId="77777777" w:rsidR="00E1435B" w:rsidRPr="00643E17" w:rsidRDefault="00E1435B" w:rsidP="001733C9">
            <w:pPr>
              <w:rPr>
                <w:color w:val="000000"/>
                <w:sz w:val="22"/>
                <w:szCs w:val="22"/>
              </w:rPr>
            </w:pPr>
            <w:r w:rsidRPr="00643E17">
              <w:rPr>
                <w:color w:val="000000"/>
                <w:sz w:val="22"/>
                <w:szCs w:val="22"/>
              </w:rPr>
              <w:t>% ВВП</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18656E6" w14:textId="77777777" w:rsidR="00E1435B" w:rsidRPr="00643E17" w:rsidRDefault="00E1435B" w:rsidP="001733C9">
            <w:pPr>
              <w:jc w:val="center"/>
              <w:rPr>
                <w:color w:val="000000"/>
                <w:sz w:val="22"/>
                <w:szCs w:val="22"/>
              </w:rPr>
            </w:pPr>
            <w:r w:rsidRPr="00643E17">
              <w:rPr>
                <w:color w:val="000000"/>
                <w:sz w:val="22"/>
                <w:szCs w:val="22"/>
              </w:rPr>
              <w:t>13,05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9C0BCE0" w14:textId="77777777" w:rsidR="00E1435B" w:rsidRPr="00643E17" w:rsidRDefault="00E1435B" w:rsidP="001733C9">
            <w:pPr>
              <w:jc w:val="center"/>
              <w:rPr>
                <w:color w:val="000000"/>
                <w:sz w:val="22"/>
                <w:szCs w:val="22"/>
              </w:rPr>
            </w:pPr>
            <w:r w:rsidRPr="00643E17">
              <w:rPr>
                <w:color w:val="000000"/>
                <w:sz w:val="22"/>
                <w:szCs w:val="22"/>
              </w:rPr>
              <w:t>12,92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21AB904" w14:textId="77777777" w:rsidR="00E1435B" w:rsidRPr="00643E17" w:rsidRDefault="00E1435B" w:rsidP="001733C9">
            <w:pPr>
              <w:jc w:val="center"/>
              <w:rPr>
                <w:color w:val="000000"/>
                <w:sz w:val="22"/>
                <w:szCs w:val="22"/>
              </w:rPr>
            </w:pPr>
            <w:r w:rsidRPr="00643E17">
              <w:rPr>
                <w:color w:val="000000"/>
                <w:sz w:val="22"/>
                <w:szCs w:val="22"/>
              </w:rPr>
              <w:t>12,78</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5638878C" w14:textId="77777777" w:rsidR="00E1435B" w:rsidRPr="00643E17" w:rsidRDefault="00E1435B" w:rsidP="001733C9">
            <w:pPr>
              <w:jc w:val="center"/>
              <w:rPr>
                <w:color w:val="000000"/>
                <w:sz w:val="22"/>
                <w:szCs w:val="22"/>
              </w:rPr>
            </w:pPr>
            <w:r w:rsidRPr="00643E17">
              <w:rPr>
                <w:color w:val="000000"/>
                <w:sz w:val="22"/>
                <w:szCs w:val="22"/>
              </w:rPr>
              <w:t>12,48</w:t>
            </w:r>
          </w:p>
        </w:tc>
      </w:tr>
      <w:tr w:rsidR="00E1435B" w:rsidRPr="00643E17" w14:paraId="41E52D71" w14:textId="77777777" w:rsidTr="001733C9">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14:paraId="2552638C" w14:textId="77777777" w:rsidR="00E1435B" w:rsidRPr="00643E17" w:rsidRDefault="00E1435B" w:rsidP="001733C9">
            <w:pPr>
              <w:rPr>
                <w:color w:val="000000"/>
                <w:sz w:val="22"/>
                <w:szCs w:val="22"/>
              </w:rPr>
            </w:pPr>
            <w:r w:rsidRPr="00643E17">
              <w:rPr>
                <w:color w:val="000000"/>
                <w:sz w:val="22"/>
                <w:szCs w:val="22"/>
              </w:rPr>
              <w:t>темп роста, в %</w:t>
            </w:r>
          </w:p>
        </w:tc>
        <w:tc>
          <w:tcPr>
            <w:tcW w:w="1418" w:type="dxa"/>
            <w:tcBorders>
              <w:top w:val="single" w:sz="4" w:space="0" w:color="auto"/>
              <w:left w:val="nil"/>
              <w:bottom w:val="single" w:sz="4" w:space="0" w:color="auto"/>
              <w:right w:val="single" w:sz="4" w:space="0" w:color="auto"/>
            </w:tcBorders>
            <w:shd w:val="clear" w:color="auto" w:fill="auto"/>
            <w:vAlign w:val="bottom"/>
          </w:tcPr>
          <w:p w14:paraId="64C1ACC0" w14:textId="77777777" w:rsidR="00E1435B" w:rsidRPr="00643E17" w:rsidRDefault="00E1435B" w:rsidP="001733C9">
            <w:pPr>
              <w:jc w:val="center"/>
              <w:rPr>
                <w:color w:val="000000"/>
                <w:sz w:val="22"/>
                <w:szCs w:val="22"/>
              </w:rPr>
            </w:pPr>
            <w:r w:rsidRPr="00643E17">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bottom"/>
          </w:tcPr>
          <w:p w14:paraId="750D391C" w14:textId="77777777" w:rsidR="00E1435B" w:rsidRPr="00643E17" w:rsidRDefault="00E1435B" w:rsidP="001733C9">
            <w:pPr>
              <w:jc w:val="center"/>
              <w:rPr>
                <w:color w:val="000000"/>
                <w:sz w:val="22"/>
                <w:szCs w:val="22"/>
              </w:rPr>
            </w:pPr>
            <w:r w:rsidRPr="00643E17">
              <w:rPr>
                <w:color w:val="000000"/>
                <w:sz w:val="22"/>
                <w:szCs w:val="22"/>
              </w:rPr>
              <w:t>102</w:t>
            </w:r>
          </w:p>
        </w:tc>
        <w:tc>
          <w:tcPr>
            <w:tcW w:w="1418" w:type="dxa"/>
            <w:tcBorders>
              <w:top w:val="single" w:sz="4" w:space="0" w:color="auto"/>
              <w:left w:val="nil"/>
              <w:bottom w:val="single" w:sz="4" w:space="0" w:color="auto"/>
              <w:right w:val="single" w:sz="4" w:space="0" w:color="auto"/>
            </w:tcBorders>
            <w:shd w:val="clear" w:color="auto" w:fill="auto"/>
            <w:vAlign w:val="bottom"/>
          </w:tcPr>
          <w:p w14:paraId="1754CE93" w14:textId="77777777" w:rsidR="00E1435B" w:rsidRPr="00643E17" w:rsidRDefault="00E1435B" w:rsidP="001733C9">
            <w:pPr>
              <w:jc w:val="center"/>
              <w:rPr>
                <w:color w:val="000000"/>
                <w:sz w:val="22"/>
                <w:szCs w:val="22"/>
              </w:rPr>
            </w:pPr>
            <w:r w:rsidRPr="00643E17">
              <w:rPr>
                <w:color w:val="000000"/>
                <w:sz w:val="22"/>
                <w:szCs w:val="22"/>
              </w:rPr>
              <w:t>105</w:t>
            </w:r>
          </w:p>
        </w:tc>
        <w:tc>
          <w:tcPr>
            <w:tcW w:w="1362" w:type="dxa"/>
            <w:tcBorders>
              <w:top w:val="single" w:sz="4" w:space="0" w:color="auto"/>
              <w:left w:val="nil"/>
              <w:bottom w:val="single" w:sz="4" w:space="0" w:color="auto"/>
              <w:right w:val="single" w:sz="4" w:space="0" w:color="auto"/>
            </w:tcBorders>
            <w:shd w:val="clear" w:color="auto" w:fill="auto"/>
            <w:vAlign w:val="bottom"/>
          </w:tcPr>
          <w:p w14:paraId="2B85AA5B" w14:textId="77777777" w:rsidR="00E1435B" w:rsidRPr="00643E17" w:rsidRDefault="00E1435B" w:rsidP="001733C9">
            <w:pPr>
              <w:jc w:val="center"/>
              <w:rPr>
                <w:color w:val="000000"/>
                <w:sz w:val="22"/>
                <w:szCs w:val="22"/>
              </w:rPr>
            </w:pPr>
            <w:r w:rsidRPr="00643E17">
              <w:rPr>
                <w:color w:val="000000"/>
                <w:sz w:val="22"/>
                <w:szCs w:val="22"/>
              </w:rPr>
              <w:t>104</w:t>
            </w:r>
          </w:p>
        </w:tc>
      </w:tr>
      <w:tr w:rsidR="00E1435B" w:rsidRPr="00643E17" w14:paraId="4DEC28B8" w14:textId="77777777" w:rsidTr="001733C9">
        <w:trPr>
          <w:trHeight w:val="803"/>
          <w:jc w:val="center"/>
        </w:trPr>
        <w:tc>
          <w:tcPr>
            <w:tcW w:w="2405" w:type="dxa"/>
            <w:tcBorders>
              <w:top w:val="nil"/>
              <w:left w:val="single" w:sz="4" w:space="0" w:color="auto"/>
              <w:bottom w:val="single" w:sz="4" w:space="0" w:color="auto"/>
              <w:right w:val="single" w:sz="4" w:space="0" w:color="auto"/>
            </w:tcBorders>
            <w:shd w:val="clear" w:color="auto" w:fill="auto"/>
            <w:vAlign w:val="bottom"/>
          </w:tcPr>
          <w:p w14:paraId="100D0D5D" w14:textId="77777777" w:rsidR="00E1435B" w:rsidRPr="00643E17" w:rsidRDefault="00E1435B" w:rsidP="001733C9">
            <w:pPr>
              <w:rPr>
                <w:color w:val="000000"/>
                <w:sz w:val="22"/>
                <w:szCs w:val="22"/>
              </w:rPr>
            </w:pPr>
            <w:r w:rsidRPr="00643E17">
              <w:rPr>
                <w:color w:val="000000"/>
                <w:sz w:val="22"/>
                <w:szCs w:val="22"/>
              </w:rPr>
              <w:t>Доходы без учета межбюджетных трансфертов</w:t>
            </w:r>
          </w:p>
        </w:tc>
        <w:tc>
          <w:tcPr>
            <w:tcW w:w="1418" w:type="dxa"/>
            <w:tcBorders>
              <w:top w:val="nil"/>
              <w:left w:val="nil"/>
              <w:bottom w:val="single" w:sz="4" w:space="0" w:color="auto"/>
              <w:right w:val="single" w:sz="4" w:space="0" w:color="auto"/>
            </w:tcBorders>
            <w:shd w:val="clear" w:color="auto" w:fill="auto"/>
            <w:vAlign w:val="bottom"/>
          </w:tcPr>
          <w:p w14:paraId="5FC65CEF" w14:textId="77777777" w:rsidR="00E1435B" w:rsidRPr="00643E17" w:rsidRDefault="00E1435B" w:rsidP="001733C9">
            <w:pPr>
              <w:jc w:val="center"/>
              <w:rPr>
                <w:color w:val="000000"/>
                <w:sz w:val="22"/>
                <w:szCs w:val="22"/>
              </w:rPr>
            </w:pPr>
            <w:r w:rsidRPr="00643E17">
              <w:rPr>
                <w:color w:val="000000"/>
                <w:sz w:val="22"/>
                <w:szCs w:val="22"/>
              </w:rPr>
              <w:t>15 524</w:t>
            </w:r>
          </w:p>
        </w:tc>
        <w:tc>
          <w:tcPr>
            <w:tcW w:w="1417" w:type="dxa"/>
            <w:tcBorders>
              <w:top w:val="nil"/>
              <w:left w:val="nil"/>
              <w:bottom w:val="single" w:sz="4" w:space="0" w:color="auto"/>
              <w:right w:val="single" w:sz="4" w:space="0" w:color="auto"/>
            </w:tcBorders>
            <w:shd w:val="clear" w:color="auto" w:fill="auto"/>
            <w:vAlign w:val="bottom"/>
          </w:tcPr>
          <w:p w14:paraId="57E826D9" w14:textId="77777777" w:rsidR="00E1435B" w:rsidRPr="00643E17" w:rsidRDefault="00E1435B" w:rsidP="001733C9">
            <w:pPr>
              <w:jc w:val="center"/>
              <w:rPr>
                <w:color w:val="000000"/>
                <w:sz w:val="22"/>
                <w:szCs w:val="22"/>
              </w:rPr>
            </w:pPr>
            <w:r w:rsidRPr="00643E17">
              <w:rPr>
                <w:color w:val="000000"/>
                <w:sz w:val="22"/>
                <w:szCs w:val="22"/>
              </w:rPr>
              <w:t>16 076</w:t>
            </w:r>
          </w:p>
        </w:tc>
        <w:tc>
          <w:tcPr>
            <w:tcW w:w="1418" w:type="dxa"/>
            <w:tcBorders>
              <w:top w:val="nil"/>
              <w:left w:val="nil"/>
              <w:bottom w:val="single" w:sz="4" w:space="0" w:color="auto"/>
              <w:right w:val="single" w:sz="4" w:space="0" w:color="auto"/>
            </w:tcBorders>
            <w:shd w:val="clear" w:color="auto" w:fill="auto"/>
            <w:vAlign w:val="bottom"/>
          </w:tcPr>
          <w:p w14:paraId="00272D80" w14:textId="77777777" w:rsidR="00E1435B" w:rsidRPr="00643E17" w:rsidRDefault="00E1435B" w:rsidP="001733C9">
            <w:pPr>
              <w:jc w:val="center"/>
              <w:rPr>
                <w:color w:val="000000"/>
                <w:sz w:val="22"/>
                <w:szCs w:val="22"/>
              </w:rPr>
            </w:pPr>
            <w:r w:rsidRPr="00643E17">
              <w:rPr>
                <w:color w:val="000000"/>
                <w:sz w:val="22"/>
                <w:szCs w:val="22"/>
              </w:rPr>
              <w:t>17 370</w:t>
            </w:r>
          </w:p>
        </w:tc>
        <w:tc>
          <w:tcPr>
            <w:tcW w:w="1362" w:type="dxa"/>
            <w:tcBorders>
              <w:top w:val="nil"/>
              <w:left w:val="nil"/>
              <w:bottom w:val="single" w:sz="4" w:space="0" w:color="auto"/>
              <w:right w:val="single" w:sz="4" w:space="0" w:color="auto"/>
            </w:tcBorders>
            <w:shd w:val="clear" w:color="auto" w:fill="auto"/>
            <w:vAlign w:val="bottom"/>
          </w:tcPr>
          <w:p w14:paraId="7A0932BB" w14:textId="77777777" w:rsidR="00E1435B" w:rsidRPr="00643E17" w:rsidRDefault="00E1435B" w:rsidP="001733C9">
            <w:pPr>
              <w:jc w:val="center"/>
              <w:rPr>
                <w:color w:val="000000"/>
                <w:sz w:val="22"/>
                <w:szCs w:val="22"/>
              </w:rPr>
            </w:pPr>
            <w:r w:rsidRPr="00643E17">
              <w:rPr>
                <w:color w:val="000000"/>
                <w:sz w:val="22"/>
                <w:szCs w:val="22"/>
              </w:rPr>
              <w:t>18 681</w:t>
            </w:r>
          </w:p>
        </w:tc>
      </w:tr>
      <w:tr w:rsidR="00E1435B" w:rsidRPr="00643E17" w14:paraId="4F73AAD0" w14:textId="77777777" w:rsidTr="001733C9">
        <w:trPr>
          <w:trHeight w:val="271"/>
          <w:jc w:val="center"/>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77E2FB93" w14:textId="77777777" w:rsidR="00E1435B" w:rsidRPr="00643E17" w:rsidRDefault="00E1435B" w:rsidP="001733C9">
            <w:pPr>
              <w:rPr>
                <w:color w:val="000000"/>
                <w:sz w:val="22"/>
                <w:szCs w:val="22"/>
              </w:rPr>
            </w:pPr>
            <w:r w:rsidRPr="00643E17">
              <w:rPr>
                <w:color w:val="000000"/>
                <w:sz w:val="22"/>
                <w:szCs w:val="22"/>
              </w:rPr>
              <w:t>% ВВП</w:t>
            </w:r>
          </w:p>
        </w:tc>
        <w:tc>
          <w:tcPr>
            <w:tcW w:w="1418" w:type="dxa"/>
            <w:tcBorders>
              <w:top w:val="nil"/>
              <w:left w:val="nil"/>
              <w:bottom w:val="single" w:sz="4" w:space="0" w:color="auto"/>
              <w:right w:val="single" w:sz="4" w:space="0" w:color="auto"/>
            </w:tcBorders>
            <w:shd w:val="clear" w:color="auto" w:fill="auto"/>
            <w:vAlign w:val="bottom"/>
            <w:hideMark/>
          </w:tcPr>
          <w:p w14:paraId="59DA2359" w14:textId="77777777" w:rsidR="00E1435B" w:rsidRPr="00643E17" w:rsidRDefault="00E1435B" w:rsidP="001733C9">
            <w:pPr>
              <w:jc w:val="center"/>
              <w:rPr>
                <w:color w:val="000000"/>
                <w:sz w:val="22"/>
                <w:szCs w:val="22"/>
              </w:rPr>
            </w:pPr>
            <w:r w:rsidRPr="00643E17">
              <w:rPr>
                <w:color w:val="000000"/>
                <w:sz w:val="22"/>
                <w:szCs w:val="22"/>
              </w:rPr>
              <w:t>10,63</w:t>
            </w:r>
          </w:p>
        </w:tc>
        <w:tc>
          <w:tcPr>
            <w:tcW w:w="1417" w:type="dxa"/>
            <w:tcBorders>
              <w:top w:val="nil"/>
              <w:left w:val="nil"/>
              <w:bottom w:val="single" w:sz="4" w:space="0" w:color="auto"/>
              <w:right w:val="single" w:sz="4" w:space="0" w:color="auto"/>
            </w:tcBorders>
            <w:shd w:val="clear" w:color="auto" w:fill="auto"/>
            <w:vAlign w:val="bottom"/>
            <w:hideMark/>
          </w:tcPr>
          <w:p w14:paraId="208AEB5F" w14:textId="77777777" w:rsidR="00E1435B" w:rsidRPr="00643E17" w:rsidRDefault="00E1435B" w:rsidP="001733C9">
            <w:pPr>
              <w:jc w:val="center"/>
              <w:rPr>
                <w:color w:val="000000"/>
                <w:sz w:val="22"/>
                <w:szCs w:val="22"/>
              </w:rPr>
            </w:pPr>
            <w:r w:rsidRPr="00643E17">
              <w:rPr>
                <w:color w:val="000000"/>
                <w:sz w:val="22"/>
                <w:szCs w:val="22"/>
              </w:rPr>
              <w:t>10,72</w:t>
            </w:r>
          </w:p>
        </w:tc>
        <w:tc>
          <w:tcPr>
            <w:tcW w:w="1418" w:type="dxa"/>
            <w:tcBorders>
              <w:top w:val="nil"/>
              <w:left w:val="nil"/>
              <w:bottom w:val="single" w:sz="4" w:space="0" w:color="auto"/>
              <w:right w:val="single" w:sz="4" w:space="0" w:color="auto"/>
            </w:tcBorders>
            <w:shd w:val="clear" w:color="auto" w:fill="auto"/>
            <w:vAlign w:val="bottom"/>
            <w:hideMark/>
          </w:tcPr>
          <w:p w14:paraId="0C744D6B" w14:textId="77777777" w:rsidR="00E1435B" w:rsidRPr="00643E17" w:rsidRDefault="00E1435B" w:rsidP="001733C9">
            <w:pPr>
              <w:jc w:val="center"/>
              <w:rPr>
                <w:color w:val="000000"/>
                <w:sz w:val="22"/>
                <w:szCs w:val="22"/>
              </w:rPr>
            </w:pPr>
            <w:r w:rsidRPr="00643E17">
              <w:rPr>
                <w:color w:val="000000"/>
                <w:sz w:val="22"/>
                <w:szCs w:val="22"/>
              </w:rPr>
              <w:t>10,88</w:t>
            </w:r>
          </w:p>
        </w:tc>
        <w:tc>
          <w:tcPr>
            <w:tcW w:w="1362" w:type="dxa"/>
            <w:tcBorders>
              <w:top w:val="nil"/>
              <w:left w:val="nil"/>
              <w:bottom w:val="single" w:sz="4" w:space="0" w:color="auto"/>
              <w:right w:val="single" w:sz="4" w:space="0" w:color="auto"/>
            </w:tcBorders>
            <w:shd w:val="clear" w:color="auto" w:fill="auto"/>
            <w:vAlign w:val="bottom"/>
            <w:hideMark/>
          </w:tcPr>
          <w:p w14:paraId="64CAB44C" w14:textId="77777777" w:rsidR="00E1435B" w:rsidRPr="00643E17" w:rsidRDefault="00E1435B" w:rsidP="001733C9">
            <w:pPr>
              <w:jc w:val="center"/>
              <w:rPr>
                <w:color w:val="000000"/>
                <w:sz w:val="22"/>
                <w:szCs w:val="22"/>
              </w:rPr>
            </w:pPr>
            <w:r w:rsidRPr="00643E17">
              <w:rPr>
                <w:color w:val="000000"/>
                <w:sz w:val="22"/>
                <w:szCs w:val="22"/>
              </w:rPr>
              <w:t>10,95</w:t>
            </w:r>
          </w:p>
        </w:tc>
      </w:tr>
      <w:tr w:rsidR="00E1435B" w:rsidRPr="00643E17" w14:paraId="7F2C0FDB" w14:textId="77777777" w:rsidTr="001733C9">
        <w:trPr>
          <w:trHeight w:val="271"/>
          <w:jc w:val="center"/>
        </w:trPr>
        <w:tc>
          <w:tcPr>
            <w:tcW w:w="2405" w:type="dxa"/>
            <w:tcBorders>
              <w:top w:val="nil"/>
              <w:left w:val="single" w:sz="4" w:space="0" w:color="auto"/>
              <w:bottom w:val="single" w:sz="4" w:space="0" w:color="auto"/>
              <w:right w:val="single" w:sz="4" w:space="0" w:color="auto"/>
            </w:tcBorders>
            <w:shd w:val="clear" w:color="auto" w:fill="auto"/>
            <w:vAlign w:val="bottom"/>
          </w:tcPr>
          <w:p w14:paraId="236CDA49" w14:textId="77777777" w:rsidR="00E1435B" w:rsidRPr="00643E17" w:rsidRDefault="00E1435B" w:rsidP="001733C9">
            <w:pPr>
              <w:rPr>
                <w:color w:val="000000"/>
                <w:sz w:val="22"/>
                <w:szCs w:val="22"/>
              </w:rPr>
            </w:pPr>
            <w:r w:rsidRPr="00643E17">
              <w:rPr>
                <w:color w:val="000000"/>
                <w:sz w:val="22"/>
                <w:szCs w:val="22"/>
              </w:rPr>
              <w:t>темп роста, в%</w:t>
            </w:r>
          </w:p>
        </w:tc>
        <w:tc>
          <w:tcPr>
            <w:tcW w:w="1418" w:type="dxa"/>
            <w:tcBorders>
              <w:top w:val="nil"/>
              <w:left w:val="nil"/>
              <w:bottom w:val="single" w:sz="4" w:space="0" w:color="auto"/>
              <w:right w:val="single" w:sz="4" w:space="0" w:color="auto"/>
            </w:tcBorders>
            <w:shd w:val="clear" w:color="auto" w:fill="auto"/>
            <w:vAlign w:val="bottom"/>
          </w:tcPr>
          <w:p w14:paraId="21FEEB80" w14:textId="77777777" w:rsidR="00E1435B" w:rsidRPr="00643E17" w:rsidRDefault="00E1435B" w:rsidP="001733C9">
            <w:pPr>
              <w:jc w:val="center"/>
              <w:rPr>
                <w:color w:val="000000"/>
                <w:sz w:val="22"/>
                <w:szCs w:val="22"/>
              </w:rPr>
            </w:pPr>
            <w:r w:rsidRPr="00643E17">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bottom"/>
          </w:tcPr>
          <w:p w14:paraId="4B9D6431" w14:textId="77777777" w:rsidR="00E1435B" w:rsidRPr="00643E17" w:rsidRDefault="00E1435B" w:rsidP="001733C9">
            <w:pPr>
              <w:jc w:val="center"/>
              <w:rPr>
                <w:color w:val="000000"/>
                <w:sz w:val="22"/>
                <w:szCs w:val="22"/>
              </w:rPr>
            </w:pPr>
            <w:r w:rsidRPr="00643E17">
              <w:rPr>
                <w:color w:val="000000"/>
                <w:sz w:val="22"/>
                <w:szCs w:val="22"/>
              </w:rPr>
              <w:t>104</w:t>
            </w:r>
          </w:p>
        </w:tc>
        <w:tc>
          <w:tcPr>
            <w:tcW w:w="1418" w:type="dxa"/>
            <w:tcBorders>
              <w:top w:val="nil"/>
              <w:left w:val="nil"/>
              <w:bottom w:val="single" w:sz="4" w:space="0" w:color="auto"/>
              <w:right w:val="single" w:sz="4" w:space="0" w:color="auto"/>
            </w:tcBorders>
            <w:shd w:val="clear" w:color="auto" w:fill="auto"/>
            <w:vAlign w:val="bottom"/>
          </w:tcPr>
          <w:p w14:paraId="70198BB5" w14:textId="77777777" w:rsidR="00E1435B" w:rsidRPr="00643E17" w:rsidRDefault="00E1435B" w:rsidP="001733C9">
            <w:pPr>
              <w:jc w:val="center"/>
              <w:rPr>
                <w:color w:val="000000"/>
                <w:sz w:val="22"/>
                <w:szCs w:val="22"/>
              </w:rPr>
            </w:pPr>
            <w:r w:rsidRPr="00643E17">
              <w:rPr>
                <w:color w:val="000000"/>
                <w:sz w:val="22"/>
                <w:szCs w:val="22"/>
              </w:rPr>
              <w:t>108</w:t>
            </w:r>
          </w:p>
        </w:tc>
        <w:tc>
          <w:tcPr>
            <w:tcW w:w="1362" w:type="dxa"/>
            <w:tcBorders>
              <w:top w:val="nil"/>
              <w:left w:val="nil"/>
              <w:bottom w:val="single" w:sz="4" w:space="0" w:color="auto"/>
              <w:right w:val="single" w:sz="4" w:space="0" w:color="auto"/>
            </w:tcBorders>
            <w:shd w:val="clear" w:color="auto" w:fill="auto"/>
            <w:vAlign w:val="bottom"/>
          </w:tcPr>
          <w:p w14:paraId="1F118BC7" w14:textId="77777777" w:rsidR="00E1435B" w:rsidRPr="00643E17" w:rsidRDefault="00E1435B" w:rsidP="001733C9">
            <w:pPr>
              <w:jc w:val="center"/>
              <w:rPr>
                <w:color w:val="000000"/>
                <w:sz w:val="22"/>
                <w:szCs w:val="22"/>
              </w:rPr>
            </w:pPr>
            <w:r w:rsidRPr="00643E17">
              <w:rPr>
                <w:color w:val="000000"/>
                <w:sz w:val="22"/>
                <w:szCs w:val="22"/>
              </w:rPr>
              <w:t>108</w:t>
            </w:r>
          </w:p>
        </w:tc>
      </w:tr>
      <w:tr w:rsidR="00E1435B" w:rsidRPr="00643E17" w14:paraId="06995516" w14:textId="77777777" w:rsidTr="001733C9">
        <w:trPr>
          <w:trHeight w:val="576"/>
          <w:jc w:val="center"/>
        </w:trPr>
        <w:tc>
          <w:tcPr>
            <w:tcW w:w="2405" w:type="dxa"/>
            <w:tcBorders>
              <w:top w:val="nil"/>
              <w:left w:val="single" w:sz="4" w:space="0" w:color="auto"/>
              <w:bottom w:val="single" w:sz="4" w:space="0" w:color="auto"/>
              <w:right w:val="single" w:sz="4" w:space="0" w:color="auto"/>
            </w:tcBorders>
            <w:shd w:val="clear" w:color="auto" w:fill="auto"/>
            <w:vAlign w:val="bottom"/>
          </w:tcPr>
          <w:p w14:paraId="58693819" w14:textId="77777777" w:rsidR="00E1435B" w:rsidRPr="00643E17" w:rsidRDefault="00E1435B" w:rsidP="001733C9">
            <w:pPr>
              <w:rPr>
                <w:color w:val="000000"/>
                <w:sz w:val="22"/>
                <w:szCs w:val="22"/>
              </w:rPr>
            </w:pPr>
            <w:r w:rsidRPr="00643E17">
              <w:rPr>
                <w:color w:val="000000"/>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bottom"/>
          </w:tcPr>
          <w:p w14:paraId="5799F484" w14:textId="77777777" w:rsidR="00E1435B" w:rsidRPr="00643E17" w:rsidRDefault="00E1435B" w:rsidP="001733C9">
            <w:pPr>
              <w:jc w:val="center"/>
              <w:rPr>
                <w:color w:val="000000"/>
                <w:sz w:val="22"/>
                <w:szCs w:val="22"/>
              </w:rPr>
            </w:pPr>
            <w:r w:rsidRPr="00643E17">
              <w:rPr>
                <w:color w:val="000000"/>
                <w:sz w:val="22"/>
                <w:szCs w:val="22"/>
              </w:rPr>
              <w:t>3 605</w:t>
            </w:r>
          </w:p>
        </w:tc>
        <w:tc>
          <w:tcPr>
            <w:tcW w:w="1417" w:type="dxa"/>
            <w:tcBorders>
              <w:top w:val="nil"/>
              <w:left w:val="nil"/>
              <w:bottom w:val="single" w:sz="4" w:space="0" w:color="auto"/>
              <w:right w:val="single" w:sz="4" w:space="0" w:color="auto"/>
            </w:tcBorders>
            <w:shd w:val="clear" w:color="auto" w:fill="auto"/>
            <w:vAlign w:val="bottom"/>
          </w:tcPr>
          <w:p w14:paraId="48465933" w14:textId="77777777" w:rsidR="00E1435B" w:rsidRPr="00643E17" w:rsidRDefault="00E1435B" w:rsidP="001733C9">
            <w:pPr>
              <w:jc w:val="center"/>
              <w:rPr>
                <w:color w:val="000000"/>
                <w:sz w:val="22"/>
                <w:szCs w:val="22"/>
              </w:rPr>
            </w:pPr>
            <w:r w:rsidRPr="00643E17">
              <w:rPr>
                <w:color w:val="000000"/>
                <w:sz w:val="22"/>
                <w:szCs w:val="22"/>
              </w:rPr>
              <w:t>3 207</w:t>
            </w:r>
          </w:p>
        </w:tc>
        <w:tc>
          <w:tcPr>
            <w:tcW w:w="1418" w:type="dxa"/>
            <w:tcBorders>
              <w:top w:val="nil"/>
              <w:left w:val="nil"/>
              <w:bottom w:val="single" w:sz="4" w:space="0" w:color="auto"/>
              <w:right w:val="single" w:sz="4" w:space="0" w:color="auto"/>
            </w:tcBorders>
            <w:shd w:val="clear" w:color="auto" w:fill="auto"/>
            <w:vAlign w:val="bottom"/>
          </w:tcPr>
          <w:p w14:paraId="4DD8CCEC" w14:textId="77777777" w:rsidR="00E1435B" w:rsidRPr="00643E17" w:rsidRDefault="00E1435B" w:rsidP="001733C9">
            <w:pPr>
              <w:jc w:val="center"/>
              <w:rPr>
                <w:color w:val="000000"/>
                <w:sz w:val="22"/>
                <w:szCs w:val="22"/>
              </w:rPr>
            </w:pPr>
            <w:r w:rsidRPr="00643E17">
              <w:rPr>
                <w:color w:val="000000"/>
                <w:sz w:val="22"/>
                <w:szCs w:val="22"/>
              </w:rPr>
              <w:t>2 974</w:t>
            </w:r>
          </w:p>
        </w:tc>
        <w:tc>
          <w:tcPr>
            <w:tcW w:w="1362" w:type="dxa"/>
            <w:tcBorders>
              <w:top w:val="nil"/>
              <w:left w:val="nil"/>
              <w:bottom w:val="single" w:sz="4" w:space="0" w:color="auto"/>
              <w:right w:val="single" w:sz="4" w:space="0" w:color="auto"/>
            </w:tcBorders>
            <w:shd w:val="clear" w:color="auto" w:fill="auto"/>
            <w:vAlign w:val="bottom"/>
          </w:tcPr>
          <w:p w14:paraId="113A59F2" w14:textId="77777777" w:rsidR="00E1435B" w:rsidRPr="00643E17" w:rsidRDefault="00E1435B" w:rsidP="001733C9">
            <w:pPr>
              <w:jc w:val="center"/>
              <w:rPr>
                <w:color w:val="000000"/>
                <w:sz w:val="22"/>
                <w:szCs w:val="22"/>
              </w:rPr>
            </w:pPr>
            <w:r w:rsidRPr="00643E17">
              <w:rPr>
                <w:color w:val="000000"/>
                <w:sz w:val="22"/>
                <w:szCs w:val="22"/>
              </w:rPr>
              <w:t>2 557</w:t>
            </w:r>
          </w:p>
        </w:tc>
      </w:tr>
      <w:tr w:rsidR="00E1435B" w:rsidRPr="00643E17" w14:paraId="0437CFEF" w14:textId="77777777" w:rsidTr="001733C9">
        <w:trPr>
          <w:trHeight w:val="33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1DB00" w14:textId="77777777" w:rsidR="00E1435B" w:rsidRPr="00643E17" w:rsidRDefault="00E1435B" w:rsidP="001733C9">
            <w:pPr>
              <w:rPr>
                <w:color w:val="000000"/>
                <w:sz w:val="22"/>
                <w:szCs w:val="22"/>
              </w:rPr>
            </w:pPr>
            <w:r w:rsidRPr="00643E17">
              <w:rPr>
                <w:color w:val="000000"/>
                <w:sz w:val="22"/>
                <w:szCs w:val="22"/>
              </w:rPr>
              <w:t>% ВВП</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C1B56B5" w14:textId="77777777" w:rsidR="00E1435B" w:rsidRPr="00643E17" w:rsidRDefault="00E1435B" w:rsidP="001733C9">
            <w:pPr>
              <w:jc w:val="center"/>
              <w:rPr>
                <w:color w:val="000000"/>
                <w:sz w:val="22"/>
                <w:szCs w:val="22"/>
              </w:rPr>
            </w:pPr>
            <w:r w:rsidRPr="00643E17">
              <w:rPr>
                <w:color w:val="000000"/>
                <w:sz w:val="22"/>
                <w:szCs w:val="22"/>
              </w:rPr>
              <w:t>2,50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FDA3113" w14:textId="77777777" w:rsidR="00E1435B" w:rsidRPr="00643E17" w:rsidRDefault="00E1435B" w:rsidP="001733C9">
            <w:pPr>
              <w:jc w:val="center"/>
              <w:rPr>
                <w:color w:val="000000"/>
                <w:sz w:val="22"/>
                <w:szCs w:val="22"/>
              </w:rPr>
            </w:pPr>
            <w:r w:rsidRPr="00643E17">
              <w:rPr>
                <w:color w:val="000000"/>
                <w:sz w:val="22"/>
                <w:szCs w:val="22"/>
              </w:rPr>
              <w:t>2,14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0997F24" w14:textId="77777777" w:rsidR="00E1435B" w:rsidRPr="00643E17" w:rsidRDefault="00E1435B" w:rsidP="001733C9">
            <w:pPr>
              <w:jc w:val="center"/>
              <w:rPr>
                <w:color w:val="000000"/>
                <w:sz w:val="22"/>
                <w:szCs w:val="22"/>
              </w:rPr>
            </w:pPr>
            <w:r w:rsidRPr="00643E17">
              <w:rPr>
                <w:color w:val="000000"/>
                <w:sz w:val="22"/>
                <w:szCs w:val="22"/>
              </w:rPr>
              <w:t>1,86</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2BAF6EBB" w14:textId="77777777" w:rsidR="00E1435B" w:rsidRPr="00643E17" w:rsidRDefault="00E1435B" w:rsidP="001733C9">
            <w:pPr>
              <w:jc w:val="center"/>
              <w:rPr>
                <w:color w:val="000000"/>
                <w:sz w:val="22"/>
                <w:szCs w:val="22"/>
              </w:rPr>
            </w:pPr>
            <w:r w:rsidRPr="00643E17">
              <w:rPr>
                <w:color w:val="000000"/>
                <w:sz w:val="22"/>
                <w:szCs w:val="22"/>
              </w:rPr>
              <w:t>1,50</w:t>
            </w:r>
          </w:p>
        </w:tc>
      </w:tr>
      <w:tr w:rsidR="00E1435B" w:rsidRPr="00643E17" w14:paraId="4DCFA3BD" w14:textId="77777777" w:rsidTr="001733C9">
        <w:trPr>
          <w:trHeight w:val="334"/>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14:paraId="6C30A8B0" w14:textId="77777777" w:rsidR="00E1435B" w:rsidRPr="00643E17" w:rsidRDefault="00E1435B" w:rsidP="001733C9">
            <w:pPr>
              <w:rPr>
                <w:color w:val="000000"/>
                <w:sz w:val="22"/>
                <w:szCs w:val="22"/>
              </w:rPr>
            </w:pPr>
            <w:r w:rsidRPr="00643E17">
              <w:rPr>
                <w:color w:val="000000"/>
                <w:sz w:val="22"/>
                <w:szCs w:val="22"/>
              </w:rPr>
              <w:t>темп роста, в %</w:t>
            </w:r>
          </w:p>
        </w:tc>
        <w:tc>
          <w:tcPr>
            <w:tcW w:w="1418" w:type="dxa"/>
            <w:tcBorders>
              <w:top w:val="single" w:sz="4" w:space="0" w:color="auto"/>
              <w:left w:val="nil"/>
              <w:bottom w:val="single" w:sz="4" w:space="0" w:color="auto"/>
              <w:right w:val="single" w:sz="4" w:space="0" w:color="auto"/>
            </w:tcBorders>
            <w:shd w:val="clear" w:color="auto" w:fill="auto"/>
            <w:vAlign w:val="bottom"/>
          </w:tcPr>
          <w:p w14:paraId="21C44FDD" w14:textId="77777777" w:rsidR="00E1435B" w:rsidRPr="00643E17" w:rsidRDefault="00E1435B" w:rsidP="001733C9">
            <w:pPr>
              <w:jc w:val="center"/>
              <w:rPr>
                <w:color w:val="000000"/>
                <w:sz w:val="22"/>
                <w:szCs w:val="22"/>
              </w:rPr>
            </w:pPr>
            <w:r w:rsidRPr="00643E17">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bottom"/>
          </w:tcPr>
          <w:p w14:paraId="0338A8BB" w14:textId="77777777" w:rsidR="00E1435B" w:rsidRPr="00643E17" w:rsidRDefault="00E1435B" w:rsidP="001733C9">
            <w:pPr>
              <w:jc w:val="center"/>
              <w:rPr>
                <w:color w:val="000000"/>
                <w:sz w:val="22"/>
                <w:szCs w:val="22"/>
              </w:rPr>
            </w:pPr>
            <w:r w:rsidRPr="00643E17">
              <w:rPr>
                <w:color w:val="000000"/>
                <w:sz w:val="22"/>
                <w:szCs w:val="22"/>
              </w:rPr>
              <w:t>89</w:t>
            </w:r>
          </w:p>
        </w:tc>
        <w:tc>
          <w:tcPr>
            <w:tcW w:w="1418" w:type="dxa"/>
            <w:tcBorders>
              <w:top w:val="single" w:sz="4" w:space="0" w:color="auto"/>
              <w:left w:val="nil"/>
              <w:bottom w:val="single" w:sz="4" w:space="0" w:color="auto"/>
              <w:right w:val="single" w:sz="4" w:space="0" w:color="auto"/>
            </w:tcBorders>
            <w:shd w:val="clear" w:color="auto" w:fill="auto"/>
            <w:vAlign w:val="bottom"/>
          </w:tcPr>
          <w:p w14:paraId="2FADC070" w14:textId="77777777" w:rsidR="00E1435B" w:rsidRPr="00643E17" w:rsidRDefault="00E1435B" w:rsidP="001733C9">
            <w:pPr>
              <w:jc w:val="center"/>
              <w:rPr>
                <w:color w:val="000000"/>
                <w:sz w:val="22"/>
                <w:szCs w:val="22"/>
              </w:rPr>
            </w:pPr>
            <w:r w:rsidRPr="00643E17">
              <w:rPr>
                <w:color w:val="000000"/>
                <w:sz w:val="22"/>
                <w:szCs w:val="22"/>
              </w:rPr>
              <w:t>93</w:t>
            </w:r>
          </w:p>
        </w:tc>
        <w:tc>
          <w:tcPr>
            <w:tcW w:w="1362" w:type="dxa"/>
            <w:tcBorders>
              <w:top w:val="single" w:sz="4" w:space="0" w:color="auto"/>
              <w:left w:val="nil"/>
              <w:bottom w:val="single" w:sz="4" w:space="0" w:color="auto"/>
              <w:right w:val="single" w:sz="4" w:space="0" w:color="auto"/>
            </w:tcBorders>
            <w:shd w:val="clear" w:color="auto" w:fill="auto"/>
            <w:vAlign w:val="bottom"/>
          </w:tcPr>
          <w:p w14:paraId="37BC4C80" w14:textId="77777777" w:rsidR="00E1435B" w:rsidRPr="00643E17" w:rsidRDefault="00E1435B" w:rsidP="001733C9">
            <w:pPr>
              <w:jc w:val="center"/>
              <w:rPr>
                <w:color w:val="000000"/>
                <w:sz w:val="22"/>
                <w:szCs w:val="22"/>
              </w:rPr>
            </w:pPr>
            <w:r w:rsidRPr="00643E17">
              <w:rPr>
                <w:color w:val="000000"/>
                <w:sz w:val="22"/>
                <w:szCs w:val="22"/>
              </w:rPr>
              <w:t>86</w:t>
            </w:r>
          </w:p>
        </w:tc>
      </w:tr>
    </w:tbl>
    <w:p w14:paraId="31C97050" w14:textId="77777777" w:rsidR="00E1435B" w:rsidRPr="00753A80" w:rsidRDefault="00E1435B" w:rsidP="00E1435B">
      <w:pPr>
        <w:jc w:val="both"/>
        <w:rPr>
          <w:i/>
          <w:noProof/>
          <w:sz w:val="24"/>
          <w:szCs w:val="24"/>
        </w:rPr>
      </w:pPr>
      <w:r w:rsidRPr="00753A80">
        <w:rPr>
          <w:i/>
          <w:noProof/>
          <w:sz w:val="24"/>
          <w:szCs w:val="24"/>
        </w:rPr>
        <w:t>Источник: составлено на основании данных Основных направлений бюджетной, налоговой и таможенно-тарифной политики на 2023 год и на плановый период 2024 и 2025 годов</w:t>
      </w:r>
    </w:p>
    <w:p w14:paraId="17E6810F" w14:textId="77777777" w:rsidR="00E1435B" w:rsidRPr="00753A80" w:rsidRDefault="00E1435B" w:rsidP="00E1435B">
      <w:pPr>
        <w:spacing w:line="360" w:lineRule="auto"/>
        <w:ind w:firstLine="709"/>
        <w:jc w:val="both"/>
        <w:rPr>
          <w:b/>
          <w:bCs/>
          <w:noProof/>
          <w:sz w:val="24"/>
          <w:szCs w:val="24"/>
        </w:rPr>
      </w:pPr>
    </w:p>
    <w:p w14:paraId="5B51BFC6" w14:textId="3F240153" w:rsidR="00E1435B" w:rsidRDefault="00E1435B" w:rsidP="00E1435B">
      <w:pPr>
        <w:spacing w:line="360" w:lineRule="auto"/>
        <w:ind w:firstLine="709"/>
        <w:jc w:val="both"/>
        <w:rPr>
          <w:sz w:val="24"/>
          <w:szCs w:val="24"/>
        </w:rPr>
      </w:pPr>
      <w:r w:rsidRPr="00753A80">
        <w:rPr>
          <w:noProof/>
          <w:sz w:val="24"/>
          <w:szCs w:val="24"/>
        </w:rPr>
        <w:t xml:space="preserve">Оценка динамики межбюджетных трансфертов субъектам Российской Федерации из федерального бюджета в предстоящем </w:t>
      </w:r>
      <w:r w:rsidRPr="00753A80">
        <w:rPr>
          <w:sz w:val="24"/>
          <w:szCs w:val="24"/>
        </w:rPr>
        <w:t xml:space="preserve">бюджетном цикле позволила выявить тенденцию устойчивого снижения их объемов на 650,4 млрд рублей к 2025 году по отношению к 2023 году. </w:t>
      </w:r>
      <w:r>
        <w:rPr>
          <w:sz w:val="24"/>
          <w:szCs w:val="24"/>
        </w:rPr>
        <w:t>При этом снижение объемов финансовой помощи происходит не только в сравнении с утвержденными в предыдущем бюджетном цикле параметрами, но и год к году в прогнозном бюджетном цикле. Так, в</w:t>
      </w:r>
      <w:r w:rsidRPr="00753A80">
        <w:rPr>
          <w:sz w:val="24"/>
          <w:szCs w:val="24"/>
        </w:rPr>
        <w:t xml:space="preserve"> сравнении с утвержденными в Федеральном законе от 06.12.2021г. № 390-ФЗ </w:t>
      </w:r>
      <w:r>
        <w:rPr>
          <w:sz w:val="24"/>
          <w:szCs w:val="24"/>
        </w:rPr>
        <w:t>объемами</w:t>
      </w:r>
      <w:r w:rsidRPr="00753A80">
        <w:rPr>
          <w:sz w:val="24"/>
          <w:szCs w:val="24"/>
        </w:rPr>
        <w:t xml:space="preserve"> межбюджетных трансфертов их снижение в прогнозном бюджетном цикле составляет 145,1 млрд руб. в 2023 году и 361,4 млрд руб. в 2024 году. </w:t>
      </w:r>
      <w:r>
        <w:rPr>
          <w:sz w:val="24"/>
          <w:szCs w:val="24"/>
        </w:rPr>
        <w:t xml:space="preserve">Оценка темпов роста межбюджетных трансфертов в течение прогнозного периода демонстрирует </w:t>
      </w:r>
      <w:r w:rsidRPr="00643E17">
        <w:rPr>
          <w:sz w:val="24"/>
          <w:szCs w:val="24"/>
        </w:rPr>
        <w:t>таблица 8.</w:t>
      </w:r>
      <w:r>
        <w:rPr>
          <w:sz w:val="24"/>
          <w:szCs w:val="24"/>
        </w:rPr>
        <w:t xml:space="preserve"> </w:t>
      </w:r>
    </w:p>
    <w:p w14:paraId="45C15C86" w14:textId="77777777" w:rsidR="00BC3C02" w:rsidRPr="00753A80" w:rsidRDefault="00BC3C02" w:rsidP="00BC3C02">
      <w:pPr>
        <w:spacing w:line="360" w:lineRule="auto"/>
        <w:ind w:firstLine="709"/>
        <w:jc w:val="both"/>
        <w:rPr>
          <w:rFonts w:eastAsia="Calibri"/>
          <w:sz w:val="24"/>
          <w:szCs w:val="24"/>
        </w:rPr>
      </w:pPr>
      <w:r>
        <w:rPr>
          <w:rFonts w:eastAsia="Calibri"/>
          <w:sz w:val="24"/>
          <w:szCs w:val="24"/>
        </w:rPr>
        <w:t>О</w:t>
      </w:r>
      <w:r w:rsidRPr="00753A80">
        <w:rPr>
          <w:rFonts w:eastAsia="Calibri"/>
          <w:sz w:val="24"/>
          <w:szCs w:val="24"/>
        </w:rPr>
        <w:t xml:space="preserve">бщая сумма межбюджетных трансфертов </w:t>
      </w:r>
      <w:r>
        <w:rPr>
          <w:rFonts w:eastAsia="Calibri"/>
          <w:sz w:val="24"/>
          <w:szCs w:val="24"/>
        </w:rPr>
        <w:t xml:space="preserve">из федерального бюджета </w:t>
      </w:r>
      <w:r w:rsidRPr="00753A80">
        <w:rPr>
          <w:rFonts w:eastAsia="Calibri"/>
          <w:sz w:val="24"/>
          <w:szCs w:val="24"/>
        </w:rPr>
        <w:t xml:space="preserve">сокращается в номинальном выражении на </w:t>
      </w:r>
      <w:r>
        <w:rPr>
          <w:rFonts w:eastAsia="Calibri"/>
          <w:sz w:val="24"/>
          <w:szCs w:val="24"/>
        </w:rPr>
        <w:t xml:space="preserve">12% в 2023 году в сравнении с их ожидаемым объемом в 2022 году, на </w:t>
      </w:r>
      <w:r w:rsidRPr="00753A80">
        <w:rPr>
          <w:rFonts w:eastAsia="Calibri"/>
          <w:sz w:val="24"/>
          <w:szCs w:val="24"/>
        </w:rPr>
        <w:t>7% в 2024 году и на 14% в 2025 году</w:t>
      </w:r>
      <w:r>
        <w:rPr>
          <w:rFonts w:eastAsia="Calibri"/>
          <w:sz w:val="24"/>
          <w:szCs w:val="24"/>
        </w:rPr>
        <w:t xml:space="preserve"> (или на 30% за три года)</w:t>
      </w:r>
      <w:r w:rsidRPr="00753A80">
        <w:rPr>
          <w:rFonts w:eastAsia="Calibri"/>
          <w:sz w:val="24"/>
          <w:szCs w:val="24"/>
        </w:rPr>
        <w:t xml:space="preserve">. С учетом </w:t>
      </w:r>
      <w:r>
        <w:rPr>
          <w:rFonts w:eastAsia="Calibri"/>
          <w:sz w:val="24"/>
          <w:szCs w:val="24"/>
        </w:rPr>
        <w:t xml:space="preserve">прогнозируемой </w:t>
      </w:r>
      <w:r w:rsidRPr="00753A80">
        <w:rPr>
          <w:rFonts w:eastAsia="Calibri"/>
          <w:sz w:val="24"/>
          <w:szCs w:val="24"/>
        </w:rPr>
        <w:t>инфляции 5,5% в 2023 году</w:t>
      </w:r>
      <w:r>
        <w:rPr>
          <w:rFonts w:eastAsia="Calibri"/>
          <w:sz w:val="24"/>
          <w:szCs w:val="24"/>
        </w:rPr>
        <w:t xml:space="preserve"> и</w:t>
      </w:r>
      <w:r w:rsidRPr="00753A80">
        <w:rPr>
          <w:rFonts w:eastAsia="Calibri"/>
          <w:sz w:val="24"/>
          <w:szCs w:val="24"/>
        </w:rPr>
        <w:t xml:space="preserve"> 4% в 2024–2025 год</w:t>
      </w:r>
      <w:r>
        <w:rPr>
          <w:rFonts w:eastAsia="Calibri"/>
          <w:sz w:val="24"/>
          <w:szCs w:val="24"/>
        </w:rPr>
        <w:t>ы</w:t>
      </w:r>
      <w:r w:rsidRPr="00753A80">
        <w:rPr>
          <w:rFonts w:eastAsia="Calibri"/>
          <w:sz w:val="24"/>
          <w:szCs w:val="24"/>
        </w:rPr>
        <w:t xml:space="preserve"> реальное сокращение межбюджетных трансфертов будет еще больше</w:t>
      </w:r>
      <w:r>
        <w:rPr>
          <w:rFonts w:eastAsia="Calibri"/>
          <w:sz w:val="24"/>
          <w:szCs w:val="24"/>
        </w:rPr>
        <w:t xml:space="preserve"> – минус 38,3 процента</w:t>
      </w:r>
      <w:r w:rsidRPr="00753A80">
        <w:rPr>
          <w:rFonts w:eastAsia="Calibri"/>
          <w:sz w:val="24"/>
          <w:szCs w:val="24"/>
        </w:rPr>
        <w:t xml:space="preserve">. Сокращение </w:t>
      </w:r>
      <w:r>
        <w:rPr>
          <w:rFonts w:eastAsia="Calibri"/>
          <w:sz w:val="24"/>
          <w:szCs w:val="24"/>
        </w:rPr>
        <w:t xml:space="preserve">межбюджетных трансфертов </w:t>
      </w:r>
      <w:r w:rsidRPr="00753A80">
        <w:rPr>
          <w:rFonts w:eastAsia="Calibri"/>
          <w:sz w:val="24"/>
          <w:szCs w:val="24"/>
        </w:rPr>
        <w:t xml:space="preserve">в 2023 году происходит </w:t>
      </w:r>
      <w:r>
        <w:rPr>
          <w:rFonts w:eastAsia="Calibri"/>
          <w:sz w:val="24"/>
          <w:szCs w:val="24"/>
        </w:rPr>
        <w:t xml:space="preserve">почти по всем их видам (исключая дотации), но </w:t>
      </w:r>
      <w:r w:rsidRPr="00753A80">
        <w:rPr>
          <w:rFonts w:eastAsia="Calibri"/>
          <w:sz w:val="24"/>
          <w:szCs w:val="24"/>
        </w:rPr>
        <w:t>преимущественно за счет снижения ины</w:t>
      </w:r>
      <w:r>
        <w:rPr>
          <w:rFonts w:eastAsia="Calibri"/>
          <w:sz w:val="24"/>
          <w:szCs w:val="24"/>
        </w:rPr>
        <w:t>х</w:t>
      </w:r>
      <w:r w:rsidRPr="00753A80">
        <w:rPr>
          <w:rFonts w:eastAsia="Calibri"/>
          <w:sz w:val="24"/>
          <w:szCs w:val="24"/>
        </w:rPr>
        <w:t xml:space="preserve"> межбюджетны</w:t>
      </w:r>
      <w:r>
        <w:rPr>
          <w:rFonts w:eastAsia="Calibri"/>
          <w:sz w:val="24"/>
          <w:szCs w:val="24"/>
        </w:rPr>
        <w:t>х</w:t>
      </w:r>
      <w:r w:rsidRPr="00753A80">
        <w:rPr>
          <w:rFonts w:eastAsia="Calibri"/>
          <w:sz w:val="24"/>
          <w:szCs w:val="24"/>
        </w:rPr>
        <w:t xml:space="preserve"> трансферт</w:t>
      </w:r>
      <w:r>
        <w:rPr>
          <w:rFonts w:eastAsia="Calibri"/>
          <w:sz w:val="24"/>
          <w:szCs w:val="24"/>
        </w:rPr>
        <w:t>ов</w:t>
      </w:r>
      <w:r w:rsidRPr="00753A80">
        <w:rPr>
          <w:rFonts w:eastAsia="Calibri"/>
          <w:sz w:val="24"/>
          <w:szCs w:val="24"/>
        </w:rPr>
        <w:t xml:space="preserve"> (-</w:t>
      </w:r>
      <w:r>
        <w:rPr>
          <w:rFonts w:eastAsia="Calibri"/>
          <w:sz w:val="24"/>
          <w:szCs w:val="24"/>
        </w:rPr>
        <w:t>4</w:t>
      </w:r>
      <w:r w:rsidRPr="00753A80">
        <w:rPr>
          <w:rFonts w:eastAsia="Calibri"/>
          <w:sz w:val="24"/>
          <w:szCs w:val="24"/>
        </w:rPr>
        <w:t>1%)</w:t>
      </w:r>
      <w:r>
        <w:rPr>
          <w:rFonts w:eastAsia="Calibri"/>
          <w:sz w:val="24"/>
          <w:szCs w:val="24"/>
        </w:rPr>
        <w:t xml:space="preserve"> и субвенций (-34%). Также в этот период небольшое сокращение коснется субсидий (-4%)</w:t>
      </w:r>
      <w:r w:rsidRPr="00753A80">
        <w:rPr>
          <w:rFonts w:eastAsia="Calibri"/>
          <w:sz w:val="24"/>
          <w:szCs w:val="24"/>
        </w:rPr>
        <w:t xml:space="preserve">. </w:t>
      </w:r>
      <w:r>
        <w:rPr>
          <w:rFonts w:eastAsia="Calibri"/>
          <w:sz w:val="24"/>
          <w:szCs w:val="24"/>
        </w:rPr>
        <w:t xml:space="preserve">В дальнейшем объемы выделяемых иных межбюджетных трансфертов продолжат снижаться более активными темпами (минус 71% в 2024 г. и минус 83% за трехлетний период). Помимо сокращения финансовой поддержки субъектам РФ за счет указанной </w:t>
      </w:r>
      <w:r>
        <w:rPr>
          <w:rFonts w:eastAsia="Calibri"/>
          <w:sz w:val="24"/>
          <w:szCs w:val="24"/>
        </w:rPr>
        <w:lastRenderedPageBreak/>
        <w:t xml:space="preserve">выше группы межбюджетных трансфертов, вклад в их сжатия внесут субсидии (минус 35% за трехлетний период) и субвенции (минус 25% за три года). </w:t>
      </w:r>
    </w:p>
    <w:p w14:paraId="6353A6D7" w14:textId="77777777" w:rsidR="00BC3C02" w:rsidRDefault="00BC3C02" w:rsidP="00E1435B">
      <w:pPr>
        <w:spacing w:line="360" w:lineRule="auto"/>
        <w:ind w:firstLine="709"/>
        <w:jc w:val="both"/>
        <w:rPr>
          <w:sz w:val="24"/>
          <w:szCs w:val="24"/>
        </w:rPr>
      </w:pPr>
    </w:p>
    <w:p w14:paraId="6A36E64C" w14:textId="77777777" w:rsidR="00E1435B" w:rsidRPr="00643E17" w:rsidRDefault="00E1435B" w:rsidP="008553E6">
      <w:pPr>
        <w:spacing w:line="360" w:lineRule="auto"/>
        <w:jc w:val="both"/>
        <w:rPr>
          <w:bCs/>
          <w:i/>
          <w:iCs/>
          <w:color w:val="000000" w:themeColor="text1"/>
          <w:sz w:val="24"/>
          <w:szCs w:val="24"/>
        </w:rPr>
      </w:pPr>
      <w:r w:rsidRPr="00643E17">
        <w:rPr>
          <w:bCs/>
          <w:i/>
          <w:iCs/>
          <w:color w:val="000000" w:themeColor="text1"/>
          <w:sz w:val="24"/>
          <w:szCs w:val="24"/>
        </w:rPr>
        <w:t xml:space="preserve">Таблица </w:t>
      </w:r>
      <w:r>
        <w:rPr>
          <w:bCs/>
          <w:i/>
          <w:iCs/>
          <w:color w:val="000000" w:themeColor="text1"/>
          <w:sz w:val="24"/>
          <w:szCs w:val="24"/>
        </w:rPr>
        <w:t xml:space="preserve">8 - </w:t>
      </w:r>
      <w:r w:rsidRPr="00643E17">
        <w:rPr>
          <w:bCs/>
          <w:i/>
          <w:iCs/>
          <w:color w:val="000000" w:themeColor="text1"/>
          <w:sz w:val="24"/>
          <w:szCs w:val="24"/>
        </w:rPr>
        <w:t>Структура межбюджетных трансфертов из федерального бюджета бюджетам субъектов Российской Федерации в 2023–2025 годы, млн руб.</w:t>
      </w:r>
    </w:p>
    <w:tbl>
      <w:tblPr>
        <w:tblW w:w="5000" w:type="pct"/>
        <w:jc w:val="center"/>
        <w:tblLook w:val="04A0" w:firstRow="1" w:lastRow="0" w:firstColumn="1" w:lastColumn="0" w:noHBand="0" w:noVBand="1"/>
      </w:tblPr>
      <w:tblGrid>
        <w:gridCol w:w="3115"/>
        <w:gridCol w:w="992"/>
        <w:gridCol w:w="992"/>
        <w:gridCol w:w="850"/>
        <w:gridCol w:w="976"/>
        <w:gridCol w:w="725"/>
        <w:gridCol w:w="992"/>
        <w:gridCol w:w="703"/>
      </w:tblGrid>
      <w:tr w:rsidR="00E1435B" w:rsidRPr="00E1435B" w14:paraId="0D285066" w14:textId="77777777" w:rsidTr="001733C9">
        <w:trPr>
          <w:trHeight w:val="552"/>
          <w:jc w:val="center"/>
        </w:trPr>
        <w:tc>
          <w:tcPr>
            <w:tcW w:w="1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2DCEF8" w14:textId="5954C527" w:rsidR="00E1435B" w:rsidRPr="008F6714" w:rsidRDefault="008F6714" w:rsidP="001733C9">
            <w:pPr>
              <w:ind w:left="-57"/>
              <w:contextualSpacing/>
              <w:jc w:val="center"/>
              <w:rPr>
                <w:bCs/>
                <w:color w:val="000000"/>
                <w:sz w:val="22"/>
                <w:szCs w:val="22"/>
              </w:rPr>
            </w:pPr>
            <w:r w:rsidRPr="008F6714">
              <w:rPr>
                <w:bCs/>
                <w:color w:val="000000"/>
                <w:sz w:val="22"/>
                <w:szCs w:val="22"/>
              </w:rPr>
              <w:t>Показатели</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14:paraId="1369E660" w14:textId="77777777" w:rsidR="00E1435B" w:rsidRPr="008F6714" w:rsidRDefault="00E1435B" w:rsidP="001733C9">
            <w:pPr>
              <w:ind w:left="-57"/>
              <w:contextualSpacing/>
              <w:jc w:val="center"/>
              <w:rPr>
                <w:bCs/>
                <w:color w:val="000000"/>
                <w:sz w:val="20"/>
              </w:rPr>
            </w:pPr>
            <w:r w:rsidRPr="008F6714">
              <w:rPr>
                <w:bCs/>
                <w:color w:val="000000"/>
                <w:sz w:val="20"/>
              </w:rPr>
              <w:t>2022 год</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14:paraId="60B7A207" w14:textId="77777777" w:rsidR="00E1435B" w:rsidRPr="008F6714" w:rsidRDefault="00E1435B" w:rsidP="001733C9">
            <w:pPr>
              <w:ind w:left="-57"/>
              <w:contextualSpacing/>
              <w:jc w:val="center"/>
              <w:rPr>
                <w:bCs/>
                <w:color w:val="000000"/>
                <w:sz w:val="20"/>
              </w:rPr>
            </w:pPr>
            <w:r w:rsidRPr="008F6714">
              <w:rPr>
                <w:bCs/>
                <w:color w:val="000000"/>
                <w:sz w:val="20"/>
              </w:rPr>
              <w:t>2023 год</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14:paraId="7FCFC65F" w14:textId="77777777" w:rsidR="00E1435B" w:rsidRPr="008F6714" w:rsidRDefault="00E1435B" w:rsidP="001733C9">
            <w:pPr>
              <w:ind w:left="-57"/>
              <w:contextualSpacing/>
              <w:jc w:val="center"/>
              <w:rPr>
                <w:bCs/>
                <w:color w:val="000000"/>
                <w:sz w:val="20"/>
              </w:rPr>
            </w:pPr>
            <w:r w:rsidRPr="008F6714">
              <w:rPr>
                <w:bCs/>
                <w:color w:val="000000"/>
                <w:sz w:val="20"/>
              </w:rPr>
              <w:t>%∆ к 2022</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14:paraId="60FA36ED" w14:textId="77777777" w:rsidR="00E1435B" w:rsidRPr="008F6714" w:rsidRDefault="00E1435B" w:rsidP="001733C9">
            <w:pPr>
              <w:ind w:left="-57"/>
              <w:contextualSpacing/>
              <w:jc w:val="center"/>
              <w:rPr>
                <w:bCs/>
                <w:color w:val="000000"/>
                <w:sz w:val="20"/>
              </w:rPr>
            </w:pPr>
            <w:r w:rsidRPr="008F6714">
              <w:rPr>
                <w:bCs/>
                <w:color w:val="000000"/>
                <w:sz w:val="20"/>
              </w:rPr>
              <w:t>2024 год</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A1A0B38" w14:textId="77777777" w:rsidR="00E1435B" w:rsidRPr="008F6714" w:rsidRDefault="00E1435B" w:rsidP="001733C9">
            <w:pPr>
              <w:ind w:left="-57"/>
              <w:contextualSpacing/>
              <w:jc w:val="center"/>
              <w:rPr>
                <w:bCs/>
                <w:color w:val="000000"/>
                <w:sz w:val="20"/>
              </w:rPr>
            </w:pPr>
            <w:r w:rsidRPr="008F6714">
              <w:rPr>
                <w:bCs/>
                <w:color w:val="000000"/>
                <w:sz w:val="20"/>
              </w:rPr>
              <w:t xml:space="preserve">%∆ к 2023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14:paraId="542D5D7A" w14:textId="77777777" w:rsidR="00E1435B" w:rsidRPr="008F6714" w:rsidRDefault="00E1435B" w:rsidP="001733C9">
            <w:pPr>
              <w:ind w:left="-57"/>
              <w:contextualSpacing/>
              <w:jc w:val="center"/>
              <w:rPr>
                <w:bCs/>
                <w:color w:val="000000"/>
                <w:sz w:val="20"/>
              </w:rPr>
            </w:pPr>
            <w:r w:rsidRPr="008F6714">
              <w:rPr>
                <w:bCs/>
                <w:color w:val="000000"/>
                <w:sz w:val="20"/>
              </w:rPr>
              <w:t>2025 год</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6B67EE27" w14:textId="77777777" w:rsidR="00E1435B" w:rsidRPr="008F6714" w:rsidRDefault="00E1435B" w:rsidP="001733C9">
            <w:pPr>
              <w:ind w:left="-57"/>
              <w:contextualSpacing/>
              <w:jc w:val="center"/>
              <w:rPr>
                <w:bCs/>
                <w:color w:val="000000"/>
                <w:sz w:val="20"/>
              </w:rPr>
            </w:pPr>
            <w:r w:rsidRPr="008F6714">
              <w:rPr>
                <w:bCs/>
                <w:color w:val="000000"/>
                <w:sz w:val="20"/>
              </w:rPr>
              <w:t>%∆ к 2024</w:t>
            </w:r>
          </w:p>
        </w:tc>
      </w:tr>
      <w:tr w:rsidR="00E1435B" w:rsidRPr="00E1435B" w14:paraId="4E925D7E" w14:textId="77777777" w:rsidTr="001733C9">
        <w:trPr>
          <w:trHeight w:val="288"/>
          <w:jc w:val="center"/>
        </w:trPr>
        <w:tc>
          <w:tcPr>
            <w:tcW w:w="1666" w:type="pct"/>
            <w:tcBorders>
              <w:top w:val="nil"/>
              <w:left w:val="single" w:sz="4" w:space="0" w:color="auto"/>
              <w:bottom w:val="single" w:sz="4" w:space="0" w:color="auto"/>
              <w:right w:val="single" w:sz="4" w:space="0" w:color="auto"/>
            </w:tcBorders>
            <w:shd w:val="clear" w:color="auto" w:fill="auto"/>
            <w:vAlign w:val="center"/>
            <w:hideMark/>
          </w:tcPr>
          <w:p w14:paraId="5EA100D7" w14:textId="77777777" w:rsidR="00E1435B" w:rsidRPr="00E1435B" w:rsidRDefault="00E1435B" w:rsidP="001733C9">
            <w:pPr>
              <w:ind w:left="-57"/>
              <w:contextualSpacing/>
              <w:rPr>
                <w:b/>
                <w:bCs/>
                <w:color w:val="000000"/>
                <w:sz w:val="22"/>
                <w:szCs w:val="22"/>
              </w:rPr>
            </w:pPr>
            <w:r w:rsidRPr="00E1435B">
              <w:rPr>
                <w:b/>
                <w:bCs/>
                <w:color w:val="000000"/>
                <w:sz w:val="22"/>
                <w:szCs w:val="22"/>
              </w:rPr>
              <w:t>В С Е Г О</w:t>
            </w:r>
          </w:p>
        </w:tc>
        <w:tc>
          <w:tcPr>
            <w:tcW w:w="531" w:type="pct"/>
            <w:tcBorders>
              <w:top w:val="nil"/>
              <w:left w:val="nil"/>
              <w:bottom w:val="single" w:sz="4" w:space="0" w:color="auto"/>
              <w:right w:val="single" w:sz="4" w:space="0" w:color="auto"/>
            </w:tcBorders>
            <w:shd w:val="clear" w:color="000000" w:fill="F2F2F2"/>
            <w:vAlign w:val="center"/>
            <w:hideMark/>
          </w:tcPr>
          <w:p w14:paraId="61AA2340" w14:textId="77777777" w:rsidR="00E1435B" w:rsidRPr="00E1435B" w:rsidRDefault="00E1435B" w:rsidP="001733C9">
            <w:pPr>
              <w:ind w:left="-57"/>
              <w:contextualSpacing/>
              <w:jc w:val="center"/>
              <w:rPr>
                <w:b/>
                <w:bCs/>
                <w:color w:val="000000"/>
                <w:sz w:val="20"/>
              </w:rPr>
            </w:pPr>
            <w:r w:rsidRPr="00E1435B">
              <w:rPr>
                <w:b/>
                <w:bCs/>
                <w:color w:val="000000"/>
                <w:sz w:val="20"/>
              </w:rPr>
              <w:t>3 650 355</w:t>
            </w:r>
          </w:p>
        </w:tc>
        <w:tc>
          <w:tcPr>
            <w:tcW w:w="531" w:type="pct"/>
            <w:tcBorders>
              <w:top w:val="nil"/>
              <w:left w:val="nil"/>
              <w:bottom w:val="single" w:sz="4" w:space="0" w:color="auto"/>
              <w:right w:val="single" w:sz="4" w:space="0" w:color="auto"/>
            </w:tcBorders>
            <w:shd w:val="clear" w:color="auto" w:fill="auto"/>
            <w:vAlign w:val="center"/>
            <w:hideMark/>
          </w:tcPr>
          <w:p w14:paraId="571744B6" w14:textId="77777777" w:rsidR="00E1435B" w:rsidRPr="00E1435B" w:rsidRDefault="00E1435B" w:rsidP="001733C9">
            <w:pPr>
              <w:ind w:left="-57"/>
              <w:contextualSpacing/>
              <w:jc w:val="center"/>
              <w:rPr>
                <w:b/>
                <w:bCs/>
                <w:color w:val="000000"/>
                <w:sz w:val="20"/>
              </w:rPr>
            </w:pPr>
            <w:r w:rsidRPr="00E1435B">
              <w:rPr>
                <w:b/>
                <w:bCs/>
                <w:color w:val="000000"/>
                <w:sz w:val="20"/>
              </w:rPr>
              <w:t>3 207 009</w:t>
            </w:r>
          </w:p>
        </w:tc>
        <w:tc>
          <w:tcPr>
            <w:tcW w:w="455" w:type="pct"/>
            <w:tcBorders>
              <w:top w:val="nil"/>
              <w:left w:val="nil"/>
              <w:bottom w:val="single" w:sz="4" w:space="0" w:color="auto"/>
              <w:right w:val="single" w:sz="4" w:space="0" w:color="auto"/>
            </w:tcBorders>
            <w:shd w:val="clear" w:color="auto" w:fill="auto"/>
            <w:vAlign w:val="center"/>
            <w:hideMark/>
          </w:tcPr>
          <w:p w14:paraId="32B3DAA0" w14:textId="77777777" w:rsidR="00E1435B" w:rsidRPr="00E1435B" w:rsidRDefault="00E1435B" w:rsidP="001733C9">
            <w:pPr>
              <w:ind w:left="-57"/>
              <w:contextualSpacing/>
              <w:jc w:val="center"/>
              <w:rPr>
                <w:b/>
                <w:bCs/>
                <w:color w:val="000000"/>
                <w:sz w:val="20"/>
              </w:rPr>
            </w:pPr>
            <w:r w:rsidRPr="00E1435B">
              <w:rPr>
                <w:b/>
                <w:bCs/>
                <w:color w:val="000000"/>
                <w:sz w:val="20"/>
              </w:rPr>
              <w:t>88%</w:t>
            </w:r>
          </w:p>
        </w:tc>
        <w:tc>
          <w:tcPr>
            <w:tcW w:w="522" w:type="pct"/>
            <w:tcBorders>
              <w:top w:val="nil"/>
              <w:left w:val="nil"/>
              <w:bottom w:val="single" w:sz="4" w:space="0" w:color="auto"/>
              <w:right w:val="single" w:sz="4" w:space="0" w:color="auto"/>
            </w:tcBorders>
            <w:shd w:val="clear" w:color="auto" w:fill="auto"/>
            <w:vAlign w:val="center"/>
            <w:hideMark/>
          </w:tcPr>
          <w:p w14:paraId="38D7042B" w14:textId="77777777" w:rsidR="00E1435B" w:rsidRPr="00E1435B" w:rsidRDefault="00E1435B" w:rsidP="001733C9">
            <w:pPr>
              <w:ind w:left="-57"/>
              <w:contextualSpacing/>
              <w:rPr>
                <w:b/>
                <w:bCs/>
                <w:color w:val="000000"/>
                <w:sz w:val="20"/>
              </w:rPr>
            </w:pPr>
            <w:r w:rsidRPr="00E1435B">
              <w:rPr>
                <w:b/>
                <w:bCs/>
                <w:color w:val="000000"/>
                <w:sz w:val="20"/>
              </w:rPr>
              <w:t>2 974 161</w:t>
            </w:r>
          </w:p>
        </w:tc>
        <w:tc>
          <w:tcPr>
            <w:tcW w:w="388" w:type="pct"/>
            <w:tcBorders>
              <w:top w:val="nil"/>
              <w:left w:val="nil"/>
              <w:bottom w:val="single" w:sz="4" w:space="0" w:color="auto"/>
              <w:right w:val="single" w:sz="4" w:space="0" w:color="auto"/>
            </w:tcBorders>
            <w:shd w:val="clear" w:color="auto" w:fill="auto"/>
            <w:vAlign w:val="center"/>
            <w:hideMark/>
          </w:tcPr>
          <w:p w14:paraId="2BC7A982" w14:textId="77777777" w:rsidR="00E1435B" w:rsidRPr="00E1435B" w:rsidRDefault="00E1435B" w:rsidP="001733C9">
            <w:pPr>
              <w:ind w:left="-57"/>
              <w:contextualSpacing/>
              <w:jc w:val="center"/>
              <w:rPr>
                <w:b/>
                <w:bCs/>
                <w:color w:val="000000"/>
                <w:sz w:val="20"/>
              </w:rPr>
            </w:pPr>
            <w:r w:rsidRPr="00E1435B">
              <w:rPr>
                <w:b/>
                <w:bCs/>
                <w:color w:val="000000"/>
                <w:sz w:val="20"/>
              </w:rPr>
              <w:t>93%</w:t>
            </w:r>
          </w:p>
        </w:tc>
        <w:tc>
          <w:tcPr>
            <w:tcW w:w="531" w:type="pct"/>
            <w:tcBorders>
              <w:top w:val="nil"/>
              <w:left w:val="nil"/>
              <w:bottom w:val="single" w:sz="4" w:space="0" w:color="auto"/>
              <w:right w:val="single" w:sz="4" w:space="0" w:color="auto"/>
            </w:tcBorders>
            <w:shd w:val="clear" w:color="auto" w:fill="auto"/>
            <w:vAlign w:val="center"/>
            <w:hideMark/>
          </w:tcPr>
          <w:p w14:paraId="25BEA96F" w14:textId="77777777" w:rsidR="00E1435B" w:rsidRPr="00E1435B" w:rsidRDefault="00E1435B" w:rsidP="001733C9">
            <w:pPr>
              <w:ind w:left="-57"/>
              <w:contextualSpacing/>
              <w:rPr>
                <w:b/>
                <w:bCs/>
                <w:color w:val="000000"/>
                <w:sz w:val="20"/>
              </w:rPr>
            </w:pPr>
            <w:r w:rsidRPr="00E1435B">
              <w:rPr>
                <w:b/>
                <w:bCs/>
                <w:color w:val="000000"/>
                <w:sz w:val="20"/>
              </w:rPr>
              <w:t>2 556 576</w:t>
            </w:r>
          </w:p>
        </w:tc>
        <w:tc>
          <w:tcPr>
            <w:tcW w:w="376" w:type="pct"/>
            <w:tcBorders>
              <w:top w:val="nil"/>
              <w:left w:val="nil"/>
              <w:bottom w:val="single" w:sz="4" w:space="0" w:color="auto"/>
              <w:right w:val="single" w:sz="4" w:space="0" w:color="auto"/>
            </w:tcBorders>
            <w:shd w:val="clear" w:color="auto" w:fill="auto"/>
            <w:vAlign w:val="center"/>
            <w:hideMark/>
          </w:tcPr>
          <w:p w14:paraId="1E76CC8F" w14:textId="77777777" w:rsidR="00E1435B" w:rsidRPr="00E1435B" w:rsidRDefault="00E1435B" w:rsidP="001733C9">
            <w:pPr>
              <w:ind w:left="-57"/>
              <w:contextualSpacing/>
              <w:jc w:val="center"/>
              <w:rPr>
                <w:b/>
                <w:bCs/>
                <w:color w:val="000000"/>
                <w:sz w:val="20"/>
              </w:rPr>
            </w:pPr>
            <w:r w:rsidRPr="00E1435B">
              <w:rPr>
                <w:b/>
                <w:bCs/>
                <w:color w:val="000000"/>
                <w:sz w:val="20"/>
              </w:rPr>
              <w:t>86%</w:t>
            </w:r>
          </w:p>
        </w:tc>
      </w:tr>
      <w:tr w:rsidR="00E1435B" w:rsidRPr="00E1435B" w14:paraId="3C2E5044" w14:textId="77777777" w:rsidTr="001733C9">
        <w:trPr>
          <w:trHeight w:val="828"/>
          <w:jc w:val="center"/>
        </w:trPr>
        <w:tc>
          <w:tcPr>
            <w:tcW w:w="1666" w:type="pct"/>
            <w:tcBorders>
              <w:top w:val="nil"/>
              <w:left w:val="single" w:sz="4" w:space="0" w:color="auto"/>
              <w:bottom w:val="single" w:sz="4" w:space="0" w:color="auto"/>
              <w:right w:val="single" w:sz="4" w:space="0" w:color="auto"/>
            </w:tcBorders>
            <w:shd w:val="clear" w:color="auto" w:fill="auto"/>
            <w:vAlign w:val="center"/>
            <w:hideMark/>
          </w:tcPr>
          <w:p w14:paraId="601998EB" w14:textId="77777777" w:rsidR="00E1435B" w:rsidRPr="00E1435B" w:rsidRDefault="00E1435B" w:rsidP="001733C9">
            <w:pPr>
              <w:ind w:left="-57"/>
              <w:contextualSpacing/>
              <w:jc w:val="both"/>
              <w:rPr>
                <w:color w:val="000000"/>
                <w:sz w:val="22"/>
                <w:szCs w:val="22"/>
              </w:rPr>
            </w:pPr>
            <w:r w:rsidRPr="00E1435B">
              <w:rPr>
                <w:color w:val="000000"/>
                <w:sz w:val="22"/>
                <w:szCs w:val="22"/>
              </w:rPr>
              <w:t xml:space="preserve">Дотации бюджетам субъектов Российской Федерации и бюджету города Байконура  </w:t>
            </w:r>
          </w:p>
        </w:tc>
        <w:tc>
          <w:tcPr>
            <w:tcW w:w="531" w:type="pct"/>
            <w:tcBorders>
              <w:top w:val="nil"/>
              <w:left w:val="nil"/>
              <w:bottom w:val="single" w:sz="4" w:space="0" w:color="auto"/>
              <w:right w:val="single" w:sz="4" w:space="0" w:color="auto"/>
            </w:tcBorders>
            <w:shd w:val="clear" w:color="000000" w:fill="F2F2F2"/>
            <w:vAlign w:val="center"/>
            <w:hideMark/>
          </w:tcPr>
          <w:p w14:paraId="510C49A9" w14:textId="77777777" w:rsidR="00E1435B" w:rsidRPr="00E1435B" w:rsidRDefault="00E1435B" w:rsidP="001733C9">
            <w:pPr>
              <w:ind w:left="-57"/>
              <w:contextualSpacing/>
              <w:jc w:val="center"/>
              <w:rPr>
                <w:color w:val="000000"/>
                <w:sz w:val="20"/>
              </w:rPr>
            </w:pPr>
            <w:r w:rsidRPr="00E1435B">
              <w:rPr>
                <w:rFonts w:cs="Calibri"/>
                <w:color w:val="000000"/>
                <w:sz w:val="20"/>
              </w:rPr>
              <w:t>969 618</w:t>
            </w:r>
          </w:p>
        </w:tc>
        <w:tc>
          <w:tcPr>
            <w:tcW w:w="531" w:type="pct"/>
            <w:tcBorders>
              <w:top w:val="nil"/>
              <w:left w:val="nil"/>
              <w:bottom w:val="single" w:sz="4" w:space="0" w:color="auto"/>
              <w:right w:val="single" w:sz="4" w:space="0" w:color="auto"/>
            </w:tcBorders>
            <w:shd w:val="clear" w:color="auto" w:fill="auto"/>
            <w:vAlign w:val="center"/>
            <w:hideMark/>
          </w:tcPr>
          <w:p w14:paraId="5F72AD83" w14:textId="77777777" w:rsidR="00E1435B" w:rsidRPr="00E1435B" w:rsidRDefault="00E1435B" w:rsidP="001733C9">
            <w:pPr>
              <w:ind w:left="-57"/>
              <w:contextualSpacing/>
              <w:jc w:val="right"/>
              <w:rPr>
                <w:color w:val="000000"/>
                <w:sz w:val="20"/>
              </w:rPr>
            </w:pPr>
            <w:r w:rsidRPr="00E1435B">
              <w:rPr>
                <w:color w:val="000000"/>
                <w:sz w:val="20"/>
              </w:rPr>
              <w:t>1 004 073</w:t>
            </w:r>
          </w:p>
        </w:tc>
        <w:tc>
          <w:tcPr>
            <w:tcW w:w="455" w:type="pct"/>
            <w:tcBorders>
              <w:top w:val="nil"/>
              <w:left w:val="nil"/>
              <w:bottom w:val="single" w:sz="4" w:space="0" w:color="auto"/>
              <w:right w:val="single" w:sz="4" w:space="0" w:color="auto"/>
            </w:tcBorders>
            <w:shd w:val="clear" w:color="auto" w:fill="auto"/>
            <w:vAlign w:val="center"/>
            <w:hideMark/>
          </w:tcPr>
          <w:p w14:paraId="4D77619E" w14:textId="77777777" w:rsidR="00E1435B" w:rsidRPr="00E1435B" w:rsidRDefault="00E1435B" w:rsidP="001733C9">
            <w:pPr>
              <w:ind w:left="-57"/>
              <w:contextualSpacing/>
              <w:jc w:val="center"/>
              <w:rPr>
                <w:b/>
                <w:bCs/>
                <w:color w:val="000000"/>
                <w:sz w:val="20"/>
              </w:rPr>
            </w:pPr>
            <w:r w:rsidRPr="00E1435B">
              <w:rPr>
                <w:b/>
                <w:bCs/>
                <w:color w:val="000000"/>
                <w:sz w:val="20"/>
              </w:rPr>
              <w:t>104%</w:t>
            </w:r>
          </w:p>
        </w:tc>
        <w:tc>
          <w:tcPr>
            <w:tcW w:w="522" w:type="pct"/>
            <w:tcBorders>
              <w:top w:val="nil"/>
              <w:left w:val="nil"/>
              <w:bottom w:val="single" w:sz="4" w:space="0" w:color="auto"/>
              <w:right w:val="single" w:sz="4" w:space="0" w:color="auto"/>
            </w:tcBorders>
            <w:shd w:val="clear" w:color="auto" w:fill="auto"/>
            <w:vAlign w:val="center"/>
            <w:hideMark/>
          </w:tcPr>
          <w:p w14:paraId="77E8BADE" w14:textId="77777777" w:rsidR="00E1435B" w:rsidRPr="00E1435B" w:rsidRDefault="00E1435B" w:rsidP="001733C9">
            <w:pPr>
              <w:ind w:left="-57"/>
              <w:contextualSpacing/>
              <w:jc w:val="right"/>
              <w:rPr>
                <w:color w:val="000000"/>
                <w:sz w:val="20"/>
              </w:rPr>
            </w:pPr>
            <w:r w:rsidRPr="00E1435B">
              <w:rPr>
                <w:color w:val="000000"/>
                <w:sz w:val="20"/>
              </w:rPr>
              <w:t>1 038 987</w:t>
            </w:r>
          </w:p>
        </w:tc>
        <w:tc>
          <w:tcPr>
            <w:tcW w:w="388" w:type="pct"/>
            <w:tcBorders>
              <w:top w:val="nil"/>
              <w:left w:val="nil"/>
              <w:bottom w:val="single" w:sz="4" w:space="0" w:color="auto"/>
              <w:right w:val="single" w:sz="4" w:space="0" w:color="auto"/>
            </w:tcBorders>
            <w:shd w:val="clear" w:color="auto" w:fill="auto"/>
            <w:vAlign w:val="center"/>
            <w:hideMark/>
          </w:tcPr>
          <w:p w14:paraId="3655DA00" w14:textId="77777777" w:rsidR="00E1435B" w:rsidRPr="00E1435B" w:rsidRDefault="00E1435B" w:rsidP="001733C9">
            <w:pPr>
              <w:ind w:left="-57"/>
              <w:contextualSpacing/>
              <w:jc w:val="center"/>
              <w:rPr>
                <w:b/>
                <w:bCs/>
                <w:color w:val="000000"/>
                <w:sz w:val="20"/>
              </w:rPr>
            </w:pPr>
            <w:r w:rsidRPr="00E1435B">
              <w:rPr>
                <w:b/>
                <w:bCs/>
                <w:color w:val="000000"/>
                <w:sz w:val="20"/>
              </w:rPr>
              <w:t>103%</w:t>
            </w:r>
          </w:p>
        </w:tc>
        <w:tc>
          <w:tcPr>
            <w:tcW w:w="531" w:type="pct"/>
            <w:tcBorders>
              <w:top w:val="nil"/>
              <w:left w:val="nil"/>
              <w:bottom w:val="single" w:sz="4" w:space="0" w:color="auto"/>
              <w:right w:val="single" w:sz="4" w:space="0" w:color="auto"/>
            </w:tcBorders>
            <w:shd w:val="clear" w:color="auto" w:fill="auto"/>
            <w:vAlign w:val="center"/>
            <w:hideMark/>
          </w:tcPr>
          <w:p w14:paraId="1698F583" w14:textId="77777777" w:rsidR="00E1435B" w:rsidRPr="00E1435B" w:rsidRDefault="00E1435B" w:rsidP="001733C9">
            <w:pPr>
              <w:ind w:left="-57"/>
              <w:contextualSpacing/>
              <w:jc w:val="right"/>
              <w:rPr>
                <w:color w:val="000000"/>
                <w:sz w:val="20"/>
              </w:rPr>
            </w:pPr>
            <w:r w:rsidRPr="00E1435B">
              <w:rPr>
                <w:color w:val="000000"/>
                <w:sz w:val="20"/>
              </w:rPr>
              <w:t>1 074 094</w:t>
            </w:r>
          </w:p>
        </w:tc>
        <w:tc>
          <w:tcPr>
            <w:tcW w:w="376" w:type="pct"/>
            <w:tcBorders>
              <w:top w:val="nil"/>
              <w:left w:val="nil"/>
              <w:bottom w:val="single" w:sz="4" w:space="0" w:color="auto"/>
              <w:right w:val="single" w:sz="4" w:space="0" w:color="auto"/>
            </w:tcBorders>
            <w:shd w:val="clear" w:color="auto" w:fill="auto"/>
            <w:vAlign w:val="center"/>
            <w:hideMark/>
          </w:tcPr>
          <w:p w14:paraId="050F6F52" w14:textId="77777777" w:rsidR="00E1435B" w:rsidRPr="00E1435B" w:rsidRDefault="00E1435B" w:rsidP="001733C9">
            <w:pPr>
              <w:ind w:left="-57"/>
              <w:contextualSpacing/>
              <w:jc w:val="center"/>
              <w:rPr>
                <w:b/>
                <w:bCs/>
                <w:color w:val="000000"/>
                <w:sz w:val="20"/>
              </w:rPr>
            </w:pPr>
            <w:r w:rsidRPr="00E1435B">
              <w:rPr>
                <w:b/>
                <w:bCs/>
                <w:color w:val="000000"/>
                <w:sz w:val="20"/>
              </w:rPr>
              <w:t>103%</w:t>
            </w:r>
          </w:p>
        </w:tc>
      </w:tr>
      <w:tr w:rsidR="00E1435B" w:rsidRPr="00E1435B" w14:paraId="60E88648" w14:textId="77777777" w:rsidTr="001733C9">
        <w:trPr>
          <w:trHeight w:val="552"/>
          <w:jc w:val="center"/>
        </w:trPr>
        <w:tc>
          <w:tcPr>
            <w:tcW w:w="1666" w:type="pct"/>
            <w:tcBorders>
              <w:top w:val="nil"/>
              <w:left w:val="single" w:sz="4" w:space="0" w:color="auto"/>
              <w:bottom w:val="single" w:sz="4" w:space="0" w:color="auto"/>
              <w:right w:val="single" w:sz="4" w:space="0" w:color="auto"/>
            </w:tcBorders>
            <w:shd w:val="clear" w:color="auto" w:fill="auto"/>
            <w:vAlign w:val="center"/>
            <w:hideMark/>
          </w:tcPr>
          <w:p w14:paraId="57CA1260" w14:textId="77777777" w:rsidR="00E1435B" w:rsidRPr="00E1435B" w:rsidRDefault="00E1435B" w:rsidP="001733C9">
            <w:pPr>
              <w:ind w:left="-57"/>
              <w:contextualSpacing/>
              <w:jc w:val="both"/>
              <w:rPr>
                <w:color w:val="000000"/>
                <w:sz w:val="22"/>
                <w:szCs w:val="22"/>
              </w:rPr>
            </w:pPr>
            <w:r w:rsidRPr="00E1435B">
              <w:rPr>
                <w:color w:val="000000"/>
                <w:sz w:val="22"/>
                <w:szCs w:val="22"/>
              </w:rPr>
              <w:t>Субсидии бюджетам субъектов Российской Федерации</w:t>
            </w:r>
          </w:p>
        </w:tc>
        <w:tc>
          <w:tcPr>
            <w:tcW w:w="531" w:type="pct"/>
            <w:tcBorders>
              <w:top w:val="nil"/>
              <w:left w:val="nil"/>
              <w:bottom w:val="single" w:sz="4" w:space="0" w:color="auto"/>
              <w:right w:val="single" w:sz="4" w:space="0" w:color="auto"/>
            </w:tcBorders>
            <w:shd w:val="clear" w:color="000000" w:fill="F2F2F2"/>
            <w:vAlign w:val="center"/>
            <w:hideMark/>
          </w:tcPr>
          <w:p w14:paraId="7E2FC643" w14:textId="77777777" w:rsidR="00E1435B" w:rsidRPr="00E1435B" w:rsidRDefault="00E1435B" w:rsidP="001733C9">
            <w:pPr>
              <w:ind w:left="-57"/>
              <w:contextualSpacing/>
              <w:jc w:val="center"/>
              <w:rPr>
                <w:color w:val="000000"/>
                <w:sz w:val="20"/>
              </w:rPr>
            </w:pPr>
            <w:r w:rsidRPr="00E1435B">
              <w:rPr>
                <w:rFonts w:cs="Calibri"/>
                <w:color w:val="000000"/>
                <w:sz w:val="20"/>
              </w:rPr>
              <w:t>1 591 941</w:t>
            </w:r>
          </w:p>
        </w:tc>
        <w:tc>
          <w:tcPr>
            <w:tcW w:w="531" w:type="pct"/>
            <w:tcBorders>
              <w:top w:val="nil"/>
              <w:left w:val="nil"/>
              <w:bottom w:val="single" w:sz="4" w:space="0" w:color="auto"/>
              <w:right w:val="single" w:sz="4" w:space="0" w:color="auto"/>
            </w:tcBorders>
            <w:shd w:val="clear" w:color="auto" w:fill="auto"/>
            <w:vAlign w:val="center"/>
            <w:hideMark/>
          </w:tcPr>
          <w:p w14:paraId="09D5ECEF" w14:textId="77777777" w:rsidR="00E1435B" w:rsidRPr="00E1435B" w:rsidRDefault="00E1435B" w:rsidP="001733C9">
            <w:pPr>
              <w:ind w:left="-57"/>
              <w:contextualSpacing/>
              <w:jc w:val="right"/>
              <w:rPr>
                <w:color w:val="000000"/>
                <w:sz w:val="20"/>
              </w:rPr>
            </w:pPr>
            <w:r w:rsidRPr="00E1435B">
              <w:rPr>
                <w:color w:val="000000"/>
                <w:sz w:val="20"/>
              </w:rPr>
              <w:t>1 529 910</w:t>
            </w:r>
          </w:p>
        </w:tc>
        <w:tc>
          <w:tcPr>
            <w:tcW w:w="455" w:type="pct"/>
            <w:tcBorders>
              <w:top w:val="nil"/>
              <w:left w:val="nil"/>
              <w:bottom w:val="single" w:sz="4" w:space="0" w:color="auto"/>
              <w:right w:val="single" w:sz="4" w:space="0" w:color="auto"/>
            </w:tcBorders>
            <w:shd w:val="clear" w:color="auto" w:fill="auto"/>
            <w:vAlign w:val="center"/>
            <w:hideMark/>
          </w:tcPr>
          <w:p w14:paraId="6EEF3236" w14:textId="77777777" w:rsidR="00E1435B" w:rsidRPr="00E1435B" w:rsidRDefault="00E1435B" w:rsidP="001733C9">
            <w:pPr>
              <w:ind w:left="-57"/>
              <w:contextualSpacing/>
              <w:jc w:val="center"/>
              <w:rPr>
                <w:b/>
                <w:bCs/>
                <w:color w:val="000000"/>
                <w:sz w:val="20"/>
              </w:rPr>
            </w:pPr>
            <w:r w:rsidRPr="00E1435B">
              <w:rPr>
                <w:b/>
                <w:bCs/>
                <w:color w:val="000000"/>
                <w:sz w:val="20"/>
              </w:rPr>
              <w:t>96%</w:t>
            </w:r>
          </w:p>
        </w:tc>
        <w:tc>
          <w:tcPr>
            <w:tcW w:w="522" w:type="pct"/>
            <w:tcBorders>
              <w:top w:val="nil"/>
              <w:left w:val="nil"/>
              <w:bottom w:val="single" w:sz="4" w:space="0" w:color="auto"/>
              <w:right w:val="single" w:sz="4" w:space="0" w:color="auto"/>
            </w:tcBorders>
            <w:shd w:val="clear" w:color="auto" w:fill="auto"/>
            <w:vAlign w:val="center"/>
            <w:hideMark/>
          </w:tcPr>
          <w:p w14:paraId="696633F5" w14:textId="77777777" w:rsidR="00E1435B" w:rsidRPr="00E1435B" w:rsidRDefault="00E1435B" w:rsidP="001733C9">
            <w:pPr>
              <w:ind w:left="-57"/>
              <w:contextualSpacing/>
              <w:jc w:val="right"/>
              <w:rPr>
                <w:color w:val="000000"/>
                <w:sz w:val="20"/>
              </w:rPr>
            </w:pPr>
            <w:r w:rsidRPr="00E1435B">
              <w:rPr>
                <w:color w:val="000000"/>
                <w:sz w:val="20"/>
              </w:rPr>
              <w:t>1 495 213</w:t>
            </w:r>
          </w:p>
        </w:tc>
        <w:tc>
          <w:tcPr>
            <w:tcW w:w="388" w:type="pct"/>
            <w:tcBorders>
              <w:top w:val="nil"/>
              <w:left w:val="nil"/>
              <w:bottom w:val="single" w:sz="4" w:space="0" w:color="auto"/>
              <w:right w:val="single" w:sz="4" w:space="0" w:color="auto"/>
            </w:tcBorders>
            <w:shd w:val="clear" w:color="auto" w:fill="auto"/>
            <w:vAlign w:val="center"/>
            <w:hideMark/>
          </w:tcPr>
          <w:p w14:paraId="10E41F0A" w14:textId="77777777" w:rsidR="00E1435B" w:rsidRPr="00E1435B" w:rsidRDefault="00E1435B" w:rsidP="001733C9">
            <w:pPr>
              <w:ind w:left="-57"/>
              <w:contextualSpacing/>
              <w:jc w:val="center"/>
              <w:rPr>
                <w:b/>
                <w:bCs/>
                <w:color w:val="000000"/>
                <w:sz w:val="20"/>
              </w:rPr>
            </w:pPr>
            <w:r w:rsidRPr="00E1435B">
              <w:rPr>
                <w:b/>
                <w:bCs/>
                <w:color w:val="000000"/>
                <w:sz w:val="20"/>
              </w:rPr>
              <w:t>98%</w:t>
            </w:r>
          </w:p>
        </w:tc>
        <w:tc>
          <w:tcPr>
            <w:tcW w:w="531" w:type="pct"/>
            <w:tcBorders>
              <w:top w:val="nil"/>
              <w:left w:val="nil"/>
              <w:bottom w:val="single" w:sz="4" w:space="0" w:color="auto"/>
              <w:right w:val="single" w:sz="4" w:space="0" w:color="auto"/>
            </w:tcBorders>
            <w:shd w:val="clear" w:color="auto" w:fill="auto"/>
            <w:vAlign w:val="center"/>
            <w:hideMark/>
          </w:tcPr>
          <w:p w14:paraId="1A877EBA" w14:textId="77777777" w:rsidR="00E1435B" w:rsidRPr="00E1435B" w:rsidRDefault="00E1435B" w:rsidP="001733C9">
            <w:pPr>
              <w:ind w:left="-57"/>
              <w:contextualSpacing/>
              <w:jc w:val="right"/>
              <w:rPr>
                <w:color w:val="000000"/>
                <w:sz w:val="20"/>
              </w:rPr>
            </w:pPr>
            <w:r w:rsidRPr="00E1435B">
              <w:rPr>
                <w:color w:val="000000"/>
                <w:sz w:val="20"/>
              </w:rPr>
              <w:t>1 032 482</w:t>
            </w:r>
          </w:p>
        </w:tc>
        <w:tc>
          <w:tcPr>
            <w:tcW w:w="376" w:type="pct"/>
            <w:tcBorders>
              <w:top w:val="nil"/>
              <w:left w:val="nil"/>
              <w:bottom w:val="single" w:sz="4" w:space="0" w:color="auto"/>
              <w:right w:val="single" w:sz="4" w:space="0" w:color="auto"/>
            </w:tcBorders>
            <w:shd w:val="clear" w:color="auto" w:fill="auto"/>
            <w:vAlign w:val="center"/>
            <w:hideMark/>
          </w:tcPr>
          <w:p w14:paraId="5B1572F8" w14:textId="77777777" w:rsidR="00E1435B" w:rsidRPr="00E1435B" w:rsidRDefault="00E1435B" w:rsidP="001733C9">
            <w:pPr>
              <w:ind w:left="-57"/>
              <w:contextualSpacing/>
              <w:jc w:val="center"/>
              <w:rPr>
                <w:b/>
                <w:bCs/>
                <w:color w:val="000000"/>
                <w:sz w:val="20"/>
              </w:rPr>
            </w:pPr>
            <w:r w:rsidRPr="00E1435B">
              <w:rPr>
                <w:b/>
                <w:bCs/>
                <w:color w:val="000000"/>
                <w:sz w:val="20"/>
              </w:rPr>
              <w:t>69%</w:t>
            </w:r>
          </w:p>
        </w:tc>
      </w:tr>
      <w:tr w:rsidR="00E1435B" w:rsidRPr="00E1435B" w14:paraId="6A7180E2" w14:textId="77777777" w:rsidTr="001733C9">
        <w:trPr>
          <w:trHeight w:val="828"/>
          <w:jc w:val="center"/>
        </w:trPr>
        <w:tc>
          <w:tcPr>
            <w:tcW w:w="1666" w:type="pct"/>
            <w:tcBorders>
              <w:top w:val="nil"/>
              <w:left w:val="single" w:sz="4" w:space="0" w:color="auto"/>
              <w:bottom w:val="single" w:sz="4" w:space="0" w:color="auto"/>
              <w:right w:val="single" w:sz="4" w:space="0" w:color="auto"/>
            </w:tcBorders>
            <w:shd w:val="clear" w:color="auto" w:fill="auto"/>
            <w:vAlign w:val="center"/>
            <w:hideMark/>
          </w:tcPr>
          <w:p w14:paraId="53747177" w14:textId="77777777" w:rsidR="00E1435B" w:rsidRPr="00E1435B" w:rsidRDefault="00E1435B" w:rsidP="001733C9">
            <w:pPr>
              <w:ind w:left="-57"/>
              <w:contextualSpacing/>
              <w:jc w:val="both"/>
              <w:rPr>
                <w:color w:val="000000"/>
                <w:sz w:val="22"/>
                <w:szCs w:val="22"/>
              </w:rPr>
            </w:pPr>
            <w:r w:rsidRPr="00E1435B">
              <w:rPr>
                <w:color w:val="000000"/>
                <w:sz w:val="22"/>
                <w:szCs w:val="22"/>
              </w:rPr>
              <w:t xml:space="preserve">Субвенции бюджетам субъектов Российской Федерации и бюджету города Байконура  </w:t>
            </w:r>
          </w:p>
        </w:tc>
        <w:tc>
          <w:tcPr>
            <w:tcW w:w="531" w:type="pct"/>
            <w:tcBorders>
              <w:top w:val="nil"/>
              <w:left w:val="nil"/>
              <w:bottom w:val="single" w:sz="4" w:space="0" w:color="auto"/>
              <w:right w:val="single" w:sz="4" w:space="0" w:color="auto"/>
            </w:tcBorders>
            <w:shd w:val="clear" w:color="000000" w:fill="F2F2F2"/>
            <w:vAlign w:val="center"/>
            <w:hideMark/>
          </w:tcPr>
          <w:p w14:paraId="3531BEFE" w14:textId="77777777" w:rsidR="00E1435B" w:rsidRPr="00E1435B" w:rsidRDefault="00E1435B" w:rsidP="001733C9">
            <w:pPr>
              <w:ind w:left="-57"/>
              <w:contextualSpacing/>
              <w:jc w:val="center"/>
              <w:rPr>
                <w:color w:val="000000"/>
                <w:sz w:val="20"/>
              </w:rPr>
            </w:pPr>
            <w:r w:rsidRPr="00E1435B">
              <w:rPr>
                <w:rFonts w:cs="Calibri"/>
                <w:color w:val="000000"/>
                <w:sz w:val="20"/>
              </w:rPr>
              <w:t>452 309</w:t>
            </w:r>
          </w:p>
        </w:tc>
        <w:tc>
          <w:tcPr>
            <w:tcW w:w="531" w:type="pct"/>
            <w:tcBorders>
              <w:top w:val="nil"/>
              <w:left w:val="nil"/>
              <w:bottom w:val="single" w:sz="4" w:space="0" w:color="auto"/>
              <w:right w:val="single" w:sz="4" w:space="0" w:color="auto"/>
            </w:tcBorders>
            <w:shd w:val="clear" w:color="auto" w:fill="auto"/>
            <w:vAlign w:val="center"/>
            <w:hideMark/>
          </w:tcPr>
          <w:p w14:paraId="5078EB2B" w14:textId="77777777" w:rsidR="00E1435B" w:rsidRPr="00E1435B" w:rsidRDefault="00E1435B" w:rsidP="001733C9">
            <w:pPr>
              <w:ind w:left="-57"/>
              <w:contextualSpacing/>
              <w:jc w:val="right"/>
              <w:rPr>
                <w:color w:val="000000"/>
                <w:sz w:val="20"/>
              </w:rPr>
            </w:pPr>
            <w:r w:rsidRPr="00E1435B">
              <w:rPr>
                <w:color w:val="000000"/>
                <w:sz w:val="20"/>
              </w:rPr>
              <w:t>300 402</w:t>
            </w:r>
          </w:p>
        </w:tc>
        <w:tc>
          <w:tcPr>
            <w:tcW w:w="455" w:type="pct"/>
            <w:tcBorders>
              <w:top w:val="nil"/>
              <w:left w:val="nil"/>
              <w:bottom w:val="single" w:sz="4" w:space="0" w:color="auto"/>
              <w:right w:val="single" w:sz="4" w:space="0" w:color="auto"/>
            </w:tcBorders>
            <w:shd w:val="clear" w:color="auto" w:fill="auto"/>
            <w:vAlign w:val="center"/>
            <w:hideMark/>
          </w:tcPr>
          <w:p w14:paraId="49E2A2BE" w14:textId="77777777" w:rsidR="00E1435B" w:rsidRPr="00E1435B" w:rsidRDefault="00E1435B" w:rsidP="001733C9">
            <w:pPr>
              <w:ind w:left="-57"/>
              <w:contextualSpacing/>
              <w:jc w:val="center"/>
              <w:rPr>
                <w:b/>
                <w:bCs/>
                <w:color w:val="000000"/>
                <w:sz w:val="20"/>
              </w:rPr>
            </w:pPr>
            <w:r w:rsidRPr="00E1435B">
              <w:rPr>
                <w:b/>
                <w:bCs/>
                <w:color w:val="000000"/>
                <w:sz w:val="20"/>
              </w:rPr>
              <w:t>66%</w:t>
            </w:r>
          </w:p>
        </w:tc>
        <w:tc>
          <w:tcPr>
            <w:tcW w:w="522" w:type="pct"/>
            <w:tcBorders>
              <w:top w:val="nil"/>
              <w:left w:val="nil"/>
              <w:bottom w:val="single" w:sz="4" w:space="0" w:color="auto"/>
              <w:right w:val="single" w:sz="4" w:space="0" w:color="auto"/>
            </w:tcBorders>
            <w:shd w:val="clear" w:color="auto" w:fill="auto"/>
            <w:vAlign w:val="center"/>
            <w:hideMark/>
          </w:tcPr>
          <w:p w14:paraId="168A2FDD" w14:textId="77777777" w:rsidR="00E1435B" w:rsidRPr="00E1435B" w:rsidRDefault="00E1435B" w:rsidP="001733C9">
            <w:pPr>
              <w:ind w:left="-57"/>
              <w:contextualSpacing/>
              <w:jc w:val="right"/>
              <w:rPr>
                <w:color w:val="000000"/>
                <w:sz w:val="20"/>
              </w:rPr>
            </w:pPr>
            <w:r w:rsidRPr="00E1435B">
              <w:rPr>
                <w:color w:val="000000"/>
                <w:sz w:val="20"/>
              </w:rPr>
              <w:t>330 683</w:t>
            </w:r>
          </w:p>
        </w:tc>
        <w:tc>
          <w:tcPr>
            <w:tcW w:w="388" w:type="pct"/>
            <w:tcBorders>
              <w:top w:val="nil"/>
              <w:left w:val="nil"/>
              <w:bottom w:val="single" w:sz="4" w:space="0" w:color="auto"/>
              <w:right w:val="single" w:sz="4" w:space="0" w:color="auto"/>
            </w:tcBorders>
            <w:shd w:val="clear" w:color="auto" w:fill="auto"/>
            <w:vAlign w:val="center"/>
            <w:hideMark/>
          </w:tcPr>
          <w:p w14:paraId="4E5AE6C9" w14:textId="77777777" w:rsidR="00E1435B" w:rsidRPr="00E1435B" w:rsidRDefault="00E1435B" w:rsidP="001733C9">
            <w:pPr>
              <w:ind w:left="-57"/>
              <w:contextualSpacing/>
              <w:jc w:val="center"/>
              <w:rPr>
                <w:b/>
                <w:bCs/>
                <w:color w:val="000000"/>
                <w:sz w:val="20"/>
              </w:rPr>
            </w:pPr>
            <w:r w:rsidRPr="00E1435B">
              <w:rPr>
                <w:b/>
                <w:bCs/>
                <w:color w:val="000000"/>
                <w:sz w:val="20"/>
              </w:rPr>
              <w:t>110%</w:t>
            </w:r>
          </w:p>
        </w:tc>
        <w:tc>
          <w:tcPr>
            <w:tcW w:w="531" w:type="pct"/>
            <w:tcBorders>
              <w:top w:val="nil"/>
              <w:left w:val="nil"/>
              <w:bottom w:val="single" w:sz="4" w:space="0" w:color="auto"/>
              <w:right w:val="single" w:sz="4" w:space="0" w:color="auto"/>
            </w:tcBorders>
            <w:shd w:val="clear" w:color="auto" w:fill="auto"/>
            <w:vAlign w:val="center"/>
            <w:hideMark/>
          </w:tcPr>
          <w:p w14:paraId="10547B06" w14:textId="77777777" w:rsidR="00E1435B" w:rsidRPr="00E1435B" w:rsidRDefault="00E1435B" w:rsidP="001733C9">
            <w:pPr>
              <w:ind w:left="-57"/>
              <w:contextualSpacing/>
              <w:jc w:val="right"/>
              <w:rPr>
                <w:color w:val="000000"/>
                <w:sz w:val="20"/>
              </w:rPr>
            </w:pPr>
            <w:r w:rsidRPr="00E1435B">
              <w:rPr>
                <w:color w:val="000000"/>
                <w:sz w:val="20"/>
              </w:rPr>
              <w:t>340 293</w:t>
            </w:r>
          </w:p>
        </w:tc>
        <w:tc>
          <w:tcPr>
            <w:tcW w:w="376" w:type="pct"/>
            <w:tcBorders>
              <w:top w:val="nil"/>
              <w:left w:val="nil"/>
              <w:bottom w:val="single" w:sz="4" w:space="0" w:color="auto"/>
              <w:right w:val="single" w:sz="4" w:space="0" w:color="auto"/>
            </w:tcBorders>
            <w:shd w:val="clear" w:color="auto" w:fill="auto"/>
            <w:vAlign w:val="center"/>
            <w:hideMark/>
          </w:tcPr>
          <w:p w14:paraId="14004C08" w14:textId="77777777" w:rsidR="00E1435B" w:rsidRPr="00E1435B" w:rsidRDefault="00E1435B" w:rsidP="001733C9">
            <w:pPr>
              <w:ind w:left="-57"/>
              <w:contextualSpacing/>
              <w:jc w:val="center"/>
              <w:rPr>
                <w:b/>
                <w:bCs/>
                <w:color w:val="000000"/>
                <w:sz w:val="20"/>
              </w:rPr>
            </w:pPr>
            <w:r w:rsidRPr="00E1435B">
              <w:rPr>
                <w:b/>
                <w:bCs/>
                <w:color w:val="000000"/>
                <w:sz w:val="20"/>
              </w:rPr>
              <w:t>103%</w:t>
            </w:r>
          </w:p>
        </w:tc>
      </w:tr>
      <w:tr w:rsidR="00E1435B" w:rsidRPr="00E1435B" w14:paraId="757F4C05" w14:textId="77777777" w:rsidTr="001733C9">
        <w:trPr>
          <w:trHeight w:val="1104"/>
          <w:jc w:val="center"/>
        </w:trPr>
        <w:tc>
          <w:tcPr>
            <w:tcW w:w="1666" w:type="pct"/>
            <w:tcBorders>
              <w:top w:val="nil"/>
              <w:left w:val="single" w:sz="4" w:space="0" w:color="auto"/>
              <w:bottom w:val="single" w:sz="4" w:space="0" w:color="auto"/>
              <w:right w:val="single" w:sz="4" w:space="0" w:color="auto"/>
            </w:tcBorders>
            <w:shd w:val="clear" w:color="auto" w:fill="auto"/>
            <w:vAlign w:val="center"/>
            <w:hideMark/>
          </w:tcPr>
          <w:p w14:paraId="1F6A3DDD" w14:textId="77777777" w:rsidR="00E1435B" w:rsidRPr="00E1435B" w:rsidRDefault="00E1435B" w:rsidP="001733C9">
            <w:pPr>
              <w:ind w:left="-57"/>
              <w:contextualSpacing/>
              <w:jc w:val="both"/>
              <w:rPr>
                <w:color w:val="000000"/>
                <w:sz w:val="22"/>
                <w:szCs w:val="22"/>
              </w:rPr>
            </w:pPr>
            <w:r w:rsidRPr="00E1435B">
              <w:rPr>
                <w:color w:val="000000"/>
                <w:sz w:val="22"/>
                <w:szCs w:val="22"/>
              </w:rPr>
              <w:t xml:space="preserve">Иные межбюджетные трансферты бюджетам субъектов Российской Федерации и бюджету города Байконура  </w:t>
            </w:r>
          </w:p>
        </w:tc>
        <w:tc>
          <w:tcPr>
            <w:tcW w:w="531" w:type="pct"/>
            <w:tcBorders>
              <w:top w:val="nil"/>
              <w:left w:val="nil"/>
              <w:bottom w:val="single" w:sz="4" w:space="0" w:color="auto"/>
              <w:right w:val="single" w:sz="4" w:space="0" w:color="auto"/>
            </w:tcBorders>
            <w:shd w:val="clear" w:color="000000" w:fill="F2F2F2"/>
            <w:vAlign w:val="center"/>
            <w:hideMark/>
          </w:tcPr>
          <w:p w14:paraId="49D40001" w14:textId="77777777" w:rsidR="00E1435B" w:rsidRPr="00E1435B" w:rsidRDefault="00E1435B" w:rsidP="001733C9">
            <w:pPr>
              <w:ind w:left="-57"/>
              <w:contextualSpacing/>
              <w:jc w:val="center"/>
              <w:rPr>
                <w:color w:val="000000"/>
                <w:sz w:val="20"/>
              </w:rPr>
            </w:pPr>
            <w:r w:rsidRPr="00E1435B">
              <w:rPr>
                <w:rFonts w:cs="Calibri"/>
                <w:color w:val="000000"/>
                <w:sz w:val="20"/>
              </w:rPr>
              <w:t>636 487</w:t>
            </w:r>
          </w:p>
        </w:tc>
        <w:tc>
          <w:tcPr>
            <w:tcW w:w="531" w:type="pct"/>
            <w:tcBorders>
              <w:top w:val="nil"/>
              <w:left w:val="nil"/>
              <w:bottom w:val="single" w:sz="4" w:space="0" w:color="auto"/>
              <w:right w:val="single" w:sz="4" w:space="0" w:color="auto"/>
            </w:tcBorders>
            <w:shd w:val="clear" w:color="auto" w:fill="auto"/>
            <w:vAlign w:val="center"/>
            <w:hideMark/>
          </w:tcPr>
          <w:p w14:paraId="65111375" w14:textId="77777777" w:rsidR="00E1435B" w:rsidRPr="00E1435B" w:rsidRDefault="00E1435B" w:rsidP="001733C9">
            <w:pPr>
              <w:ind w:left="-57"/>
              <w:contextualSpacing/>
              <w:jc w:val="right"/>
              <w:rPr>
                <w:color w:val="000000"/>
                <w:sz w:val="20"/>
              </w:rPr>
            </w:pPr>
            <w:r w:rsidRPr="00E1435B">
              <w:rPr>
                <w:color w:val="000000"/>
                <w:sz w:val="20"/>
              </w:rPr>
              <w:t>372 624</w:t>
            </w:r>
          </w:p>
        </w:tc>
        <w:tc>
          <w:tcPr>
            <w:tcW w:w="455" w:type="pct"/>
            <w:tcBorders>
              <w:top w:val="nil"/>
              <w:left w:val="nil"/>
              <w:bottom w:val="single" w:sz="4" w:space="0" w:color="auto"/>
              <w:right w:val="single" w:sz="4" w:space="0" w:color="auto"/>
            </w:tcBorders>
            <w:shd w:val="clear" w:color="auto" w:fill="auto"/>
            <w:vAlign w:val="center"/>
            <w:hideMark/>
          </w:tcPr>
          <w:p w14:paraId="5B245B53" w14:textId="77777777" w:rsidR="00E1435B" w:rsidRPr="00E1435B" w:rsidRDefault="00E1435B" w:rsidP="001733C9">
            <w:pPr>
              <w:ind w:left="-57"/>
              <w:contextualSpacing/>
              <w:jc w:val="center"/>
              <w:rPr>
                <w:b/>
                <w:bCs/>
                <w:color w:val="000000"/>
                <w:sz w:val="20"/>
              </w:rPr>
            </w:pPr>
            <w:r w:rsidRPr="00E1435B">
              <w:rPr>
                <w:b/>
                <w:bCs/>
                <w:color w:val="000000"/>
                <w:sz w:val="20"/>
              </w:rPr>
              <w:t>59%</w:t>
            </w:r>
          </w:p>
        </w:tc>
        <w:tc>
          <w:tcPr>
            <w:tcW w:w="522" w:type="pct"/>
            <w:tcBorders>
              <w:top w:val="nil"/>
              <w:left w:val="nil"/>
              <w:bottom w:val="single" w:sz="4" w:space="0" w:color="auto"/>
              <w:right w:val="single" w:sz="4" w:space="0" w:color="auto"/>
            </w:tcBorders>
            <w:shd w:val="clear" w:color="auto" w:fill="auto"/>
            <w:vAlign w:val="center"/>
            <w:hideMark/>
          </w:tcPr>
          <w:p w14:paraId="1CD0679B" w14:textId="77777777" w:rsidR="00E1435B" w:rsidRPr="00E1435B" w:rsidRDefault="00E1435B" w:rsidP="001733C9">
            <w:pPr>
              <w:ind w:left="-57"/>
              <w:contextualSpacing/>
              <w:jc w:val="right"/>
              <w:rPr>
                <w:color w:val="000000"/>
                <w:sz w:val="20"/>
              </w:rPr>
            </w:pPr>
            <w:r w:rsidRPr="00E1435B">
              <w:rPr>
                <w:color w:val="000000"/>
                <w:sz w:val="20"/>
              </w:rPr>
              <w:t>109 279</w:t>
            </w:r>
          </w:p>
        </w:tc>
        <w:tc>
          <w:tcPr>
            <w:tcW w:w="388" w:type="pct"/>
            <w:tcBorders>
              <w:top w:val="nil"/>
              <w:left w:val="nil"/>
              <w:bottom w:val="single" w:sz="4" w:space="0" w:color="auto"/>
              <w:right w:val="single" w:sz="4" w:space="0" w:color="auto"/>
            </w:tcBorders>
            <w:shd w:val="clear" w:color="auto" w:fill="auto"/>
            <w:vAlign w:val="center"/>
            <w:hideMark/>
          </w:tcPr>
          <w:p w14:paraId="022360BB" w14:textId="77777777" w:rsidR="00E1435B" w:rsidRPr="00E1435B" w:rsidRDefault="00E1435B" w:rsidP="001733C9">
            <w:pPr>
              <w:ind w:left="-57"/>
              <w:contextualSpacing/>
              <w:jc w:val="center"/>
              <w:rPr>
                <w:b/>
                <w:bCs/>
                <w:color w:val="000000"/>
                <w:sz w:val="20"/>
              </w:rPr>
            </w:pPr>
            <w:r w:rsidRPr="00E1435B">
              <w:rPr>
                <w:b/>
                <w:bCs/>
                <w:color w:val="000000"/>
                <w:sz w:val="20"/>
              </w:rPr>
              <w:t>29%</w:t>
            </w:r>
          </w:p>
        </w:tc>
        <w:tc>
          <w:tcPr>
            <w:tcW w:w="531" w:type="pct"/>
            <w:tcBorders>
              <w:top w:val="nil"/>
              <w:left w:val="nil"/>
              <w:bottom w:val="single" w:sz="4" w:space="0" w:color="auto"/>
              <w:right w:val="single" w:sz="4" w:space="0" w:color="auto"/>
            </w:tcBorders>
            <w:shd w:val="clear" w:color="auto" w:fill="auto"/>
            <w:vAlign w:val="center"/>
            <w:hideMark/>
          </w:tcPr>
          <w:p w14:paraId="22429AFC" w14:textId="77777777" w:rsidR="00E1435B" w:rsidRPr="00E1435B" w:rsidRDefault="00E1435B" w:rsidP="001733C9">
            <w:pPr>
              <w:ind w:left="-57"/>
              <w:contextualSpacing/>
              <w:jc w:val="right"/>
              <w:rPr>
                <w:color w:val="000000"/>
                <w:sz w:val="20"/>
              </w:rPr>
            </w:pPr>
            <w:r w:rsidRPr="00E1435B">
              <w:rPr>
                <w:color w:val="000000"/>
                <w:sz w:val="20"/>
              </w:rPr>
              <w:t>109 706</w:t>
            </w:r>
          </w:p>
        </w:tc>
        <w:tc>
          <w:tcPr>
            <w:tcW w:w="376" w:type="pct"/>
            <w:tcBorders>
              <w:top w:val="nil"/>
              <w:left w:val="nil"/>
              <w:bottom w:val="single" w:sz="4" w:space="0" w:color="auto"/>
              <w:right w:val="single" w:sz="4" w:space="0" w:color="auto"/>
            </w:tcBorders>
            <w:shd w:val="clear" w:color="auto" w:fill="auto"/>
            <w:vAlign w:val="center"/>
            <w:hideMark/>
          </w:tcPr>
          <w:p w14:paraId="7040801A" w14:textId="77777777" w:rsidR="00E1435B" w:rsidRPr="00E1435B" w:rsidRDefault="00E1435B" w:rsidP="001733C9">
            <w:pPr>
              <w:ind w:left="-57"/>
              <w:contextualSpacing/>
              <w:jc w:val="center"/>
              <w:rPr>
                <w:b/>
                <w:bCs/>
                <w:color w:val="000000"/>
                <w:sz w:val="20"/>
              </w:rPr>
            </w:pPr>
            <w:r w:rsidRPr="00E1435B">
              <w:rPr>
                <w:b/>
                <w:bCs/>
                <w:color w:val="000000"/>
                <w:sz w:val="20"/>
              </w:rPr>
              <w:t>100%</w:t>
            </w:r>
          </w:p>
        </w:tc>
      </w:tr>
    </w:tbl>
    <w:p w14:paraId="2F944F48" w14:textId="77777777" w:rsidR="00E1435B" w:rsidRPr="00753A80" w:rsidRDefault="00E1435B" w:rsidP="00E1435B">
      <w:pPr>
        <w:rPr>
          <w:bCs/>
          <w:i/>
          <w:sz w:val="24"/>
          <w:szCs w:val="24"/>
        </w:rPr>
      </w:pPr>
      <w:r w:rsidRPr="00753A80">
        <w:rPr>
          <w:i/>
          <w:sz w:val="24"/>
          <w:szCs w:val="24"/>
        </w:rPr>
        <w:t xml:space="preserve">Источник: </w:t>
      </w:r>
      <w:r>
        <w:rPr>
          <w:i/>
          <w:sz w:val="24"/>
          <w:szCs w:val="24"/>
        </w:rPr>
        <w:t xml:space="preserve">составлено на основе данных законопроекта </w:t>
      </w:r>
      <w:r w:rsidRPr="00753A80">
        <w:rPr>
          <w:i/>
          <w:sz w:val="24"/>
          <w:szCs w:val="24"/>
        </w:rPr>
        <w:t>ФЗ «</w:t>
      </w:r>
      <w:r w:rsidRPr="00753A80">
        <w:rPr>
          <w:bCs/>
          <w:i/>
          <w:sz w:val="24"/>
          <w:szCs w:val="24"/>
        </w:rPr>
        <w:t>О федеральном бюджете на 2023 год</w:t>
      </w:r>
      <w:r w:rsidRPr="00753A80">
        <w:rPr>
          <w:i/>
          <w:sz w:val="24"/>
          <w:szCs w:val="24"/>
        </w:rPr>
        <w:t xml:space="preserve"> </w:t>
      </w:r>
      <w:r w:rsidRPr="00753A80">
        <w:rPr>
          <w:bCs/>
          <w:i/>
          <w:sz w:val="24"/>
          <w:szCs w:val="24"/>
        </w:rPr>
        <w:t>и на плановый период 2024 и 2025 годов»</w:t>
      </w:r>
    </w:p>
    <w:p w14:paraId="67B2538C" w14:textId="77777777" w:rsidR="00E1435B" w:rsidRPr="00753A80" w:rsidRDefault="00E1435B" w:rsidP="00E1435B">
      <w:pPr>
        <w:spacing w:line="360" w:lineRule="auto"/>
        <w:ind w:firstLine="709"/>
        <w:jc w:val="both"/>
        <w:rPr>
          <w:rFonts w:eastAsia="Calibri"/>
          <w:sz w:val="24"/>
          <w:szCs w:val="24"/>
        </w:rPr>
      </w:pPr>
    </w:p>
    <w:p w14:paraId="7DAF171D" w14:textId="77777777" w:rsidR="00E1435B" w:rsidRDefault="00E1435B" w:rsidP="00E1435B">
      <w:pPr>
        <w:spacing w:line="360" w:lineRule="auto"/>
        <w:ind w:firstLine="709"/>
        <w:jc w:val="both"/>
        <w:rPr>
          <w:iCs/>
          <w:sz w:val="24"/>
          <w:szCs w:val="24"/>
        </w:rPr>
      </w:pPr>
      <w:r w:rsidRPr="00753A80">
        <w:rPr>
          <w:iCs/>
          <w:sz w:val="24"/>
          <w:szCs w:val="24"/>
        </w:rPr>
        <w:t>Вместе с тем, в отношении дотаций субъектам Российской Федерации, запланированных в законопроекте в 2023 и 2024 годы, в сравнении с их утвержденными объемами в Федеральном законе от 06.12.2021г. № 390-ФЗ. наблюдается рост в обоих периодах: на 3,5% (33,5 млрд руб.) в 2023 году и на 4,9% (48,9 млрд руб.) в 2024 году</w:t>
      </w:r>
      <w:r>
        <w:rPr>
          <w:iCs/>
          <w:sz w:val="24"/>
          <w:szCs w:val="24"/>
        </w:rPr>
        <w:t xml:space="preserve"> (табл.9)</w:t>
      </w:r>
      <w:r w:rsidRPr="00753A80">
        <w:rPr>
          <w:iCs/>
          <w:sz w:val="24"/>
          <w:szCs w:val="24"/>
        </w:rPr>
        <w:t>. Дотации на выравнивание бюджетной обеспеченности в соответствии с п. 3 ст. 131 Бюджетного кодекса Российской Федерации в 2023 году также будут выше их объемов, утвержденных в текущем бюджетном цикле, на 51,6 млрд рублей (или на 6,7%, в 2024 году - на 66,9 млрд рублей (или на 8,5%). То есть в номинальном выражении их рост превышает значения ожидаемой в данной период инфляции и потенциально позволит снизить риски сбалансированности бюджетов.</w:t>
      </w:r>
    </w:p>
    <w:p w14:paraId="014E2755" w14:textId="77777777" w:rsidR="00BC3C02" w:rsidRPr="00753A80" w:rsidRDefault="00BC3C02" w:rsidP="00BC3C02">
      <w:pPr>
        <w:spacing w:line="360" w:lineRule="auto"/>
        <w:ind w:firstLine="709"/>
        <w:jc w:val="both"/>
        <w:rPr>
          <w:rFonts w:eastAsia="Calibri"/>
          <w:sz w:val="24"/>
          <w:szCs w:val="24"/>
        </w:rPr>
      </w:pPr>
      <w:r>
        <w:rPr>
          <w:sz w:val="24"/>
          <w:szCs w:val="24"/>
        </w:rPr>
        <w:t xml:space="preserve">Выявленный в законопроекте </w:t>
      </w:r>
      <w:r w:rsidRPr="00753A80">
        <w:rPr>
          <w:sz w:val="24"/>
          <w:szCs w:val="24"/>
        </w:rPr>
        <w:t xml:space="preserve">тренд на снижение объемов </w:t>
      </w:r>
      <w:r>
        <w:rPr>
          <w:sz w:val="24"/>
          <w:szCs w:val="24"/>
        </w:rPr>
        <w:t>«</w:t>
      </w:r>
      <w:r w:rsidRPr="00753A80">
        <w:rPr>
          <w:sz w:val="24"/>
          <w:szCs w:val="24"/>
        </w:rPr>
        <w:t>иных межбюджетных трансфертов</w:t>
      </w:r>
      <w:r>
        <w:rPr>
          <w:sz w:val="24"/>
          <w:szCs w:val="24"/>
        </w:rPr>
        <w:t xml:space="preserve">» </w:t>
      </w:r>
      <w:r w:rsidRPr="00753A80">
        <w:rPr>
          <w:sz w:val="24"/>
          <w:szCs w:val="24"/>
        </w:rPr>
        <w:t>как наименее подверженных контролю и оценке эффективности расходования средств субъектами Российской Федерации вследствие специфики формата их предоставления</w:t>
      </w:r>
      <w:r>
        <w:rPr>
          <w:sz w:val="24"/>
          <w:szCs w:val="24"/>
        </w:rPr>
        <w:t xml:space="preserve"> можно оценить п</w:t>
      </w:r>
      <w:r w:rsidRPr="00753A80">
        <w:rPr>
          <w:sz w:val="24"/>
          <w:szCs w:val="24"/>
        </w:rPr>
        <w:t xml:space="preserve">озитивно с точки зрения повышения прозрачности видов финансовой помощи. Средства от снижения указанных видов межбюджетных трансфертов </w:t>
      </w:r>
      <w:r>
        <w:rPr>
          <w:sz w:val="24"/>
          <w:szCs w:val="24"/>
        </w:rPr>
        <w:t xml:space="preserve">могли бы быть </w:t>
      </w:r>
      <w:r w:rsidRPr="00753A80">
        <w:rPr>
          <w:sz w:val="24"/>
          <w:szCs w:val="24"/>
        </w:rPr>
        <w:t>перенаправлены на другие их виды</w:t>
      </w:r>
      <w:r>
        <w:rPr>
          <w:sz w:val="24"/>
          <w:szCs w:val="24"/>
        </w:rPr>
        <w:t xml:space="preserve">, однако этой тенденции в </w:t>
      </w:r>
      <w:r>
        <w:rPr>
          <w:sz w:val="24"/>
          <w:szCs w:val="24"/>
        </w:rPr>
        <w:lastRenderedPageBreak/>
        <w:t>законопроекте не наблюдается</w:t>
      </w:r>
      <w:r w:rsidRPr="00753A80">
        <w:rPr>
          <w:sz w:val="24"/>
          <w:szCs w:val="24"/>
        </w:rPr>
        <w:t xml:space="preserve">. </w:t>
      </w:r>
      <w:r w:rsidRPr="00753A80">
        <w:rPr>
          <w:rFonts w:eastAsia="Calibri"/>
          <w:sz w:val="24"/>
          <w:szCs w:val="24"/>
        </w:rPr>
        <w:t>В условиях отсутствия тренда на увеличение налоговой базы в регионах</w:t>
      </w:r>
      <w:r>
        <w:rPr>
          <w:rFonts w:eastAsia="Calibri"/>
          <w:sz w:val="24"/>
          <w:szCs w:val="24"/>
        </w:rPr>
        <w:t xml:space="preserve"> России</w:t>
      </w:r>
      <w:r w:rsidRPr="00753A80">
        <w:rPr>
          <w:rFonts w:eastAsia="Calibri"/>
          <w:sz w:val="24"/>
          <w:szCs w:val="24"/>
        </w:rPr>
        <w:t xml:space="preserve">, </w:t>
      </w:r>
      <w:r>
        <w:rPr>
          <w:rFonts w:eastAsia="Calibri"/>
          <w:sz w:val="24"/>
          <w:szCs w:val="24"/>
        </w:rPr>
        <w:t>выявленное</w:t>
      </w:r>
      <w:r w:rsidRPr="00753A80">
        <w:rPr>
          <w:rFonts w:eastAsia="Calibri"/>
          <w:sz w:val="24"/>
          <w:szCs w:val="24"/>
        </w:rPr>
        <w:t xml:space="preserve"> снижение </w:t>
      </w:r>
      <w:r>
        <w:rPr>
          <w:rFonts w:eastAsia="Calibri"/>
          <w:sz w:val="24"/>
          <w:szCs w:val="24"/>
        </w:rPr>
        <w:t xml:space="preserve">общего объема </w:t>
      </w:r>
      <w:r w:rsidRPr="00753A80">
        <w:rPr>
          <w:rFonts w:eastAsia="Calibri"/>
          <w:sz w:val="24"/>
          <w:szCs w:val="24"/>
        </w:rPr>
        <w:t xml:space="preserve">межбюджетных трансфертов будет </w:t>
      </w:r>
      <w:r>
        <w:rPr>
          <w:rFonts w:eastAsia="Calibri"/>
          <w:sz w:val="24"/>
          <w:szCs w:val="24"/>
        </w:rPr>
        <w:t>оказывать</w:t>
      </w:r>
      <w:r w:rsidRPr="00753A80">
        <w:rPr>
          <w:rFonts w:eastAsia="Calibri"/>
          <w:sz w:val="24"/>
          <w:szCs w:val="24"/>
        </w:rPr>
        <w:t xml:space="preserve"> негативное влияние на </w:t>
      </w:r>
      <w:r>
        <w:rPr>
          <w:rFonts w:eastAsia="Calibri"/>
          <w:sz w:val="24"/>
          <w:szCs w:val="24"/>
        </w:rPr>
        <w:t>сбалансированность</w:t>
      </w:r>
      <w:r w:rsidRPr="00753A80">
        <w:rPr>
          <w:rFonts w:eastAsia="Calibri"/>
          <w:sz w:val="24"/>
          <w:szCs w:val="24"/>
        </w:rPr>
        <w:t xml:space="preserve"> </w:t>
      </w:r>
      <w:r>
        <w:rPr>
          <w:rFonts w:eastAsia="Calibri"/>
          <w:sz w:val="24"/>
          <w:szCs w:val="24"/>
        </w:rPr>
        <w:t xml:space="preserve">региональных </w:t>
      </w:r>
      <w:r w:rsidRPr="00753A80">
        <w:rPr>
          <w:rFonts w:eastAsia="Calibri"/>
          <w:sz w:val="24"/>
          <w:szCs w:val="24"/>
        </w:rPr>
        <w:t>бюджетов субъектов</w:t>
      </w:r>
      <w:r>
        <w:rPr>
          <w:rFonts w:eastAsia="Calibri"/>
          <w:sz w:val="24"/>
          <w:szCs w:val="24"/>
        </w:rPr>
        <w:t xml:space="preserve"> РФ и достигнутые позитивные сдвиги в повышении их долговой устойчивости в предыдущие годы</w:t>
      </w:r>
      <w:r w:rsidRPr="00753A80">
        <w:rPr>
          <w:rFonts w:eastAsia="Calibri"/>
          <w:sz w:val="24"/>
          <w:szCs w:val="24"/>
        </w:rPr>
        <w:t xml:space="preserve">.  </w:t>
      </w:r>
    </w:p>
    <w:p w14:paraId="20673B0F" w14:textId="2E479057" w:rsidR="00E1435B" w:rsidRDefault="00E1435B" w:rsidP="008553E6">
      <w:pPr>
        <w:jc w:val="both"/>
        <w:rPr>
          <w:bCs/>
          <w:i/>
          <w:iCs/>
          <w:color w:val="000000" w:themeColor="text1"/>
          <w:sz w:val="24"/>
          <w:szCs w:val="24"/>
        </w:rPr>
      </w:pPr>
      <w:r w:rsidRPr="00643E17">
        <w:rPr>
          <w:bCs/>
          <w:i/>
          <w:iCs/>
          <w:noProof/>
          <w:sz w:val="24"/>
          <w:szCs w:val="24"/>
        </w:rPr>
        <w:t xml:space="preserve">Таблица </w:t>
      </w:r>
      <w:r>
        <w:rPr>
          <w:bCs/>
          <w:i/>
          <w:iCs/>
          <w:noProof/>
          <w:sz w:val="24"/>
          <w:szCs w:val="24"/>
        </w:rPr>
        <w:t xml:space="preserve">9 - </w:t>
      </w:r>
      <w:r w:rsidRPr="00643E17">
        <w:rPr>
          <w:bCs/>
          <w:i/>
          <w:iCs/>
          <w:noProof/>
          <w:sz w:val="24"/>
          <w:szCs w:val="24"/>
        </w:rPr>
        <w:t xml:space="preserve">Дотации из федерального бюджета на выравнивание бюджетной обеспеченности, </w:t>
      </w:r>
      <w:r w:rsidRPr="00643E17">
        <w:rPr>
          <w:bCs/>
          <w:i/>
          <w:iCs/>
          <w:color w:val="000000" w:themeColor="text1"/>
          <w:sz w:val="24"/>
          <w:szCs w:val="24"/>
        </w:rPr>
        <w:t>млрд руб.</w:t>
      </w:r>
    </w:p>
    <w:p w14:paraId="33517D20" w14:textId="77777777" w:rsidR="00E1435B" w:rsidRPr="00643E17" w:rsidRDefault="00E1435B" w:rsidP="00E1435B">
      <w:pPr>
        <w:jc w:val="center"/>
        <w:rPr>
          <w:bCs/>
          <w:i/>
          <w:iCs/>
          <w:noProof/>
          <w:sz w:val="24"/>
          <w:szCs w:val="24"/>
        </w:rPr>
      </w:pPr>
    </w:p>
    <w:tbl>
      <w:tblPr>
        <w:tblW w:w="5000" w:type="pct"/>
        <w:tblLayout w:type="fixed"/>
        <w:tblLook w:val="04A0" w:firstRow="1" w:lastRow="0" w:firstColumn="1" w:lastColumn="0" w:noHBand="0" w:noVBand="1"/>
      </w:tblPr>
      <w:tblGrid>
        <w:gridCol w:w="1838"/>
        <w:gridCol w:w="709"/>
        <w:gridCol w:w="709"/>
        <w:gridCol w:w="142"/>
        <w:gridCol w:w="708"/>
        <w:gridCol w:w="916"/>
        <w:gridCol w:w="796"/>
        <w:gridCol w:w="903"/>
        <w:gridCol w:w="863"/>
        <w:gridCol w:w="903"/>
        <w:gridCol w:w="858"/>
      </w:tblGrid>
      <w:tr w:rsidR="00E1435B" w:rsidRPr="009217FD" w14:paraId="10E96034" w14:textId="77777777" w:rsidTr="001733C9">
        <w:trPr>
          <w:trHeight w:val="288"/>
        </w:trPr>
        <w:tc>
          <w:tcPr>
            <w:tcW w:w="983"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83A03D3" w14:textId="60890B79" w:rsidR="00E1435B" w:rsidRPr="009217FD" w:rsidRDefault="008F6714" w:rsidP="001733C9">
            <w:pPr>
              <w:contextualSpacing/>
              <w:jc w:val="center"/>
              <w:rPr>
                <w:color w:val="000000"/>
                <w:sz w:val="22"/>
                <w:szCs w:val="22"/>
              </w:rPr>
            </w:pPr>
            <w:r>
              <w:rPr>
                <w:color w:val="000000"/>
                <w:sz w:val="22"/>
                <w:szCs w:val="22"/>
              </w:rPr>
              <w:t>Показатели</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4B18F44" w14:textId="77777777" w:rsidR="00E1435B" w:rsidRPr="009217FD" w:rsidRDefault="00E1435B" w:rsidP="001733C9">
            <w:pPr>
              <w:contextualSpacing/>
              <w:jc w:val="center"/>
              <w:rPr>
                <w:color w:val="000000"/>
                <w:sz w:val="22"/>
                <w:szCs w:val="22"/>
              </w:rPr>
            </w:pPr>
            <w:r w:rsidRPr="009217FD">
              <w:rPr>
                <w:color w:val="000000"/>
                <w:sz w:val="22"/>
                <w:szCs w:val="22"/>
              </w:rPr>
              <w:t xml:space="preserve">2022 год </w:t>
            </w:r>
          </w:p>
        </w:tc>
        <w:tc>
          <w:tcPr>
            <w:tcW w:w="1324" w:type="pct"/>
            <w:gridSpan w:val="4"/>
            <w:tcBorders>
              <w:top w:val="single" w:sz="4" w:space="0" w:color="auto"/>
              <w:left w:val="nil"/>
              <w:bottom w:val="single" w:sz="4" w:space="0" w:color="auto"/>
              <w:right w:val="single" w:sz="4" w:space="0" w:color="auto"/>
            </w:tcBorders>
            <w:shd w:val="clear" w:color="auto" w:fill="auto"/>
            <w:vAlign w:val="bottom"/>
            <w:hideMark/>
          </w:tcPr>
          <w:p w14:paraId="6AD206D5" w14:textId="77777777" w:rsidR="00E1435B" w:rsidRPr="009217FD" w:rsidRDefault="00E1435B" w:rsidP="001733C9">
            <w:pPr>
              <w:contextualSpacing/>
              <w:jc w:val="center"/>
              <w:rPr>
                <w:color w:val="000000"/>
                <w:sz w:val="22"/>
                <w:szCs w:val="22"/>
              </w:rPr>
            </w:pPr>
            <w:r w:rsidRPr="009217FD">
              <w:rPr>
                <w:color w:val="000000"/>
                <w:sz w:val="22"/>
                <w:szCs w:val="22"/>
              </w:rPr>
              <w:t>2023 год</w:t>
            </w:r>
          </w:p>
        </w:tc>
        <w:tc>
          <w:tcPr>
            <w:tcW w:w="1371" w:type="pct"/>
            <w:gridSpan w:val="3"/>
            <w:tcBorders>
              <w:top w:val="single" w:sz="4" w:space="0" w:color="auto"/>
              <w:left w:val="nil"/>
              <w:bottom w:val="single" w:sz="4" w:space="0" w:color="auto"/>
              <w:right w:val="single" w:sz="4" w:space="0" w:color="auto"/>
            </w:tcBorders>
            <w:shd w:val="clear" w:color="auto" w:fill="auto"/>
            <w:vAlign w:val="bottom"/>
            <w:hideMark/>
          </w:tcPr>
          <w:p w14:paraId="165CFF22" w14:textId="77777777" w:rsidR="00E1435B" w:rsidRPr="009217FD" w:rsidRDefault="00E1435B" w:rsidP="001733C9">
            <w:pPr>
              <w:contextualSpacing/>
              <w:jc w:val="center"/>
              <w:rPr>
                <w:color w:val="000000"/>
                <w:sz w:val="22"/>
                <w:szCs w:val="22"/>
              </w:rPr>
            </w:pPr>
            <w:r w:rsidRPr="009217FD">
              <w:rPr>
                <w:color w:val="000000"/>
                <w:sz w:val="22"/>
                <w:szCs w:val="22"/>
              </w:rPr>
              <w:t>2024 год</w:t>
            </w:r>
          </w:p>
        </w:tc>
        <w:tc>
          <w:tcPr>
            <w:tcW w:w="942" w:type="pct"/>
            <w:gridSpan w:val="2"/>
            <w:tcBorders>
              <w:top w:val="single" w:sz="4" w:space="0" w:color="auto"/>
              <w:left w:val="nil"/>
              <w:bottom w:val="single" w:sz="4" w:space="0" w:color="auto"/>
              <w:right w:val="single" w:sz="4" w:space="0" w:color="auto"/>
            </w:tcBorders>
            <w:shd w:val="clear" w:color="auto" w:fill="auto"/>
            <w:vAlign w:val="bottom"/>
            <w:hideMark/>
          </w:tcPr>
          <w:p w14:paraId="08B4889B" w14:textId="77777777" w:rsidR="00E1435B" w:rsidRPr="009217FD" w:rsidRDefault="00E1435B" w:rsidP="001733C9">
            <w:pPr>
              <w:contextualSpacing/>
              <w:jc w:val="center"/>
              <w:rPr>
                <w:color w:val="000000"/>
                <w:sz w:val="22"/>
                <w:szCs w:val="22"/>
              </w:rPr>
            </w:pPr>
            <w:r w:rsidRPr="009217FD">
              <w:rPr>
                <w:color w:val="000000"/>
                <w:sz w:val="22"/>
                <w:szCs w:val="22"/>
              </w:rPr>
              <w:t>2025 год</w:t>
            </w:r>
          </w:p>
        </w:tc>
      </w:tr>
      <w:tr w:rsidR="00E1435B" w:rsidRPr="009217FD" w14:paraId="5891CBB4" w14:textId="77777777" w:rsidTr="001733C9">
        <w:trPr>
          <w:trHeight w:val="564"/>
        </w:trPr>
        <w:tc>
          <w:tcPr>
            <w:tcW w:w="983" w:type="pct"/>
            <w:vMerge/>
            <w:tcBorders>
              <w:top w:val="single" w:sz="4" w:space="0" w:color="auto"/>
              <w:left w:val="single" w:sz="4" w:space="0" w:color="auto"/>
              <w:bottom w:val="single" w:sz="4" w:space="0" w:color="000000"/>
              <w:right w:val="single" w:sz="4" w:space="0" w:color="auto"/>
            </w:tcBorders>
            <w:vAlign w:val="center"/>
            <w:hideMark/>
          </w:tcPr>
          <w:p w14:paraId="641C5FB7" w14:textId="77777777" w:rsidR="00E1435B" w:rsidRPr="009217FD" w:rsidRDefault="00E1435B" w:rsidP="001733C9">
            <w:pPr>
              <w:contextualSpacing/>
              <w:rPr>
                <w:color w:val="000000"/>
                <w:sz w:val="22"/>
                <w:szCs w:val="22"/>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14:paraId="2F90CB7E" w14:textId="77777777" w:rsidR="00E1435B" w:rsidRPr="009217FD" w:rsidRDefault="00E1435B" w:rsidP="001733C9">
            <w:pPr>
              <w:contextualSpacing/>
              <w:rPr>
                <w:color w:val="000000"/>
                <w:sz w:val="22"/>
                <w:szCs w:val="22"/>
              </w:rPr>
            </w:pPr>
          </w:p>
        </w:tc>
        <w:tc>
          <w:tcPr>
            <w:tcW w:w="455" w:type="pct"/>
            <w:gridSpan w:val="2"/>
            <w:tcBorders>
              <w:top w:val="nil"/>
              <w:left w:val="nil"/>
              <w:bottom w:val="single" w:sz="4" w:space="0" w:color="auto"/>
              <w:right w:val="single" w:sz="4" w:space="0" w:color="auto"/>
            </w:tcBorders>
            <w:shd w:val="clear" w:color="auto" w:fill="auto"/>
            <w:vAlign w:val="bottom"/>
            <w:hideMark/>
          </w:tcPr>
          <w:p w14:paraId="60DB7CB5" w14:textId="77777777" w:rsidR="00E1435B" w:rsidRPr="009217FD" w:rsidRDefault="00E1435B" w:rsidP="001733C9">
            <w:pPr>
              <w:contextualSpacing/>
              <w:rPr>
                <w:color w:val="000000"/>
                <w:sz w:val="22"/>
                <w:szCs w:val="22"/>
              </w:rPr>
            </w:pPr>
            <w:r w:rsidRPr="009217FD">
              <w:rPr>
                <w:color w:val="000000"/>
                <w:sz w:val="22"/>
                <w:szCs w:val="22"/>
              </w:rPr>
              <w:t>Закон №390-ФЗ</w:t>
            </w:r>
          </w:p>
        </w:tc>
        <w:tc>
          <w:tcPr>
            <w:tcW w:w="379" w:type="pct"/>
            <w:tcBorders>
              <w:top w:val="nil"/>
              <w:left w:val="nil"/>
              <w:bottom w:val="single" w:sz="4" w:space="0" w:color="auto"/>
              <w:right w:val="single" w:sz="4" w:space="0" w:color="auto"/>
            </w:tcBorders>
            <w:shd w:val="clear" w:color="auto" w:fill="auto"/>
            <w:vAlign w:val="bottom"/>
            <w:hideMark/>
          </w:tcPr>
          <w:p w14:paraId="5F4C2716" w14:textId="77777777" w:rsidR="00E1435B" w:rsidRPr="009217FD" w:rsidRDefault="00E1435B" w:rsidP="001733C9">
            <w:pPr>
              <w:contextualSpacing/>
              <w:rPr>
                <w:color w:val="000000"/>
                <w:sz w:val="22"/>
                <w:szCs w:val="22"/>
              </w:rPr>
            </w:pPr>
            <w:r w:rsidRPr="009217FD">
              <w:rPr>
                <w:color w:val="000000"/>
                <w:sz w:val="22"/>
                <w:szCs w:val="22"/>
              </w:rPr>
              <w:t>Законопроект</w:t>
            </w:r>
          </w:p>
        </w:tc>
        <w:tc>
          <w:tcPr>
            <w:tcW w:w="490" w:type="pct"/>
            <w:tcBorders>
              <w:top w:val="nil"/>
              <w:left w:val="nil"/>
              <w:bottom w:val="single" w:sz="4" w:space="0" w:color="auto"/>
              <w:right w:val="single" w:sz="4" w:space="0" w:color="auto"/>
            </w:tcBorders>
            <w:shd w:val="clear" w:color="auto" w:fill="auto"/>
            <w:vAlign w:val="bottom"/>
            <w:hideMark/>
          </w:tcPr>
          <w:p w14:paraId="07845016" w14:textId="77777777" w:rsidR="00E1435B" w:rsidRPr="009217FD" w:rsidRDefault="00E1435B" w:rsidP="001733C9">
            <w:pPr>
              <w:contextualSpacing/>
              <w:rPr>
                <w:color w:val="000000"/>
                <w:sz w:val="22"/>
                <w:szCs w:val="22"/>
              </w:rPr>
            </w:pPr>
            <w:r w:rsidRPr="009217FD">
              <w:rPr>
                <w:color w:val="000000"/>
                <w:sz w:val="22"/>
                <w:szCs w:val="22"/>
              </w:rPr>
              <w:t>Изм. к закону, %</w:t>
            </w:r>
          </w:p>
        </w:tc>
        <w:tc>
          <w:tcPr>
            <w:tcW w:w="426" w:type="pct"/>
            <w:tcBorders>
              <w:top w:val="nil"/>
              <w:left w:val="nil"/>
              <w:bottom w:val="single" w:sz="4" w:space="0" w:color="auto"/>
              <w:right w:val="single" w:sz="4" w:space="0" w:color="auto"/>
            </w:tcBorders>
            <w:shd w:val="clear" w:color="auto" w:fill="auto"/>
            <w:vAlign w:val="bottom"/>
            <w:hideMark/>
          </w:tcPr>
          <w:p w14:paraId="7A010E57" w14:textId="77777777" w:rsidR="00E1435B" w:rsidRPr="009217FD" w:rsidRDefault="00E1435B" w:rsidP="001733C9">
            <w:pPr>
              <w:contextualSpacing/>
              <w:rPr>
                <w:color w:val="000000"/>
                <w:sz w:val="22"/>
                <w:szCs w:val="22"/>
              </w:rPr>
            </w:pPr>
            <w:r w:rsidRPr="009217FD">
              <w:rPr>
                <w:color w:val="000000"/>
                <w:sz w:val="22"/>
                <w:szCs w:val="22"/>
              </w:rPr>
              <w:t>Закон №390-ФЗ</w:t>
            </w:r>
          </w:p>
        </w:tc>
        <w:tc>
          <w:tcPr>
            <w:tcW w:w="483" w:type="pct"/>
            <w:tcBorders>
              <w:top w:val="nil"/>
              <w:left w:val="nil"/>
              <w:bottom w:val="single" w:sz="4" w:space="0" w:color="auto"/>
              <w:right w:val="single" w:sz="4" w:space="0" w:color="auto"/>
            </w:tcBorders>
            <w:shd w:val="clear" w:color="auto" w:fill="auto"/>
            <w:vAlign w:val="bottom"/>
            <w:hideMark/>
          </w:tcPr>
          <w:p w14:paraId="15902235" w14:textId="77777777" w:rsidR="00E1435B" w:rsidRPr="009217FD" w:rsidRDefault="00E1435B" w:rsidP="001733C9">
            <w:pPr>
              <w:contextualSpacing/>
              <w:rPr>
                <w:color w:val="000000"/>
                <w:sz w:val="22"/>
                <w:szCs w:val="22"/>
              </w:rPr>
            </w:pPr>
            <w:r w:rsidRPr="009217FD">
              <w:rPr>
                <w:color w:val="000000"/>
                <w:sz w:val="22"/>
                <w:szCs w:val="22"/>
              </w:rPr>
              <w:t>Законопроект</w:t>
            </w:r>
          </w:p>
        </w:tc>
        <w:tc>
          <w:tcPr>
            <w:tcW w:w="462" w:type="pct"/>
            <w:tcBorders>
              <w:top w:val="nil"/>
              <w:left w:val="nil"/>
              <w:bottom w:val="single" w:sz="4" w:space="0" w:color="auto"/>
              <w:right w:val="single" w:sz="4" w:space="0" w:color="auto"/>
            </w:tcBorders>
            <w:shd w:val="clear" w:color="auto" w:fill="auto"/>
            <w:vAlign w:val="bottom"/>
            <w:hideMark/>
          </w:tcPr>
          <w:p w14:paraId="557D15CE" w14:textId="77777777" w:rsidR="00E1435B" w:rsidRPr="009217FD" w:rsidRDefault="00E1435B" w:rsidP="001733C9">
            <w:pPr>
              <w:contextualSpacing/>
              <w:rPr>
                <w:color w:val="000000"/>
                <w:sz w:val="22"/>
                <w:szCs w:val="22"/>
              </w:rPr>
            </w:pPr>
            <w:r w:rsidRPr="009217FD">
              <w:rPr>
                <w:color w:val="000000"/>
                <w:sz w:val="22"/>
                <w:szCs w:val="22"/>
              </w:rPr>
              <w:t>Изм. к закону, %</w:t>
            </w:r>
          </w:p>
        </w:tc>
        <w:tc>
          <w:tcPr>
            <w:tcW w:w="483" w:type="pct"/>
            <w:tcBorders>
              <w:top w:val="nil"/>
              <w:left w:val="nil"/>
              <w:bottom w:val="single" w:sz="4" w:space="0" w:color="auto"/>
              <w:right w:val="single" w:sz="4" w:space="0" w:color="auto"/>
            </w:tcBorders>
            <w:shd w:val="clear" w:color="auto" w:fill="auto"/>
            <w:vAlign w:val="bottom"/>
            <w:hideMark/>
          </w:tcPr>
          <w:p w14:paraId="3ABA75C6" w14:textId="77777777" w:rsidR="00E1435B" w:rsidRPr="009217FD" w:rsidRDefault="00E1435B" w:rsidP="001733C9">
            <w:pPr>
              <w:contextualSpacing/>
              <w:rPr>
                <w:color w:val="000000"/>
                <w:sz w:val="22"/>
                <w:szCs w:val="22"/>
              </w:rPr>
            </w:pPr>
            <w:r w:rsidRPr="009217FD">
              <w:rPr>
                <w:color w:val="000000"/>
                <w:sz w:val="22"/>
                <w:szCs w:val="22"/>
              </w:rPr>
              <w:t>Законопроект</w:t>
            </w:r>
          </w:p>
        </w:tc>
        <w:tc>
          <w:tcPr>
            <w:tcW w:w="459" w:type="pct"/>
            <w:tcBorders>
              <w:top w:val="nil"/>
              <w:left w:val="nil"/>
              <w:bottom w:val="single" w:sz="4" w:space="0" w:color="auto"/>
              <w:right w:val="single" w:sz="4" w:space="0" w:color="auto"/>
            </w:tcBorders>
            <w:shd w:val="clear" w:color="auto" w:fill="auto"/>
            <w:vAlign w:val="bottom"/>
            <w:hideMark/>
          </w:tcPr>
          <w:p w14:paraId="1E450306" w14:textId="77777777" w:rsidR="00E1435B" w:rsidRPr="009217FD" w:rsidRDefault="00E1435B" w:rsidP="001733C9">
            <w:pPr>
              <w:contextualSpacing/>
              <w:rPr>
                <w:color w:val="000000"/>
                <w:sz w:val="22"/>
                <w:szCs w:val="22"/>
              </w:rPr>
            </w:pPr>
            <w:r w:rsidRPr="009217FD">
              <w:rPr>
                <w:color w:val="000000"/>
                <w:sz w:val="22"/>
                <w:szCs w:val="22"/>
              </w:rPr>
              <w:t>Изм. к 2024, %</w:t>
            </w:r>
          </w:p>
        </w:tc>
      </w:tr>
      <w:tr w:rsidR="00E1435B" w:rsidRPr="009217FD" w14:paraId="6EE35B09" w14:textId="77777777" w:rsidTr="001733C9">
        <w:trPr>
          <w:trHeight w:val="288"/>
        </w:trPr>
        <w:tc>
          <w:tcPr>
            <w:tcW w:w="983" w:type="pct"/>
            <w:tcBorders>
              <w:top w:val="nil"/>
              <w:left w:val="single" w:sz="4" w:space="0" w:color="auto"/>
              <w:bottom w:val="single" w:sz="4" w:space="0" w:color="auto"/>
              <w:right w:val="single" w:sz="4" w:space="0" w:color="auto"/>
            </w:tcBorders>
            <w:shd w:val="clear" w:color="auto" w:fill="auto"/>
            <w:vAlign w:val="bottom"/>
            <w:hideMark/>
          </w:tcPr>
          <w:p w14:paraId="6C40A004" w14:textId="77777777" w:rsidR="00E1435B" w:rsidRPr="009217FD" w:rsidRDefault="00E1435B" w:rsidP="001733C9">
            <w:pPr>
              <w:contextualSpacing/>
              <w:rPr>
                <w:color w:val="000000"/>
                <w:sz w:val="22"/>
                <w:szCs w:val="22"/>
              </w:rPr>
            </w:pPr>
            <w:r w:rsidRPr="009217FD">
              <w:rPr>
                <w:color w:val="000000"/>
                <w:sz w:val="22"/>
                <w:szCs w:val="22"/>
              </w:rPr>
              <w:t>Дотации</w:t>
            </w:r>
          </w:p>
        </w:tc>
        <w:tc>
          <w:tcPr>
            <w:tcW w:w="379" w:type="pct"/>
            <w:tcBorders>
              <w:top w:val="nil"/>
              <w:left w:val="nil"/>
              <w:bottom w:val="single" w:sz="4" w:space="0" w:color="auto"/>
              <w:right w:val="single" w:sz="4" w:space="0" w:color="auto"/>
            </w:tcBorders>
            <w:shd w:val="clear" w:color="auto" w:fill="auto"/>
            <w:vAlign w:val="bottom"/>
            <w:hideMark/>
          </w:tcPr>
          <w:p w14:paraId="06479B50" w14:textId="77777777" w:rsidR="00E1435B" w:rsidRPr="009217FD" w:rsidRDefault="00E1435B" w:rsidP="001733C9">
            <w:pPr>
              <w:contextualSpacing/>
              <w:jc w:val="center"/>
              <w:rPr>
                <w:color w:val="000000"/>
                <w:sz w:val="22"/>
                <w:szCs w:val="22"/>
              </w:rPr>
            </w:pPr>
            <w:r w:rsidRPr="009217FD">
              <w:rPr>
                <w:color w:val="000000"/>
                <w:sz w:val="22"/>
                <w:szCs w:val="22"/>
              </w:rPr>
              <w:t>969</w:t>
            </w:r>
          </w:p>
        </w:tc>
        <w:tc>
          <w:tcPr>
            <w:tcW w:w="379" w:type="pct"/>
            <w:tcBorders>
              <w:top w:val="nil"/>
              <w:left w:val="nil"/>
              <w:bottom w:val="single" w:sz="4" w:space="0" w:color="auto"/>
              <w:right w:val="single" w:sz="4" w:space="0" w:color="auto"/>
            </w:tcBorders>
            <w:shd w:val="clear" w:color="auto" w:fill="auto"/>
            <w:vAlign w:val="bottom"/>
            <w:hideMark/>
          </w:tcPr>
          <w:p w14:paraId="041E083C" w14:textId="77777777" w:rsidR="00E1435B" w:rsidRPr="009217FD" w:rsidRDefault="00E1435B" w:rsidP="001733C9">
            <w:pPr>
              <w:contextualSpacing/>
              <w:jc w:val="center"/>
              <w:rPr>
                <w:color w:val="000000"/>
                <w:sz w:val="22"/>
                <w:szCs w:val="22"/>
              </w:rPr>
            </w:pPr>
            <w:r w:rsidRPr="009217FD">
              <w:rPr>
                <w:color w:val="000000"/>
                <w:sz w:val="22"/>
                <w:szCs w:val="22"/>
              </w:rPr>
              <w:t>970</w:t>
            </w:r>
          </w:p>
        </w:tc>
        <w:tc>
          <w:tcPr>
            <w:tcW w:w="455" w:type="pct"/>
            <w:gridSpan w:val="2"/>
            <w:tcBorders>
              <w:top w:val="nil"/>
              <w:left w:val="nil"/>
              <w:bottom w:val="single" w:sz="4" w:space="0" w:color="auto"/>
              <w:right w:val="single" w:sz="4" w:space="0" w:color="auto"/>
            </w:tcBorders>
            <w:shd w:val="clear" w:color="auto" w:fill="auto"/>
            <w:vAlign w:val="bottom"/>
            <w:hideMark/>
          </w:tcPr>
          <w:p w14:paraId="0F2E93CE" w14:textId="77777777" w:rsidR="00E1435B" w:rsidRPr="009217FD" w:rsidRDefault="00E1435B" w:rsidP="001733C9">
            <w:pPr>
              <w:contextualSpacing/>
              <w:jc w:val="center"/>
              <w:rPr>
                <w:color w:val="000000"/>
                <w:sz w:val="22"/>
                <w:szCs w:val="22"/>
              </w:rPr>
            </w:pPr>
            <w:r w:rsidRPr="009217FD">
              <w:rPr>
                <w:color w:val="000000"/>
                <w:sz w:val="22"/>
                <w:szCs w:val="22"/>
              </w:rPr>
              <w:t>1 004</w:t>
            </w:r>
          </w:p>
        </w:tc>
        <w:tc>
          <w:tcPr>
            <w:tcW w:w="490" w:type="pct"/>
            <w:tcBorders>
              <w:top w:val="nil"/>
              <w:left w:val="nil"/>
              <w:bottom w:val="single" w:sz="4" w:space="0" w:color="auto"/>
              <w:right w:val="single" w:sz="4" w:space="0" w:color="auto"/>
            </w:tcBorders>
            <w:shd w:val="clear" w:color="auto" w:fill="auto"/>
            <w:vAlign w:val="bottom"/>
            <w:hideMark/>
          </w:tcPr>
          <w:p w14:paraId="08E90D8C" w14:textId="77777777" w:rsidR="00E1435B" w:rsidRPr="009217FD" w:rsidRDefault="00E1435B" w:rsidP="001733C9">
            <w:pPr>
              <w:contextualSpacing/>
              <w:jc w:val="center"/>
              <w:rPr>
                <w:color w:val="000000"/>
                <w:sz w:val="22"/>
                <w:szCs w:val="22"/>
              </w:rPr>
            </w:pPr>
            <w:r w:rsidRPr="009217FD">
              <w:rPr>
                <w:color w:val="000000"/>
                <w:sz w:val="22"/>
                <w:szCs w:val="22"/>
              </w:rPr>
              <w:t>103,5</w:t>
            </w:r>
          </w:p>
        </w:tc>
        <w:tc>
          <w:tcPr>
            <w:tcW w:w="426" w:type="pct"/>
            <w:tcBorders>
              <w:top w:val="nil"/>
              <w:left w:val="nil"/>
              <w:bottom w:val="single" w:sz="4" w:space="0" w:color="auto"/>
              <w:right w:val="single" w:sz="4" w:space="0" w:color="auto"/>
            </w:tcBorders>
            <w:shd w:val="clear" w:color="auto" w:fill="auto"/>
            <w:vAlign w:val="bottom"/>
            <w:hideMark/>
          </w:tcPr>
          <w:p w14:paraId="6FB960D0" w14:textId="77777777" w:rsidR="00E1435B" w:rsidRPr="009217FD" w:rsidRDefault="00E1435B" w:rsidP="001733C9">
            <w:pPr>
              <w:contextualSpacing/>
              <w:jc w:val="center"/>
              <w:rPr>
                <w:color w:val="000000"/>
                <w:sz w:val="22"/>
                <w:szCs w:val="22"/>
              </w:rPr>
            </w:pPr>
            <w:r w:rsidRPr="009217FD">
              <w:rPr>
                <w:color w:val="000000"/>
                <w:sz w:val="22"/>
                <w:szCs w:val="22"/>
              </w:rPr>
              <w:t>990</w:t>
            </w:r>
          </w:p>
        </w:tc>
        <w:tc>
          <w:tcPr>
            <w:tcW w:w="483" w:type="pct"/>
            <w:tcBorders>
              <w:top w:val="nil"/>
              <w:left w:val="nil"/>
              <w:bottom w:val="single" w:sz="4" w:space="0" w:color="auto"/>
              <w:right w:val="single" w:sz="4" w:space="0" w:color="auto"/>
            </w:tcBorders>
            <w:shd w:val="clear" w:color="auto" w:fill="auto"/>
            <w:vAlign w:val="bottom"/>
            <w:hideMark/>
          </w:tcPr>
          <w:p w14:paraId="35C40B2B" w14:textId="77777777" w:rsidR="00E1435B" w:rsidRPr="009217FD" w:rsidRDefault="00E1435B" w:rsidP="001733C9">
            <w:pPr>
              <w:contextualSpacing/>
              <w:jc w:val="center"/>
              <w:rPr>
                <w:color w:val="000000"/>
                <w:sz w:val="22"/>
                <w:szCs w:val="22"/>
              </w:rPr>
            </w:pPr>
            <w:r w:rsidRPr="009217FD">
              <w:rPr>
                <w:color w:val="000000"/>
                <w:sz w:val="22"/>
                <w:szCs w:val="22"/>
              </w:rPr>
              <w:t>1 039</w:t>
            </w:r>
          </w:p>
        </w:tc>
        <w:tc>
          <w:tcPr>
            <w:tcW w:w="462" w:type="pct"/>
            <w:tcBorders>
              <w:top w:val="nil"/>
              <w:left w:val="nil"/>
              <w:bottom w:val="single" w:sz="4" w:space="0" w:color="auto"/>
              <w:right w:val="single" w:sz="4" w:space="0" w:color="auto"/>
            </w:tcBorders>
            <w:shd w:val="clear" w:color="auto" w:fill="auto"/>
            <w:vAlign w:val="bottom"/>
            <w:hideMark/>
          </w:tcPr>
          <w:p w14:paraId="3CED30FC" w14:textId="77777777" w:rsidR="00E1435B" w:rsidRPr="009217FD" w:rsidRDefault="00E1435B" w:rsidP="001733C9">
            <w:pPr>
              <w:contextualSpacing/>
              <w:jc w:val="center"/>
              <w:rPr>
                <w:color w:val="000000"/>
                <w:sz w:val="22"/>
                <w:szCs w:val="22"/>
              </w:rPr>
            </w:pPr>
            <w:r w:rsidRPr="009217FD">
              <w:rPr>
                <w:color w:val="000000"/>
                <w:sz w:val="22"/>
                <w:szCs w:val="22"/>
              </w:rPr>
              <w:t>104,9</w:t>
            </w:r>
          </w:p>
        </w:tc>
        <w:tc>
          <w:tcPr>
            <w:tcW w:w="483" w:type="pct"/>
            <w:tcBorders>
              <w:top w:val="nil"/>
              <w:left w:val="nil"/>
              <w:bottom w:val="single" w:sz="4" w:space="0" w:color="auto"/>
              <w:right w:val="single" w:sz="4" w:space="0" w:color="auto"/>
            </w:tcBorders>
            <w:shd w:val="clear" w:color="auto" w:fill="auto"/>
            <w:vAlign w:val="bottom"/>
            <w:hideMark/>
          </w:tcPr>
          <w:p w14:paraId="727D0E82" w14:textId="77777777" w:rsidR="00E1435B" w:rsidRPr="009217FD" w:rsidRDefault="00E1435B" w:rsidP="001733C9">
            <w:pPr>
              <w:contextualSpacing/>
              <w:jc w:val="center"/>
              <w:rPr>
                <w:color w:val="000000"/>
                <w:sz w:val="22"/>
                <w:szCs w:val="22"/>
              </w:rPr>
            </w:pPr>
            <w:r w:rsidRPr="009217FD">
              <w:rPr>
                <w:color w:val="000000"/>
                <w:sz w:val="22"/>
                <w:szCs w:val="22"/>
              </w:rPr>
              <w:t>1 074</w:t>
            </w:r>
          </w:p>
        </w:tc>
        <w:tc>
          <w:tcPr>
            <w:tcW w:w="459" w:type="pct"/>
            <w:tcBorders>
              <w:top w:val="nil"/>
              <w:left w:val="nil"/>
              <w:bottom w:val="single" w:sz="4" w:space="0" w:color="auto"/>
              <w:right w:val="single" w:sz="4" w:space="0" w:color="auto"/>
            </w:tcBorders>
            <w:shd w:val="clear" w:color="auto" w:fill="auto"/>
            <w:vAlign w:val="bottom"/>
            <w:hideMark/>
          </w:tcPr>
          <w:p w14:paraId="42A27EB2" w14:textId="77777777" w:rsidR="00E1435B" w:rsidRPr="009217FD" w:rsidRDefault="00E1435B" w:rsidP="001733C9">
            <w:pPr>
              <w:contextualSpacing/>
              <w:jc w:val="center"/>
              <w:rPr>
                <w:color w:val="000000"/>
                <w:sz w:val="22"/>
                <w:szCs w:val="22"/>
              </w:rPr>
            </w:pPr>
            <w:r w:rsidRPr="009217FD">
              <w:rPr>
                <w:color w:val="000000"/>
                <w:sz w:val="22"/>
                <w:szCs w:val="22"/>
              </w:rPr>
              <w:t>103,4</w:t>
            </w:r>
          </w:p>
        </w:tc>
      </w:tr>
      <w:tr w:rsidR="00E1435B" w:rsidRPr="009217FD" w14:paraId="2E6D24F4" w14:textId="77777777" w:rsidTr="001733C9">
        <w:trPr>
          <w:trHeight w:val="312"/>
        </w:trPr>
        <w:tc>
          <w:tcPr>
            <w:tcW w:w="983" w:type="pct"/>
            <w:tcBorders>
              <w:top w:val="nil"/>
              <w:left w:val="single" w:sz="4" w:space="0" w:color="auto"/>
              <w:bottom w:val="single" w:sz="4" w:space="0" w:color="auto"/>
              <w:right w:val="nil"/>
            </w:tcBorders>
            <w:shd w:val="clear" w:color="auto" w:fill="auto"/>
            <w:vAlign w:val="bottom"/>
            <w:hideMark/>
          </w:tcPr>
          <w:p w14:paraId="23286973" w14:textId="77777777" w:rsidR="00E1435B" w:rsidRPr="009217FD" w:rsidRDefault="00E1435B" w:rsidP="001733C9">
            <w:pPr>
              <w:contextualSpacing/>
              <w:rPr>
                <w:color w:val="000000"/>
                <w:sz w:val="22"/>
                <w:szCs w:val="22"/>
              </w:rPr>
            </w:pPr>
            <w:r w:rsidRPr="009217FD">
              <w:rPr>
                <w:color w:val="000000"/>
                <w:sz w:val="22"/>
                <w:szCs w:val="22"/>
              </w:rPr>
              <w:t xml:space="preserve">в том числе </w:t>
            </w:r>
          </w:p>
        </w:tc>
        <w:tc>
          <w:tcPr>
            <w:tcW w:w="379" w:type="pct"/>
            <w:tcBorders>
              <w:top w:val="nil"/>
              <w:left w:val="nil"/>
              <w:bottom w:val="single" w:sz="4" w:space="0" w:color="auto"/>
              <w:right w:val="nil"/>
            </w:tcBorders>
            <w:shd w:val="clear" w:color="auto" w:fill="auto"/>
            <w:vAlign w:val="bottom"/>
            <w:hideMark/>
          </w:tcPr>
          <w:p w14:paraId="606219F2" w14:textId="77777777" w:rsidR="00E1435B" w:rsidRPr="009217FD" w:rsidRDefault="00E1435B" w:rsidP="001733C9">
            <w:pPr>
              <w:contextualSpacing/>
              <w:rPr>
                <w:color w:val="000000"/>
                <w:sz w:val="22"/>
                <w:szCs w:val="22"/>
              </w:rPr>
            </w:pPr>
            <w:r w:rsidRPr="009217FD">
              <w:rPr>
                <w:color w:val="000000"/>
                <w:sz w:val="22"/>
                <w:szCs w:val="22"/>
              </w:rPr>
              <w:t> </w:t>
            </w:r>
          </w:p>
        </w:tc>
        <w:tc>
          <w:tcPr>
            <w:tcW w:w="379" w:type="pct"/>
            <w:tcBorders>
              <w:top w:val="nil"/>
              <w:left w:val="nil"/>
              <w:bottom w:val="single" w:sz="4" w:space="0" w:color="auto"/>
              <w:right w:val="nil"/>
            </w:tcBorders>
            <w:shd w:val="clear" w:color="auto" w:fill="auto"/>
            <w:vAlign w:val="bottom"/>
            <w:hideMark/>
          </w:tcPr>
          <w:p w14:paraId="2E8A4975" w14:textId="77777777" w:rsidR="00E1435B" w:rsidRPr="009217FD" w:rsidRDefault="00E1435B" w:rsidP="001733C9">
            <w:pPr>
              <w:contextualSpacing/>
              <w:rPr>
                <w:color w:val="000000"/>
                <w:sz w:val="22"/>
                <w:szCs w:val="22"/>
              </w:rPr>
            </w:pPr>
            <w:r w:rsidRPr="009217FD">
              <w:rPr>
                <w:color w:val="000000"/>
                <w:sz w:val="22"/>
                <w:szCs w:val="22"/>
              </w:rPr>
              <w:t> </w:t>
            </w:r>
          </w:p>
        </w:tc>
        <w:tc>
          <w:tcPr>
            <w:tcW w:w="455" w:type="pct"/>
            <w:gridSpan w:val="2"/>
            <w:tcBorders>
              <w:top w:val="nil"/>
              <w:left w:val="nil"/>
              <w:bottom w:val="single" w:sz="4" w:space="0" w:color="auto"/>
              <w:right w:val="nil"/>
            </w:tcBorders>
            <w:shd w:val="clear" w:color="auto" w:fill="auto"/>
            <w:vAlign w:val="bottom"/>
            <w:hideMark/>
          </w:tcPr>
          <w:p w14:paraId="0A30E09A" w14:textId="77777777" w:rsidR="00E1435B" w:rsidRPr="009217FD" w:rsidRDefault="00E1435B" w:rsidP="001733C9">
            <w:pPr>
              <w:contextualSpacing/>
              <w:rPr>
                <w:color w:val="000000"/>
                <w:sz w:val="22"/>
                <w:szCs w:val="22"/>
              </w:rPr>
            </w:pPr>
            <w:r w:rsidRPr="009217FD">
              <w:rPr>
                <w:color w:val="000000"/>
                <w:sz w:val="22"/>
                <w:szCs w:val="22"/>
              </w:rPr>
              <w:t> </w:t>
            </w:r>
          </w:p>
        </w:tc>
        <w:tc>
          <w:tcPr>
            <w:tcW w:w="490" w:type="pct"/>
            <w:tcBorders>
              <w:top w:val="nil"/>
              <w:left w:val="nil"/>
              <w:bottom w:val="single" w:sz="4" w:space="0" w:color="auto"/>
              <w:right w:val="nil"/>
            </w:tcBorders>
            <w:shd w:val="clear" w:color="auto" w:fill="auto"/>
            <w:vAlign w:val="bottom"/>
            <w:hideMark/>
          </w:tcPr>
          <w:p w14:paraId="10253848" w14:textId="77777777" w:rsidR="00E1435B" w:rsidRPr="009217FD" w:rsidRDefault="00E1435B" w:rsidP="001733C9">
            <w:pPr>
              <w:contextualSpacing/>
              <w:rPr>
                <w:color w:val="000000"/>
                <w:sz w:val="22"/>
                <w:szCs w:val="22"/>
              </w:rPr>
            </w:pPr>
            <w:r w:rsidRPr="009217FD">
              <w:rPr>
                <w:color w:val="000000"/>
                <w:sz w:val="22"/>
                <w:szCs w:val="22"/>
              </w:rPr>
              <w:t> </w:t>
            </w:r>
          </w:p>
        </w:tc>
        <w:tc>
          <w:tcPr>
            <w:tcW w:w="426" w:type="pct"/>
            <w:tcBorders>
              <w:top w:val="nil"/>
              <w:left w:val="nil"/>
              <w:bottom w:val="single" w:sz="4" w:space="0" w:color="auto"/>
              <w:right w:val="nil"/>
            </w:tcBorders>
            <w:shd w:val="clear" w:color="auto" w:fill="auto"/>
            <w:vAlign w:val="bottom"/>
            <w:hideMark/>
          </w:tcPr>
          <w:p w14:paraId="7EECEECE" w14:textId="77777777" w:rsidR="00E1435B" w:rsidRPr="009217FD" w:rsidRDefault="00E1435B" w:rsidP="001733C9">
            <w:pPr>
              <w:contextualSpacing/>
              <w:rPr>
                <w:color w:val="000000"/>
                <w:sz w:val="22"/>
                <w:szCs w:val="22"/>
              </w:rPr>
            </w:pPr>
            <w:r w:rsidRPr="009217FD">
              <w:rPr>
                <w:color w:val="000000"/>
                <w:sz w:val="22"/>
                <w:szCs w:val="22"/>
              </w:rPr>
              <w:t> </w:t>
            </w:r>
          </w:p>
        </w:tc>
        <w:tc>
          <w:tcPr>
            <w:tcW w:w="483" w:type="pct"/>
            <w:tcBorders>
              <w:top w:val="nil"/>
              <w:left w:val="nil"/>
              <w:bottom w:val="single" w:sz="4" w:space="0" w:color="auto"/>
              <w:right w:val="nil"/>
            </w:tcBorders>
            <w:shd w:val="clear" w:color="auto" w:fill="auto"/>
            <w:vAlign w:val="bottom"/>
            <w:hideMark/>
          </w:tcPr>
          <w:p w14:paraId="62924E11" w14:textId="77777777" w:rsidR="00E1435B" w:rsidRPr="009217FD" w:rsidRDefault="00E1435B" w:rsidP="001733C9">
            <w:pPr>
              <w:contextualSpacing/>
              <w:rPr>
                <w:color w:val="000000"/>
                <w:sz w:val="22"/>
                <w:szCs w:val="22"/>
              </w:rPr>
            </w:pPr>
            <w:r w:rsidRPr="009217FD">
              <w:rPr>
                <w:color w:val="000000"/>
                <w:sz w:val="22"/>
                <w:szCs w:val="22"/>
              </w:rPr>
              <w:t> </w:t>
            </w:r>
          </w:p>
        </w:tc>
        <w:tc>
          <w:tcPr>
            <w:tcW w:w="462" w:type="pct"/>
            <w:tcBorders>
              <w:top w:val="nil"/>
              <w:left w:val="nil"/>
              <w:bottom w:val="single" w:sz="4" w:space="0" w:color="auto"/>
              <w:right w:val="nil"/>
            </w:tcBorders>
            <w:shd w:val="clear" w:color="auto" w:fill="auto"/>
            <w:vAlign w:val="bottom"/>
            <w:hideMark/>
          </w:tcPr>
          <w:p w14:paraId="21C9DE7C" w14:textId="77777777" w:rsidR="00E1435B" w:rsidRPr="009217FD" w:rsidRDefault="00E1435B" w:rsidP="001733C9">
            <w:pPr>
              <w:contextualSpacing/>
              <w:rPr>
                <w:color w:val="000000"/>
                <w:sz w:val="22"/>
                <w:szCs w:val="22"/>
              </w:rPr>
            </w:pPr>
            <w:r w:rsidRPr="009217FD">
              <w:rPr>
                <w:color w:val="000000"/>
                <w:sz w:val="22"/>
                <w:szCs w:val="22"/>
              </w:rPr>
              <w:t> </w:t>
            </w:r>
          </w:p>
        </w:tc>
        <w:tc>
          <w:tcPr>
            <w:tcW w:w="483" w:type="pct"/>
            <w:tcBorders>
              <w:top w:val="nil"/>
              <w:left w:val="nil"/>
              <w:bottom w:val="single" w:sz="4" w:space="0" w:color="auto"/>
              <w:right w:val="nil"/>
            </w:tcBorders>
            <w:shd w:val="clear" w:color="auto" w:fill="auto"/>
            <w:vAlign w:val="bottom"/>
            <w:hideMark/>
          </w:tcPr>
          <w:p w14:paraId="5868FBA2" w14:textId="77777777" w:rsidR="00E1435B" w:rsidRPr="009217FD" w:rsidRDefault="00E1435B" w:rsidP="001733C9">
            <w:pPr>
              <w:contextualSpacing/>
              <w:rPr>
                <w:color w:val="000000"/>
                <w:sz w:val="22"/>
                <w:szCs w:val="22"/>
              </w:rPr>
            </w:pPr>
            <w:r w:rsidRPr="009217FD">
              <w:rPr>
                <w:color w:val="000000"/>
                <w:sz w:val="22"/>
                <w:szCs w:val="22"/>
              </w:rPr>
              <w:t> </w:t>
            </w:r>
          </w:p>
        </w:tc>
        <w:tc>
          <w:tcPr>
            <w:tcW w:w="459" w:type="pct"/>
            <w:tcBorders>
              <w:top w:val="nil"/>
              <w:left w:val="nil"/>
              <w:bottom w:val="single" w:sz="4" w:space="0" w:color="auto"/>
              <w:right w:val="single" w:sz="4" w:space="0" w:color="auto"/>
            </w:tcBorders>
            <w:shd w:val="clear" w:color="auto" w:fill="auto"/>
            <w:vAlign w:val="bottom"/>
            <w:hideMark/>
          </w:tcPr>
          <w:p w14:paraId="4E8A65B8" w14:textId="77777777" w:rsidR="00E1435B" w:rsidRPr="009217FD" w:rsidRDefault="00E1435B" w:rsidP="001733C9">
            <w:pPr>
              <w:contextualSpacing/>
              <w:rPr>
                <w:color w:val="000000"/>
                <w:sz w:val="22"/>
                <w:szCs w:val="22"/>
              </w:rPr>
            </w:pPr>
            <w:r w:rsidRPr="009217FD">
              <w:rPr>
                <w:color w:val="000000"/>
                <w:sz w:val="22"/>
                <w:szCs w:val="22"/>
              </w:rPr>
              <w:t> </w:t>
            </w:r>
          </w:p>
        </w:tc>
      </w:tr>
      <w:tr w:rsidR="00E1435B" w:rsidRPr="009217FD" w14:paraId="0A3E1A4B" w14:textId="77777777" w:rsidTr="001733C9">
        <w:trPr>
          <w:trHeight w:val="1116"/>
        </w:trPr>
        <w:tc>
          <w:tcPr>
            <w:tcW w:w="983" w:type="pct"/>
            <w:tcBorders>
              <w:top w:val="nil"/>
              <w:left w:val="single" w:sz="4" w:space="0" w:color="auto"/>
              <w:bottom w:val="single" w:sz="4" w:space="0" w:color="auto"/>
              <w:right w:val="single" w:sz="4" w:space="0" w:color="auto"/>
            </w:tcBorders>
            <w:shd w:val="clear" w:color="auto" w:fill="auto"/>
            <w:vAlign w:val="bottom"/>
            <w:hideMark/>
          </w:tcPr>
          <w:p w14:paraId="2C2F67B4" w14:textId="77777777" w:rsidR="00E1435B" w:rsidRPr="009217FD" w:rsidRDefault="00E1435B" w:rsidP="001733C9">
            <w:pPr>
              <w:contextualSpacing/>
              <w:rPr>
                <w:i/>
                <w:iCs/>
                <w:color w:val="000000"/>
                <w:sz w:val="22"/>
                <w:szCs w:val="22"/>
              </w:rPr>
            </w:pPr>
            <w:r w:rsidRPr="009217FD">
              <w:rPr>
                <w:i/>
                <w:iCs/>
                <w:color w:val="000000"/>
                <w:sz w:val="22"/>
                <w:szCs w:val="22"/>
              </w:rPr>
              <w:t>Дотации на выравнивание бюджетной обеспеченности</w:t>
            </w:r>
          </w:p>
        </w:tc>
        <w:tc>
          <w:tcPr>
            <w:tcW w:w="379" w:type="pct"/>
            <w:tcBorders>
              <w:top w:val="nil"/>
              <w:left w:val="nil"/>
              <w:bottom w:val="single" w:sz="4" w:space="0" w:color="auto"/>
              <w:right w:val="single" w:sz="4" w:space="0" w:color="auto"/>
            </w:tcBorders>
            <w:shd w:val="clear" w:color="auto" w:fill="auto"/>
            <w:vAlign w:val="bottom"/>
            <w:hideMark/>
          </w:tcPr>
          <w:p w14:paraId="31AA2DAC" w14:textId="77777777" w:rsidR="00E1435B" w:rsidRPr="009217FD" w:rsidRDefault="00E1435B" w:rsidP="001733C9">
            <w:pPr>
              <w:contextualSpacing/>
              <w:jc w:val="center"/>
              <w:rPr>
                <w:i/>
                <w:iCs/>
                <w:color w:val="000000"/>
                <w:sz w:val="22"/>
                <w:szCs w:val="22"/>
              </w:rPr>
            </w:pPr>
            <w:r w:rsidRPr="009217FD">
              <w:rPr>
                <w:i/>
                <w:iCs/>
                <w:color w:val="000000"/>
                <w:sz w:val="22"/>
                <w:szCs w:val="22"/>
              </w:rPr>
              <w:t>758</w:t>
            </w:r>
          </w:p>
        </w:tc>
        <w:tc>
          <w:tcPr>
            <w:tcW w:w="379" w:type="pct"/>
            <w:tcBorders>
              <w:top w:val="nil"/>
              <w:left w:val="nil"/>
              <w:bottom w:val="single" w:sz="4" w:space="0" w:color="auto"/>
              <w:right w:val="single" w:sz="4" w:space="0" w:color="auto"/>
            </w:tcBorders>
            <w:shd w:val="clear" w:color="auto" w:fill="auto"/>
            <w:vAlign w:val="bottom"/>
            <w:hideMark/>
          </w:tcPr>
          <w:p w14:paraId="68A6EBAF" w14:textId="77777777" w:rsidR="00E1435B" w:rsidRPr="009217FD" w:rsidRDefault="00E1435B" w:rsidP="001733C9">
            <w:pPr>
              <w:contextualSpacing/>
              <w:jc w:val="center"/>
              <w:rPr>
                <w:i/>
                <w:iCs/>
                <w:color w:val="000000"/>
                <w:sz w:val="22"/>
                <w:szCs w:val="22"/>
              </w:rPr>
            </w:pPr>
            <w:r w:rsidRPr="009217FD">
              <w:rPr>
                <w:i/>
                <w:iCs/>
                <w:color w:val="000000"/>
                <w:sz w:val="22"/>
                <w:szCs w:val="22"/>
              </w:rPr>
              <w:t>771</w:t>
            </w:r>
          </w:p>
        </w:tc>
        <w:tc>
          <w:tcPr>
            <w:tcW w:w="455" w:type="pct"/>
            <w:gridSpan w:val="2"/>
            <w:tcBorders>
              <w:top w:val="nil"/>
              <w:left w:val="nil"/>
              <w:bottom w:val="single" w:sz="4" w:space="0" w:color="auto"/>
              <w:right w:val="single" w:sz="4" w:space="0" w:color="auto"/>
            </w:tcBorders>
            <w:shd w:val="clear" w:color="auto" w:fill="auto"/>
            <w:vAlign w:val="bottom"/>
            <w:hideMark/>
          </w:tcPr>
          <w:p w14:paraId="66AC8E5C" w14:textId="77777777" w:rsidR="00E1435B" w:rsidRPr="009217FD" w:rsidRDefault="00E1435B" w:rsidP="001733C9">
            <w:pPr>
              <w:contextualSpacing/>
              <w:jc w:val="center"/>
              <w:rPr>
                <w:i/>
                <w:iCs/>
                <w:color w:val="000000"/>
                <w:sz w:val="22"/>
                <w:szCs w:val="22"/>
              </w:rPr>
            </w:pPr>
            <w:r w:rsidRPr="009217FD">
              <w:rPr>
                <w:i/>
                <w:iCs/>
                <w:color w:val="000000"/>
                <w:sz w:val="22"/>
                <w:szCs w:val="22"/>
              </w:rPr>
              <w:t>823</w:t>
            </w:r>
          </w:p>
        </w:tc>
        <w:tc>
          <w:tcPr>
            <w:tcW w:w="490" w:type="pct"/>
            <w:tcBorders>
              <w:top w:val="nil"/>
              <w:left w:val="nil"/>
              <w:bottom w:val="single" w:sz="4" w:space="0" w:color="auto"/>
              <w:right w:val="single" w:sz="4" w:space="0" w:color="auto"/>
            </w:tcBorders>
            <w:shd w:val="clear" w:color="auto" w:fill="auto"/>
            <w:vAlign w:val="bottom"/>
            <w:hideMark/>
          </w:tcPr>
          <w:p w14:paraId="04DE4DF2" w14:textId="77777777" w:rsidR="00E1435B" w:rsidRPr="009217FD" w:rsidRDefault="00E1435B" w:rsidP="001733C9">
            <w:pPr>
              <w:contextualSpacing/>
              <w:jc w:val="center"/>
              <w:rPr>
                <w:i/>
                <w:iCs/>
                <w:color w:val="000000"/>
                <w:sz w:val="22"/>
                <w:szCs w:val="22"/>
              </w:rPr>
            </w:pPr>
            <w:r w:rsidRPr="009217FD">
              <w:rPr>
                <w:i/>
                <w:iCs/>
                <w:color w:val="000000"/>
                <w:sz w:val="22"/>
                <w:szCs w:val="22"/>
              </w:rPr>
              <w:t>106,7</w:t>
            </w:r>
          </w:p>
        </w:tc>
        <w:tc>
          <w:tcPr>
            <w:tcW w:w="426" w:type="pct"/>
            <w:tcBorders>
              <w:top w:val="nil"/>
              <w:left w:val="nil"/>
              <w:bottom w:val="single" w:sz="4" w:space="0" w:color="auto"/>
              <w:right w:val="single" w:sz="4" w:space="0" w:color="auto"/>
            </w:tcBorders>
            <w:shd w:val="clear" w:color="auto" w:fill="auto"/>
            <w:vAlign w:val="bottom"/>
            <w:hideMark/>
          </w:tcPr>
          <w:p w14:paraId="5F60ED51" w14:textId="77777777" w:rsidR="00E1435B" w:rsidRPr="009217FD" w:rsidRDefault="00E1435B" w:rsidP="001733C9">
            <w:pPr>
              <w:contextualSpacing/>
              <w:jc w:val="center"/>
              <w:rPr>
                <w:i/>
                <w:iCs/>
                <w:color w:val="000000"/>
                <w:sz w:val="22"/>
                <w:szCs w:val="22"/>
              </w:rPr>
            </w:pPr>
            <w:r w:rsidRPr="009217FD">
              <w:rPr>
                <w:i/>
                <w:iCs/>
                <w:color w:val="000000"/>
                <w:sz w:val="22"/>
                <w:szCs w:val="22"/>
              </w:rPr>
              <w:t>791</w:t>
            </w:r>
          </w:p>
        </w:tc>
        <w:tc>
          <w:tcPr>
            <w:tcW w:w="483" w:type="pct"/>
            <w:tcBorders>
              <w:top w:val="nil"/>
              <w:left w:val="nil"/>
              <w:bottom w:val="single" w:sz="4" w:space="0" w:color="auto"/>
              <w:right w:val="single" w:sz="4" w:space="0" w:color="auto"/>
            </w:tcBorders>
            <w:shd w:val="clear" w:color="auto" w:fill="auto"/>
            <w:vAlign w:val="bottom"/>
            <w:hideMark/>
          </w:tcPr>
          <w:p w14:paraId="247D234E" w14:textId="77777777" w:rsidR="00E1435B" w:rsidRPr="009217FD" w:rsidRDefault="00E1435B" w:rsidP="001733C9">
            <w:pPr>
              <w:contextualSpacing/>
              <w:jc w:val="center"/>
              <w:rPr>
                <w:i/>
                <w:iCs/>
                <w:color w:val="000000"/>
                <w:sz w:val="22"/>
                <w:szCs w:val="22"/>
              </w:rPr>
            </w:pPr>
            <w:r w:rsidRPr="009217FD">
              <w:rPr>
                <w:i/>
                <w:iCs/>
                <w:color w:val="000000"/>
                <w:sz w:val="22"/>
                <w:szCs w:val="22"/>
              </w:rPr>
              <w:t>857,8</w:t>
            </w:r>
          </w:p>
        </w:tc>
        <w:tc>
          <w:tcPr>
            <w:tcW w:w="462" w:type="pct"/>
            <w:tcBorders>
              <w:top w:val="nil"/>
              <w:left w:val="nil"/>
              <w:bottom w:val="single" w:sz="4" w:space="0" w:color="auto"/>
              <w:right w:val="single" w:sz="4" w:space="0" w:color="auto"/>
            </w:tcBorders>
            <w:shd w:val="clear" w:color="auto" w:fill="auto"/>
            <w:vAlign w:val="bottom"/>
            <w:hideMark/>
          </w:tcPr>
          <w:p w14:paraId="6FC029DF" w14:textId="77777777" w:rsidR="00E1435B" w:rsidRPr="009217FD" w:rsidRDefault="00E1435B" w:rsidP="001733C9">
            <w:pPr>
              <w:contextualSpacing/>
              <w:jc w:val="center"/>
              <w:rPr>
                <w:i/>
                <w:iCs/>
                <w:color w:val="000000"/>
                <w:sz w:val="22"/>
                <w:szCs w:val="22"/>
              </w:rPr>
            </w:pPr>
            <w:r w:rsidRPr="009217FD">
              <w:rPr>
                <w:i/>
                <w:iCs/>
                <w:color w:val="000000"/>
                <w:sz w:val="22"/>
                <w:szCs w:val="22"/>
              </w:rPr>
              <w:t>108</w:t>
            </w:r>
          </w:p>
        </w:tc>
        <w:tc>
          <w:tcPr>
            <w:tcW w:w="483" w:type="pct"/>
            <w:tcBorders>
              <w:top w:val="nil"/>
              <w:left w:val="nil"/>
              <w:bottom w:val="single" w:sz="4" w:space="0" w:color="auto"/>
              <w:right w:val="single" w:sz="4" w:space="0" w:color="auto"/>
            </w:tcBorders>
            <w:shd w:val="clear" w:color="auto" w:fill="auto"/>
            <w:vAlign w:val="bottom"/>
            <w:hideMark/>
          </w:tcPr>
          <w:p w14:paraId="3A13353E" w14:textId="77777777" w:rsidR="00E1435B" w:rsidRPr="009217FD" w:rsidRDefault="00E1435B" w:rsidP="001733C9">
            <w:pPr>
              <w:contextualSpacing/>
              <w:jc w:val="center"/>
              <w:rPr>
                <w:i/>
                <w:iCs/>
                <w:color w:val="000000"/>
                <w:sz w:val="22"/>
                <w:szCs w:val="22"/>
              </w:rPr>
            </w:pPr>
            <w:r w:rsidRPr="009217FD">
              <w:rPr>
                <w:i/>
                <w:iCs/>
                <w:color w:val="000000"/>
                <w:sz w:val="22"/>
                <w:szCs w:val="22"/>
              </w:rPr>
              <w:t>893</w:t>
            </w:r>
          </w:p>
        </w:tc>
        <w:tc>
          <w:tcPr>
            <w:tcW w:w="459" w:type="pct"/>
            <w:tcBorders>
              <w:top w:val="nil"/>
              <w:left w:val="nil"/>
              <w:bottom w:val="single" w:sz="4" w:space="0" w:color="auto"/>
              <w:right w:val="single" w:sz="4" w:space="0" w:color="auto"/>
            </w:tcBorders>
            <w:shd w:val="clear" w:color="auto" w:fill="auto"/>
            <w:vAlign w:val="bottom"/>
            <w:hideMark/>
          </w:tcPr>
          <w:p w14:paraId="0DEE4E4A" w14:textId="77777777" w:rsidR="00E1435B" w:rsidRPr="009217FD" w:rsidRDefault="00E1435B" w:rsidP="001733C9">
            <w:pPr>
              <w:contextualSpacing/>
              <w:jc w:val="center"/>
              <w:rPr>
                <w:i/>
                <w:iCs/>
                <w:color w:val="000000"/>
                <w:sz w:val="22"/>
                <w:szCs w:val="22"/>
              </w:rPr>
            </w:pPr>
            <w:r w:rsidRPr="009217FD">
              <w:rPr>
                <w:i/>
                <w:iCs/>
                <w:color w:val="000000"/>
                <w:sz w:val="22"/>
                <w:szCs w:val="22"/>
              </w:rPr>
              <w:t>104,1</w:t>
            </w:r>
          </w:p>
        </w:tc>
      </w:tr>
      <w:tr w:rsidR="00E1435B" w:rsidRPr="009217FD" w14:paraId="7AB679D1" w14:textId="77777777" w:rsidTr="001733C9">
        <w:trPr>
          <w:trHeight w:val="361"/>
        </w:trPr>
        <w:tc>
          <w:tcPr>
            <w:tcW w:w="983" w:type="pct"/>
            <w:tcBorders>
              <w:top w:val="single" w:sz="4" w:space="0" w:color="auto"/>
              <w:left w:val="single" w:sz="4" w:space="0" w:color="auto"/>
              <w:bottom w:val="single" w:sz="4" w:space="0" w:color="auto"/>
              <w:right w:val="single" w:sz="4" w:space="0" w:color="auto"/>
            </w:tcBorders>
            <w:shd w:val="clear" w:color="auto" w:fill="auto"/>
            <w:vAlign w:val="bottom"/>
          </w:tcPr>
          <w:p w14:paraId="0B836593" w14:textId="77777777" w:rsidR="00E1435B" w:rsidRPr="009217FD" w:rsidRDefault="00E1435B" w:rsidP="001733C9">
            <w:pPr>
              <w:contextualSpacing/>
              <w:rPr>
                <w:i/>
                <w:iCs/>
                <w:color w:val="000000"/>
                <w:sz w:val="22"/>
                <w:szCs w:val="22"/>
              </w:rPr>
            </w:pPr>
            <w:r w:rsidRPr="009217FD">
              <w:rPr>
                <w:i/>
                <w:iCs/>
                <w:color w:val="000000"/>
                <w:sz w:val="22"/>
                <w:szCs w:val="22"/>
              </w:rPr>
              <w:t>Доля в общем объеме МБТ, %</w:t>
            </w:r>
          </w:p>
        </w:tc>
        <w:tc>
          <w:tcPr>
            <w:tcW w:w="379" w:type="pct"/>
            <w:tcBorders>
              <w:top w:val="single" w:sz="4" w:space="0" w:color="auto"/>
              <w:left w:val="nil"/>
              <w:bottom w:val="single" w:sz="4" w:space="0" w:color="auto"/>
              <w:right w:val="single" w:sz="4" w:space="0" w:color="auto"/>
            </w:tcBorders>
            <w:shd w:val="clear" w:color="auto" w:fill="auto"/>
            <w:vAlign w:val="bottom"/>
          </w:tcPr>
          <w:p w14:paraId="4ADC5FF7" w14:textId="77777777" w:rsidR="00E1435B" w:rsidRPr="009217FD" w:rsidRDefault="00E1435B" w:rsidP="001733C9">
            <w:pPr>
              <w:contextualSpacing/>
              <w:jc w:val="center"/>
              <w:rPr>
                <w:i/>
                <w:iCs/>
                <w:color w:val="000000"/>
                <w:sz w:val="22"/>
                <w:szCs w:val="22"/>
              </w:rPr>
            </w:pPr>
            <w:r w:rsidRPr="009217FD">
              <w:rPr>
                <w:i/>
                <w:iCs/>
                <w:color w:val="000000"/>
                <w:sz w:val="22"/>
                <w:szCs w:val="22"/>
              </w:rPr>
              <w:t>78</w:t>
            </w:r>
          </w:p>
        </w:tc>
        <w:tc>
          <w:tcPr>
            <w:tcW w:w="379" w:type="pct"/>
            <w:tcBorders>
              <w:top w:val="single" w:sz="4" w:space="0" w:color="auto"/>
              <w:left w:val="nil"/>
              <w:bottom w:val="single" w:sz="4" w:space="0" w:color="auto"/>
              <w:right w:val="single" w:sz="4" w:space="0" w:color="auto"/>
            </w:tcBorders>
            <w:shd w:val="clear" w:color="auto" w:fill="auto"/>
            <w:vAlign w:val="bottom"/>
          </w:tcPr>
          <w:p w14:paraId="035A5CFA" w14:textId="77777777" w:rsidR="00E1435B" w:rsidRPr="009217FD" w:rsidRDefault="00E1435B" w:rsidP="001733C9">
            <w:pPr>
              <w:contextualSpacing/>
              <w:jc w:val="center"/>
              <w:rPr>
                <w:i/>
                <w:iCs/>
                <w:color w:val="000000"/>
                <w:sz w:val="22"/>
                <w:szCs w:val="22"/>
              </w:rPr>
            </w:pPr>
            <w:r w:rsidRPr="009217FD">
              <w:rPr>
                <w:i/>
                <w:iCs/>
                <w:color w:val="000000"/>
                <w:sz w:val="22"/>
                <w:szCs w:val="22"/>
              </w:rPr>
              <w:t>79</w:t>
            </w:r>
          </w:p>
        </w:tc>
        <w:tc>
          <w:tcPr>
            <w:tcW w:w="455" w:type="pct"/>
            <w:gridSpan w:val="2"/>
            <w:tcBorders>
              <w:top w:val="single" w:sz="4" w:space="0" w:color="auto"/>
              <w:left w:val="nil"/>
              <w:bottom w:val="single" w:sz="4" w:space="0" w:color="auto"/>
              <w:right w:val="single" w:sz="4" w:space="0" w:color="auto"/>
            </w:tcBorders>
            <w:shd w:val="clear" w:color="auto" w:fill="auto"/>
            <w:vAlign w:val="bottom"/>
          </w:tcPr>
          <w:p w14:paraId="3CAD98EB" w14:textId="77777777" w:rsidR="00E1435B" w:rsidRPr="009217FD" w:rsidRDefault="00E1435B" w:rsidP="001733C9">
            <w:pPr>
              <w:contextualSpacing/>
              <w:jc w:val="center"/>
              <w:rPr>
                <w:i/>
                <w:iCs/>
                <w:color w:val="000000"/>
                <w:sz w:val="22"/>
                <w:szCs w:val="22"/>
              </w:rPr>
            </w:pPr>
            <w:r w:rsidRPr="009217FD">
              <w:rPr>
                <w:i/>
                <w:iCs/>
                <w:color w:val="000000"/>
                <w:sz w:val="22"/>
                <w:szCs w:val="22"/>
              </w:rPr>
              <w:t>82</w:t>
            </w:r>
          </w:p>
        </w:tc>
        <w:tc>
          <w:tcPr>
            <w:tcW w:w="490" w:type="pct"/>
            <w:tcBorders>
              <w:top w:val="single" w:sz="4" w:space="0" w:color="auto"/>
              <w:left w:val="nil"/>
              <w:bottom w:val="single" w:sz="4" w:space="0" w:color="auto"/>
              <w:right w:val="single" w:sz="4" w:space="0" w:color="auto"/>
            </w:tcBorders>
            <w:shd w:val="clear" w:color="auto" w:fill="auto"/>
            <w:vAlign w:val="bottom"/>
          </w:tcPr>
          <w:p w14:paraId="6AD04EC1" w14:textId="77777777" w:rsidR="00E1435B" w:rsidRPr="009217FD" w:rsidRDefault="00E1435B" w:rsidP="001733C9">
            <w:pPr>
              <w:contextualSpacing/>
              <w:jc w:val="center"/>
              <w:rPr>
                <w:i/>
                <w:iCs/>
                <w:color w:val="000000"/>
                <w:sz w:val="22"/>
                <w:szCs w:val="22"/>
              </w:rPr>
            </w:pPr>
            <w:r w:rsidRPr="009217FD">
              <w:rPr>
                <w:i/>
                <w:iCs/>
                <w:color w:val="000000"/>
                <w:sz w:val="22"/>
                <w:szCs w:val="22"/>
              </w:rPr>
              <w:t>-</w:t>
            </w:r>
          </w:p>
        </w:tc>
        <w:tc>
          <w:tcPr>
            <w:tcW w:w="426" w:type="pct"/>
            <w:tcBorders>
              <w:top w:val="single" w:sz="4" w:space="0" w:color="auto"/>
              <w:left w:val="nil"/>
              <w:bottom w:val="single" w:sz="4" w:space="0" w:color="auto"/>
              <w:right w:val="single" w:sz="4" w:space="0" w:color="auto"/>
            </w:tcBorders>
            <w:shd w:val="clear" w:color="auto" w:fill="auto"/>
            <w:vAlign w:val="bottom"/>
          </w:tcPr>
          <w:p w14:paraId="546A24B8" w14:textId="77777777" w:rsidR="00E1435B" w:rsidRPr="009217FD" w:rsidRDefault="00E1435B" w:rsidP="001733C9">
            <w:pPr>
              <w:contextualSpacing/>
              <w:jc w:val="center"/>
              <w:rPr>
                <w:i/>
                <w:iCs/>
                <w:color w:val="000000"/>
                <w:sz w:val="22"/>
                <w:szCs w:val="22"/>
              </w:rPr>
            </w:pPr>
            <w:r w:rsidRPr="009217FD">
              <w:rPr>
                <w:i/>
                <w:iCs/>
                <w:color w:val="000000"/>
                <w:sz w:val="22"/>
                <w:szCs w:val="22"/>
              </w:rPr>
              <w:t>79</w:t>
            </w:r>
          </w:p>
        </w:tc>
        <w:tc>
          <w:tcPr>
            <w:tcW w:w="483" w:type="pct"/>
            <w:tcBorders>
              <w:top w:val="single" w:sz="4" w:space="0" w:color="auto"/>
              <w:left w:val="nil"/>
              <w:bottom w:val="single" w:sz="4" w:space="0" w:color="auto"/>
              <w:right w:val="single" w:sz="4" w:space="0" w:color="auto"/>
            </w:tcBorders>
            <w:shd w:val="clear" w:color="auto" w:fill="auto"/>
            <w:vAlign w:val="bottom"/>
          </w:tcPr>
          <w:p w14:paraId="070F822F" w14:textId="77777777" w:rsidR="00E1435B" w:rsidRPr="009217FD" w:rsidRDefault="00E1435B" w:rsidP="001733C9">
            <w:pPr>
              <w:contextualSpacing/>
              <w:jc w:val="center"/>
              <w:rPr>
                <w:i/>
                <w:iCs/>
                <w:color w:val="000000"/>
                <w:sz w:val="22"/>
                <w:szCs w:val="22"/>
              </w:rPr>
            </w:pPr>
            <w:r w:rsidRPr="009217FD">
              <w:rPr>
                <w:i/>
                <w:iCs/>
                <w:color w:val="000000"/>
                <w:sz w:val="22"/>
                <w:szCs w:val="22"/>
              </w:rPr>
              <w:t>83</w:t>
            </w:r>
          </w:p>
        </w:tc>
        <w:tc>
          <w:tcPr>
            <w:tcW w:w="462" w:type="pct"/>
            <w:tcBorders>
              <w:top w:val="single" w:sz="4" w:space="0" w:color="auto"/>
              <w:left w:val="nil"/>
              <w:bottom w:val="single" w:sz="4" w:space="0" w:color="auto"/>
              <w:right w:val="single" w:sz="4" w:space="0" w:color="auto"/>
            </w:tcBorders>
            <w:shd w:val="clear" w:color="auto" w:fill="auto"/>
            <w:vAlign w:val="bottom"/>
          </w:tcPr>
          <w:p w14:paraId="790208A8" w14:textId="77777777" w:rsidR="00E1435B" w:rsidRPr="009217FD" w:rsidRDefault="00E1435B" w:rsidP="001733C9">
            <w:pPr>
              <w:contextualSpacing/>
              <w:jc w:val="center"/>
              <w:rPr>
                <w:i/>
                <w:iCs/>
                <w:color w:val="000000"/>
                <w:sz w:val="22"/>
                <w:szCs w:val="22"/>
              </w:rPr>
            </w:pPr>
            <w:r w:rsidRPr="009217FD">
              <w:rPr>
                <w:i/>
                <w:iCs/>
                <w:color w:val="000000"/>
                <w:sz w:val="22"/>
                <w:szCs w:val="22"/>
              </w:rPr>
              <w:t>-</w:t>
            </w:r>
          </w:p>
        </w:tc>
        <w:tc>
          <w:tcPr>
            <w:tcW w:w="483" w:type="pct"/>
            <w:tcBorders>
              <w:top w:val="single" w:sz="4" w:space="0" w:color="auto"/>
              <w:left w:val="nil"/>
              <w:bottom w:val="single" w:sz="4" w:space="0" w:color="auto"/>
              <w:right w:val="single" w:sz="4" w:space="0" w:color="auto"/>
            </w:tcBorders>
            <w:shd w:val="clear" w:color="auto" w:fill="auto"/>
            <w:vAlign w:val="bottom"/>
          </w:tcPr>
          <w:p w14:paraId="5E130F17" w14:textId="77777777" w:rsidR="00E1435B" w:rsidRPr="009217FD" w:rsidRDefault="00E1435B" w:rsidP="001733C9">
            <w:pPr>
              <w:contextualSpacing/>
              <w:jc w:val="center"/>
              <w:rPr>
                <w:i/>
                <w:iCs/>
                <w:color w:val="000000"/>
                <w:sz w:val="22"/>
                <w:szCs w:val="22"/>
              </w:rPr>
            </w:pPr>
            <w:r w:rsidRPr="009217FD">
              <w:rPr>
                <w:i/>
                <w:iCs/>
                <w:color w:val="000000"/>
                <w:sz w:val="22"/>
                <w:szCs w:val="22"/>
              </w:rPr>
              <w:t>83</w:t>
            </w:r>
          </w:p>
        </w:tc>
        <w:tc>
          <w:tcPr>
            <w:tcW w:w="459" w:type="pct"/>
            <w:tcBorders>
              <w:top w:val="single" w:sz="4" w:space="0" w:color="auto"/>
              <w:left w:val="nil"/>
              <w:bottom w:val="single" w:sz="4" w:space="0" w:color="auto"/>
              <w:right w:val="single" w:sz="4" w:space="0" w:color="auto"/>
            </w:tcBorders>
            <w:shd w:val="clear" w:color="auto" w:fill="auto"/>
            <w:vAlign w:val="bottom"/>
          </w:tcPr>
          <w:p w14:paraId="1C36BB27" w14:textId="77777777" w:rsidR="00E1435B" w:rsidRPr="009217FD" w:rsidRDefault="00E1435B" w:rsidP="001733C9">
            <w:pPr>
              <w:contextualSpacing/>
              <w:jc w:val="center"/>
              <w:rPr>
                <w:i/>
                <w:iCs/>
                <w:color w:val="000000"/>
                <w:sz w:val="22"/>
                <w:szCs w:val="22"/>
              </w:rPr>
            </w:pPr>
            <w:r w:rsidRPr="009217FD">
              <w:rPr>
                <w:i/>
                <w:iCs/>
                <w:color w:val="000000"/>
                <w:sz w:val="22"/>
                <w:szCs w:val="22"/>
              </w:rPr>
              <w:t>-</w:t>
            </w:r>
          </w:p>
        </w:tc>
      </w:tr>
    </w:tbl>
    <w:p w14:paraId="456C3F09" w14:textId="77777777" w:rsidR="00E1435B" w:rsidRPr="00753A80" w:rsidRDefault="00E1435B" w:rsidP="00E1435B">
      <w:pPr>
        <w:rPr>
          <w:bCs/>
          <w:i/>
          <w:sz w:val="24"/>
          <w:szCs w:val="24"/>
        </w:rPr>
      </w:pPr>
      <w:r w:rsidRPr="00753A80">
        <w:rPr>
          <w:i/>
          <w:noProof/>
          <w:sz w:val="24"/>
          <w:szCs w:val="24"/>
        </w:rPr>
        <w:t xml:space="preserve">Источник: составлено на основании данных </w:t>
      </w:r>
      <w:r w:rsidRPr="00753A80">
        <w:rPr>
          <w:i/>
          <w:sz w:val="24"/>
          <w:szCs w:val="24"/>
        </w:rPr>
        <w:t>законопроекта «</w:t>
      </w:r>
      <w:r w:rsidRPr="00753A80">
        <w:rPr>
          <w:bCs/>
          <w:i/>
          <w:sz w:val="24"/>
          <w:szCs w:val="24"/>
        </w:rPr>
        <w:t>О федеральном бюджете на 2023 год</w:t>
      </w:r>
      <w:r w:rsidRPr="00753A80">
        <w:rPr>
          <w:i/>
          <w:sz w:val="24"/>
          <w:szCs w:val="24"/>
        </w:rPr>
        <w:t xml:space="preserve"> </w:t>
      </w:r>
      <w:r w:rsidRPr="00753A80">
        <w:rPr>
          <w:bCs/>
          <w:i/>
          <w:sz w:val="24"/>
          <w:szCs w:val="24"/>
        </w:rPr>
        <w:t>и на плановый период 2024 и 2025 годов»</w:t>
      </w:r>
    </w:p>
    <w:p w14:paraId="64BB1CB3" w14:textId="77777777" w:rsidR="00E1435B" w:rsidRPr="00753A80" w:rsidRDefault="00E1435B" w:rsidP="00E1435B">
      <w:pPr>
        <w:spacing w:line="360" w:lineRule="auto"/>
        <w:ind w:firstLine="709"/>
        <w:jc w:val="both"/>
        <w:rPr>
          <w:sz w:val="24"/>
          <w:szCs w:val="24"/>
        </w:rPr>
      </w:pPr>
    </w:p>
    <w:p w14:paraId="7F23FB3C" w14:textId="77777777" w:rsidR="00E1435B" w:rsidRPr="00753A80" w:rsidRDefault="00E1435B" w:rsidP="00E1435B">
      <w:pPr>
        <w:spacing w:line="360" w:lineRule="auto"/>
        <w:ind w:firstLine="709"/>
        <w:contextualSpacing/>
        <w:jc w:val="both"/>
        <w:rPr>
          <w:rFonts w:eastAsia="Calibri"/>
          <w:sz w:val="24"/>
          <w:szCs w:val="24"/>
        </w:rPr>
      </w:pPr>
      <w:r w:rsidRPr="00753A80">
        <w:rPr>
          <w:rFonts w:eastAsia="Calibri"/>
          <w:sz w:val="24"/>
          <w:szCs w:val="24"/>
        </w:rPr>
        <w:t xml:space="preserve">Снижение общей суммы выделяемых межбюджетных трансфертов ведет </w:t>
      </w:r>
      <w:r>
        <w:rPr>
          <w:rFonts w:eastAsia="Calibri"/>
          <w:sz w:val="24"/>
          <w:szCs w:val="24"/>
        </w:rPr>
        <w:t xml:space="preserve">и </w:t>
      </w:r>
      <w:r w:rsidRPr="00753A80">
        <w:rPr>
          <w:rFonts w:eastAsia="Calibri"/>
          <w:sz w:val="24"/>
          <w:szCs w:val="24"/>
        </w:rPr>
        <w:t>к изменению их структуры</w:t>
      </w:r>
      <w:r>
        <w:rPr>
          <w:rFonts w:eastAsia="Calibri"/>
          <w:sz w:val="24"/>
          <w:szCs w:val="24"/>
        </w:rPr>
        <w:t xml:space="preserve"> </w:t>
      </w:r>
      <w:r w:rsidRPr="00643E17">
        <w:rPr>
          <w:rFonts w:eastAsia="Calibri"/>
          <w:sz w:val="24"/>
          <w:szCs w:val="24"/>
        </w:rPr>
        <w:t>(рис. 16).</w:t>
      </w:r>
      <w:r w:rsidRPr="00753A80">
        <w:rPr>
          <w:rFonts w:eastAsia="Calibri"/>
          <w:sz w:val="24"/>
          <w:szCs w:val="24"/>
        </w:rPr>
        <w:t xml:space="preserve"> </w:t>
      </w:r>
    </w:p>
    <w:p w14:paraId="226A1C11" w14:textId="77777777" w:rsidR="00E1435B" w:rsidRPr="00753A80" w:rsidRDefault="00E1435B" w:rsidP="00E1435B">
      <w:pPr>
        <w:spacing w:line="360" w:lineRule="auto"/>
        <w:ind w:firstLine="709"/>
        <w:rPr>
          <w:sz w:val="24"/>
          <w:szCs w:val="24"/>
        </w:rPr>
      </w:pPr>
      <w:r w:rsidRPr="00753A80">
        <w:rPr>
          <w:noProof/>
          <w:sz w:val="24"/>
          <w:szCs w:val="24"/>
        </w:rPr>
        <w:drawing>
          <wp:inline distT="0" distB="0" distL="0" distR="0" wp14:anchorId="09FDEDEF" wp14:editId="6D9D9428">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C387F9" w14:textId="77777777" w:rsidR="00E1435B" w:rsidRPr="00753A80" w:rsidRDefault="00E1435B" w:rsidP="00E1435B">
      <w:pPr>
        <w:jc w:val="center"/>
        <w:rPr>
          <w:i/>
          <w:sz w:val="24"/>
          <w:szCs w:val="24"/>
        </w:rPr>
      </w:pPr>
      <w:r w:rsidRPr="00753A80">
        <w:rPr>
          <w:i/>
          <w:sz w:val="24"/>
          <w:szCs w:val="24"/>
        </w:rPr>
        <w:t xml:space="preserve">Рисунок </w:t>
      </w:r>
      <w:r>
        <w:rPr>
          <w:i/>
          <w:sz w:val="24"/>
          <w:szCs w:val="24"/>
        </w:rPr>
        <w:t xml:space="preserve">16 - Структура </w:t>
      </w:r>
      <w:r w:rsidRPr="00753A80">
        <w:rPr>
          <w:i/>
          <w:sz w:val="24"/>
          <w:szCs w:val="24"/>
        </w:rPr>
        <w:t>межбюджетных трансфертов в 202</w:t>
      </w:r>
      <w:r>
        <w:rPr>
          <w:i/>
          <w:sz w:val="24"/>
          <w:szCs w:val="24"/>
        </w:rPr>
        <w:t>1</w:t>
      </w:r>
      <w:r w:rsidRPr="00753A80">
        <w:rPr>
          <w:i/>
          <w:sz w:val="24"/>
          <w:szCs w:val="24"/>
        </w:rPr>
        <w:t>–2025 гг.</w:t>
      </w:r>
    </w:p>
    <w:p w14:paraId="77444674" w14:textId="77777777" w:rsidR="00E1435B" w:rsidRPr="00753A80" w:rsidRDefault="00E1435B" w:rsidP="00E1435B">
      <w:pPr>
        <w:spacing w:line="360" w:lineRule="auto"/>
        <w:ind w:firstLine="709"/>
        <w:rPr>
          <w:i/>
          <w:sz w:val="24"/>
          <w:szCs w:val="24"/>
        </w:rPr>
      </w:pPr>
      <w:r w:rsidRPr="00753A80">
        <w:rPr>
          <w:i/>
          <w:sz w:val="24"/>
          <w:szCs w:val="24"/>
        </w:rPr>
        <w:t>Источник: составлено на основании данных законопроекта</w:t>
      </w:r>
    </w:p>
    <w:p w14:paraId="114FB8AB" w14:textId="77777777" w:rsidR="00E1435B" w:rsidRDefault="00E1435B" w:rsidP="00E1435B">
      <w:pPr>
        <w:spacing w:line="360" w:lineRule="auto"/>
        <w:ind w:firstLine="709"/>
        <w:jc w:val="both"/>
        <w:rPr>
          <w:sz w:val="24"/>
          <w:szCs w:val="24"/>
        </w:rPr>
      </w:pPr>
    </w:p>
    <w:p w14:paraId="3A6C3A95" w14:textId="77777777" w:rsidR="00E1435B" w:rsidRPr="00753A80" w:rsidRDefault="00E1435B" w:rsidP="00E1435B">
      <w:pPr>
        <w:spacing w:line="360" w:lineRule="auto"/>
        <w:ind w:firstLine="709"/>
        <w:contextualSpacing/>
        <w:jc w:val="both"/>
        <w:rPr>
          <w:rFonts w:eastAsia="Calibri"/>
          <w:sz w:val="24"/>
          <w:szCs w:val="24"/>
        </w:rPr>
      </w:pPr>
      <w:r>
        <w:rPr>
          <w:rFonts w:eastAsia="Calibri"/>
          <w:sz w:val="24"/>
          <w:szCs w:val="24"/>
        </w:rPr>
        <w:lastRenderedPageBreak/>
        <w:t xml:space="preserve">Безусловно положительной </w:t>
      </w:r>
      <w:r w:rsidRPr="00753A80">
        <w:rPr>
          <w:sz w:val="24"/>
          <w:szCs w:val="24"/>
        </w:rPr>
        <w:t>тенденци</w:t>
      </w:r>
      <w:r>
        <w:rPr>
          <w:sz w:val="24"/>
          <w:szCs w:val="24"/>
        </w:rPr>
        <w:t xml:space="preserve">ей в 2023 и 2024 годах является </w:t>
      </w:r>
      <w:r w:rsidRPr="00753A80">
        <w:rPr>
          <w:sz w:val="24"/>
          <w:szCs w:val="24"/>
        </w:rPr>
        <w:t>увеличение в структуре межбюджетных трансфертов доли субсидий, как наиболее прозрачн</w:t>
      </w:r>
      <w:r>
        <w:rPr>
          <w:sz w:val="24"/>
          <w:szCs w:val="24"/>
        </w:rPr>
        <w:t xml:space="preserve">ой формы финансовой помощи </w:t>
      </w:r>
      <w:r w:rsidRPr="00753A80">
        <w:rPr>
          <w:sz w:val="24"/>
          <w:szCs w:val="24"/>
        </w:rPr>
        <w:t>с точки зрения контроля и возможностей возврата нецелевого использования средств среди остальных форм межбюджетных трансфертов, что связано с активным софинансированием национальных проектов из федерального бюджета</w:t>
      </w:r>
      <w:r>
        <w:rPr>
          <w:sz w:val="24"/>
          <w:szCs w:val="24"/>
        </w:rPr>
        <w:t xml:space="preserve"> в указанный период</w:t>
      </w:r>
      <w:r w:rsidRPr="00753A80">
        <w:rPr>
          <w:sz w:val="24"/>
          <w:szCs w:val="24"/>
        </w:rPr>
        <w:t>, реализуемых на территории субъектов Российской Федерации</w:t>
      </w:r>
      <w:r w:rsidRPr="00753A80">
        <w:rPr>
          <w:iCs/>
          <w:sz w:val="24"/>
          <w:szCs w:val="24"/>
        </w:rPr>
        <w:t>. В общем объеме межбюджетных трансфертов из федерального бюджета бюджетам субъектов Российской Федерации доля субсидий в 2023 и 2024 годы запланирована на уровне 48% и 50% соответственно</w:t>
      </w:r>
      <w:r w:rsidRPr="00753A80">
        <w:rPr>
          <w:sz w:val="24"/>
          <w:szCs w:val="24"/>
        </w:rPr>
        <w:t xml:space="preserve">, что </w:t>
      </w:r>
      <w:r>
        <w:rPr>
          <w:sz w:val="24"/>
          <w:szCs w:val="24"/>
        </w:rPr>
        <w:t xml:space="preserve">существенно </w:t>
      </w:r>
      <w:r w:rsidRPr="00753A80">
        <w:rPr>
          <w:sz w:val="24"/>
          <w:szCs w:val="24"/>
        </w:rPr>
        <w:t xml:space="preserve">превышает </w:t>
      </w:r>
      <w:r>
        <w:rPr>
          <w:sz w:val="24"/>
          <w:szCs w:val="24"/>
        </w:rPr>
        <w:t xml:space="preserve">аналогичный показатель в </w:t>
      </w:r>
      <w:r w:rsidRPr="00753A80">
        <w:rPr>
          <w:sz w:val="24"/>
          <w:szCs w:val="24"/>
        </w:rPr>
        <w:t>2021–2022 год</w:t>
      </w:r>
      <w:r>
        <w:rPr>
          <w:sz w:val="24"/>
          <w:szCs w:val="24"/>
        </w:rPr>
        <w:t>ы</w:t>
      </w:r>
      <w:r w:rsidRPr="00753A80">
        <w:rPr>
          <w:sz w:val="24"/>
          <w:szCs w:val="24"/>
        </w:rPr>
        <w:t xml:space="preserve"> – 33% и 44%. </w:t>
      </w:r>
      <w:r>
        <w:rPr>
          <w:rFonts w:eastAsia="Calibri"/>
          <w:sz w:val="24"/>
          <w:szCs w:val="24"/>
        </w:rPr>
        <w:t>В то же время в 2025 году в связи с завершением софинансирования национальных проектов в субъектах РФ доля субсидий в общем объеме трансфертов резко с</w:t>
      </w:r>
      <w:r w:rsidRPr="00753A80">
        <w:rPr>
          <w:rFonts w:eastAsia="Calibri"/>
          <w:sz w:val="24"/>
          <w:szCs w:val="24"/>
        </w:rPr>
        <w:t xml:space="preserve">нижается </w:t>
      </w:r>
      <w:r>
        <w:rPr>
          <w:rFonts w:eastAsia="Calibri"/>
          <w:sz w:val="24"/>
          <w:szCs w:val="24"/>
        </w:rPr>
        <w:t>(</w:t>
      </w:r>
      <w:r w:rsidRPr="00753A80">
        <w:rPr>
          <w:rFonts w:eastAsia="Calibri"/>
          <w:sz w:val="24"/>
          <w:szCs w:val="24"/>
        </w:rPr>
        <w:t>до 40%</w:t>
      </w:r>
      <w:r>
        <w:rPr>
          <w:rFonts w:eastAsia="Calibri"/>
          <w:sz w:val="24"/>
          <w:szCs w:val="24"/>
        </w:rPr>
        <w:t xml:space="preserve"> в сравнении с 48–50% в 2023–2024 годы)</w:t>
      </w:r>
      <w:r w:rsidRPr="00753A80">
        <w:rPr>
          <w:rFonts w:eastAsia="Calibri"/>
          <w:sz w:val="24"/>
          <w:szCs w:val="24"/>
        </w:rPr>
        <w:t xml:space="preserve">. </w:t>
      </w:r>
      <w:r>
        <w:rPr>
          <w:rFonts w:eastAsia="Calibri"/>
          <w:sz w:val="24"/>
          <w:szCs w:val="24"/>
        </w:rPr>
        <w:t xml:space="preserve">Одновременно доля дотаций увеличивается за три года бюджетного цикла на 15 позиций (с 27% в 2022 году до 42% в 2025 году). </w:t>
      </w:r>
      <w:r w:rsidRPr="00753A80">
        <w:rPr>
          <w:rFonts w:eastAsia="Calibri"/>
          <w:sz w:val="24"/>
          <w:szCs w:val="24"/>
        </w:rPr>
        <w:t xml:space="preserve">Таким образом, повышается объем нецелевых трансфертов, направленных прежде всего на выравнивание бюджетной обеспеченности регионов (~83% от общей суммы дотаций). Данное явление имеет негативных характер, так как </w:t>
      </w:r>
      <w:proofErr w:type="spellStart"/>
      <w:r w:rsidRPr="00753A80">
        <w:rPr>
          <w:rFonts w:eastAsia="Calibri"/>
          <w:sz w:val="24"/>
          <w:szCs w:val="24"/>
        </w:rPr>
        <w:t>дестимулирует</w:t>
      </w:r>
      <w:proofErr w:type="spellEnd"/>
      <w:r w:rsidRPr="00753A80">
        <w:rPr>
          <w:rFonts w:eastAsia="Calibri"/>
          <w:sz w:val="24"/>
          <w:szCs w:val="24"/>
        </w:rPr>
        <w:t xml:space="preserve"> региональные власти к реализации мероприятий по увеличению налоговой базы для финансирования собственных расходных обязательств. </w:t>
      </w:r>
    </w:p>
    <w:p w14:paraId="65104463" w14:textId="77777777" w:rsidR="00E1435B" w:rsidRPr="00753A80" w:rsidRDefault="00E1435B" w:rsidP="00E1435B">
      <w:pPr>
        <w:spacing w:line="360" w:lineRule="auto"/>
        <w:ind w:firstLine="709"/>
        <w:jc w:val="both"/>
        <w:rPr>
          <w:sz w:val="24"/>
          <w:szCs w:val="24"/>
        </w:rPr>
      </w:pPr>
      <w:r>
        <w:rPr>
          <w:sz w:val="24"/>
          <w:szCs w:val="24"/>
        </w:rPr>
        <w:t xml:space="preserve">Рост доли субсидий в 2023 и 2024 годы в общем объеме трансфертов из федерального бюджета обусловлен </w:t>
      </w:r>
      <w:r w:rsidRPr="00753A80">
        <w:rPr>
          <w:sz w:val="24"/>
          <w:szCs w:val="24"/>
        </w:rPr>
        <w:t>сохранение</w:t>
      </w:r>
      <w:r>
        <w:rPr>
          <w:sz w:val="24"/>
          <w:szCs w:val="24"/>
        </w:rPr>
        <w:t>м</w:t>
      </w:r>
      <w:r w:rsidRPr="00753A80">
        <w:rPr>
          <w:sz w:val="24"/>
          <w:szCs w:val="24"/>
        </w:rPr>
        <w:t xml:space="preserve"> в законопроекте </w:t>
      </w:r>
      <w:r>
        <w:rPr>
          <w:sz w:val="24"/>
          <w:szCs w:val="24"/>
        </w:rPr>
        <w:t xml:space="preserve">их </w:t>
      </w:r>
      <w:r w:rsidRPr="00753A80">
        <w:rPr>
          <w:sz w:val="24"/>
          <w:szCs w:val="24"/>
        </w:rPr>
        <w:t>объемов</w:t>
      </w:r>
      <w:r>
        <w:rPr>
          <w:sz w:val="24"/>
          <w:szCs w:val="24"/>
        </w:rPr>
        <w:t xml:space="preserve"> </w:t>
      </w:r>
      <w:r w:rsidRPr="00753A80">
        <w:rPr>
          <w:sz w:val="24"/>
          <w:szCs w:val="24"/>
        </w:rPr>
        <w:t>на</w:t>
      </w:r>
      <w:r>
        <w:rPr>
          <w:sz w:val="24"/>
          <w:szCs w:val="24"/>
        </w:rPr>
        <w:t xml:space="preserve"> </w:t>
      </w:r>
      <w:r w:rsidRPr="00753A80">
        <w:rPr>
          <w:sz w:val="24"/>
          <w:szCs w:val="24"/>
        </w:rPr>
        <w:t>уровне</w:t>
      </w:r>
      <w:r>
        <w:rPr>
          <w:sz w:val="24"/>
          <w:szCs w:val="24"/>
        </w:rPr>
        <w:t xml:space="preserve">, установленном </w:t>
      </w:r>
      <w:r w:rsidRPr="00753A80">
        <w:rPr>
          <w:sz w:val="24"/>
          <w:szCs w:val="24"/>
        </w:rPr>
        <w:t>в Федеральном законе от 06.12.2021г. № 390-ФЗ</w:t>
      </w:r>
      <w:r>
        <w:rPr>
          <w:sz w:val="24"/>
          <w:szCs w:val="24"/>
        </w:rPr>
        <w:t xml:space="preserve"> в части софинансирования национальных проектов в субъектах Федерации. </w:t>
      </w:r>
      <w:r w:rsidRPr="00753A80">
        <w:rPr>
          <w:sz w:val="24"/>
          <w:szCs w:val="24"/>
        </w:rPr>
        <w:t>Однако, при этом сохраняются риски достижения целей национальных проектов вследствие удорожания стоимости выполнения работ, о чем писалось выше, и необходимости выделения дополнительных средств из бюджетов субъектов Российской Федерации</w:t>
      </w:r>
      <w:r>
        <w:rPr>
          <w:sz w:val="24"/>
          <w:szCs w:val="24"/>
        </w:rPr>
        <w:t>.</w:t>
      </w:r>
    </w:p>
    <w:p w14:paraId="3C1C7723" w14:textId="77777777" w:rsidR="00E1435B" w:rsidRPr="00753A80" w:rsidRDefault="00E1435B" w:rsidP="00E1435B">
      <w:pPr>
        <w:spacing w:line="360" w:lineRule="auto"/>
        <w:ind w:firstLine="709"/>
        <w:contextualSpacing/>
        <w:jc w:val="both"/>
        <w:rPr>
          <w:b/>
          <w:bCs/>
          <w:sz w:val="24"/>
          <w:szCs w:val="24"/>
        </w:rPr>
      </w:pPr>
      <w:r>
        <w:rPr>
          <w:sz w:val="24"/>
          <w:szCs w:val="24"/>
        </w:rPr>
        <w:t>Н</w:t>
      </w:r>
      <w:r w:rsidRPr="00753A80">
        <w:rPr>
          <w:sz w:val="24"/>
          <w:szCs w:val="24"/>
        </w:rPr>
        <w:t>есмотря на сложную геополитическую и экономическую ситуацию,</w:t>
      </w:r>
      <w:r>
        <w:rPr>
          <w:sz w:val="24"/>
          <w:szCs w:val="24"/>
        </w:rPr>
        <w:t xml:space="preserve"> сопровождающую прогнозный бюджетный цикл, </w:t>
      </w:r>
      <w:r w:rsidRPr="00753A80">
        <w:rPr>
          <w:sz w:val="24"/>
          <w:szCs w:val="24"/>
        </w:rPr>
        <w:t xml:space="preserve">следует положительно оценить </w:t>
      </w:r>
      <w:r w:rsidRPr="00753A80">
        <w:rPr>
          <w:iCs/>
          <w:sz w:val="24"/>
          <w:szCs w:val="24"/>
        </w:rPr>
        <w:t xml:space="preserve">для обеспечения сбалансированности бюджетов </w:t>
      </w:r>
      <w:r w:rsidRPr="00753A80">
        <w:rPr>
          <w:sz w:val="24"/>
          <w:szCs w:val="24"/>
        </w:rPr>
        <w:t xml:space="preserve">субъектов Российской Федерации </w:t>
      </w:r>
      <w:r w:rsidRPr="00753A80">
        <w:rPr>
          <w:iCs/>
          <w:sz w:val="24"/>
          <w:szCs w:val="24"/>
        </w:rPr>
        <w:t xml:space="preserve">резервирование в составе бюджетных ассигнований федерального бюджета средств в объеме до 497,9 млрд рублей на продолжение реализации отдельных мероприятий, входящих в состав национальных проектов в 2023 и 2024 годах, с учетом </w:t>
      </w:r>
      <w:r w:rsidRPr="00753A80">
        <w:rPr>
          <w:sz w:val="24"/>
          <w:szCs w:val="24"/>
        </w:rPr>
        <w:t xml:space="preserve">возможности переноса сроков выполнения работ вследствие влияния внешних факторов. </w:t>
      </w:r>
    </w:p>
    <w:p w14:paraId="2B134625" w14:textId="77777777" w:rsidR="00E1435B" w:rsidRPr="00753A80" w:rsidRDefault="00E1435B" w:rsidP="00E1435B">
      <w:pPr>
        <w:spacing w:line="360" w:lineRule="auto"/>
        <w:ind w:firstLine="709"/>
        <w:contextualSpacing/>
        <w:jc w:val="both"/>
        <w:rPr>
          <w:sz w:val="24"/>
          <w:szCs w:val="24"/>
        </w:rPr>
      </w:pPr>
      <w:r w:rsidRPr="00753A80">
        <w:rPr>
          <w:sz w:val="24"/>
          <w:szCs w:val="24"/>
        </w:rPr>
        <w:t xml:space="preserve">Положительной тенденцией является увеличение финансирования и введение новых </w:t>
      </w:r>
      <w:r>
        <w:rPr>
          <w:sz w:val="24"/>
          <w:szCs w:val="24"/>
        </w:rPr>
        <w:t>видов субсидий</w:t>
      </w:r>
      <w:r w:rsidRPr="00753A80">
        <w:rPr>
          <w:sz w:val="24"/>
          <w:szCs w:val="24"/>
        </w:rPr>
        <w:t xml:space="preserve"> из федерального бюджета в бюджеты субъектов Российской Федерации, </w:t>
      </w:r>
      <w:r w:rsidRPr="00753A80">
        <w:rPr>
          <w:sz w:val="24"/>
          <w:szCs w:val="24"/>
        </w:rPr>
        <w:lastRenderedPageBreak/>
        <w:t>непосредственно затрагивающих реальный сектор экономики как основу обеспечения экономического развития, а именно:</w:t>
      </w:r>
    </w:p>
    <w:p w14:paraId="1D76B769" w14:textId="77777777" w:rsidR="00E1435B" w:rsidRPr="00753A80" w:rsidRDefault="00E1435B" w:rsidP="00E1435B">
      <w:pPr>
        <w:spacing w:line="360" w:lineRule="auto"/>
        <w:ind w:firstLine="709"/>
        <w:contextualSpacing/>
        <w:jc w:val="both"/>
        <w:rPr>
          <w:sz w:val="24"/>
          <w:szCs w:val="24"/>
        </w:rPr>
      </w:pPr>
      <w:r w:rsidRPr="00753A80">
        <w:rPr>
          <w:sz w:val="24"/>
          <w:szCs w:val="24"/>
        </w:rPr>
        <w:t>- субсидии на возмещение затрат по созданию, модернизации и (или) реконструкции объектов инфраструктуры индустриальных парков или промышленных технопарков (15,6 млрд руб. – 2024 г., 13,9 млрд руб. – 2025 г., ранее 1 млрд руб. - 2024 г.);</w:t>
      </w:r>
    </w:p>
    <w:p w14:paraId="6E66F2EF" w14:textId="77777777" w:rsidR="00E1435B" w:rsidRPr="00753A80" w:rsidRDefault="00E1435B" w:rsidP="00E1435B">
      <w:pPr>
        <w:spacing w:line="360" w:lineRule="auto"/>
        <w:ind w:firstLine="709"/>
        <w:contextualSpacing/>
        <w:jc w:val="both"/>
        <w:rPr>
          <w:sz w:val="24"/>
          <w:szCs w:val="24"/>
        </w:rPr>
      </w:pPr>
      <w:r w:rsidRPr="00753A80">
        <w:rPr>
          <w:sz w:val="24"/>
          <w:szCs w:val="24"/>
        </w:rPr>
        <w:t>- субсидия Камчатскому краю в целях софинансирования строительства объектов в рамках инвестиционного проекта "</w:t>
      </w:r>
      <w:proofErr w:type="spellStart"/>
      <w:r w:rsidRPr="00753A80">
        <w:rPr>
          <w:sz w:val="24"/>
          <w:szCs w:val="24"/>
        </w:rPr>
        <w:t>Регазификационный</w:t>
      </w:r>
      <w:proofErr w:type="spellEnd"/>
      <w:r w:rsidRPr="00753A80">
        <w:rPr>
          <w:sz w:val="24"/>
          <w:szCs w:val="24"/>
        </w:rPr>
        <w:t xml:space="preserve"> комплекс СПГ в Камчатском крае" в бухте Раковая Авачинской губы (4 млрд руб. в 2023, 2024, 2025 гг., ранее –не было);</w:t>
      </w:r>
    </w:p>
    <w:p w14:paraId="7E82B913" w14:textId="77777777" w:rsidR="00E1435B" w:rsidRPr="00753A80" w:rsidRDefault="00E1435B" w:rsidP="00E1435B">
      <w:pPr>
        <w:spacing w:line="360" w:lineRule="auto"/>
        <w:ind w:firstLine="709"/>
        <w:contextualSpacing/>
        <w:jc w:val="both"/>
        <w:rPr>
          <w:sz w:val="24"/>
          <w:szCs w:val="24"/>
        </w:rPr>
      </w:pPr>
      <w:r w:rsidRPr="00753A80">
        <w:rPr>
          <w:sz w:val="24"/>
          <w:szCs w:val="24"/>
        </w:rPr>
        <w:t>-</w:t>
      </w:r>
      <w:r w:rsidRPr="00753A80">
        <w:rPr>
          <w:color w:val="000000"/>
          <w:sz w:val="24"/>
          <w:szCs w:val="24"/>
        </w:rPr>
        <w:t xml:space="preserve"> субсидия на поддержку субъектов Российской Федерации для создания инженерной и транспортной инфраструктуры в целях развития туристских кластеров (95 млрд. руб. – 2023 г., 9,2 млрд руб. – 2024 г., ранее – не было).</w:t>
      </w:r>
    </w:p>
    <w:p w14:paraId="780310A6" w14:textId="2750CB2F" w:rsidR="00E1435B" w:rsidRDefault="00E1435B" w:rsidP="00E1435B">
      <w:pPr>
        <w:spacing w:line="360" w:lineRule="auto"/>
        <w:ind w:firstLine="709"/>
        <w:contextualSpacing/>
        <w:jc w:val="both"/>
        <w:rPr>
          <w:rFonts w:eastAsia="Calibri"/>
          <w:sz w:val="24"/>
          <w:szCs w:val="24"/>
        </w:rPr>
      </w:pPr>
      <w:r w:rsidRPr="00753A80">
        <w:rPr>
          <w:sz w:val="24"/>
          <w:szCs w:val="24"/>
        </w:rPr>
        <w:t xml:space="preserve">В предстоящем бюджетном цикле по многим направлениям предоставления субсидий из федерального бюджета на условиях софинансирования в рамках реализации государственных программ заложены объемы, превышающие утвержденные в Федеральном законе от 06.12.2021г. №390-ФЗ на соответствующий период. </w:t>
      </w:r>
      <w:r>
        <w:rPr>
          <w:rFonts w:eastAsia="Calibri"/>
          <w:sz w:val="24"/>
          <w:szCs w:val="24"/>
        </w:rPr>
        <w:t xml:space="preserve">В этой связи </w:t>
      </w:r>
      <w:r w:rsidRPr="00753A80">
        <w:rPr>
          <w:rFonts w:eastAsia="Calibri"/>
          <w:sz w:val="24"/>
          <w:szCs w:val="24"/>
        </w:rPr>
        <w:t xml:space="preserve">необходимо </w:t>
      </w:r>
      <w:r>
        <w:rPr>
          <w:rFonts w:eastAsia="Calibri"/>
          <w:sz w:val="24"/>
          <w:szCs w:val="24"/>
        </w:rPr>
        <w:t xml:space="preserve">более подробно </w:t>
      </w:r>
      <w:r w:rsidRPr="00753A80">
        <w:rPr>
          <w:rFonts w:eastAsia="Calibri"/>
          <w:sz w:val="24"/>
          <w:szCs w:val="24"/>
        </w:rPr>
        <w:t>проанализировать</w:t>
      </w:r>
      <w:r>
        <w:rPr>
          <w:rFonts w:eastAsia="Calibri"/>
          <w:sz w:val="24"/>
          <w:szCs w:val="24"/>
        </w:rPr>
        <w:t xml:space="preserve"> их распределение по ключевым направлениям программных расходов и оценить, по </w:t>
      </w:r>
      <w:r w:rsidRPr="00753A80">
        <w:rPr>
          <w:rFonts w:eastAsia="Calibri"/>
          <w:sz w:val="24"/>
          <w:szCs w:val="24"/>
        </w:rPr>
        <w:t>каки</w:t>
      </w:r>
      <w:r>
        <w:rPr>
          <w:rFonts w:eastAsia="Calibri"/>
          <w:sz w:val="24"/>
          <w:szCs w:val="24"/>
        </w:rPr>
        <w:t>м</w:t>
      </w:r>
      <w:r w:rsidRPr="00753A80">
        <w:rPr>
          <w:rFonts w:eastAsia="Calibri"/>
          <w:sz w:val="24"/>
          <w:szCs w:val="24"/>
        </w:rPr>
        <w:t xml:space="preserve"> конкретно </w:t>
      </w:r>
      <w:r>
        <w:rPr>
          <w:rFonts w:eastAsia="Calibri"/>
          <w:sz w:val="24"/>
          <w:szCs w:val="24"/>
        </w:rPr>
        <w:t xml:space="preserve">программным </w:t>
      </w:r>
      <w:r w:rsidRPr="00753A80">
        <w:rPr>
          <w:rFonts w:eastAsia="Calibri"/>
          <w:sz w:val="24"/>
          <w:szCs w:val="24"/>
        </w:rPr>
        <w:t>направления</w:t>
      </w:r>
      <w:r>
        <w:rPr>
          <w:rFonts w:eastAsia="Calibri"/>
          <w:sz w:val="24"/>
          <w:szCs w:val="24"/>
        </w:rPr>
        <w:t>м</w:t>
      </w:r>
      <w:r w:rsidRPr="00753A80">
        <w:rPr>
          <w:rFonts w:eastAsia="Calibri"/>
          <w:sz w:val="24"/>
          <w:szCs w:val="24"/>
        </w:rPr>
        <w:t xml:space="preserve"> </w:t>
      </w:r>
      <w:r>
        <w:rPr>
          <w:rFonts w:eastAsia="Calibri"/>
          <w:sz w:val="24"/>
          <w:szCs w:val="24"/>
        </w:rPr>
        <w:t xml:space="preserve">субсидии сокращаются, а по каким будут увеличиваться. </w:t>
      </w:r>
      <w:r w:rsidRPr="00643E17">
        <w:rPr>
          <w:rFonts w:eastAsia="Calibri"/>
          <w:sz w:val="24"/>
          <w:szCs w:val="24"/>
        </w:rPr>
        <w:t>В таблице 10</w:t>
      </w:r>
      <w:r w:rsidRPr="00753A80">
        <w:rPr>
          <w:rFonts w:eastAsia="Calibri"/>
          <w:sz w:val="24"/>
          <w:szCs w:val="24"/>
        </w:rPr>
        <w:t xml:space="preserve"> представлен полный перечень государственных программ, в рамках которых предоставляются субсидии бюджетам </w:t>
      </w:r>
      <w:r w:rsidRPr="00753A80">
        <w:rPr>
          <w:sz w:val="24"/>
          <w:szCs w:val="24"/>
        </w:rPr>
        <w:t xml:space="preserve">субъектов Российской Федерации </w:t>
      </w:r>
      <w:r w:rsidRPr="00753A80">
        <w:rPr>
          <w:rFonts w:eastAsia="Calibri"/>
          <w:sz w:val="24"/>
          <w:szCs w:val="24"/>
        </w:rPr>
        <w:t xml:space="preserve">для реализации </w:t>
      </w:r>
      <w:r>
        <w:rPr>
          <w:rFonts w:eastAsia="Calibri"/>
          <w:sz w:val="24"/>
          <w:szCs w:val="24"/>
        </w:rPr>
        <w:t xml:space="preserve">программных </w:t>
      </w:r>
      <w:r w:rsidRPr="00753A80">
        <w:rPr>
          <w:rFonts w:eastAsia="Calibri"/>
          <w:sz w:val="24"/>
          <w:szCs w:val="24"/>
        </w:rPr>
        <w:t xml:space="preserve">мероприятий. </w:t>
      </w:r>
    </w:p>
    <w:p w14:paraId="618FA257" w14:textId="77777777" w:rsidR="00212121" w:rsidRDefault="00212121" w:rsidP="00E1435B">
      <w:pPr>
        <w:spacing w:line="360" w:lineRule="auto"/>
        <w:ind w:firstLine="709"/>
        <w:contextualSpacing/>
        <w:jc w:val="both"/>
        <w:rPr>
          <w:rFonts w:eastAsia="Calibri"/>
          <w:sz w:val="24"/>
          <w:szCs w:val="24"/>
        </w:rPr>
      </w:pPr>
    </w:p>
    <w:p w14:paraId="04267F4E" w14:textId="5A4F3C55" w:rsidR="00E1435B" w:rsidRPr="00643E17" w:rsidRDefault="00E1435B" w:rsidP="00E1435B">
      <w:pPr>
        <w:spacing w:line="360" w:lineRule="auto"/>
        <w:jc w:val="both"/>
        <w:rPr>
          <w:bCs/>
          <w:i/>
          <w:iCs/>
          <w:color w:val="000000" w:themeColor="text1"/>
          <w:sz w:val="24"/>
          <w:szCs w:val="24"/>
        </w:rPr>
      </w:pPr>
      <w:r w:rsidRPr="00643E17">
        <w:rPr>
          <w:bCs/>
          <w:i/>
          <w:iCs/>
          <w:color w:val="000000" w:themeColor="text1"/>
          <w:sz w:val="24"/>
          <w:szCs w:val="24"/>
        </w:rPr>
        <w:t>Таблица</w:t>
      </w:r>
      <w:r w:rsidR="009217FD">
        <w:rPr>
          <w:bCs/>
          <w:i/>
          <w:iCs/>
          <w:color w:val="000000" w:themeColor="text1"/>
          <w:sz w:val="24"/>
          <w:szCs w:val="24"/>
        </w:rPr>
        <w:t xml:space="preserve"> </w:t>
      </w:r>
      <w:r w:rsidRPr="00643E17">
        <w:rPr>
          <w:bCs/>
          <w:i/>
          <w:iCs/>
          <w:color w:val="000000" w:themeColor="text1"/>
          <w:sz w:val="24"/>
          <w:szCs w:val="24"/>
        </w:rPr>
        <w:t>10 - Распределения субсидий по государственным программам в проекте бюджета 2023–2025, млн руб.</w:t>
      </w:r>
    </w:p>
    <w:tbl>
      <w:tblPr>
        <w:tblW w:w="5000" w:type="pct"/>
        <w:tblLook w:val="04A0" w:firstRow="1" w:lastRow="0" w:firstColumn="1" w:lastColumn="0" w:noHBand="0" w:noVBand="1"/>
      </w:tblPr>
      <w:tblGrid>
        <w:gridCol w:w="3275"/>
        <w:gridCol w:w="1320"/>
        <w:gridCol w:w="1320"/>
        <w:gridCol w:w="979"/>
        <w:gridCol w:w="1320"/>
        <w:gridCol w:w="1131"/>
      </w:tblGrid>
      <w:tr w:rsidR="00E1435B" w:rsidRPr="009217FD" w14:paraId="59184404" w14:textId="77777777" w:rsidTr="00195EDA">
        <w:trPr>
          <w:trHeight w:val="476"/>
        </w:trPr>
        <w:tc>
          <w:tcPr>
            <w:tcW w:w="17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EE8AC8" w14:textId="77777777" w:rsidR="00E1435B" w:rsidRPr="008F6714" w:rsidRDefault="00E1435B" w:rsidP="001733C9">
            <w:pPr>
              <w:jc w:val="center"/>
              <w:rPr>
                <w:color w:val="000000"/>
                <w:sz w:val="22"/>
                <w:szCs w:val="22"/>
              </w:rPr>
            </w:pPr>
            <w:r w:rsidRPr="008F6714">
              <w:rPr>
                <w:color w:val="000000"/>
                <w:sz w:val="22"/>
                <w:szCs w:val="22"/>
              </w:rPr>
              <w:t>Наименование</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14:paraId="014F0462" w14:textId="77777777" w:rsidR="00E1435B" w:rsidRPr="008F6714" w:rsidRDefault="00E1435B" w:rsidP="001733C9">
            <w:pPr>
              <w:jc w:val="center"/>
              <w:rPr>
                <w:color w:val="000000"/>
                <w:sz w:val="22"/>
                <w:szCs w:val="22"/>
              </w:rPr>
            </w:pPr>
            <w:r w:rsidRPr="008F6714">
              <w:rPr>
                <w:color w:val="000000"/>
                <w:sz w:val="22"/>
                <w:szCs w:val="22"/>
              </w:rPr>
              <w:t>2023 год</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14:paraId="4F67E264" w14:textId="77777777" w:rsidR="00E1435B" w:rsidRPr="008F6714" w:rsidRDefault="00E1435B" w:rsidP="001733C9">
            <w:pPr>
              <w:jc w:val="center"/>
              <w:rPr>
                <w:color w:val="000000"/>
                <w:sz w:val="22"/>
                <w:szCs w:val="22"/>
              </w:rPr>
            </w:pPr>
            <w:r w:rsidRPr="008F6714">
              <w:rPr>
                <w:color w:val="000000"/>
                <w:sz w:val="22"/>
                <w:szCs w:val="22"/>
              </w:rPr>
              <w:t>2024 год</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5F64F869" w14:textId="77777777" w:rsidR="00E1435B" w:rsidRPr="008F6714" w:rsidRDefault="00E1435B" w:rsidP="001733C9">
            <w:pPr>
              <w:jc w:val="center"/>
              <w:rPr>
                <w:color w:val="000000"/>
                <w:sz w:val="22"/>
                <w:szCs w:val="22"/>
              </w:rPr>
            </w:pPr>
            <w:r w:rsidRPr="008F6714">
              <w:rPr>
                <w:color w:val="000000"/>
                <w:sz w:val="22"/>
                <w:szCs w:val="22"/>
              </w:rPr>
              <w:t>∆ в % к 2023</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14:paraId="3F9AB088" w14:textId="77777777" w:rsidR="00E1435B" w:rsidRPr="008F6714" w:rsidRDefault="00E1435B" w:rsidP="001733C9">
            <w:pPr>
              <w:jc w:val="center"/>
              <w:rPr>
                <w:color w:val="000000"/>
                <w:sz w:val="22"/>
                <w:szCs w:val="22"/>
              </w:rPr>
            </w:pPr>
            <w:r w:rsidRPr="008F6714">
              <w:rPr>
                <w:color w:val="000000"/>
                <w:sz w:val="22"/>
                <w:szCs w:val="22"/>
              </w:rPr>
              <w:t>2025 год</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14:paraId="2C7329D3" w14:textId="77777777" w:rsidR="00E1435B" w:rsidRPr="008F6714" w:rsidRDefault="00E1435B" w:rsidP="001733C9">
            <w:pPr>
              <w:jc w:val="center"/>
              <w:rPr>
                <w:color w:val="000000"/>
                <w:sz w:val="22"/>
                <w:szCs w:val="22"/>
              </w:rPr>
            </w:pPr>
            <w:r w:rsidRPr="008F6714">
              <w:rPr>
                <w:color w:val="000000"/>
                <w:sz w:val="22"/>
                <w:szCs w:val="22"/>
              </w:rPr>
              <w:t>∆ в % к 2024</w:t>
            </w:r>
          </w:p>
        </w:tc>
      </w:tr>
      <w:tr w:rsidR="00E1435B" w:rsidRPr="009217FD" w14:paraId="69F810E2" w14:textId="77777777" w:rsidTr="00195EDA">
        <w:trPr>
          <w:trHeight w:val="460"/>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12F6286B" w14:textId="77777777" w:rsidR="00E1435B" w:rsidRPr="009217FD" w:rsidRDefault="00E1435B" w:rsidP="001733C9">
            <w:pPr>
              <w:rPr>
                <w:b/>
                <w:bCs/>
                <w:color w:val="000000"/>
                <w:sz w:val="22"/>
                <w:szCs w:val="22"/>
              </w:rPr>
            </w:pPr>
            <w:r w:rsidRPr="009217FD">
              <w:rPr>
                <w:b/>
                <w:bCs/>
                <w:color w:val="000000"/>
                <w:sz w:val="22"/>
                <w:szCs w:val="22"/>
              </w:rPr>
              <w:t>В С Е Г О</w:t>
            </w:r>
          </w:p>
        </w:tc>
        <w:tc>
          <w:tcPr>
            <w:tcW w:w="706" w:type="pct"/>
            <w:tcBorders>
              <w:top w:val="nil"/>
              <w:left w:val="nil"/>
              <w:bottom w:val="single" w:sz="4" w:space="0" w:color="auto"/>
              <w:right w:val="single" w:sz="4" w:space="0" w:color="auto"/>
            </w:tcBorders>
            <w:shd w:val="clear" w:color="auto" w:fill="auto"/>
            <w:vAlign w:val="center"/>
            <w:hideMark/>
          </w:tcPr>
          <w:p w14:paraId="087957FB" w14:textId="77777777" w:rsidR="00E1435B" w:rsidRPr="009217FD" w:rsidRDefault="00E1435B" w:rsidP="001733C9">
            <w:pPr>
              <w:rPr>
                <w:b/>
                <w:bCs/>
                <w:color w:val="000000"/>
                <w:sz w:val="22"/>
                <w:szCs w:val="22"/>
              </w:rPr>
            </w:pPr>
            <w:r w:rsidRPr="009217FD">
              <w:rPr>
                <w:b/>
                <w:bCs/>
                <w:color w:val="000000"/>
                <w:sz w:val="22"/>
                <w:szCs w:val="22"/>
              </w:rPr>
              <w:t>1 529 910</w:t>
            </w:r>
          </w:p>
        </w:tc>
        <w:tc>
          <w:tcPr>
            <w:tcW w:w="706" w:type="pct"/>
            <w:tcBorders>
              <w:top w:val="nil"/>
              <w:left w:val="nil"/>
              <w:bottom w:val="single" w:sz="4" w:space="0" w:color="auto"/>
              <w:right w:val="single" w:sz="4" w:space="0" w:color="auto"/>
            </w:tcBorders>
            <w:shd w:val="clear" w:color="auto" w:fill="auto"/>
            <w:vAlign w:val="center"/>
            <w:hideMark/>
          </w:tcPr>
          <w:p w14:paraId="3230FA1F" w14:textId="77777777" w:rsidR="00E1435B" w:rsidRPr="009217FD" w:rsidRDefault="00E1435B" w:rsidP="001733C9">
            <w:pPr>
              <w:rPr>
                <w:b/>
                <w:bCs/>
                <w:color w:val="000000"/>
                <w:sz w:val="22"/>
                <w:szCs w:val="22"/>
              </w:rPr>
            </w:pPr>
            <w:r w:rsidRPr="009217FD">
              <w:rPr>
                <w:b/>
                <w:bCs/>
                <w:color w:val="000000"/>
                <w:sz w:val="22"/>
                <w:szCs w:val="22"/>
              </w:rPr>
              <w:t>1 495 213</w:t>
            </w:r>
          </w:p>
        </w:tc>
        <w:tc>
          <w:tcPr>
            <w:tcW w:w="524" w:type="pct"/>
            <w:tcBorders>
              <w:top w:val="nil"/>
              <w:left w:val="nil"/>
              <w:bottom w:val="single" w:sz="4" w:space="0" w:color="auto"/>
              <w:right w:val="single" w:sz="4" w:space="0" w:color="auto"/>
            </w:tcBorders>
            <w:shd w:val="clear" w:color="auto" w:fill="auto"/>
            <w:vAlign w:val="center"/>
            <w:hideMark/>
          </w:tcPr>
          <w:p w14:paraId="1BF84B1C" w14:textId="77777777" w:rsidR="00E1435B" w:rsidRPr="009217FD" w:rsidRDefault="00E1435B" w:rsidP="001733C9">
            <w:pPr>
              <w:jc w:val="center"/>
              <w:rPr>
                <w:b/>
                <w:bCs/>
                <w:color w:val="000000"/>
                <w:sz w:val="22"/>
                <w:szCs w:val="22"/>
              </w:rPr>
            </w:pPr>
            <w:r w:rsidRPr="009217FD">
              <w:rPr>
                <w:b/>
                <w:bCs/>
                <w:color w:val="000000"/>
                <w:sz w:val="22"/>
                <w:szCs w:val="22"/>
              </w:rPr>
              <w:t>-2%</w:t>
            </w:r>
          </w:p>
        </w:tc>
        <w:tc>
          <w:tcPr>
            <w:tcW w:w="706" w:type="pct"/>
            <w:tcBorders>
              <w:top w:val="nil"/>
              <w:left w:val="nil"/>
              <w:bottom w:val="single" w:sz="4" w:space="0" w:color="auto"/>
              <w:right w:val="single" w:sz="4" w:space="0" w:color="auto"/>
            </w:tcBorders>
            <w:shd w:val="clear" w:color="auto" w:fill="auto"/>
            <w:vAlign w:val="center"/>
            <w:hideMark/>
          </w:tcPr>
          <w:p w14:paraId="1F662E77" w14:textId="77777777" w:rsidR="00E1435B" w:rsidRPr="009217FD" w:rsidRDefault="00E1435B" w:rsidP="001733C9">
            <w:pPr>
              <w:rPr>
                <w:b/>
                <w:bCs/>
                <w:color w:val="000000"/>
                <w:sz w:val="22"/>
                <w:szCs w:val="22"/>
              </w:rPr>
            </w:pPr>
            <w:r w:rsidRPr="009217FD">
              <w:rPr>
                <w:b/>
                <w:bCs/>
                <w:color w:val="000000"/>
                <w:sz w:val="22"/>
                <w:szCs w:val="22"/>
              </w:rPr>
              <w:t>1 032 482</w:t>
            </w:r>
          </w:p>
        </w:tc>
        <w:tc>
          <w:tcPr>
            <w:tcW w:w="605" w:type="pct"/>
            <w:tcBorders>
              <w:top w:val="nil"/>
              <w:left w:val="nil"/>
              <w:bottom w:val="single" w:sz="4" w:space="0" w:color="auto"/>
              <w:right w:val="single" w:sz="4" w:space="0" w:color="auto"/>
            </w:tcBorders>
            <w:shd w:val="clear" w:color="auto" w:fill="auto"/>
            <w:vAlign w:val="center"/>
            <w:hideMark/>
          </w:tcPr>
          <w:p w14:paraId="2E115509" w14:textId="77777777" w:rsidR="00E1435B" w:rsidRPr="009217FD" w:rsidRDefault="00E1435B" w:rsidP="001733C9">
            <w:pPr>
              <w:jc w:val="center"/>
              <w:rPr>
                <w:b/>
                <w:bCs/>
                <w:color w:val="000000"/>
                <w:sz w:val="22"/>
                <w:szCs w:val="22"/>
              </w:rPr>
            </w:pPr>
            <w:r w:rsidRPr="009217FD">
              <w:rPr>
                <w:b/>
                <w:bCs/>
                <w:color w:val="000000"/>
                <w:sz w:val="22"/>
                <w:szCs w:val="22"/>
              </w:rPr>
              <w:t>-31%</w:t>
            </w:r>
          </w:p>
        </w:tc>
      </w:tr>
      <w:tr w:rsidR="00E1435B" w:rsidRPr="009217FD" w14:paraId="151E1AC0"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6CACAD67" w14:textId="77777777" w:rsidR="00E1435B" w:rsidRPr="009217FD" w:rsidRDefault="00E1435B" w:rsidP="001733C9">
            <w:pPr>
              <w:jc w:val="both"/>
              <w:rPr>
                <w:color w:val="000000"/>
                <w:sz w:val="22"/>
                <w:szCs w:val="22"/>
              </w:rPr>
            </w:pPr>
            <w:r w:rsidRPr="009217FD">
              <w:rPr>
                <w:color w:val="000000"/>
                <w:sz w:val="22"/>
                <w:szCs w:val="22"/>
              </w:rPr>
              <w:t>Развитие транспортной системы</w:t>
            </w:r>
          </w:p>
        </w:tc>
        <w:tc>
          <w:tcPr>
            <w:tcW w:w="706" w:type="pct"/>
            <w:tcBorders>
              <w:top w:val="nil"/>
              <w:left w:val="nil"/>
              <w:bottom w:val="single" w:sz="4" w:space="0" w:color="auto"/>
              <w:right w:val="single" w:sz="4" w:space="0" w:color="auto"/>
            </w:tcBorders>
            <w:shd w:val="clear" w:color="auto" w:fill="auto"/>
            <w:vAlign w:val="center"/>
            <w:hideMark/>
          </w:tcPr>
          <w:p w14:paraId="3785398F" w14:textId="77777777" w:rsidR="00E1435B" w:rsidRPr="009217FD" w:rsidRDefault="00E1435B" w:rsidP="001733C9">
            <w:pPr>
              <w:jc w:val="right"/>
              <w:rPr>
                <w:color w:val="000000"/>
                <w:sz w:val="22"/>
                <w:szCs w:val="22"/>
              </w:rPr>
            </w:pPr>
            <w:r w:rsidRPr="009217FD">
              <w:rPr>
                <w:color w:val="000000"/>
                <w:sz w:val="22"/>
                <w:szCs w:val="22"/>
              </w:rPr>
              <w:t>162 534</w:t>
            </w:r>
          </w:p>
        </w:tc>
        <w:tc>
          <w:tcPr>
            <w:tcW w:w="706" w:type="pct"/>
            <w:tcBorders>
              <w:top w:val="nil"/>
              <w:left w:val="nil"/>
              <w:bottom w:val="single" w:sz="4" w:space="0" w:color="auto"/>
              <w:right w:val="single" w:sz="4" w:space="0" w:color="auto"/>
            </w:tcBorders>
            <w:shd w:val="clear" w:color="auto" w:fill="auto"/>
            <w:vAlign w:val="center"/>
            <w:hideMark/>
          </w:tcPr>
          <w:p w14:paraId="0CFE0795" w14:textId="77777777" w:rsidR="00E1435B" w:rsidRPr="009217FD" w:rsidRDefault="00E1435B" w:rsidP="001733C9">
            <w:pPr>
              <w:jc w:val="right"/>
              <w:rPr>
                <w:color w:val="000000"/>
                <w:sz w:val="22"/>
                <w:szCs w:val="22"/>
              </w:rPr>
            </w:pPr>
            <w:r w:rsidRPr="009217FD">
              <w:rPr>
                <w:color w:val="000000"/>
                <w:sz w:val="22"/>
                <w:szCs w:val="22"/>
              </w:rPr>
              <w:t>293 124</w:t>
            </w:r>
          </w:p>
        </w:tc>
        <w:tc>
          <w:tcPr>
            <w:tcW w:w="524" w:type="pct"/>
            <w:tcBorders>
              <w:top w:val="nil"/>
              <w:left w:val="nil"/>
              <w:bottom w:val="single" w:sz="4" w:space="0" w:color="auto"/>
              <w:right w:val="single" w:sz="4" w:space="0" w:color="auto"/>
            </w:tcBorders>
            <w:shd w:val="clear" w:color="auto" w:fill="auto"/>
            <w:vAlign w:val="center"/>
            <w:hideMark/>
          </w:tcPr>
          <w:p w14:paraId="0875906F" w14:textId="77777777" w:rsidR="00E1435B" w:rsidRPr="009217FD" w:rsidRDefault="00E1435B" w:rsidP="001733C9">
            <w:pPr>
              <w:jc w:val="center"/>
              <w:rPr>
                <w:color w:val="000000"/>
                <w:sz w:val="22"/>
                <w:szCs w:val="22"/>
              </w:rPr>
            </w:pPr>
            <w:r w:rsidRPr="009217FD">
              <w:rPr>
                <w:color w:val="000000"/>
                <w:sz w:val="22"/>
                <w:szCs w:val="22"/>
              </w:rPr>
              <w:t>80%</w:t>
            </w:r>
          </w:p>
        </w:tc>
        <w:tc>
          <w:tcPr>
            <w:tcW w:w="706" w:type="pct"/>
            <w:tcBorders>
              <w:top w:val="nil"/>
              <w:left w:val="nil"/>
              <w:bottom w:val="single" w:sz="4" w:space="0" w:color="auto"/>
              <w:right w:val="single" w:sz="4" w:space="0" w:color="auto"/>
            </w:tcBorders>
            <w:shd w:val="clear" w:color="auto" w:fill="auto"/>
            <w:vAlign w:val="center"/>
            <w:hideMark/>
          </w:tcPr>
          <w:p w14:paraId="2132B9BC" w14:textId="77777777" w:rsidR="00E1435B" w:rsidRPr="009217FD" w:rsidRDefault="00E1435B" w:rsidP="001733C9">
            <w:pPr>
              <w:jc w:val="right"/>
              <w:rPr>
                <w:color w:val="000000"/>
                <w:sz w:val="22"/>
                <w:szCs w:val="22"/>
              </w:rPr>
            </w:pPr>
            <w:r w:rsidRPr="009217FD">
              <w:rPr>
                <w:color w:val="000000"/>
                <w:sz w:val="22"/>
                <w:szCs w:val="22"/>
              </w:rPr>
              <w:t>288 964</w:t>
            </w:r>
          </w:p>
        </w:tc>
        <w:tc>
          <w:tcPr>
            <w:tcW w:w="605" w:type="pct"/>
            <w:tcBorders>
              <w:top w:val="nil"/>
              <w:left w:val="nil"/>
              <w:bottom w:val="single" w:sz="4" w:space="0" w:color="auto"/>
              <w:right w:val="single" w:sz="4" w:space="0" w:color="auto"/>
            </w:tcBorders>
            <w:shd w:val="clear" w:color="auto" w:fill="auto"/>
            <w:vAlign w:val="center"/>
            <w:hideMark/>
          </w:tcPr>
          <w:p w14:paraId="320C18BF" w14:textId="77777777" w:rsidR="00E1435B" w:rsidRPr="009217FD" w:rsidRDefault="00E1435B" w:rsidP="001733C9">
            <w:pPr>
              <w:jc w:val="center"/>
              <w:rPr>
                <w:color w:val="000000"/>
                <w:sz w:val="22"/>
                <w:szCs w:val="22"/>
              </w:rPr>
            </w:pPr>
            <w:r w:rsidRPr="009217FD">
              <w:rPr>
                <w:color w:val="000000"/>
                <w:sz w:val="22"/>
                <w:szCs w:val="22"/>
              </w:rPr>
              <w:t>-1%</w:t>
            </w:r>
          </w:p>
        </w:tc>
      </w:tr>
      <w:tr w:rsidR="00E1435B" w:rsidRPr="009217FD" w14:paraId="5742380C"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3EF4F68A" w14:textId="77777777" w:rsidR="00E1435B" w:rsidRPr="009217FD" w:rsidRDefault="00E1435B" w:rsidP="001733C9">
            <w:pPr>
              <w:jc w:val="both"/>
              <w:rPr>
                <w:color w:val="000000"/>
                <w:sz w:val="22"/>
                <w:szCs w:val="22"/>
              </w:rPr>
            </w:pPr>
            <w:r w:rsidRPr="009217FD">
              <w:rPr>
                <w:color w:val="000000"/>
                <w:sz w:val="22"/>
                <w:szCs w:val="22"/>
              </w:rPr>
              <w:t>Развитие здравоохранения</w:t>
            </w:r>
          </w:p>
        </w:tc>
        <w:tc>
          <w:tcPr>
            <w:tcW w:w="706" w:type="pct"/>
            <w:tcBorders>
              <w:top w:val="nil"/>
              <w:left w:val="nil"/>
              <w:bottom w:val="single" w:sz="4" w:space="0" w:color="auto"/>
              <w:right w:val="single" w:sz="4" w:space="0" w:color="auto"/>
            </w:tcBorders>
            <w:shd w:val="clear" w:color="auto" w:fill="auto"/>
            <w:vAlign w:val="center"/>
            <w:hideMark/>
          </w:tcPr>
          <w:p w14:paraId="56A2EE36" w14:textId="77777777" w:rsidR="00E1435B" w:rsidRPr="009217FD" w:rsidRDefault="00E1435B" w:rsidP="001733C9">
            <w:pPr>
              <w:jc w:val="right"/>
              <w:rPr>
                <w:color w:val="000000"/>
                <w:sz w:val="22"/>
                <w:szCs w:val="22"/>
              </w:rPr>
            </w:pPr>
            <w:r w:rsidRPr="009217FD">
              <w:rPr>
                <w:color w:val="000000"/>
                <w:sz w:val="22"/>
                <w:szCs w:val="22"/>
              </w:rPr>
              <w:t>175 890</w:t>
            </w:r>
          </w:p>
        </w:tc>
        <w:tc>
          <w:tcPr>
            <w:tcW w:w="706" w:type="pct"/>
            <w:tcBorders>
              <w:top w:val="nil"/>
              <w:left w:val="nil"/>
              <w:bottom w:val="single" w:sz="4" w:space="0" w:color="auto"/>
              <w:right w:val="single" w:sz="4" w:space="0" w:color="auto"/>
            </w:tcBorders>
            <w:shd w:val="clear" w:color="auto" w:fill="auto"/>
            <w:vAlign w:val="center"/>
            <w:hideMark/>
          </w:tcPr>
          <w:p w14:paraId="439984E7" w14:textId="77777777" w:rsidR="00E1435B" w:rsidRPr="009217FD" w:rsidRDefault="00E1435B" w:rsidP="001733C9">
            <w:pPr>
              <w:jc w:val="right"/>
              <w:rPr>
                <w:color w:val="000000"/>
                <w:sz w:val="22"/>
                <w:szCs w:val="22"/>
              </w:rPr>
            </w:pPr>
            <w:r w:rsidRPr="009217FD">
              <w:rPr>
                <w:color w:val="000000"/>
                <w:sz w:val="22"/>
                <w:szCs w:val="22"/>
              </w:rPr>
              <w:t>178 013</w:t>
            </w:r>
          </w:p>
        </w:tc>
        <w:tc>
          <w:tcPr>
            <w:tcW w:w="524" w:type="pct"/>
            <w:tcBorders>
              <w:top w:val="nil"/>
              <w:left w:val="nil"/>
              <w:bottom w:val="single" w:sz="4" w:space="0" w:color="auto"/>
              <w:right w:val="single" w:sz="4" w:space="0" w:color="auto"/>
            </w:tcBorders>
            <w:shd w:val="clear" w:color="auto" w:fill="auto"/>
            <w:vAlign w:val="center"/>
            <w:hideMark/>
          </w:tcPr>
          <w:p w14:paraId="738C7259" w14:textId="77777777" w:rsidR="00E1435B" w:rsidRPr="009217FD" w:rsidRDefault="00E1435B" w:rsidP="001733C9">
            <w:pPr>
              <w:jc w:val="center"/>
              <w:rPr>
                <w:color w:val="000000"/>
                <w:sz w:val="22"/>
                <w:szCs w:val="22"/>
              </w:rPr>
            </w:pPr>
            <w:r w:rsidRPr="009217FD">
              <w:rPr>
                <w:color w:val="000000"/>
                <w:sz w:val="22"/>
                <w:szCs w:val="22"/>
              </w:rPr>
              <w:t>1%</w:t>
            </w:r>
          </w:p>
        </w:tc>
        <w:tc>
          <w:tcPr>
            <w:tcW w:w="706" w:type="pct"/>
            <w:tcBorders>
              <w:top w:val="nil"/>
              <w:left w:val="nil"/>
              <w:bottom w:val="single" w:sz="4" w:space="0" w:color="auto"/>
              <w:right w:val="single" w:sz="4" w:space="0" w:color="auto"/>
            </w:tcBorders>
            <w:shd w:val="clear" w:color="auto" w:fill="auto"/>
            <w:vAlign w:val="center"/>
            <w:hideMark/>
          </w:tcPr>
          <w:p w14:paraId="6E0BB7C4" w14:textId="77777777" w:rsidR="00E1435B" w:rsidRPr="009217FD" w:rsidRDefault="00E1435B" w:rsidP="001733C9">
            <w:pPr>
              <w:jc w:val="right"/>
              <w:rPr>
                <w:color w:val="000000"/>
                <w:sz w:val="22"/>
                <w:szCs w:val="22"/>
              </w:rPr>
            </w:pPr>
            <w:r w:rsidRPr="009217FD">
              <w:rPr>
                <w:color w:val="000000"/>
                <w:sz w:val="22"/>
                <w:szCs w:val="22"/>
              </w:rPr>
              <w:t>180 338</w:t>
            </w:r>
          </w:p>
        </w:tc>
        <w:tc>
          <w:tcPr>
            <w:tcW w:w="605" w:type="pct"/>
            <w:tcBorders>
              <w:top w:val="nil"/>
              <w:left w:val="nil"/>
              <w:bottom w:val="single" w:sz="4" w:space="0" w:color="auto"/>
              <w:right w:val="single" w:sz="4" w:space="0" w:color="auto"/>
            </w:tcBorders>
            <w:shd w:val="clear" w:color="auto" w:fill="auto"/>
            <w:vAlign w:val="center"/>
            <w:hideMark/>
          </w:tcPr>
          <w:p w14:paraId="5295C8B9" w14:textId="77777777" w:rsidR="00E1435B" w:rsidRPr="009217FD" w:rsidRDefault="00E1435B" w:rsidP="001733C9">
            <w:pPr>
              <w:jc w:val="center"/>
              <w:rPr>
                <w:color w:val="000000"/>
                <w:sz w:val="22"/>
                <w:szCs w:val="22"/>
              </w:rPr>
            </w:pPr>
            <w:r w:rsidRPr="009217FD">
              <w:rPr>
                <w:color w:val="000000"/>
                <w:sz w:val="22"/>
                <w:szCs w:val="22"/>
              </w:rPr>
              <w:t>1%</w:t>
            </w:r>
          </w:p>
        </w:tc>
      </w:tr>
      <w:tr w:rsidR="00E1435B" w:rsidRPr="009217FD" w14:paraId="186B29DC"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226D1235" w14:textId="77777777" w:rsidR="00E1435B" w:rsidRPr="009217FD" w:rsidRDefault="00E1435B" w:rsidP="001733C9">
            <w:pPr>
              <w:jc w:val="both"/>
              <w:rPr>
                <w:color w:val="000000"/>
                <w:sz w:val="22"/>
                <w:szCs w:val="22"/>
              </w:rPr>
            </w:pPr>
            <w:r w:rsidRPr="009217FD">
              <w:rPr>
                <w:color w:val="000000"/>
                <w:sz w:val="22"/>
                <w:szCs w:val="22"/>
              </w:rPr>
              <w:t>Развитие образования</w:t>
            </w:r>
          </w:p>
        </w:tc>
        <w:tc>
          <w:tcPr>
            <w:tcW w:w="706" w:type="pct"/>
            <w:tcBorders>
              <w:top w:val="nil"/>
              <w:left w:val="nil"/>
              <w:bottom w:val="single" w:sz="4" w:space="0" w:color="auto"/>
              <w:right w:val="single" w:sz="4" w:space="0" w:color="auto"/>
            </w:tcBorders>
            <w:shd w:val="clear" w:color="auto" w:fill="auto"/>
            <w:vAlign w:val="center"/>
            <w:hideMark/>
          </w:tcPr>
          <w:p w14:paraId="4D6039AB" w14:textId="77777777" w:rsidR="00E1435B" w:rsidRPr="009217FD" w:rsidRDefault="00E1435B" w:rsidP="001733C9">
            <w:pPr>
              <w:jc w:val="right"/>
              <w:rPr>
                <w:color w:val="000000"/>
                <w:sz w:val="22"/>
                <w:szCs w:val="22"/>
              </w:rPr>
            </w:pPr>
            <w:r w:rsidRPr="009217FD">
              <w:rPr>
                <w:color w:val="000000"/>
                <w:sz w:val="22"/>
                <w:szCs w:val="22"/>
              </w:rPr>
              <w:t>286 233</w:t>
            </w:r>
          </w:p>
        </w:tc>
        <w:tc>
          <w:tcPr>
            <w:tcW w:w="706" w:type="pct"/>
            <w:tcBorders>
              <w:top w:val="nil"/>
              <w:left w:val="nil"/>
              <w:bottom w:val="single" w:sz="4" w:space="0" w:color="auto"/>
              <w:right w:val="single" w:sz="4" w:space="0" w:color="auto"/>
            </w:tcBorders>
            <w:shd w:val="clear" w:color="auto" w:fill="auto"/>
            <w:vAlign w:val="center"/>
            <w:hideMark/>
          </w:tcPr>
          <w:p w14:paraId="7F913AB8" w14:textId="77777777" w:rsidR="00E1435B" w:rsidRPr="009217FD" w:rsidRDefault="00E1435B" w:rsidP="001733C9">
            <w:pPr>
              <w:jc w:val="right"/>
              <w:rPr>
                <w:color w:val="000000"/>
                <w:sz w:val="22"/>
                <w:szCs w:val="22"/>
              </w:rPr>
            </w:pPr>
            <w:r w:rsidRPr="009217FD">
              <w:rPr>
                <w:color w:val="000000"/>
                <w:sz w:val="22"/>
                <w:szCs w:val="22"/>
              </w:rPr>
              <w:t>295 182</w:t>
            </w:r>
          </w:p>
        </w:tc>
        <w:tc>
          <w:tcPr>
            <w:tcW w:w="524" w:type="pct"/>
            <w:tcBorders>
              <w:top w:val="nil"/>
              <w:left w:val="nil"/>
              <w:bottom w:val="single" w:sz="4" w:space="0" w:color="auto"/>
              <w:right w:val="single" w:sz="4" w:space="0" w:color="auto"/>
            </w:tcBorders>
            <w:shd w:val="clear" w:color="auto" w:fill="auto"/>
            <w:vAlign w:val="center"/>
            <w:hideMark/>
          </w:tcPr>
          <w:p w14:paraId="0186B0BD" w14:textId="77777777" w:rsidR="00E1435B" w:rsidRPr="009217FD" w:rsidRDefault="00E1435B" w:rsidP="001733C9">
            <w:pPr>
              <w:jc w:val="center"/>
              <w:rPr>
                <w:color w:val="000000"/>
                <w:sz w:val="22"/>
                <w:szCs w:val="22"/>
              </w:rPr>
            </w:pPr>
            <w:r w:rsidRPr="009217FD">
              <w:rPr>
                <w:color w:val="000000"/>
                <w:sz w:val="22"/>
                <w:szCs w:val="22"/>
              </w:rPr>
              <w:t>3%</w:t>
            </w:r>
          </w:p>
        </w:tc>
        <w:tc>
          <w:tcPr>
            <w:tcW w:w="706" w:type="pct"/>
            <w:tcBorders>
              <w:top w:val="nil"/>
              <w:left w:val="nil"/>
              <w:bottom w:val="single" w:sz="4" w:space="0" w:color="auto"/>
              <w:right w:val="single" w:sz="4" w:space="0" w:color="auto"/>
            </w:tcBorders>
            <w:shd w:val="clear" w:color="auto" w:fill="auto"/>
            <w:vAlign w:val="center"/>
            <w:hideMark/>
          </w:tcPr>
          <w:p w14:paraId="2736FAEF" w14:textId="77777777" w:rsidR="00E1435B" w:rsidRPr="009217FD" w:rsidRDefault="00E1435B" w:rsidP="001733C9">
            <w:pPr>
              <w:jc w:val="right"/>
              <w:rPr>
                <w:color w:val="000000"/>
                <w:sz w:val="22"/>
                <w:szCs w:val="22"/>
              </w:rPr>
            </w:pPr>
            <w:r w:rsidRPr="009217FD">
              <w:rPr>
                <w:color w:val="000000"/>
                <w:sz w:val="22"/>
                <w:szCs w:val="22"/>
              </w:rPr>
              <w:t>140 523</w:t>
            </w:r>
          </w:p>
        </w:tc>
        <w:tc>
          <w:tcPr>
            <w:tcW w:w="605" w:type="pct"/>
            <w:tcBorders>
              <w:top w:val="nil"/>
              <w:left w:val="nil"/>
              <w:bottom w:val="single" w:sz="4" w:space="0" w:color="auto"/>
              <w:right w:val="single" w:sz="4" w:space="0" w:color="auto"/>
            </w:tcBorders>
            <w:shd w:val="clear" w:color="auto" w:fill="auto"/>
            <w:vAlign w:val="center"/>
            <w:hideMark/>
          </w:tcPr>
          <w:p w14:paraId="0345661D" w14:textId="77777777" w:rsidR="00E1435B" w:rsidRPr="009217FD" w:rsidRDefault="00E1435B" w:rsidP="001733C9">
            <w:pPr>
              <w:jc w:val="center"/>
              <w:rPr>
                <w:color w:val="000000"/>
                <w:sz w:val="22"/>
                <w:szCs w:val="22"/>
              </w:rPr>
            </w:pPr>
            <w:r w:rsidRPr="009217FD">
              <w:rPr>
                <w:color w:val="000000"/>
                <w:sz w:val="22"/>
                <w:szCs w:val="22"/>
              </w:rPr>
              <w:t>-52%</w:t>
            </w:r>
          </w:p>
        </w:tc>
      </w:tr>
      <w:tr w:rsidR="00E1435B" w:rsidRPr="009217FD" w14:paraId="77056A7A"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6231AB69" w14:textId="77777777" w:rsidR="00E1435B" w:rsidRPr="009217FD" w:rsidRDefault="00E1435B" w:rsidP="001733C9">
            <w:pPr>
              <w:jc w:val="both"/>
              <w:rPr>
                <w:color w:val="000000"/>
                <w:sz w:val="22"/>
                <w:szCs w:val="22"/>
              </w:rPr>
            </w:pPr>
            <w:r w:rsidRPr="009217FD">
              <w:rPr>
                <w:color w:val="000000"/>
                <w:sz w:val="22"/>
                <w:szCs w:val="22"/>
              </w:rPr>
              <w:t>Социальная поддержка граждан</w:t>
            </w:r>
          </w:p>
        </w:tc>
        <w:tc>
          <w:tcPr>
            <w:tcW w:w="706" w:type="pct"/>
            <w:tcBorders>
              <w:top w:val="nil"/>
              <w:left w:val="nil"/>
              <w:bottom w:val="single" w:sz="4" w:space="0" w:color="auto"/>
              <w:right w:val="single" w:sz="4" w:space="0" w:color="auto"/>
            </w:tcBorders>
            <w:shd w:val="clear" w:color="auto" w:fill="auto"/>
            <w:vAlign w:val="center"/>
            <w:hideMark/>
          </w:tcPr>
          <w:p w14:paraId="2689C31C" w14:textId="77777777" w:rsidR="00E1435B" w:rsidRPr="009217FD" w:rsidRDefault="00E1435B" w:rsidP="001733C9">
            <w:pPr>
              <w:jc w:val="right"/>
              <w:rPr>
                <w:color w:val="000000"/>
                <w:sz w:val="22"/>
                <w:szCs w:val="22"/>
              </w:rPr>
            </w:pPr>
            <w:r w:rsidRPr="009217FD">
              <w:rPr>
                <w:color w:val="000000"/>
                <w:sz w:val="22"/>
                <w:szCs w:val="22"/>
              </w:rPr>
              <w:t>347 491</w:t>
            </w:r>
          </w:p>
        </w:tc>
        <w:tc>
          <w:tcPr>
            <w:tcW w:w="706" w:type="pct"/>
            <w:tcBorders>
              <w:top w:val="nil"/>
              <w:left w:val="nil"/>
              <w:bottom w:val="single" w:sz="4" w:space="0" w:color="auto"/>
              <w:right w:val="single" w:sz="4" w:space="0" w:color="auto"/>
            </w:tcBorders>
            <w:shd w:val="clear" w:color="auto" w:fill="auto"/>
            <w:vAlign w:val="center"/>
            <w:hideMark/>
          </w:tcPr>
          <w:p w14:paraId="0E0ED0CF" w14:textId="77777777" w:rsidR="00E1435B" w:rsidRPr="009217FD" w:rsidRDefault="00E1435B" w:rsidP="001733C9">
            <w:pPr>
              <w:jc w:val="right"/>
              <w:rPr>
                <w:color w:val="000000"/>
                <w:sz w:val="22"/>
                <w:szCs w:val="22"/>
              </w:rPr>
            </w:pPr>
            <w:r w:rsidRPr="009217FD">
              <w:rPr>
                <w:color w:val="000000"/>
                <w:sz w:val="22"/>
                <w:szCs w:val="22"/>
              </w:rPr>
              <w:t>167 920</w:t>
            </w:r>
          </w:p>
        </w:tc>
        <w:tc>
          <w:tcPr>
            <w:tcW w:w="524" w:type="pct"/>
            <w:tcBorders>
              <w:top w:val="nil"/>
              <w:left w:val="nil"/>
              <w:bottom w:val="single" w:sz="4" w:space="0" w:color="auto"/>
              <w:right w:val="single" w:sz="4" w:space="0" w:color="auto"/>
            </w:tcBorders>
            <w:shd w:val="clear" w:color="auto" w:fill="auto"/>
            <w:vAlign w:val="center"/>
            <w:hideMark/>
          </w:tcPr>
          <w:p w14:paraId="696D3B30" w14:textId="77777777" w:rsidR="00E1435B" w:rsidRPr="009217FD" w:rsidRDefault="00E1435B" w:rsidP="001733C9">
            <w:pPr>
              <w:jc w:val="center"/>
              <w:rPr>
                <w:color w:val="000000"/>
                <w:sz w:val="22"/>
                <w:szCs w:val="22"/>
              </w:rPr>
            </w:pPr>
            <w:r w:rsidRPr="009217FD">
              <w:rPr>
                <w:color w:val="000000"/>
                <w:sz w:val="22"/>
                <w:szCs w:val="22"/>
              </w:rPr>
              <w:t>-52%</w:t>
            </w:r>
          </w:p>
        </w:tc>
        <w:tc>
          <w:tcPr>
            <w:tcW w:w="706" w:type="pct"/>
            <w:tcBorders>
              <w:top w:val="nil"/>
              <w:left w:val="nil"/>
              <w:bottom w:val="single" w:sz="4" w:space="0" w:color="auto"/>
              <w:right w:val="single" w:sz="4" w:space="0" w:color="auto"/>
            </w:tcBorders>
            <w:shd w:val="clear" w:color="auto" w:fill="auto"/>
            <w:vAlign w:val="center"/>
            <w:hideMark/>
          </w:tcPr>
          <w:p w14:paraId="1E847DCD" w14:textId="77777777" w:rsidR="00E1435B" w:rsidRPr="009217FD" w:rsidRDefault="00E1435B" w:rsidP="001733C9">
            <w:pPr>
              <w:jc w:val="right"/>
              <w:rPr>
                <w:color w:val="000000"/>
                <w:sz w:val="22"/>
                <w:szCs w:val="22"/>
              </w:rPr>
            </w:pPr>
            <w:r w:rsidRPr="009217FD">
              <w:rPr>
                <w:color w:val="000000"/>
                <w:sz w:val="22"/>
                <w:szCs w:val="22"/>
              </w:rPr>
              <w:t>119 149</w:t>
            </w:r>
          </w:p>
        </w:tc>
        <w:tc>
          <w:tcPr>
            <w:tcW w:w="605" w:type="pct"/>
            <w:tcBorders>
              <w:top w:val="nil"/>
              <w:left w:val="nil"/>
              <w:bottom w:val="single" w:sz="4" w:space="0" w:color="auto"/>
              <w:right w:val="single" w:sz="4" w:space="0" w:color="auto"/>
            </w:tcBorders>
            <w:shd w:val="clear" w:color="auto" w:fill="auto"/>
            <w:vAlign w:val="center"/>
            <w:hideMark/>
          </w:tcPr>
          <w:p w14:paraId="5BDAE163" w14:textId="77777777" w:rsidR="00E1435B" w:rsidRPr="009217FD" w:rsidRDefault="00E1435B" w:rsidP="001733C9">
            <w:pPr>
              <w:jc w:val="center"/>
              <w:rPr>
                <w:color w:val="000000"/>
                <w:sz w:val="22"/>
                <w:szCs w:val="22"/>
              </w:rPr>
            </w:pPr>
            <w:r w:rsidRPr="009217FD">
              <w:rPr>
                <w:color w:val="000000"/>
                <w:sz w:val="22"/>
                <w:szCs w:val="22"/>
              </w:rPr>
              <w:t>-29%</w:t>
            </w:r>
          </w:p>
        </w:tc>
      </w:tr>
      <w:tr w:rsidR="00E1435B" w:rsidRPr="009217FD" w14:paraId="6075FE98" w14:textId="77777777" w:rsidTr="00BC3C02">
        <w:trPr>
          <w:trHeight w:val="474"/>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25D2D085" w14:textId="77777777" w:rsidR="00E1435B" w:rsidRPr="009217FD" w:rsidRDefault="00E1435B" w:rsidP="001733C9">
            <w:pPr>
              <w:jc w:val="both"/>
              <w:rPr>
                <w:color w:val="000000"/>
                <w:sz w:val="22"/>
                <w:szCs w:val="22"/>
              </w:rPr>
            </w:pPr>
            <w:r w:rsidRPr="009217FD">
              <w:rPr>
                <w:color w:val="000000"/>
                <w:sz w:val="22"/>
                <w:szCs w:val="22"/>
              </w:rPr>
              <w:t>Государственная программа развития сельского хозяйства и регулирования рынков сельскохозяйственной продукции, сырья и продовольствия</w:t>
            </w:r>
          </w:p>
        </w:tc>
        <w:tc>
          <w:tcPr>
            <w:tcW w:w="706" w:type="pct"/>
            <w:tcBorders>
              <w:top w:val="nil"/>
              <w:left w:val="nil"/>
              <w:bottom w:val="single" w:sz="4" w:space="0" w:color="auto"/>
              <w:right w:val="single" w:sz="4" w:space="0" w:color="auto"/>
            </w:tcBorders>
            <w:shd w:val="clear" w:color="auto" w:fill="auto"/>
            <w:vAlign w:val="center"/>
            <w:hideMark/>
          </w:tcPr>
          <w:p w14:paraId="23963E15" w14:textId="77777777" w:rsidR="00E1435B" w:rsidRPr="009217FD" w:rsidRDefault="00E1435B" w:rsidP="001733C9">
            <w:pPr>
              <w:jc w:val="right"/>
              <w:rPr>
                <w:color w:val="000000"/>
                <w:sz w:val="22"/>
                <w:szCs w:val="22"/>
              </w:rPr>
            </w:pPr>
            <w:r w:rsidRPr="009217FD">
              <w:rPr>
                <w:color w:val="000000"/>
                <w:sz w:val="22"/>
                <w:szCs w:val="22"/>
              </w:rPr>
              <w:t>76 495</w:t>
            </w:r>
          </w:p>
        </w:tc>
        <w:tc>
          <w:tcPr>
            <w:tcW w:w="706" w:type="pct"/>
            <w:tcBorders>
              <w:top w:val="nil"/>
              <w:left w:val="nil"/>
              <w:bottom w:val="single" w:sz="4" w:space="0" w:color="auto"/>
              <w:right w:val="single" w:sz="4" w:space="0" w:color="auto"/>
            </w:tcBorders>
            <w:shd w:val="clear" w:color="auto" w:fill="auto"/>
            <w:vAlign w:val="center"/>
            <w:hideMark/>
          </w:tcPr>
          <w:p w14:paraId="55D87535" w14:textId="77777777" w:rsidR="00E1435B" w:rsidRPr="009217FD" w:rsidRDefault="00E1435B" w:rsidP="001733C9">
            <w:pPr>
              <w:jc w:val="right"/>
              <w:rPr>
                <w:color w:val="000000"/>
                <w:sz w:val="22"/>
                <w:szCs w:val="22"/>
              </w:rPr>
            </w:pPr>
            <w:r w:rsidRPr="009217FD">
              <w:rPr>
                <w:color w:val="000000"/>
                <w:sz w:val="22"/>
                <w:szCs w:val="22"/>
              </w:rPr>
              <w:t>99 569</w:t>
            </w:r>
          </w:p>
        </w:tc>
        <w:tc>
          <w:tcPr>
            <w:tcW w:w="524" w:type="pct"/>
            <w:tcBorders>
              <w:top w:val="nil"/>
              <w:left w:val="nil"/>
              <w:bottom w:val="single" w:sz="4" w:space="0" w:color="auto"/>
              <w:right w:val="single" w:sz="4" w:space="0" w:color="auto"/>
            </w:tcBorders>
            <w:shd w:val="clear" w:color="auto" w:fill="auto"/>
            <w:vAlign w:val="center"/>
            <w:hideMark/>
          </w:tcPr>
          <w:p w14:paraId="6C155A54" w14:textId="77777777" w:rsidR="00E1435B" w:rsidRPr="009217FD" w:rsidRDefault="00E1435B" w:rsidP="001733C9">
            <w:pPr>
              <w:jc w:val="center"/>
              <w:rPr>
                <w:color w:val="000000"/>
                <w:sz w:val="22"/>
                <w:szCs w:val="22"/>
              </w:rPr>
            </w:pPr>
            <w:r w:rsidRPr="009217FD">
              <w:rPr>
                <w:color w:val="000000"/>
                <w:sz w:val="22"/>
                <w:szCs w:val="22"/>
              </w:rPr>
              <w:t>30%</w:t>
            </w:r>
          </w:p>
        </w:tc>
        <w:tc>
          <w:tcPr>
            <w:tcW w:w="706" w:type="pct"/>
            <w:tcBorders>
              <w:top w:val="nil"/>
              <w:left w:val="nil"/>
              <w:bottom w:val="single" w:sz="4" w:space="0" w:color="auto"/>
              <w:right w:val="single" w:sz="4" w:space="0" w:color="auto"/>
            </w:tcBorders>
            <w:shd w:val="clear" w:color="auto" w:fill="auto"/>
            <w:vAlign w:val="center"/>
            <w:hideMark/>
          </w:tcPr>
          <w:p w14:paraId="0A372DD3" w14:textId="77777777" w:rsidR="00E1435B" w:rsidRPr="009217FD" w:rsidRDefault="00E1435B" w:rsidP="001733C9">
            <w:pPr>
              <w:jc w:val="right"/>
              <w:rPr>
                <w:color w:val="000000"/>
                <w:sz w:val="22"/>
                <w:szCs w:val="22"/>
              </w:rPr>
            </w:pPr>
            <w:r w:rsidRPr="009217FD">
              <w:rPr>
                <w:color w:val="000000"/>
                <w:sz w:val="22"/>
                <w:szCs w:val="22"/>
              </w:rPr>
              <w:t>83 100</w:t>
            </w:r>
          </w:p>
        </w:tc>
        <w:tc>
          <w:tcPr>
            <w:tcW w:w="605" w:type="pct"/>
            <w:tcBorders>
              <w:top w:val="nil"/>
              <w:left w:val="nil"/>
              <w:bottom w:val="single" w:sz="4" w:space="0" w:color="auto"/>
              <w:right w:val="single" w:sz="4" w:space="0" w:color="auto"/>
            </w:tcBorders>
            <w:shd w:val="clear" w:color="auto" w:fill="auto"/>
            <w:vAlign w:val="center"/>
            <w:hideMark/>
          </w:tcPr>
          <w:p w14:paraId="01E59AF3" w14:textId="77777777" w:rsidR="00E1435B" w:rsidRPr="009217FD" w:rsidRDefault="00E1435B" w:rsidP="001733C9">
            <w:pPr>
              <w:jc w:val="center"/>
              <w:rPr>
                <w:color w:val="000000"/>
                <w:sz w:val="22"/>
                <w:szCs w:val="22"/>
              </w:rPr>
            </w:pPr>
            <w:r w:rsidRPr="009217FD">
              <w:rPr>
                <w:color w:val="000000"/>
                <w:sz w:val="22"/>
                <w:szCs w:val="22"/>
              </w:rPr>
              <w:t>-17%</w:t>
            </w:r>
          </w:p>
        </w:tc>
      </w:tr>
      <w:tr w:rsidR="00E1435B" w:rsidRPr="009217FD" w14:paraId="29989420" w14:textId="77777777" w:rsidTr="00195EDA">
        <w:trPr>
          <w:trHeight w:val="955"/>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29B4EE68" w14:textId="77777777" w:rsidR="00E1435B" w:rsidRPr="009217FD" w:rsidRDefault="00E1435B" w:rsidP="001733C9">
            <w:pPr>
              <w:jc w:val="both"/>
              <w:rPr>
                <w:color w:val="000000"/>
                <w:sz w:val="22"/>
                <w:szCs w:val="22"/>
              </w:rPr>
            </w:pPr>
            <w:r w:rsidRPr="009217FD">
              <w:rPr>
                <w:color w:val="000000"/>
                <w:sz w:val="22"/>
                <w:szCs w:val="22"/>
              </w:rPr>
              <w:lastRenderedPageBreak/>
              <w:t>Социально-экономическое развитие Республики Крым и г. Севастополя</w:t>
            </w:r>
          </w:p>
        </w:tc>
        <w:tc>
          <w:tcPr>
            <w:tcW w:w="706" w:type="pct"/>
            <w:tcBorders>
              <w:top w:val="nil"/>
              <w:left w:val="nil"/>
              <w:bottom w:val="single" w:sz="4" w:space="0" w:color="auto"/>
              <w:right w:val="single" w:sz="4" w:space="0" w:color="auto"/>
            </w:tcBorders>
            <w:shd w:val="clear" w:color="auto" w:fill="auto"/>
            <w:vAlign w:val="center"/>
            <w:hideMark/>
          </w:tcPr>
          <w:p w14:paraId="1D2AC674" w14:textId="77777777" w:rsidR="00E1435B" w:rsidRPr="009217FD" w:rsidRDefault="00E1435B" w:rsidP="001733C9">
            <w:pPr>
              <w:jc w:val="right"/>
              <w:rPr>
                <w:color w:val="000000"/>
                <w:sz w:val="22"/>
                <w:szCs w:val="22"/>
              </w:rPr>
            </w:pPr>
            <w:r w:rsidRPr="009217FD">
              <w:rPr>
                <w:color w:val="000000"/>
                <w:sz w:val="22"/>
                <w:szCs w:val="22"/>
              </w:rPr>
              <w:t>116 839</w:t>
            </w:r>
          </w:p>
        </w:tc>
        <w:tc>
          <w:tcPr>
            <w:tcW w:w="706" w:type="pct"/>
            <w:tcBorders>
              <w:top w:val="nil"/>
              <w:left w:val="nil"/>
              <w:bottom w:val="single" w:sz="4" w:space="0" w:color="auto"/>
              <w:right w:val="single" w:sz="4" w:space="0" w:color="auto"/>
            </w:tcBorders>
            <w:shd w:val="clear" w:color="auto" w:fill="auto"/>
            <w:vAlign w:val="center"/>
            <w:hideMark/>
          </w:tcPr>
          <w:p w14:paraId="0D0C0C3D" w14:textId="77777777" w:rsidR="00E1435B" w:rsidRPr="009217FD" w:rsidRDefault="00E1435B" w:rsidP="001733C9">
            <w:pPr>
              <w:jc w:val="right"/>
              <w:rPr>
                <w:color w:val="000000"/>
                <w:sz w:val="22"/>
                <w:szCs w:val="22"/>
              </w:rPr>
            </w:pPr>
            <w:r w:rsidRPr="009217FD">
              <w:rPr>
                <w:color w:val="000000"/>
                <w:sz w:val="22"/>
                <w:szCs w:val="22"/>
              </w:rPr>
              <w:t>84 365</w:t>
            </w:r>
          </w:p>
        </w:tc>
        <w:tc>
          <w:tcPr>
            <w:tcW w:w="524" w:type="pct"/>
            <w:tcBorders>
              <w:top w:val="nil"/>
              <w:left w:val="nil"/>
              <w:bottom w:val="single" w:sz="4" w:space="0" w:color="auto"/>
              <w:right w:val="single" w:sz="4" w:space="0" w:color="auto"/>
            </w:tcBorders>
            <w:shd w:val="clear" w:color="auto" w:fill="auto"/>
            <w:vAlign w:val="center"/>
            <w:hideMark/>
          </w:tcPr>
          <w:p w14:paraId="223E2733" w14:textId="77777777" w:rsidR="00E1435B" w:rsidRPr="009217FD" w:rsidRDefault="00E1435B" w:rsidP="001733C9">
            <w:pPr>
              <w:jc w:val="center"/>
              <w:rPr>
                <w:color w:val="000000"/>
                <w:sz w:val="22"/>
                <w:szCs w:val="22"/>
              </w:rPr>
            </w:pPr>
            <w:r w:rsidRPr="009217FD">
              <w:rPr>
                <w:color w:val="000000"/>
                <w:sz w:val="22"/>
                <w:szCs w:val="22"/>
              </w:rPr>
              <w:t>-28%</w:t>
            </w:r>
          </w:p>
        </w:tc>
        <w:tc>
          <w:tcPr>
            <w:tcW w:w="706" w:type="pct"/>
            <w:tcBorders>
              <w:top w:val="nil"/>
              <w:left w:val="nil"/>
              <w:bottom w:val="single" w:sz="4" w:space="0" w:color="auto"/>
              <w:right w:val="single" w:sz="4" w:space="0" w:color="auto"/>
            </w:tcBorders>
            <w:shd w:val="clear" w:color="auto" w:fill="auto"/>
            <w:vAlign w:val="center"/>
            <w:hideMark/>
          </w:tcPr>
          <w:p w14:paraId="45729B5B" w14:textId="77777777" w:rsidR="00E1435B" w:rsidRPr="009217FD" w:rsidRDefault="00E1435B" w:rsidP="001733C9">
            <w:pPr>
              <w:jc w:val="right"/>
              <w:rPr>
                <w:color w:val="000000"/>
                <w:sz w:val="22"/>
                <w:szCs w:val="22"/>
              </w:rPr>
            </w:pPr>
            <w:r w:rsidRPr="009217FD">
              <w:rPr>
                <w:color w:val="000000"/>
                <w:sz w:val="22"/>
                <w:szCs w:val="22"/>
              </w:rPr>
              <w:t>75 519</w:t>
            </w:r>
          </w:p>
        </w:tc>
        <w:tc>
          <w:tcPr>
            <w:tcW w:w="605" w:type="pct"/>
            <w:tcBorders>
              <w:top w:val="nil"/>
              <w:left w:val="nil"/>
              <w:bottom w:val="single" w:sz="4" w:space="0" w:color="auto"/>
              <w:right w:val="single" w:sz="4" w:space="0" w:color="auto"/>
            </w:tcBorders>
            <w:shd w:val="clear" w:color="auto" w:fill="auto"/>
            <w:vAlign w:val="center"/>
            <w:hideMark/>
          </w:tcPr>
          <w:p w14:paraId="58BEC501" w14:textId="77777777" w:rsidR="00E1435B" w:rsidRPr="009217FD" w:rsidRDefault="00E1435B" w:rsidP="001733C9">
            <w:pPr>
              <w:jc w:val="center"/>
              <w:rPr>
                <w:color w:val="000000"/>
                <w:sz w:val="22"/>
                <w:szCs w:val="22"/>
              </w:rPr>
            </w:pPr>
            <w:r w:rsidRPr="009217FD">
              <w:rPr>
                <w:color w:val="000000"/>
                <w:sz w:val="22"/>
                <w:szCs w:val="22"/>
              </w:rPr>
              <w:t>-10%</w:t>
            </w:r>
          </w:p>
        </w:tc>
      </w:tr>
      <w:tr w:rsidR="00E1435B" w:rsidRPr="009217FD" w14:paraId="12334E75" w14:textId="77777777" w:rsidTr="00195EDA">
        <w:trPr>
          <w:trHeight w:val="955"/>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5D776484" w14:textId="77777777" w:rsidR="00E1435B" w:rsidRPr="009217FD" w:rsidRDefault="00E1435B" w:rsidP="001733C9">
            <w:pPr>
              <w:jc w:val="both"/>
              <w:rPr>
                <w:color w:val="000000"/>
                <w:sz w:val="22"/>
                <w:szCs w:val="22"/>
              </w:rPr>
            </w:pPr>
            <w:r w:rsidRPr="009217FD">
              <w:rPr>
                <w:color w:val="000000"/>
                <w:sz w:val="22"/>
                <w:szCs w:val="22"/>
              </w:rPr>
              <w:t>Обеспечение доступным и комфортным жильем и коммунальными услугами граждан Российской Федерации</w:t>
            </w:r>
          </w:p>
        </w:tc>
        <w:tc>
          <w:tcPr>
            <w:tcW w:w="706" w:type="pct"/>
            <w:tcBorders>
              <w:top w:val="nil"/>
              <w:left w:val="nil"/>
              <w:bottom w:val="single" w:sz="4" w:space="0" w:color="auto"/>
              <w:right w:val="single" w:sz="4" w:space="0" w:color="auto"/>
            </w:tcBorders>
            <w:shd w:val="clear" w:color="auto" w:fill="auto"/>
            <w:vAlign w:val="center"/>
            <w:hideMark/>
          </w:tcPr>
          <w:p w14:paraId="48581470" w14:textId="77777777" w:rsidR="00E1435B" w:rsidRPr="009217FD" w:rsidRDefault="00E1435B" w:rsidP="001733C9">
            <w:pPr>
              <w:jc w:val="right"/>
              <w:rPr>
                <w:color w:val="000000"/>
                <w:sz w:val="22"/>
                <w:szCs w:val="22"/>
              </w:rPr>
            </w:pPr>
            <w:r w:rsidRPr="009217FD">
              <w:rPr>
                <w:color w:val="000000"/>
                <w:sz w:val="22"/>
                <w:szCs w:val="22"/>
              </w:rPr>
              <w:t>148 562</w:t>
            </w:r>
          </w:p>
        </w:tc>
        <w:tc>
          <w:tcPr>
            <w:tcW w:w="706" w:type="pct"/>
            <w:tcBorders>
              <w:top w:val="nil"/>
              <w:left w:val="nil"/>
              <w:bottom w:val="single" w:sz="4" w:space="0" w:color="auto"/>
              <w:right w:val="single" w:sz="4" w:space="0" w:color="auto"/>
            </w:tcBorders>
            <w:shd w:val="clear" w:color="auto" w:fill="auto"/>
            <w:vAlign w:val="center"/>
            <w:hideMark/>
          </w:tcPr>
          <w:p w14:paraId="7614E985" w14:textId="77777777" w:rsidR="00E1435B" w:rsidRPr="009217FD" w:rsidRDefault="00E1435B" w:rsidP="001733C9">
            <w:pPr>
              <w:jc w:val="right"/>
              <w:rPr>
                <w:color w:val="000000"/>
                <w:sz w:val="22"/>
                <w:szCs w:val="22"/>
              </w:rPr>
            </w:pPr>
            <w:r w:rsidRPr="009217FD">
              <w:rPr>
                <w:color w:val="000000"/>
                <w:sz w:val="22"/>
                <w:szCs w:val="22"/>
              </w:rPr>
              <w:t>170 770</w:t>
            </w:r>
          </w:p>
        </w:tc>
        <w:tc>
          <w:tcPr>
            <w:tcW w:w="524" w:type="pct"/>
            <w:tcBorders>
              <w:top w:val="nil"/>
              <w:left w:val="nil"/>
              <w:bottom w:val="single" w:sz="4" w:space="0" w:color="auto"/>
              <w:right w:val="single" w:sz="4" w:space="0" w:color="auto"/>
            </w:tcBorders>
            <w:shd w:val="clear" w:color="auto" w:fill="auto"/>
            <w:vAlign w:val="center"/>
            <w:hideMark/>
          </w:tcPr>
          <w:p w14:paraId="1B4F958B" w14:textId="77777777" w:rsidR="00E1435B" w:rsidRPr="009217FD" w:rsidRDefault="00E1435B" w:rsidP="001733C9">
            <w:pPr>
              <w:jc w:val="center"/>
              <w:rPr>
                <w:color w:val="000000"/>
                <w:sz w:val="22"/>
                <w:szCs w:val="22"/>
              </w:rPr>
            </w:pPr>
            <w:r w:rsidRPr="009217FD">
              <w:rPr>
                <w:color w:val="000000"/>
                <w:sz w:val="22"/>
                <w:szCs w:val="22"/>
              </w:rPr>
              <w:t>15%</w:t>
            </w:r>
          </w:p>
        </w:tc>
        <w:tc>
          <w:tcPr>
            <w:tcW w:w="706" w:type="pct"/>
            <w:tcBorders>
              <w:top w:val="nil"/>
              <w:left w:val="nil"/>
              <w:bottom w:val="single" w:sz="4" w:space="0" w:color="auto"/>
              <w:right w:val="single" w:sz="4" w:space="0" w:color="auto"/>
            </w:tcBorders>
            <w:shd w:val="clear" w:color="auto" w:fill="auto"/>
            <w:vAlign w:val="center"/>
            <w:hideMark/>
          </w:tcPr>
          <w:p w14:paraId="5728C3A5" w14:textId="77777777" w:rsidR="00E1435B" w:rsidRPr="009217FD" w:rsidRDefault="00E1435B" w:rsidP="001733C9">
            <w:pPr>
              <w:jc w:val="right"/>
              <w:rPr>
                <w:color w:val="000000"/>
                <w:sz w:val="22"/>
                <w:szCs w:val="22"/>
              </w:rPr>
            </w:pPr>
            <w:r w:rsidRPr="009217FD">
              <w:rPr>
                <w:color w:val="000000"/>
                <w:sz w:val="22"/>
                <w:szCs w:val="22"/>
              </w:rPr>
              <w:t>32 066</w:t>
            </w:r>
          </w:p>
        </w:tc>
        <w:tc>
          <w:tcPr>
            <w:tcW w:w="605" w:type="pct"/>
            <w:tcBorders>
              <w:top w:val="nil"/>
              <w:left w:val="nil"/>
              <w:bottom w:val="single" w:sz="4" w:space="0" w:color="auto"/>
              <w:right w:val="single" w:sz="4" w:space="0" w:color="auto"/>
            </w:tcBorders>
            <w:shd w:val="clear" w:color="auto" w:fill="auto"/>
            <w:vAlign w:val="center"/>
            <w:hideMark/>
          </w:tcPr>
          <w:p w14:paraId="51E67C17" w14:textId="77777777" w:rsidR="00E1435B" w:rsidRPr="009217FD" w:rsidRDefault="00E1435B" w:rsidP="001733C9">
            <w:pPr>
              <w:jc w:val="center"/>
              <w:rPr>
                <w:color w:val="000000"/>
                <w:sz w:val="22"/>
                <w:szCs w:val="22"/>
              </w:rPr>
            </w:pPr>
            <w:r w:rsidRPr="009217FD">
              <w:rPr>
                <w:color w:val="000000"/>
                <w:sz w:val="22"/>
                <w:szCs w:val="22"/>
              </w:rPr>
              <w:t>-81%</w:t>
            </w:r>
          </w:p>
        </w:tc>
      </w:tr>
      <w:tr w:rsidR="00E1435B" w:rsidRPr="009217FD" w14:paraId="2D680781"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555598A6" w14:textId="77777777" w:rsidR="00E1435B" w:rsidRPr="009217FD" w:rsidRDefault="00E1435B" w:rsidP="001733C9">
            <w:pPr>
              <w:jc w:val="both"/>
              <w:rPr>
                <w:color w:val="000000"/>
                <w:sz w:val="22"/>
                <w:szCs w:val="22"/>
              </w:rPr>
            </w:pPr>
            <w:r w:rsidRPr="009217FD">
              <w:rPr>
                <w:color w:val="000000"/>
                <w:sz w:val="22"/>
                <w:szCs w:val="22"/>
              </w:rPr>
              <w:t>Комплексное развитие сельских территорий</w:t>
            </w:r>
          </w:p>
        </w:tc>
        <w:tc>
          <w:tcPr>
            <w:tcW w:w="706" w:type="pct"/>
            <w:tcBorders>
              <w:top w:val="nil"/>
              <w:left w:val="nil"/>
              <w:bottom w:val="single" w:sz="4" w:space="0" w:color="auto"/>
              <w:right w:val="single" w:sz="4" w:space="0" w:color="auto"/>
            </w:tcBorders>
            <w:shd w:val="clear" w:color="auto" w:fill="auto"/>
            <w:vAlign w:val="center"/>
            <w:hideMark/>
          </w:tcPr>
          <w:p w14:paraId="4FCDF058" w14:textId="77777777" w:rsidR="00E1435B" w:rsidRPr="009217FD" w:rsidRDefault="00E1435B" w:rsidP="001733C9">
            <w:pPr>
              <w:jc w:val="right"/>
              <w:rPr>
                <w:color w:val="000000"/>
                <w:sz w:val="22"/>
                <w:szCs w:val="22"/>
              </w:rPr>
            </w:pPr>
            <w:r w:rsidRPr="009217FD">
              <w:rPr>
                <w:color w:val="000000"/>
                <w:sz w:val="22"/>
                <w:szCs w:val="22"/>
              </w:rPr>
              <w:t>30 021</w:t>
            </w:r>
          </w:p>
        </w:tc>
        <w:tc>
          <w:tcPr>
            <w:tcW w:w="706" w:type="pct"/>
            <w:tcBorders>
              <w:top w:val="nil"/>
              <w:left w:val="nil"/>
              <w:bottom w:val="single" w:sz="4" w:space="0" w:color="auto"/>
              <w:right w:val="single" w:sz="4" w:space="0" w:color="auto"/>
            </w:tcBorders>
            <w:shd w:val="clear" w:color="auto" w:fill="auto"/>
            <w:vAlign w:val="center"/>
            <w:hideMark/>
          </w:tcPr>
          <w:p w14:paraId="2A8A4A38" w14:textId="77777777" w:rsidR="00E1435B" w:rsidRPr="009217FD" w:rsidRDefault="00E1435B" w:rsidP="001733C9">
            <w:pPr>
              <w:jc w:val="right"/>
              <w:rPr>
                <w:color w:val="000000"/>
                <w:sz w:val="22"/>
                <w:szCs w:val="22"/>
              </w:rPr>
            </w:pPr>
            <w:r w:rsidRPr="009217FD">
              <w:rPr>
                <w:color w:val="000000"/>
                <w:sz w:val="22"/>
                <w:szCs w:val="22"/>
              </w:rPr>
              <w:t>30 027</w:t>
            </w:r>
          </w:p>
        </w:tc>
        <w:tc>
          <w:tcPr>
            <w:tcW w:w="524" w:type="pct"/>
            <w:tcBorders>
              <w:top w:val="nil"/>
              <w:left w:val="nil"/>
              <w:bottom w:val="single" w:sz="4" w:space="0" w:color="auto"/>
              <w:right w:val="single" w:sz="4" w:space="0" w:color="auto"/>
            </w:tcBorders>
            <w:shd w:val="clear" w:color="auto" w:fill="auto"/>
            <w:vAlign w:val="center"/>
            <w:hideMark/>
          </w:tcPr>
          <w:p w14:paraId="164E0F8D" w14:textId="77777777" w:rsidR="00E1435B" w:rsidRPr="009217FD" w:rsidRDefault="00E1435B" w:rsidP="001733C9">
            <w:pPr>
              <w:jc w:val="center"/>
              <w:rPr>
                <w:color w:val="000000"/>
                <w:sz w:val="22"/>
                <w:szCs w:val="22"/>
              </w:rPr>
            </w:pPr>
            <w:r w:rsidRPr="009217FD">
              <w:rPr>
                <w:color w:val="000000"/>
                <w:sz w:val="22"/>
                <w:szCs w:val="22"/>
              </w:rPr>
              <w:t>0%</w:t>
            </w:r>
          </w:p>
        </w:tc>
        <w:tc>
          <w:tcPr>
            <w:tcW w:w="706" w:type="pct"/>
            <w:tcBorders>
              <w:top w:val="nil"/>
              <w:left w:val="nil"/>
              <w:bottom w:val="single" w:sz="4" w:space="0" w:color="auto"/>
              <w:right w:val="single" w:sz="4" w:space="0" w:color="auto"/>
            </w:tcBorders>
            <w:shd w:val="clear" w:color="auto" w:fill="auto"/>
            <w:vAlign w:val="center"/>
            <w:hideMark/>
          </w:tcPr>
          <w:p w14:paraId="4BB75975" w14:textId="77777777" w:rsidR="00E1435B" w:rsidRPr="009217FD" w:rsidRDefault="00E1435B" w:rsidP="001733C9">
            <w:pPr>
              <w:jc w:val="right"/>
              <w:rPr>
                <w:color w:val="000000"/>
                <w:sz w:val="22"/>
                <w:szCs w:val="22"/>
              </w:rPr>
            </w:pPr>
            <w:r w:rsidRPr="009217FD">
              <w:rPr>
                <w:color w:val="000000"/>
                <w:sz w:val="22"/>
                <w:szCs w:val="22"/>
              </w:rPr>
              <w:t>29 981</w:t>
            </w:r>
          </w:p>
        </w:tc>
        <w:tc>
          <w:tcPr>
            <w:tcW w:w="605" w:type="pct"/>
            <w:tcBorders>
              <w:top w:val="nil"/>
              <w:left w:val="nil"/>
              <w:bottom w:val="single" w:sz="4" w:space="0" w:color="auto"/>
              <w:right w:val="single" w:sz="4" w:space="0" w:color="auto"/>
            </w:tcBorders>
            <w:shd w:val="clear" w:color="auto" w:fill="auto"/>
            <w:vAlign w:val="center"/>
            <w:hideMark/>
          </w:tcPr>
          <w:p w14:paraId="53EFB10C" w14:textId="77777777" w:rsidR="00E1435B" w:rsidRPr="009217FD" w:rsidRDefault="00E1435B" w:rsidP="001733C9">
            <w:pPr>
              <w:jc w:val="center"/>
              <w:rPr>
                <w:color w:val="000000"/>
                <w:sz w:val="22"/>
                <w:szCs w:val="22"/>
              </w:rPr>
            </w:pPr>
            <w:r w:rsidRPr="009217FD">
              <w:rPr>
                <w:color w:val="000000"/>
                <w:sz w:val="22"/>
                <w:szCs w:val="22"/>
              </w:rPr>
              <w:t>0%</w:t>
            </w:r>
          </w:p>
        </w:tc>
      </w:tr>
      <w:tr w:rsidR="00E1435B" w:rsidRPr="009217FD" w14:paraId="619BEBC0"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0AF4BA28" w14:textId="77777777" w:rsidR="00E1435B" w:rsidRPr="009217FD" w:rsidRDefault="00E1435B" w:rsidP="001733C9">
            <w:pPr>
              <w:jc w:val="both"/>
              <w:rPr>
                <w:color w:val="000000"/>
                <w:sz w:val="22"/>
                <w:szCs w:val="22"/>
              </w:rPr>
            </w:pPr>
            <w:r w:rsidRPr="009217FD">
              <w:rPr>
                <w:color w:val="000000"/>
                <w:sz w:val="22"/>
                <w:szCs w:val="22"/>
              </w:rPr>
              <w:t>Развитие промышленности и повышение ее конкурентоспособности</w:t>
            </w:r>
          </w:p>
        </w:tc>
        <w:tc>
          <w:tcPr>
            <w:tcW w:w="706" w:type="pct"/>
            <w:tcBorders>
              <w:top w:val="nil"/>
              <w:left w:val="nil"/>
              <w:bottom w:val="single" w:sz="4" w:space="0" w:color="auto"/>
              <w:right w:val="single" w:sz="4" w:space="0" w:color="auto"/>
            </w:tcBorders>
            <w:shd w:val="clear" w:color="auto" w:fill="auto"/>
            <w:vAlign w:val="center"/>
            <w:hideMark/>
          </w:tcPr>
          <w:p w14:paraId="69963F49" w14:textId="77777777" w:rsidR="00E1435B" w:rsidRPr="009217FD" w:rsidRDefault="00E1435B" w:rsidP="001733C9">
            <w:pPr>
              <w:jc w:val="right"/>
              <w:rPr>
                <w:color w:val="000000"/>
                <w:sz w:val="22"/>
                <w:szCs w:val="22"/>
              </w:rPr>
            </w:pPr>
            <w:r w:rsidRPr="009217FD">
              <w:rPr>
                <w:color w:val="000000"/>
                <w:sz w:val="22"/>
                <w:szCs w:val="22"/>
              </w:rPr>
              <w:t>4 638</w:t>
            </w:r>
          </w:p>
        </w:tc>
        <w:tc>
          <w:tcPr>
            <w:tcW w:w="706" w:type="pct"/>
            <w:tcBorders>
              <w:top w:val="nil"/>
              <w:left w:val="nil"/>
              <w:bottom w:val="single" w:sz="4" w:space="0" w:color="auto"/>
              <w:right w:val="single" w:sz="4" w:space="0" w:color="auto"/>
            </w:tcBorders>
            <w:shd w:val="clear" w:color="auto" w:fill="auto"/>
            <w:vAlign w:val="center"/>
            <w:hideMark/>
          </w:tcPr>
          <w:p w14:paraId="4406BA8C" w14:textId="77777777" w:rsidR="00E1435B" w:rsidRPr="009217FD" w:rsidRDefault="00E1435B" w:rsidP="001733C9">
            <w:pPr>
              <w:jc w:val="right"/>
              <w:rPr>
                <w:color w:val="000000"/>
                <w:sz w:val="22"/>
                <w:szCs w:val="22"/>
              </w:rPr>
            </w:pPr>
            <w:r w:rsidRPr="009217FD">
              <w:rPr>
                <w:color w:val="000000"/>
                <w:sz w:val="22"/>
                <w:szCs w:val="22"/>
              </w:rPr>
              <w:t>20 322</w:t>
            </w:r>
          </w:p>
        </w:tc>
        <w:tc>
          <w:tcPr>
            <w:tcW w:w="524" w:type="pct"/>
            <w:tcBorders>
              <w:top w:val="nil"/>
              <w:left w:val="nil"/>
              <w:bottom w:val="single" w:sz="4" w:space="0" w:color="auto"/>
              <w:right w:val="single" w:sz="4" w:space="0" w:color="auto"/>
            </w:tcBorders>
            <w:shd w:val="clear" w:color="auto" w:fill="auto"/>
            <w:vAlign w:val="center"/>
            <w:hideMark/>
          </w:tcPr>
          <w:p w14:paraId="512F5D55" w14:textId="77777777" w:rsidR="00E1435B" w:rsidRPr="009217FD" w:rsidRDefault="00E1435B" w:rsidP="001733C9">
            <w:pPr>
              <w:jc w:val="center"/>
              <w:rPr>
                <w:color w:val="000000"/>
                <w:sz w:val="22"/>
                <w:szCs w:val="22"/>
              </w:rPr>
            </w:pPr>
            <w:r w:rsidRPr="009217FD">
              <w:rPr>
                <w:color w:val="000000"/>
                <w:sz w:val="22"/>
                <w:szCs w:val="22"/>
              </w:rPr>
              <w:t>338%</w:t>
            </w:r>
          </w:p>
        </w:tc>
        <w:tc>
          <w:tcPr>
            <w:tcW w:w="706" w:type="pct"/>
            <w:tcBorders>
              <w:top w:val="nil"/>
              <w:left w:val="nil"/>
              <w:bottom w:val="single" w:sz="4" w:space="0" w:color="auto"/>
              <w:right w:val="single" w:sz="4" w:space="0" w:color="auto"/>
            </w:tcBorders>
            <w:shd w:val="clear" w:color="auto" w:fill="auto"/>
            <w:vAlign w:val="center"/>
            <w:hideMark/>
          </w:tcPr>
          <w:p w14:paraId="211C62DE" w14:textId="77777777" w:rsidR="00E1435B" w:rsidRPr="009217FD" w:rsidRDefault="00E1435B" w:rsidP="001733C9">
            <w:pPr>
              <w:jc w:val="right"/>
              <w:rPr>
                <w:color w:val="000000"/>
                <w:sz w:val="22"/>
                <w:szCs w:val="22"/>
              </w:rPr>
            </w:pPr>
            <w:r w:rsidRPr="009217FD">
              <w:rPr>
                <w:color w:val="000000"/>
                <w:sz w:val="22"/>
                <w:szCs w:val="22"/>
              </w:rPr>
              <w:t>17 304</w:t>
            </w:r>
          </w:p>
        </w:tc>
        <w:tc>
          <w:tcPr>
            <w:tcW w:w="605" w:type="pct"/>
            <w:tcBorders>
              <w:top w:val="nil"/>
              <w:left w:val="nil"/>
              <w:bottom w:val="single" w:sz="4" w:space="0" w:color="auto"/>
              <w:right w:val="single" w:sz="4" w:space="0" w:color="auto"/>
            </w:tcBorders>
            <w:shd w:val="clear" w:color="auto" w:fill="auto"/>
            <w:vAlign w:val="center"/>
            <w:hideMark/>
          </w:tcPr>
          <w:p w14:paraId="5909A215" w14:textId="77777777" w:rsidR="00E1435B" w:rsidRPr="009217FD" w:rsidRDefault="00E1435B" w:rsidP="001733C9">
            <w:pPr>
              <w:jc w:val="center"/>
              <w:rPr>
                <w:color w:val="000000"/>
                <w:sz w:val="22"/>
                <w:szCs w:val="22"/>
              </w:rPr>
            </w:pPr>
            <w:r w:rsidRPr="009217FD">
              <w:rPr>
                <w:color w:val="000000"/>
                <w:sz w:val="22"/>
                <w:szCs w:val="22"/>
              </w:rPr>
              <w:t>-15%</w:t>
            </w:r>
          </w:p>
        </w:tc>
      </w:tr>
      <w:tr w:rsidR="00E1435B" w:rsidRPr="009217FD" w14:paraId="76381C63"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35B002B6" w14:textId="77777777" w:rsidR="00E1435B" w:rsidRPr="009217FD" w:rsidRDefault="00E1435B" w:rsidP="001733C9">
            <w:pPr>
              <w:jc w:val="both"/>
              <w:rPr>
                <w:color w:val="000000"/>
                <w:sz w:val="22"/>
                <w:szCs w:val="22"/>
              </w:rPr>
            </w:pPr>
            <w:r w:rsidRPr="009217FD">
              <w:rPr>
                <w:color w:val="000000"/>
                <w:sz w:val="22"/>
                <w:szCs w:val="22"/>
              </w:rPr>
              <w:t>Развитие физической культуры и спорта</w:t>
            </w:r>
          </w:p>
        </w:tc>
        <w:tc>
          <w:tcPr>
            <w:tcW w:w="706" w:type="pct"/>
            <w:tcBorders>
              <w:top w:val="nil"/>
              <w:left w:val="nil"/>
              <w:bottom w:val="single" w:sz="4" w:space="0" w:color="auto"/>
              <w:right w:val="single" w:sz="4" w:space="0" w:color="auto"/>
            </w:tcBorders>
            <w:shd w:val="clear" w:color="auto" w:fill="auto"/>
            <w:vAlign w:val="center"/>
            <w:hideMark/>
          </w:tcPr>
          <w:p w14:paraId="3C64D16A" w14:textId="77777777" w:rsidR="00E1435B" w:rsidRPr="009217FD" w:rsidRDefault="00E1435B" w:rsidP="001733C9">
            <w:pPr>
              <w:jc w:val="right"/>
              <w:rPr>
                <w:color w:val="000000"/>
                <w:sz w:val="22"/>
                <w:szCs w:val="22"/>
              </w:rPr>
            </w:pPr>
            <w:r w:rsidRPr="009217FD">
              <w:rPr>
                <w:color w:val="000000"/>
                <w:sz w:val="22"/>
                <w:szCs w:val="22"/>
              </w:rPr>
              <w:t>25 138</w:t>
            </w:r>
          </w:p>
        </w:tc>
        <w:tc>
          <w:tcPr>
            <w:tcW w:w="706" w:type="pct"/>
            <w:tcBorders>
              <w:top w:val="nil"/>
              <w:left w:val="nil"/>
              <w:bottom w:val="single" w:sz="4" w:space="0" w:color="auto"/>
              <w:right w:val="single" w:sz="4" w:space="0" w:color="auto"/>
            </w:tcBorders>
            <w:shd w:val="clear" w:color="auto" w:fill="auto"/>
            <w:vAlign w:val="center"/>
            <w:hideMark/>
          </w:tcPr>
          <w:p w14:paraId="02C2AC6C" w14:textId="77777777" w:rsidR="00E1435B" w:rsidRPr="009217FD" w:rsidRDefault="00E1435B" w:rsidP="001733C9">
            <w:pPr>
              <w:jc w:val="right"/>
              <w:rPr>
                <w:color w:val="000000"/>
                <w:sz w:val="22"/>
                <w:szCs w:val="22"/>
              </w:rPr>
            </w:pPr>
            <w:r w:rsidRPr="009217FD">
              <w:rPr>
                <w:color w:val="000000"/>
                <w:sz w:val="22"/>
                <w:szCs w:val="22"/>
              </w:rPr>
              <w:t>17 456</w:t>
            </w:r>
          </w:p>
        </w:tc>
        <w:tc>
          <w:tcPr>
            <w:tcW w:w="524" w:type="pct"/>
            <w:tcBorders>
              <w:top w:val="nil"/>
              <w:left w:val="nil"/>
              <w:bottom w:val="single" w:sz="4" w:space="0" w:color="auto"/>
              <w:right w:val="single" w:sz="4" w:space="0" w:color="auto"/>
            </w:tcBorders>
            <w:shd w:val="clear" w:color="auto" w:fill="auto"/>
            <w:vAlign w:val="center"/>
            <w:hideMark/>
          </w:tcPr>
          <w:p w14:paraId="015D67B5" w14:textId="77777777" w:rsidR="00E1435B" w:rsidRPr="009217FD" w:rsidRDefault="00E1435B" w:rsidP="001733C9">
            <w:pPr>
              <w:jc w:val="center"/>
              <w:rPr>
                <w:color w:val="000000"/>
                <w:sz w:val="22"/>
                <w:szCs w:val="22"/>
              </w:rPr>
            </w:pPr>
            <w:r w:rsidRPr="009217FD">
              <w:rPr>
                <w:color w:val="000000"/>
                <w:sz w:val="22"/>
                <w:szCs w:val="22"/>
              </w:rPr>
              <w:t>-31%</w:t>
            </w:r>
          </w:p>
        </w:tc>
        <w:tc>
          <w:tcPr>
            <w:tcW w:w="706" w:type="pct"/>
            <w:tcBorders>
              <w:top w:val="nil"/>
              <w:left w:val="nil"/>
              <w:bottom w:val="single" w:sz="4" w:space="0" w:color="auto"/>
              <w:right w:val="single" w:sz="4" w:space="0" w:color="auto"/>
            </w:tcBorders>
            <w:shd w:val="clear" w:color="auto" w:fill="auto"/>
            <w:vAlign w:val="center"/>
            <w:hideMark/>
          </w:tcPr>
          <w:p w14:paraId="77602E45" w14:textId="77777777" w:rsidR="00E1435B" w:rsidRPr="009217FD" w:rsidRDefault="00E1435B" w:rsidP="001733C9">
            <w:pPr>
              <w:jc w:val="right"/>
              <w:rPr>
                <w:color w:val="000000"/>
                <w:sz w:val="22"/>
                <w:szCs w:val="22"/>
              </w:rPr>
            </w:pPr>
            <w:r w:rsidRPr="009217FD">
              <w:rPr>
                <w:color w:val="000000"/>
                <w:sz w:val="22"/>
                <w:szCs w:val="22"/>
              </w:rPr>
              <w:t>10 126</w:t>
            </w:r>
          </w:p>
        </w:tc>
        <w:tc>
          <w:tcPr>
            <w:tcW w:w="605" w:type="pct"/>
            <w:tcBorders>
              <w:top w:val="nil"/>
              <w:left w:val="nil"/>
              <w:bottom w:val="single" w:sz="4" w:space="0" w:color="auto"/>
              <w:right w:val="single" w:sz="4" w:space="0" w:color="auto"/>
            </w:tcBorders>
            <w:shd w:val="clear" w:color="auto" w:fill="auto"/>
            <w:vAlign w:val="center"/>
            <w:hideMark/>
          </w:tcPr>
          <w:p w14:paraId="3FDC01A6" w14:textId="77777777" w:rsidR="00E1435B" w:rsidRPr="009217FD" w:rsidRDefault="00E1435B" w:rsidP="001733C9">
            <w:pPr>
              <w:jc w:val="center"/>
              <w:rPr>
                <w:color w:val="000000"/>
                <w:sz w:val="22"/>
                <w:szCs w:val="22"/>
              </w:rPr>
            </w:pPr>
            <w:r w:rsidRPr="009217FD">
              <w:rPr>
                <w:color w:val="000000"/>
                <w:sz w:val="22"/>
                <w:szCs w:val="22"/>
              </w:rPr>
              <w:t>-42%</w:t>
            </w:r>
          </w:p>
        </w:tc>
      </w:tr>
      <w:tr w:rsidR="00E1435B" w:rsidRPr="009217FD" w14:paraId="6177C722"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61A5EF0F" w14:textId="77777777" w:rsidR="00E1435B" w:rsidRPr="009217FD" w:rsidRDefault="00E1435B" w:rsidP="001733C9">
            <w:pPr>
              <w:jc w:val="both"/>
              <w:rPr>
                <w:color w:val="000000"/>
                <w:sz w:val="22"/>
                <w:szCs w:val="22"/>
              </w:rPr>
            </w:pPr>
            <w:r w:rsidRPr="009217FD">
              <w:rPr>
                <w:color w:val="000000"/>
                <w:sz w:val="22"/>
                <w:szCs w:val="22"/>
              </w:rPr>
              <w:t>Национальная система пространственных данных</w:t>
            </w:r>
          </w:p>
        </w:tc>
        <w:tc>
          <w:tcPr>
            <w:tcW w:w="706" w:type="pct"/>
            <w:tcBorders>
              <w:top w:val="nil"/>
              <w:left w:val="nil"/>
              <w:bottom w:val="single" w:sz="4" w:space="0" w:color="auto"/>
              <w:right w:val="single" w:sz="4" w:space="0" w:color="auto"/>
            </w:tcBorders>
            <w:shd w:val="clear" w:color="auto" w:fill="auto"/>
            <w:vAlign w:val="center"/>
            <w:hideMark/>
          </w:tcPr>
          <w:p w14:paraId="35D0FE46" w14:textId="77777777" w:rsidR="00E1435B" w:rsidRPr="009217FD" w:rsidRDefault="00E1435B" w:rsidP="001733C9">
            <w:pPr>
              <w:jc w:val="right"/>
              <w:rPr>
                <w:color w:val="000000"/>
                <w:sz w:val="22"/>
                <w:szCs w:val="22"/>
              </w:rPr>
            </w:pPr>
            <w:r w:rsidRPr="009217FD">
              <w:rPr>
                <w:color w:val="000000"/>
                <w:sz w:val="22"/>
                <w:szCs w:val="22"/>
              </w:rPr>
              <w:t>510</w:t>
            </w:r>
          </w:p>
        </w:tc>
        <w:tc>
          <w:tcPr>
            <w:tcW w:w="706" w:type="pct"/>
            <w:tcBorders>
              <w:top w:val="nil"/>
              <w:left w:val="nil"/>
              <w:bottom w:val="single" w:sz="4" w:space="0" w:color="auto"/>
              <w:right w:val="single" w:sz="4" w:space="0" w:color="auto"/>
            </w:tcBorders>
            <w:shd w:val="clear" w:color="auto" w:fill="auto"/>
            <w:vAlign w:val="center"/>
            <w:hideMark/>
          </w:tcPr>
          <w:p w14:paraId="2DB78585" w14:textId="77777777" w:rsidR="00E1435B" w:rsidRPr="009217FD" w:rsidRDefault="00E1435B" w:rsidP="001733C9">
            <w:pPr>
              <w:jc w:val="right"/>
              <w:rPr>
                <w:color w:val="000000"/>
                <w:sz w:val="22"/>
                <w:szCs w:val="22"/>
              </w:rPr>
            </w:pPr>
            <w:r w:rsidRPr="009217FD">
              <w:rPr>
                <w:color w:val="000000"/>
                <w:sz w:val="22"/>
                <w:szCs w:val="22"/>
              </w:rPr>
              <w:t>542</w:t>
            </w:r>
          </w:p>
        </w:tc>
        <w:tc>
          <w:tcPr>
            <w:tcW w:w="524" w:type="pct"/>
            <w:tcBorders>
              <w:top w:val="nil"/>
              <w:left w:val="nil"/>
              <w:bottom w:val="single" w:sz="4" w:space="0" w:color="auto"/>
              <w:right w:val="single" w:sz="4" w:space="0" w:color="auto"/>
            </w:tcBorders>
            <w:shd w:val="clear" w:color="auto" w:fill="auto"/>
            <w:vAlign w:val="center"/>
            <w:hideMark/>
          </w:tcPr>
          <w:p w14:paraId="7489FABB" w14:textId="77777777" w:rsidR="00E1435B" w:rsidRPr="009217FD" w:rsidRDefault="00E1435B" w:rsidP="001733C9">
            <w:pPr>
              <w:jc w:val="center"/>
              <w:rPr>
                <w:color w:val="000000"/>
                <w:sz w:val="22"/>
                <w:szCs w:val="22"/>
              </w:rPr>
            </w:pPr>
            <w:r w:rsidRPr="009217FD">
              <w:rPr>
                <w:color w:val="000000"/>
                <w:sz w:val="22"/>
                <w:szCs w:val="22"/>
              </w:rPr>
              <w:t>6%</w:t>
            </w:r>
          </w:p>
        </w:tc>
        <w:tc>
          <w:tcPr>
            <w:tcW w:w="706" w:type="pct"/>
            <w:tcBorders>
              <w:top w:val="nil"/>
              <w:left w:val="nil"/>
              <w:bottom w:val="single" w:sz="4" w:space="0" w:color="auto"/>
              <w:right w:val="single" w:sz="4" w:space="0" w:color="auto"/>
            </w:tcBorders>
            <w:shd w:val="clear" w:color="auto" w:fill="auto"/>
            <w:vAlign w:val="center"/>
            <w:hideMark/>
          </w:tcPr>
          <w:p w14:paraId="6C64D9B5" w14:textId="77777777" w:rsidR="00E1435B" w:rsidRPr="009217FD" w:rsidRDefault="00E1435B" w:rsidP="001733C9">
            <w:pPr>
              <w:jc w:val="right"/>
              <w:rPr>
                <w:color w:val="000000"/>
                <w:sz w:val="22"/>
                <w:szCs w:val="22"/>
              </w:rPr>
            </w:pPr>
            <w:r w:rsidRPr="009217FD">
              <w:rPr>
                <w:color w:val="000000"/>
                <w:sz w:val="22"/>
                <w:szCs w:val="22"/>
              </w:rPr>
              <w:t>9 000</w:t>
            </w:r>
          </w:p>
        </w:tc>
        <w:tc>
          <w:tcPr>
            <w:tcW w:w="605" w:type="pct"/>
            <w:tcBorders>
              <w:top w:val="nil"/>
              <w:left w:val="nil"/>
              <w:bottom w:val="single" w:sz="4" w:space="0" w:color="auto"/>
              <w:right w:val="single" w:sz="4" w:space="0" w:color="auto"/>
            </w:tcBorders>
            <w:shd w:val="clear" w:color="auto" w:fill="auto"/>
            <w:vAlign w:val="center"/>
            <w:hideMark/>
          </w:tcPr>
          <w:p w14:paraId="7400E5AB" w14:textId="77777777" w:rsidR="00E1435B" w:rsidRPr="009217FD" w:rsidRDefault="00E1435B" w:rsidP="001733C9">
            <w:pPr>
              <w:jc w:val="center"/>
              <w:rPr>
                <w:color w:val="000000"/>
                <w:sz w:val="22"/>
                <w:szCs w:val="22"/>
              </w:rPr>
            </w:pPr>
            <w:r w:rsidRPr="009217FD">
              <w:rPr>
                <w:color w:val="000000"/>
                <w:sz w:val="22"/>
                <w:szCs w:val="22"/>
              </w:rPr>
              <w:t>1561%</w:t>
            </w:r>
          </w:p>
        </w:tc>
      </w:tr>
      <w:tr w:rsidR="00E1435B" w:rsidRPr="009217FD" w14:paraId="619DEFD2" w14:textId="77777777" w:rsidTr="00195EDA">
        <w:trPr>
          <w:trHeight w:val="955"/>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4B1F407D" w14:textId="77777777" w:rsidR="00E1435B" w:rsidRPr="009217FD" w:rsidRDefault="00E1435B" w:rsidP="001733C9">
            <w:pPr>
              <w:jc w:val="both"/>
              <w:rPr>
                <w:color w:val="000000"/>
                <w:sz w:val="22"/>
                <w:szCs w:val="22"/>
              </w:rPr>
            </w:pPr>
            <w:r w:rsidRPr="009217FD">
              <w:rPr>
                <w:color w:val="000000"/>
                <w:sz w:val="22"/>
                <w:szCs w:val="22"/>
              </w:rPr>
              <w:t>Социально-экономическое развитие Дальневосточного федерального округа</w:t>
            </w:r>
          </w:p>
        </w:tc>
        <w:tc>
          <w:tcPr>
            <w:tcW w:w="706" w:type="pct"/>
            <w:tcBorders>
              <w:top w:val="nil"/>
              <w:left w:val="nil"/>
              <w:bottom w:val="single" w:sz="4" w:space="0" w:color="auto"/>
              <w:right w:val="single" w:sz="4" w:space="0" w:color="auto"/>
            </w:tcBorders>
            <w:shd w:val="clear" w:color="auto" w:fill="auto"/>
            <w:vAlign w:val="center"/>
            <w:hideMark/>
          </w:tcPr>
          <w:p w14:paraId="08F9CCC9" w14:textId="77777777" w:rsidR="00E1435B" w:rsidRPr="009217FD" w:rsidRDefault="00E1435B" w:rsidP="001733C9">
            <w:pPr>
              <w:jc w:val="right"/>
              <w:rPr>
                <w:color w:val="000000"/>
                <w:sz w:val="22"/>
                <w:szCs w:val="22"/>
              </w:rPr>
            </w:pPr>
            <w:r w:rsidRPr="009217FD">
              <w:rPr>
                <w:color w:val="000000"/>
                <w:sz w:val="22"/>
                <w:szCs w:val="22"/>
              </w:rPr>
              <w:t>186</w:t>
            </w:r>
          </w:p>
        </w:tc>
        <w:tc>
          <w:tcPr>
            <w:tcW w:w="706" w:type="pct"/>
            <w:tcBorders>
              <w:top w:val="nil"/>
              <w:left w:val="nil"/>
              <w:bottom w:val="single" w:sz="4" w:space="0" w:color="auto"/>
              <w:right w:val="single" w:sz="4" w:space="0" w:color="auto"/>
            </w:tcBorders>
            <w:shd w:val="clear" w:color="auto" w:fill="auto"/>
            <w:vAlign w:val="center"/>
            <w:hideMark/>
          </w:tcPr>
          <w:p w14:paraId="7231F888" w14:textId="77777777" w:rsidR="00E1435B" w:rsidRPr="009217FD" w:rsidRDefault="00E1435B" w:rsidP="001733C9">
            <w:pPr>
              <w:jc w:val="right"/>
              <w:rPr>
                <w:color w:val="000000"/>
                <w:sz w:val="22"/>
                <w:szCs w:val="22"/>
              </w:rPr>
            </w:pPr>
            <w:r w:rsidRPr="009217FD">
              <w:rPr>
                <w:color w:val="000000"/>
                <w:sz w:val="22"/>
                <w:szCs w:val="22"/>
              </w:rPr>
              <w:t>7 373</w:t>
            </w:r>
          </w:p>
        </w:tc>
        <w:tc>
          <w:tcPr>
            <w:tcW w:w="524" w:type="pct"/>
            <w:tcBorders>
              <w:top w:val="nil"/>
              <w:left w:val="nil"/>
              <w:bottom w:val="single" w:sz="4" w:space="0" w:color="auto"/>
              <w:right w:val="single" w:sz="4" w:space="0" w:color="auto"/>
            </w:tcBorders>
            <w:shd w:val="clear" w:color="auto" w:fill="auto"/>
            <w:vAlign w:val="center"/>
            <w:hideMark/>
          </w:tcPr>
          <w:p w14:paraId="02187E7C" w14:textId="77777777" w:rsidR="00E1435B" w:rsidRPr="009217FD" w:rsidRDefault="00E1435B" w:rsidP="001733C9">
            <w:pPr>
              <w:jc w:val="center"/>
              <w:rPr>
                <w:color w:val="000000"/>
                <w:sz w:val="22"/>
                <w:szCs w:val="22"/>
              </w:rPr>
            </w:pPr>
            <w:r w:rsidRPr="009217FD">
              <w:rPr>
                <w:color w:val="000000"/>
                <w:sz w:val="22"/>
                <w:szCs w:val="22"/>
              </w:rPr>
              <w:t>3857%</w:t>
            </w:r>
          </w:p>
        </w:tc>
        <w:tc>
          <w:tcPr>
            <w:tcW w:w="706" w:type="pct"/>
            <w:tcBorders>
              <w:top w:val="nil"/>
              <w:left w:val="nil"/>
              <w:bottom w:val="single" w:sz="4" w:space="0" w:color="auto"/>
              <w:right w:val="single" w:sz="4" w:space="0" w:color="auto"/>
            </w:tcBorders>
            <w:shd w:val="clear" w:color="auto" w:fill="auto"/>
            <w:vAlign w:val="center"/>
            <w:hideMark/>
          </w:tcPr>
          <w:p w14:paraId="00B8FEF1" w14:textId="77777777" w:rsidR="00E1435B" w:rsidRPr="009217FD" w:rsidRDefault="00E1435B" w:rsidP="001733C9">
            <w:pPr>
              <w:jc w:val="right"/>
              <w:rPr>
                <w:color w:val="000000"/>
                <w:sz w:val="22"/>
                <w:szCs w:val="22"/>
              </w:rPr>
            </w:pPr>
            <w:r w:rsidRPr="009217FD">
              <w:rPr>
                <w:color w:val="000000"/>
                <w:sz w:val="22"/>
                <w:szCs w:val="22"/>
              </w:rPr>
              <w:t>8 733</w:t>
            </w:r>
          </w:p>
        </w:tc>
        <w:tc>
          <w:tcPr>
            <w:tcW w:w="605" w:type="pct"/>
            <w:tcBorders>
              <w:top w:val="nil"/>
              <w:left w:val="nil"/>
              <w:bottom w:val="single" w:sz="4" w:space="0" w:color="auto"/>
              <w:right w:val="single" w:sz="4" w:space="0" w:color="auto"/>
            </w:tcBorders>
            <w:shd w:val="clear" w:color="auto" w:fill="auto"/>
            <w:vAlign w:val="center"/>
            <w:hideMark/>
          </w:tcPr>
          <w:p w14:paraId="54191741" w14:textId="77777777" w:rsidR="00E1435B" w:rsidRPr="009217FD" w:rsidRDefault="00E1435B" w:rsidP="001733C9">
            <w:pPr>
              <w:jc w:val="center"/>
              <w:rPr>
                <w:color w:val="000000"/>
                <w:sz w:val="22"/>
                <w:szCs w:val="22"/>
              </w:rPr>
            </w:pPr>
            <w:r w:rsidRPr="009217FD">
              <w:rPr>
                <w:color w:val="000000"/>
                <w:sz w:val="22"/>
                <w:szCs w:val="22"/>
              </w:rPr>
              <w:t>18%</w:t>
            </w:r>
          </w:p>
        </w:tc>
      </w:tr>
      <w:tr w:rsidR="00E1435B" w:rsidRPr="009217FD" w14:paraId="55ED9043"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030648DF" w14:textId="77777777" w:rsidR="00E1435B" w:rsidRPr="009217FD" w:rsidRDefault="00E1435B" w:rsidP="001733C9">
            <w:pPr>
              <w:jc w:val="both"/>
              <w:rPr>
                <w:color w:val="000000"/>
                <w:sz w:val="22"/>
                <w:szCs w:val="22"/>
              </w:rPr>
            </w:pPr>
            <w:r w:rsidRPr="009217FD">
              <w:rPr>
                <w:color w:val="000000"/>
                <w:sz w:val="22"/>
                <w:szCs w:val="22"/>
              </w:rPr>
              <w:t>Развитие энергетики</w:t>
            </w:r>
          </w:p>
        </w:tc>
        <w:tc>
          <w:tcPr>
            <w:tcW w:w="706" w:type="pct"/>
            <w:tcBorders>
              <w:top w:val="nil"/>
              <w:left w:val="nil"/>
              <w:bottom w:val="single" w:sz="4" w:space="0" w:color="auto"/>
              <w:right w:val="single" w:sz="4" w:space="0" w:color="auto"/>
            </w:tcBorders>
            <w:shd w:val="clear" w:color="auto" w:fill="auto"/>
            <w:vAlign w:val="center"/>
            <w:hideMark/>
          </w:tcPr>
          <w:p w14:paraId="232656F9" w14:textId="77777777" w:rsidR="00E1435B" w:rsidRPr="009217FD" w:rsidRDefault="00E1435B" w:rsidP="001733C9">
            <w:pPr>
              <w:jc w:val="right"/>
              <w:rPr>
                <w:color w:val="000000"/>
                <w:sz w:val="22"/>
                <w:szCs w:val="22"/>
              </w:rPr>
            </w:pPr>
            <w:r w:rsidRPr="009217FD">
              <w:rPr>
                <w:color w:val="000000"/>
                <w:sz w:val="22"/>
                <w:szCs w:val="22"/>
              </w:rPr>
              <w:t>6 568</w:t>
            </w:r>
          </w:p>
        </w:tc>
        <w:tc>
          <w:tcPr>
            <w:tcW w:w="706" w:type="pct"/>
            <w:tcBorders>
              <w:top w:val="nil"/>
              <w:left w:val="nil"/>
              <w:bottom w:val="single" w:sz="4" w:space="0" w:color="auto"/>
              <w:right w:val="single" w:sz="4" w:space="0" w:color="auto"/>
            </w:tcBorders>
            <w:shd w:val="clear" w:color="auto" w:fill="auto"/>
            <w:vAlign w:val="center"/>
            <w:hideMark/>
          </w:tcPr>
          <w:p w14:paraId="10E35EA3" w14:textId="77777777" w:rsidR="00E1435B" w:rsidRPr="009217FD" w:rsidRDefault="00E1435B" w:rsidP="001733C9">
            <w:pPr>
              <w:jc w:val="right"/>
              <w:rPr>
                <w:color w:val="000000"/>
                <w:sz w:val="22"/>
                <w:szCs w:val="22"/>
              </w:rPr>
            </w:pPr>
            <w:r w:rsidRPr="009217FD">
              <w:rPr>
                <w:color w:val="000000"/>
                <w:sz w:val="22"/>
                <w:szCs w:val="22"/>
              </w:rPr>
              <w:t>7 028</w:t>
            </w:r>
          </w:p>
        </w:tc>
        <w:tc>
          <w:tcPr>
            <w:tcW w:w="524" w:type="pct"/>
            <w:tcBorders>
              <w:top w:val="nil"/>
              <w:left w:val="nil"/>
              <w:bottom w:val="single" w:sz="4" w:space="0" w:color="auto"/>
              <w:right w:val="single" w:sz="4" w:space="0" w:color="auto"/>
            </w:tcBorders>
            <w:shd w:val="clear" w:color="auto" w:fill="auto"/>
            <w:vAlign w:val="center"/>
            <w:hideMark/>
          </w:tcPr>
          <w:p w14:paraId="7DB244F7" w14:textId="77777777" w:rsidR="00E1435B" w:rsidRPr="009217FD" w:rsidRDefault="00E1435B" w:rsidP="001733C9">
            <w:pPr>
              <w:jc w:val="center"/>
              <w:rPr>
                <w:color w:val="000000"/>
                <w:sz w:val="22"/>
                <w:szCs w:val="22"/>
              </w:rPr>
            </w:pPr>
            <w:r w:rsidRPr="009217FD">
              <w:rPr>
                <w:color w:val="000000"/>
                <w:sz w:val="22"/>
                <w:szCs w:val="22"/>
              </w:rPr>
              <w:t>7%</w:t>
            </w:r>
          </w:p>
        </w:tc>
        <w:tc>
          <w:tcPr>
            <w:tcW w:w="706" w:type="pct"/>
            <w:tcBorders>
              <w:top w:val="nil"/>
              <w:left w:val="nil"/>
              <w:bottom w:val="single" w:sz="4" w:space="0" w:color="auto"/>
              <w:right w:val="single" w:sz="4" w:space="0" w:color="auto"/>
            </w:tcBorders>
            <w:shd w:val="clear" w:color="auto" w:fill="auto"/>
            <w:vAlign w:val="center"/>
            <w:hideMark/>
          </w:tcPr>
          <w:p w14:paraId="3B0CA8F3" w14:textId="77777777" w:rsidR="00E1435B" w:rsidRPr="009217FD" w:rsidRDefault="00E1435B" w:rsidP="001733C9">
            <w:pPr>
              <w:jc w:val="right"/>
              <w:rPr>
                <w:color w:val="000000"/>
                <w:sz w:val="22"/>
                <w:szCs w:val="22"/>
              </w:rPr>
            </w:pPr>
            <w:r w:rsidRPr="009217FD">
              <w:rPr>
                <w:color w:val="000000"/>
                <w:sz w:val="22"/>
                <w:szCs w:val="22"/>
              </w:rPr>
              <w:t>7 276</w:t>
            </w:r>
          </w:p>
        </w:tc>
        <w:tc>
          <w:tcPr>
            <w:tcW w:w="605" w:type="pct"/>
            <w:tcBorders>
              <w:top w:val="nil"/>
              <w:left w:val="nil"/>
              <w:bottom w:val="single" w:sz="4" w:space="0" w:color="auto"/>
              <w:right w:val="single" w:sz="4" w:space="0" w:color="auto"/>
            </w:tcBorders>
            <w:shd w:val="clear" w:color="auto" w:fill="auto"/>
            <w:vAlign w:val="center"/>
            <w:hideMark/>
          </w:tcPr>
          <w:p w14:paraId="6FBA376F" w14:textId="77777777" w:rsidR="00E1435B" w:rsidRPr="009217FD" w:rsidRDefault="00E1435B" w:rsidP="001733C9">
            <w:pPr>
              <w:jc w:val="center"/>
              <w:rPr>
                <w:color w:val="000000"/>
                <w:sz w:val="22"/>
                <w:szCs w:val="22"/>
              </w:rPr>
            </w:pPr>
            <w:r w:rsidRPr="009217FD">
              <w:rPr>
                <w:color w:val="000000"/>
                <w:sz w:val="22"/>
                <w:szCs w:val="22"/>
              </w:rPr>
              <w:t>4%</w:t>
            </w:r>
          </w:p>
        </w:tc>
      </w:tr>
      <w:tr w:rsidR="00E1435B" w:rsidRPr="009217FD" w14:paraId="2CE09346"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15C44CC2" w14:textId="77777777" w:rsidR="00E1435B" w:rsidRPr="009217FD" w:rsidRDefault="00E1435B" w:rsidP="001733C9">
            <w:pPr>
              <w:jc w:val="both"/>
              <w:rPr>
                <w:color w:val="000000"/>
                <w:sz w:val="22"/>
                <w:szCs w:val="22"/>
              </w:rPr>
            </w:pPr>
            <w:r w:rsidRPr="009217FD">
              <w:rPr>
                <w:color w:val="000000"/>
                <w:sz w:val="22"/>
                <w:szCs w:val="22"/>
              </w:rPr>
              <w:t>Развитие культуры</w:t>
            </w:r>
          </w:p>
        </w:tc>
        <w:tc>
          <w:tcPr>
            <w:tcW w:w="706" w:type="pct"/>
            <w:tcBorders>
              <w:top w:val="nil"/>
              <w:left w:val="nil"/>
              <w:bottom w:val="single" w:sz="4" w:space="0" w:color="auto"/>
              <w:right w:val="single" w:sz="4" w:space="0" w:color="auto"/>
            </w:tcBorders>
            <w:shd w:val="clear" w:color="auto" w:fill="auto"/>
            <w:vAlign w:val="center"/>
            <w:hideMark/>
          </w:tcPr>
          <w:p w14:paraId="26C16FF7" w14:textId="77777777" w:rsidR="00E1435B" w:rsidRPr="009217FD" w:rsidRDefault="00E1435B" w:rsidP="001733C9">
            <w:pPr>
              <w:jc w:val="right"/>
              <w:rPr>
                <w:color w:val="000000"/>
                <w:sz w:val="22"/>
                <w:szCs w:val="22"/>
              </w:rPr>
            </w:pPr>
            <w:r w:rsidRPr="009217FD">
              <w:rPr>
                <w:color w:val="000000"/>
                <w:sz w:val="22"/>
                <w:szCs w:val="22"/>
              </w:rPr>
              <w:t>29 899</w:t>
            </w:r>
          </w:p>
        </w:tc>
        <w:tc>
          <w:tcPr>
            <w:tcW w:w="706" w:type="pct"/>
            <w:tcBorders>
              <w:top w:val="nil"/>
              <w:left w:val="nil"/>
              <w:bottom w:val="single" w:sz="4" w:space="0" w:color="auto"/>
              <w:right w:val="single" w:sz="4" w:space="0" w:color="auto"/>
            </w:tcBorders>
            <w:shd w:val="clear" w:color="auto" w:fill="auto"/>
            <w:vAlign w:val="center"/>
            <w:hideMark/>
          </w:tcPr>
          <w:p w14:paraId="65F12720" w14:textId="77777777" w:rsidR="00E1435B" w:rsidRPr="009217FD" w:rsidRDefault="00E1435B" w:rsidP="001733C9">
            <w:pPr>
              <w:jc w:val="right"/>
              <w:rPr>
                <w:color w:val="000000"/>
                <w:sz w:val="22"/>
                <w:szCs w:val="22"/>
              </w:rPr>
            </w:pPr>
            <w:r w:rsidRPr="009217FD">
              <w:rPr>
                <w:color w:val="000000"/>
                <w:sz w:val="22"/>
                <w:szCs w:val="22"/>
              </w:rPr>
              <w:t>30 509</w:t>
            </w:r>
          </w:p>
        </w:tc>
        <w:tc>
          <w:tcPr>
            <w:tcW w:w="524" w:type="pct"/>
            <w:tcBorders>
              <w:top w:val="nil"/>
              <w:left w:val="nil"/>
              <w:bottom w:val="single" w:sz="4" w:space="0" w:color="auto"/>
              <w:right w:val="single" w:sz="4" w:space="0" w:color="auto"/>
            </w:tcBorders>
            <w:shd w:val="clear" w:color="auto" w:fill="auto"/>
            <w:vAlign w:val="center"/>
            <w:hideMark/>
          </w:tcPr>
          <w:p w14:paraId="6F76F301" w14:textId="77777777" w:rsidR="00E1435B" w:rsidRPr="009217FD" w:rsidRDefault="00E1435B" w:rsidP="001733C9">
            <w:pPr>
              <w:jc w:val="center"/>
              <w:rPr>
                <w:color w:val="000000"/>
                <w:sz w:val="22"/>
                <w:szCs w:val="22"/>
              </w:rPr>
            </w:pPr>
            <w:r w:rsidRPr="009217FD">
              <w:rPr>
                <w:color w:val="000000"/>
                <w:sz w:val="22"/>
                <w:szCs w:val="22"/>
              </w:rPr>
              <w:t>2%</w:t>
            </w:r>
          </w:p>
        </w:tc>
        <w:tc>
          <w:tcPr>
            <w:tcW w:w="706" w:type="pct"/>
            <w:tcBorders>
              <w:top w:val="nil"/>
              <w:left w:val="nil"/>
              <w:bottom w:val="single" w:sz="4" w:space="0" w:color="auto"/>
              <w:right w:val="single" w:sz="4" w:space="0" w:color="auto"/>
            </w:tcBorders>
            <w:shd w:val="clear" w:color="auto" w:fill="auto"/>
            <w:vAlign w:val="center"/>
            <w:hideMark/>
          </w:tcPr>
          <w:p w14:paraId="41555B49" w14:textId="77777777" w:rsidR="00E1435B" w:rsidRPr="009217FD" w:rsidRDefault="00E1435B" w:rsidP="001733C9">
            <w:pPr>
              <w:jc w:val="right"/>
              <w:rPr>
                <w:color w:val="000000"/>
                <w:sz w:val="22"/>
                <w:szCs w:val="22"/>
              </w:rPr>
            </w:pPr>
            <w:r w:rsidRPr="009217FD">
              <w:rPr>
                <w:color w:val="000000"/>
                <w:sz w:val="22"/>
                <w:szCs w:val="22"/>
              </w:rPr>
              <w:t>6 578</w:t>
            </w:r>
          </w:p>
        </w:tc>
        <w:tc>
          <w:tcPr>
            <w:tcW w:w="605" w:type="pct"/>
            <w:tcBorders>
              <w:top w:val="nil"/>
              <w:left w:val="nil"/>
              <w:bottom w:val="single" w:sz="4" w:space="0" w:color="auto"/>
              <w:right w:val="single" w:sz="4" w:space="0" w:color="auto"/>
            </w:tcBorders>
            <w:shd w:val="clear" w:color="auto" w:fill="auto"/>
            <w:vAlign w:val="center"/>
            <w:hideMark/>
          </w:tcPr>
          <w:p w14:paraId="029BC4FB" w14:textId="77777777" w:rsidR="00E1435B" w:rsidRPr="009217FD" w:rsidRDefault="00E1435B" w:rsidP="001733C9">
            <w:pPr>
              <w:jc w:val="center"/>
              <w:rPr>
                <w:color w:val="000000"/>
                <w:sz w:val="22"/>
                <w:szCs w:val="22"/>
              </w:rPr>
            </w:pPr>
            <w:r w:rsidRPr="009217FD">
              <w:rPr>
                <w:color w:val="000000"/>
                <w:sz w:val="22"/>
                <w:szCs w:val="22"/>
              </w:rPr>
              <w:t>-78%</w:t>
            </w:r>
          </w:p>
        </w:tc>
      </w:tr>
      <w:tr w:rsidR="00E1435B" w:rsidRPr="009217FD" w14:paraId="365E2AA1"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3E7E9FDA" w14:textId="77777777" w:rsidR="00E1435B" w:rsidRPr="009217FD" w:rsidRDefault="00E1435B" w:rsidP="001733C9">
            <w:pPr>
              <w:jc w:val="both"/>
              <w:rPr>
                <w:color w:val="000000"/>
                <w:sz w:val="22"/>
                <w:szCs w:val="22"/>
              </w:rPr>
            </w:pPr>
            <w:r w:rsidRPr="009217FD">
              <w:rPr>
                <w:color w:val="000000"/>
                <w:sz w:val="22"/>
                <w:szCs w:val="22"/>
              </w:rPr>
              <w:t>Воспроизводство и использование природных ресурсов</w:t>
            </w:r>
          </w:p>
        </w:tc>
        <w:tc>
          <w:tcPr>
            <w:tcW w:w="706" w:type="pct"/>
            <w:tcBorders>
              <w:top w:val="nil"/>
              <w:left w:val="nil"/>
              <w:bottom w:val="single" w:sz="4" w:space="0" w:color="auto"/>
              <w:right w:val="single" w:sz="4" w:space="0" w:color="auto"/>
            </w:tcBorders>
            <w:shd w:val="clear" w:color="auto" w:fill="auto"/>
            <w:vAlign w:val="center"/>
            <w:hideMark/>
          </w:tcPr>
          <w:p w14:paraId="1AC73A40" w14:textId="77777777" w:rsidR="00E1435B" w:rsidRPr="009217FD" w:rsidRDefault="00E1435B" w:rsidP="001733C9">
            <w:pPr>
              <w:jc w:val="right"/>
              <w:rPr>
                <w:color w:val="000000"/>
                <w:sz w:val="22"/>
                <w:szCs w:val="22"/>
              </w:rPr>
            </w:pPr>
            <w:r w:rsidRPr="009217FD">
              <w:rPr>
                <w:color w:val="000000"/>
                <w:sz w:val="22"/>
                <w:szCs w:val="22"/>
              </w:rPr>
              <w:t>9 842</w:t>
            </w:r>
          </w:p>
        </w:tc>
        <w:tc>
          <w:tcPr>
            <w:tcW w:w="706" w:type="pct"/>
            <w:tcBorders>
              <w:top w:val="nil"/>
              <w:left w:val="nil"/>
              <w:bottom w:val="single" w:sz="4" w:space="0" w:color="auto"/>
              <w:right w:val="single" w:sz="4" w:space="0" w:color="auto"/>
            </w:tcBorders>
            <w:shd w:val="clear" w:color="auto" w:fill="auto"/>
            <w:vAlign w:val="center"/>
            <w:hideMark/>
          </w:tcPr>
          <w:p w14:paraId="68126ABC" w14:textId="77777777" w:rsidR="00E1435B" w:rsidRPr="009217FD" w:rsidRDefault="00E1435B" w:rsidP="001733C9">
            <w:pPr>
              <w:jc w:val="right"/>
              <w:rPr>
                <w:color w:val="000000"/>
                <w:sz w:val="22"/>
                <w:szCs w:val="22"/>
              </w:rPr>
            </w:pPr>
            <w:r w:rsidRPr="009217FD">
              <w:rPr>
                <w:color w:val="000000"/>
                <w:sz w:val="22"/>
                <w:szCs w:val="22"/>
              </w:rPr>
              <w:t>8 197</w:t>
            </w:r>
          </w:p>
        </w:tc>
        <w:tc>
          <w:tcPr>
            <w:tcW w:w="524" w:type="pct"/>
            <w:tcBorders>
              <w:top w:val="nil"/>
              <w:left w:val="nil"/>
              <w:bottom w:val="single" w:sz="4" w:space="0" w:color="auto"/>
              <w:right w:val="single" w:sz="4" w:space="0" w:color="auto"/>
            </w:tcBorders>
            <w:shd w:val="clear" w:color="auto" w:fill="auto"/>
            <w:vAlign w:val="center"/>
            <w:hideMark/>
          </w:tcPr>
          <w:p w14:paraId="2595A50F" w14:textId="77777777" w:rsidR="00E1435B" w:rsidRPr="009217FD" w:rsidRDefault="00E1435B" w:rsidP="001733C9">
            <w:pPr>
              <w:jc w:val="center"/>
              <w:rPr>
                <w:color w:val="000000"/>
                <w:sz w:val="22"/>
                <w:szCs w:val="22"/>
              </w:rPr>
            </w:pPr>
            <w:r w:rsidRPr="009217FD">
              <w:rPr>
                <w:color w:val="000000"/>
                <w:sz w:val="22"/>
                <w:szCs w:val="22"/>
              </w:rPr>
              <w:t>-17%</w:t>
            </w:r>
          </w:p>
        </w:tc>
        <w:tc>
          <w:tcPr>
            <w:tcW w:w="706" w:type="pct"/>
            <w:tcBorders>
              <w:top w:val="nil"/>
              <w:left w:val="nil"/>
              <w:bottom w:val="single" w:sz="4" w:space="0" w:color="auto"/>
              <w:right w:val="single" w:sz="4" w:space="0" w:color="auto"/>
            </w:tcBorders>
            <w:shd w:val="clear" w:color="auto" w:fill="auto"/>
            <w:vAlign w:val="center"/>
            <w:hideMark/>
          </w:tcPr>
          <w:p w14:paraId="78EA0677" w14:textId="77777777" w:rsidR="00E1435B" w:rsidRPr="009217FD" w:rsidRDefault="00E1435B" w:rsidP="001733C9">
            <w:pPr>
              <w:jc w:val="right"/>
              <w:rPr>
                <w:color w:val="000000"/>
                <w:sz w:val="22"/>
                <w:szCs w:val="22"/>
              </w:rPr>
            </w:pPr>
            <w:r w:rsidRPr="009217FD">
              <w:rPr>
                <w:color w:val="000000"/>
                <w:sz w:val="22"/>
                <w:szCs w:val="22"/>
              </w:rPr>
              <w:t>5 148</w:t>
            </w:r>
          </w:p>
        </w:tc>
        <w:tc>
          <w:tcPr>
            <w:tcW w:w="605" w:type="pct"/>
            <w:tcBorders>
              <w:top w:val="nil"/>
              <w:left w:val="nil"/>
              <w:bottom w:val="single" w:sz="4" w:space="0" w:color="auto"/>
              <w:right w:val="single" w:sz="4" w:space="0" w:color="auto"/>
            </w:tcBorders>
            <w:shd w:val="clear" w:color="auto" w:fill="auto"/>
            <w:vAlign w:val="center"/>
            <w:hideMark/>
          </w:tcPr>
          <w:p w14:paraId="4506F126" w14:textId="77777777" w:rsidR="00E1435B" w:rsidRPr="009217FD" w:rsidRDefault="00E1435B" w:rsidP="001733C9">
            <w:pPr>
              <w:jc w:val="center"/>
              <w:rPr>
                <w:color w:val="000000"/>
                <w:sz w:val="22"/>
                <w:szCs w:val="22"/>
              </w:rPr>
            </w:pPr>
            <w:r w:rsidRPr="009217FD">
              <w:rPr>
                <w:color w:val="000000"/>
                <w:sz w:val="22"/>
                <w:szCs w:val="22"/>
              </w:rPr>
              <w:t>-37%</w:t>
            </w:r>
          </w:p>
        </w:tc>
      </w:tr>
      <w:tr w:rsidR="00E1435B" w:rsidRPr="009217FD" w14:paraId="777AFB39"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55962493" w14:textId="77777777" w:rsidR="00E1435B" w:rsidRPr="009217FD" w:rsidRDefault="00E1435B" w:rsidP="001733C9">
            <w:pPr>
              <w:jc w:val="both"/>
              <w:rPr>
                <w:color w:val="000000"/>
                <w:sz w:val="22"/>
                <w:szCs w:val="22"/>
              </w:rPr>
            </w:pPr>
            <w:r w:rsidRPr="009217FD">
              <w:rPr>
                <w:color w:val="000000"/>
                <w:sz w:val="22"/>
                <w:szCs w:val="22"/>
              </w:rPr>
              <w:t>Социально-экономическое развитие Калининградской области</w:t>
            </w:r>
          </w:p>
        </w:tc>
        <w:tc>
          <w:tcPr>
            <w:tcW w:w="706" w:type="pct"/>
            <w:tcBorders>
              <w:top w:val="nil"/>
              <w:left w:val="nil"/>
              <w:bottom w:val="single" w:sz="4" w:space="0" w:color="auto"/>
              <w:right w:val="single" w:sz="4" w:space="0" w:color="auto"/>
            </w:tcBorders>
            <w:shd w:val="clear" w:color="auto" w:fill="auto"/>
            <w:vAlign w:val="center"/>
            <w:hideMark/>
          </w:tcPr>
          <w:p w14:paraId="7C05FD2E" w14:textId="77777777" w:rsidR="00E1435B" w:rsidRPr="009217FD" w:rsidRDefault="00E1435B" w:rsidP="001733C9">
            <w:pPr>
              <w:jc w:val="right"/>
              <w:rPr>
                <w:color w:val="000000"/>
                <w:sz w:val="22"/>
                <w:szCs w:val="22"/>
              </w:rPr>
            </w:pPr>
            <w:r w:rsidRPr="009217FD">
              <w:rPr>
                <w:color w:val="000000"/>
                <w:sz w:val="22"/>
                <w:szCs w:val="22"/>
              </w:rPr>
              <w:t>4 986</w:t>
            </w:r>
          </w:p>
        </w:tc>
        <w:tc>
          <w:tcPr>
            <w:tcW w:w="706" w:type="pct"/>
            <w:tcBorders>
              <w:top w:val="nil"/>
              <w:left w:val="nil"/>
              <w:bottom w:val="single" w:sz="4" w:space="0" w:color="auto"/>
              <w:right w:val="single" w:sz="4" w:space="0" w:color="auto"/>
            </w:tcBorders>
            <w:shd w:val="clear" w:color="auto" w:fill="auto"/>
            <w:vAlign w:val="center"/>
            <w:hideMark/>
          </w:tcPr>
          <w:p w14:paraId="0CCECF7D" w14:textId="77777777" w:rsidR="00E1435B" w:rsidRPr="009217FD" w:rsidRDefault="00E1435B" w:rsidP="001733C9">
            <w:pPr>
              <w:jc w:val="right"/>
              <w:rPr>
                <w:color w:val="000000"/>
                <w:sz w:val="22"/>
                <w:szCs w:val="22"/>
              </w:rPr>
            </w:pPr>
            <w:r w:rsidRPr="009217FD">
              <w:rPr>
                <w:color w:val="000000"/>
                <w:sz w:val="22"/>
                <w:szCs w:val="22"/>
              </w:rPr>
              <w:t>5 329</w:t>
            </w:r>
          </w:p>
        </w:tc>
        <w:tc>
          <w:tcPr>
            <w:tcW w:w="524" w:type="pct"/>
            <w:tcBorders>
              <w:top w:val="nil"/>
              <w:left w:val="nil"/>
              <w:bottom w:val="single" w:sz="4" w:space="0" w:color="auto"/>
              <w:right w:val="single" w:sz="4" w:space="0" w:color="auto"/>
            </w:tcBorders>
            <w:shd w:val="clear" w:color="auto" w:fill="auto"/>
            <w:vAlign w:val="center"/>
            <w:hideMark/>
          </w:tcPr>
          <w:p w14:paraId="74FAB8F6" w14:textId="77777777" w:rsidR="00E1435B" w:rsidRPr="009217FD" w:rsidRDefault="00E1435B" w:rsidP="001733C9">
            <w:pPr>
              <w:jc w:val="center"/>
              <w:rPr>
                <w:color w:val="000000"/>
                <w:sz w:val="22"/>
                <w:szCs w:val="22"/>
              </w:rPr>
            </w:pPr>
            <w:r w:rsidRPr="009217FD">
              <w:rPr>
                <w:color w:val="000000"/>
                <w:sz w:val="22"/>
                <w:szCs w:val="22"/>
              </w:rPr>
              <w:t>7%</w:t>
            </w:r>
          </w:p>
        </w:tc>
        <w:tc>
          <w:tcPr>
            <w:tcW w:w="706" w:type="pct"/>
            <w:tcBorders>
              <w:top w:val="nil"/>
              <w:left w:val="nil"/>
              <w:bottom w:val="single" w:sz="4" w:space="0" w:color="auto"/>
              <w:right w:val="single" w:sz="4" w:space="0" w:color="auto"/>
            </w:tcBorders>
            <w:shd w:val="clear" w:color="auto" w:fill="auto"/>
            <w:vAlign w:val="center"/>
            <w:hideMark/>
          </w:tcPr>
          <w:p w14:paraId="5196AB4E" w14:textId="77777777" w:rsidR="00E1435B" w:rsidRPr="009217FD" w:rsidRDefault="00E1435B" w:rsidP="001733C9">
            <w:pPr>
              <w:jc w:val="right"/>
              <w:rPr>
                <w:color w:val="000000"/>
                <w:sz w:val="22"/>
                <w:szCs w:val="22"/>
              </w:rPr>
            </w:pPr>
            <w:r w:rsidRPr="009217FD">
              <w:rPr>
                <w:color w:val="000000"/>
                <w:sz w:val="22"/>
                <w:szCs w:val="22"/>
              </w:rPr>
              <w:t>4 324</w:t>
            </w:r>
          </w:p>
        </w:tc>
        <w:tc>
          <w:tcPr>
            <w:tcW w:w="605" w:type="pct"/>
            <w:tcBorders>
              <w:top w:val="nil"/>
              <w:left w:val="nil"/>
              <w:bottom w:val="single" w:sz="4" w:space="0" w:color="auto"/>
              <w:right w:val="single" w:sz="4" w:space="0" w:color="auto"/>
            </w:tcBorders>
            <w:shd w:val="clear" w:color="auto" w:fill="auto"/>
            <w:vAlign w:val="center"/>
            <w:hideMark/>
          </w:tcPr>
          <w:p w14:paraId="1C36A595" w14:textId="77777777" w:rsidR="00E1435B" w:rsidRPr="009217FD" w:rsidRDefault="00E1435B" w:rsidP="001733C9">
            <w:pPr>
              <w:jc w:val="center"/>
              <w:rPr>
                <w:color w:val="000000"/>
                <w:sz w:val="22"/>
                <w:szCs w:val="22"/>
              </w:rPr>
            </w:pPr>
            <w:r w:rsidRPr="009217FD">
              <w:rPr>
                <w:color w:val="000000"/>
                <w:sz w:val="22"/>
                <w:szCs w:val="22"/>
              </w:rPr>
              <w:t>-19%</w:t>
            </w:r>
          </w:p>
        </w:tc>
      </w:tr>
      <w:tr w:rsidR="00E1435B" w:rsidRPr="009217FD" w14:paraId="45C94E56"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4404BF74" w14:textId="77777777" w:rsidR="00E1435B" w:rsidRPr="009217FD" w:rsidRDefault="00E1435B" w:rsidP="001733C9">
            <w:pPr>
              <w:jc w:val="both"/>
              <w:rPr>
                <w:color w:val="000000"/>
                <w:sz w:val="22"/>
                <w:szCs w:val="22"/>
              </w:rPr>
            </w:pPr>
            <w:r w:rsidRPr="009217FD">
              <w:rPr>
                <w:color w:val="000000"/>
                <w:sz w:val="22"/>
                <w:szCs w:val="22"/>
              </w:rPr>
              <w:t>Развитие Северо-Кавказского федерального округа</w:t>
            </w:r>
          </w:p>
        </w:tc>
        <w:tc>
          <w:tcPr>
            <w:tcW w:w="706" w:type="pct"/>
            <w:tcBorders>
              <w:top w:val="nil"/>
              <w:left w:val="nil"/>
              <w:bottom w:val="single" w:sz="4" w:space="0" w:color="auto"/>
              <w:right w:val="single" w:sz="4" w:space="0" w:color="auto"/>
            </w:tcBorders>
            <w:shd w:val="clear" w:color="auto" w:fill="auto"/>
            <w:vAlign w:val="center"/>
            <w:hideMark/>
          </w:tcPr>
          <w:p w14:paraId="0531A7D3" w14:textId="77777777" w:rsidR="00E1435B" w:rsidRPr="009217FD" w:rsidRDefault="00E1435B" w:rsidP="001733C9">
            <w:pPr>
              <w:jc w:val="right"/>
              <w:rPr>
                <w:color w:val="000000"/>
                <w:sz w:val="22"/>
                <w:szCs w:val="22"/>
              </w:rPr>
            </w:pPr>
            <w:r w:rsidRPr="009217FD">
              <w:rPr>
                <w:color w:val="000000"/>
                <w:sz w:val="22"/>
                <w:szCs w:val="22"/>
              </w:rPr>
              <w:t>5 623</w:t>
            </w:r>
          </w:p>
        </w:tc>
        <w:tc>
          <w:tcPr>
            <w:tcW w:w="706" w:type="pct"/>
            <w:tcBorders>
              <w:top w:val="nil"/>
              <w:left w:val="nil"/>
              <w:bottom w:val="single" w:sz="4" w:space="0" w:color="auto"/>
              <w:right w:val="single" w:sz="4" w:space="0" w:color="auto"/>
            </w:tcBorders>
            <w:shd w:val="clear" w:color="auto" w:fill="auto"/>
            <w:vAlign w:val="center"/>
            <w:hideMark/>
          </w:tcPr>
          <w:p w14:paraId="5D000598" w14:textId="77777777" w:rsidR="00E1435B" w:rsidRPr="009217FD" w:rsidRDefault="00E1435B" w:rsidP="001733C9">
            <w:pPr>
              <w:jc w:val="right"/>
              <w:rPr>
                <w:color w:val="000000"/>
                <w:sz w:val="22"/>
                <w:szCs w:val="22"/>
              </w:rPr>
            </w:pPr>
            <w:r w:rsidRPr="009217FD">
              <w:rPr>
                <w:color w:val="000000"/>
                <w:sz w:val="22"/>
                <w:szCs w:val="22"/>
              </w:rPr>
              <w:t>4 277</w:t>
            </w:r>
          </w:p>
        </w:tc>
        <w:tc>
          <w:tcPr>
            <w:tcW w:w="524" w:type="pct"/>
            <w:tcBorders>
              <w:top w:val="nil"/>
              <w:left w:val="nil"/>
              <w:bottom w:val="single" w:sz="4" w:space="0" w:color="auto"/>
              <w:right w:val="single" w:sz="4" w:space="0" w:color="auto"/>
            </w:tcBorders>
            <w:shd w:val="clear" w:color="auto" w:fill="auto"/>
            <w:vAlign w:val="center"/>
            <w:hideMark/>
          </w:tcPr>
          <w:p w14:paraId="64E37E0B" w14:textId="77777777" w:rsidR="00E1435B" w:rsidRPr="009217FD" w:rsidRDefault="00E1435B" w:rsidP="001733C9">
            <w:pPr>
              <w:jc w:val="center"/>
              <w:rPr>
                <w:color w:val="000000"/>
                <w:sz w:val="22"/>
                <w:szCs w:val="22"/>
              </w:rPr>
            </w:pPr>
            <w:r w:rsidRPr="009217FD">
              <w:rPr>
                <w:color w:val="000000"/>
                <w:sz w:val="22"/>
                <w:szCs w:val="22"/>
              </w:rPr>
              <w:t>-24%</w:t>
            </w:r>
          </w:p>
        </w:tc>
        <w:tc>
          <w:tcPr>
            <w:tcW w:w="706" w:type="pct"/>
            <w:tcBorders>
              <w:top w:val="nil"/>
              <w:left w:val="nil"/>
              <w:bottom w:val="single" w:sz="4" w:space="0" w:color="auto"/>
              <w:right w:val="single" w:sz="4" w:space="0" w:color="auto"/>
            </w:tcBorders>
            <w:shd w:val="clear" w:color="auto" w:fill="auto"/>
            <w:vAlign w:val="center"/>
            <w:hideMark/>
          </w:tcPr>
          <w:p w14:paraId="0667666F" w14:textId="77777777" w:rsidR="00E1435B" w:rsidRPr="009217FD" w:rsidRDefault="00E1435B" w:rsidP="001733C9">
            <w:pPr>
              <w:jc w:val="right"/>
              <w:rPr>
                <w:color w:val="000000"/>
                <w:sz w:val="22"/>
                <w:szCs w:val="22"/>
              </w:rPr>
            </w:pPr>
            <w:r w:rsidRPr="009217FD">
              <w:rPr>
                <w:color w:val="000000"/>
                <w:sz w:val="22"/>
                <w:szCs w:val="22"/>
              </w:rPr>
              <w:t>4 012</w:t>
            </w:r>
          </w:p>
        </w:tc>
        <w:tc>
          <w:tcPr>
            <w:tcW w:w="605" w:type="pct"/>
            <w:tcBorders>
              <w:top w:val="nil"/>
              <w:left w:val="nil"/>
              <w:bottom w:val="single" w:sz="4" w:space="0" w:color="auto"/>
              <w:right w:val="single" w:sz="4" w:space="0" w:color="auto"/>
            </w:tcBorders>
            <w:shd w:val="clear" w:color="auto" w:fill="auto"/>
            <w:vAlign w:val="center"/>
            <w:hideMark/>
          </w:tcPr>
          <w:p w14:paraId="47D15C28" w14:textId="77777777" w:rsidR="00E1435B" w:rsidRPr="009217FD" w:rsidRDefault="00E1435B" w:rsidP="001733C9">
            <w:pPr>
              <w:jc w:val="center"/>
              <w:rPr>
                <w:color w:val="000000"/>
                <w:sz w:val="22"/>
                <w:szCs w:val="22"/>
              </w:rPr>
            </w:pPr>
            <w:r w:rsidRPr="009217FD">
              <w:rPr>
                <w:color w:val="000000"/>
                <w:sz w:val="22"/>
                <w:szCs w:val="22"/>
              </w:rPr>
              <w:t>-6%</w:t>
            </w:r>
          </w:p>
        </w:tc>
      </w:tr>
      <w:tr w:rsidR="00E1435B" w:rsidRPr="009217FD" w14:paraId="1530F120" w14:textId="77777777" w:rsidTr="00195EDA">
        <w:trPr>
          <w:trHeight w:val="1431"/>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56CF10FB" w14:textId="77777777" w:rsidR="00E1435B" w:rsidRPr="009217FD" w:rsidRDefault="00E1435B" w:rsidP="001733C9">
            <w:pPr>
              <w:jc w:val="both"/>
              <w:rPr>
                <w:color w:val="000000"/>
                <w:sz w:val="22"/>
                <w:szCs w:val="22"/>
              </w:rPr>
            </w:pPr>
            <w:r w:rsidRPr="009217FD">
              <w:rPr>
                <w:color w:val="000000"/>
                <w:sz w:val="22"/>
                <w:szCs w:val="22"/>
              </w:rPr>
              <w:t>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w:t>
            </w:r>
          </w:p>
        </w:tc>
        <w:tc>
          <w:tcPr>
            <w:tcW w:w="706" w:type="pct"/>
            <w:tcBorders>
              <w:top w:val="nil"/>
              <w:left w:val="nil"/>
              <w:bottom w:val="single" w:sz="4" w:space="0" w:color="auto"/>
              <w:right w:val="single" w:sz="4" w:space="0" w:color="auto"/>
            </w:tcBorders>
            <w:shd w:val="clear" w:color="auto" w:fill="auto"/>
            <w:vAlign w:val="center"/>
            <w:hideMark/>
          </w:tcPr>
          <w:p w14:paraId="60CB61EC" w14:textId="77777777" w:rsidR="00E1435B" w:rsidRPr="009217FD" w:rsidRDefault="00E1435B" w:rsidP="001733C9">
            <w:pPr>
              <w:jc w:val="right"/>
              <w:rPr>
                <w:color w:val="000000"/>
                <w:sz w:val="22"/>
                <w:szCs w:val="22"/>
              </w:rPr>
            </w:pPr>
            <w:r w:rsidRPr="009217FD">
              <w:rPr>
                <w:color w:val="000000"/>
                <w:sz w:val="22"/>
                <w:szCs w:val="22"/>
              </w:rPr>
              <w:t>8 256</w:t>
            </w:r>
          </w:p>
        </w:tc>
        <w:tc>
          <w:tcPr>
            <w:tcW w:w="706" w:type="pct"/>
            <w:tcBorders>
              <w:top w:val="nil"/>
              <w:left w:val="nil"/>
              <w:bottom w:val="single" w:sz="4" w:space="0" w:color="auto"/>
              <w:right w:val="single" w:sz="4" w:space="0" w:color="auto"/>
            </w:tcBorders>
            <w:shd w:val="clear" w:color="auto" w:fill="auto"/>
            <w:vAlign w:val="center"/>
            <w:hideMark/>
          </w:tcPr>
          <w:p w14:paraId="7578746C" w14:textId="77777777" w:rsidR="00E1435B" w:rsidRPr="009217FD" w:rsidRDefault="00E1435B" w:rsidP="001733C9">
            <w:pPr>
              <w:jc w:val="right"/>
              <w:rPr>
                <w:color w:val="000000"/>
                <w:sz w:val="22"/>
                <w:szCs w:val="22"/>
              </w:rPr>
            </w:pPr>
            <w:r w:rsidRPr="009217FD">
              <w:rPr>
                <w:color w:val="000000"/>
                <w:sz w:val="22"/>
                <w:szCs w:val="22"/>
              </w:rPr>
              <w:t>11 548</w:t>
            </w:r>
          </w:p>
        </w:tc>
        <w:tc>
          <w:tcPr>
            <w:tcW w:w="524" w:type="pct"/>
            <w:tcBorders>
              <w:top w:val="nil"/>
              <w:left w:val="nil"/>
              <w:bottom w:val="single" w:sz="4" w:space="0" w:color="auto"/>
              <w:right w:val="single" w:sz="4" w:space="0" w:color="auto"/>
            </w:tcBorders>
            <w:shd w:val="clear" w:color="auto" w:fill="auto"/>
            <w:vAlign w:val="center"/>
            <w:hideMark/>
          </w:tcPr>
          <w:p w14:paraId="29173D56" w14:textId="77777777" w:rsidR="00E1435B" w:rsidRPr="009217FD" w:rsidRDefault="00E1435B" w:rsidP="001733C9">
            <w:pPr>
              <w:jc w:val="center"/>
              <w:rPr>
                <w:color w:val="000000"/>
                <w:sz w:val="22"/>
                <w:szCs w:val="22"/>
              </w:rPr>
            </w:pPr>
            <w:r w:rsidRPr="009217FD">
              <w:rPr>
                <w:color w:val="000000"/>
                <w:sz w:val="22"/>
                <w:szCs w:val="22"/>
              </w:rPr>
              <w:t>40%</w:t>
            </w:r>
          </w:p>
        </w:tc>
        <w:tc>
          <w:tcPr>
            <w:tcW w:w="706" w:type="pct"/>
            <w:tcBorders>
              <w:top w:val="nil"/>
              <w:left w:val="nil"/>
              <w:bottom w:val="single" w:sz="4" w:space="0" w:color="auto"/>
              <w:right w:val="single" w:sz="4" w:space="0" w:color="auto"/>
            </w:tcBorders>
            <w:shd w:val="clear" w:color="auto" w:fill="auto"/>
            <w:vAlign w:val="center"/>
            <w:hideMark/>
          </w:tcPr>
          <w:p w14:paraId="7B98C782" w14:textId="77777777" w:rsidR="00E1435B" w:rsidRPr="009217FD" w:rsidRDefault="00E1435B" w:rsidP="001733C9">
            <w:pPr>
              <w:jc w:val="right"/>
              <w:rPr>
                <w:color w:val="000000"/>
                <w:sz w:val="22"/>
                <w:szCs w:val="22"/>
              </w:rPr>
            </w:pPr>
            <w:r w:rsidRPr="009217FD">
              <w:rPr>
                <w:color w:val="000000"/>
                <w:sz w:val="22"/>
                <w:szCs w:val="22"/>
              </w:rPr>
              <w:t>3 667</w:t>
            </w:r>
          </w:p>
        </w:tc>
        <w:tc>
          <w:tcPr>
            <w:tcW w:w="605" w:type="pct"/>
            <w:tcBorders>
              <w:top w:val="nil"/>
              <w:left w:val="nil"/>
              <w:bottom w:val="single" w:sz="4" w:space="0" w:color="auto"/>
              <w:right w:val="single" w:sz="4" w:space="0" w:color="auto"/>
            </w:tcBorders>
            <w:shd w:val="clear" w:color="auto" w:fill="auto"/>
            <w:vAlign w:val="center"/>
            <w:hideMark/>
          </w:tcPr>
          <w:p w14:paraId="2F2ABA11" w14:textId="77777777" w:rsidR="00E1435B" w:rsidRPr="009217FD" w:rsidRDefault="00E1435B" w:rsidP="001733C9">
            <w:pPr>
              <w:jc w:val="center"/>
              <w:rPr>
                <w:color w:val="000000"/>
                <w:sz w:val="22"/>
                <w:szCs w:val="22"/>
              </w:rPr>
            </w:pPr>
            <w:r w:rsidRPr="009217FD">
              <w:rPr>
                <w:color w:val="000000"/>
                <w:sz w:val="22"/>
                <w:szCs w:val="22"/>
              </w:rPr>
              <w:t>-68%</w:t>
            </w:r>
          </w:p>
        </w:tc>
      </w:tr>
      <w:tr w:rsidR="00E1435B" w:rsidRPr="009217FD" w14:paraId="4E2206B3"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119F0F07" w14:textId="77777777" w:rsidR="00E1435B" w:rsidRPr="009217FD" w:rsidRDefault="00E1435B" w:rsidP="001733C9">
            <w:pPr>
              <w:jc w:val="both"/>
              <w:rPr>
                <w:color w:val="000000"/>
                <w:sz w:val="22"/>
                <w:szCs w:val="22"/>
              </w:rPr>
            </w:pPr>
            <w:r w:rsidRPr="009217FD">
              <w:rPr>
                <w:color w:val="000000"/>
                <w:sz w:val="22"/>
                <w:szCs w:val="22"/>
              </w:rPr>
              <w:t>Развитие электронной и радиоэлектронной промышленности</w:t>
            </w:r>
          </w:p>
        </w:tc>
        <w:tc>
          <w:tcPr>
            <w:tcW w:w="706" w:type="pct"/>
            <w:tcBorders>
              <w:top w:val="nil"/>
              <w:left w:val="nil"/>
              <w:bottom w:val="single" w:sz="4" w:space="0" w:color="auto"/>
              <w:right w:val="single" w:sz="4" w:space="0" w:color="auto"/>
            </w:tcBorders>
            <w:shd w:val="clear" w:color="auto" w:fill="auto"/>
            <w:vAlign w:val="center"/>
            <w:hideMark/>
          </w:tcPr>
          <w:p w14:paraId="1E102E13" w14:textId="77777777" w:rsidR="00E1435B" w:rsidRPr="009217FD" w:rsidRDefault="00E1435B" w:rsidP="001733C9">
            <w:pPr>
              <w:jc w:val="right"/>
              <w:rPr>
                <w:color w:val="000000"/>
                <w:sz w:val="22"/>
                <w:szCs w:val="22"/>
              </w:rPr>
            </w:pPr>
            <w:r w:rsidRPr="009217FD">
              <w:rPr>
                <w:color w:val="000000"/>
                <w:sz w:val="22"/>
                <w:szCs w:val="22"/>
              </w:rPr>
              <w:t>900</w:t>
            </w:r>
          </w:p>
        </w:tc>
        <w:tc>
          <w:tcPr>
            <w:tcW w:w="706" w:type="pct"/>
            <w:tcBorders>
              <w:top w:val="nil"/>
              <w:left w:val="nil"/>
              <w:bottom w:val="single" w:sz="4" w:space="0" w:color="auto"/>
              <w:right w:val="single" w:sz="4" w:space="0" w:color="auto"/>
            </w:tcBorders>
            <w:shd w:val="clear" w:color="auto" w:fill="auto"/>
            <w:vAlign w:val="center"/>
            <w:hideMark/>
          </w:tcPr>
          <w:p w14:paraId="6DC46105" w14:textId="77777777" w:rsidR="00E1435B" w:rsidRPr="009217FD" w:rsidRDefault="00E1435B" w:rsidP="001733C9">
            <w:pPr>
              <w:jc w:val="right"/>
              <w:rPr>
                <w:color w:val="000000"/>
                <w:sz w:val="22"/>
                <w:szCs w:val="22"/>
              </w:rPr>
            </w:pPr>
            <w:r w:rsidRPr="009217FD">
              <w:rPr>
                <w:color w:val="000000"/>
                <w:sz w:val="22"/>
                <w:szCs w:val="22"/>
              </w:rPr>
              <w:t>2 400</w:t>
            </w:r>
          </w:p>
        </w:tc>
        <w:tc>
          <w:tcPr>
            <w:tcW w:w="524" w:type="pct"/>
            <w:tcBorders>
              <w:top w:val="nil"/>
              <w:left w:val="nil"/>
              <w:bottom w:val="single" w:sz="4" w:space="0" w:color="auto"/>
              <w:right w:val="single" w:sz="4" w:space="0" w:color="auto"/>
            </w:tcBorders>
            <w:shd w:val="clear" w:color="auto" w:fill="auto"/>
            <w:vAlign w:val="center"/>
            <w:hideMark/>
          </w:tcPr>
          <w:p w14:paraId="21CB0005" w14:textId="77777777" w:rsidR="00E1435B" w:rsidRPr="009217FD" w:rsidRDefault="00E1435B" w:rsidP="001733C9">
            <w:pPr>
              <w:jc w:val="center"/>
              <w:rPr>
                <w:color w:val="000000"/>
                <w:sz w:val="22"/>
                <w:szCs w:val="22"/>
              </w:rPr>
            </w:pPr>
            <w:r w:rsidRPr="009217FD">
              <w:rPr>
                <w:color w:val="000000"/>
                <w:sz w:val="22"/>
                <w:szCs w:val="22"/>
              </w:rPr>
              <w:t>167%</w:t>
            </w:r>
          </w:p>
        </w:tc>
        <w:tc>
          <w:tcPr>
            <w:tcW w:w="706" w:type="pct"/>
            <w:tcBorders>
              <w:top w:val="nil"/>
              <w:left w:val="nil"/>
              <w:bottom w:val="single" w:sz="4" w:space="0" w:color="auto"/>
              <w:right w:val="single" w:sz="4" w:space="0" w:color="auto"/>
            </w:tcBorders>
            <w:shd w:val="clear" w:color="auto" w:fill="auto"/>
            <w:vAlign w:val="center"/>
            <w:hideMark/>
          </w:tcPr>
          <w:p w14:paraId="03CC7565" w14:textId="77777777" w:rsidR="00E1435B" w:rsidRPr="009217FD" w:rsidRDefault="00E1435B" w:rsidP="001733C9">
            <w:pPr>
              <w:jc w:val="right"/>
              <w:rPr>
                <w:color w:val="000000"/>
                <w:sz w:val="22"/>
                <w:szCs w:val="22"/>
              </w:rPr>
            </w:pPr>
            <w:r w:rsidRPr="009217FD">
              <w:rPr>
                <w:color w:val="000000"/>
                <w:sz w:val="22"/>
                <w:szCs w:val="22"/>
              </w:rPr>
              <w:t>2 400</w:t>
            </w:r>
          </w:p>
        </w:tc>
        <w:tc>
          <w:tcPr>
            <w:tcW w:w="605" w:type="pct"/>
            <w:tcBorders>
              <w:top w:val="nil"/>
              <w:left w:val="nil"/>
              <w:bottom w:val="single" w:sz="4" w:space="0" w:color="auto"/>
              <w:right w:val="single" w:sz="4" w:space="0" w:color="auto"/>
            </w:tcBorders>
            <w:shd w:val="clear" w:color="auto" w:fill="auto"/>
            <w:vAlign w:val="center"/>
            <w:hideMark/>
          </w:tcPr>
          <w:p w14:paraId="55C0524C" w14:textId="77777777" w:rsidR="00E1435B" w:rsidRPr="009217FD" w:rsidRDefault="00E1435B" w:rsidP="001733C9">
            <w:pPr>
              <w:jc w:val="center"/>
              <w:rPr>
                <w:color w:val="000000"/>
                <w:sz w:val="22"/>
                <w:szCs w:val="22"/>
              </w:rPr>
            </w:pPr>
            <w:r w:rsidRPr="009217FD">
              <w:rPr>
                <w:color w:val="000000"/>
                <w:sz w:val="22"/>
                <w:szCs w:val="22"/>
              </w:rPr>
              <w:t>0%</w:t>
            </w:r>
          </w:p>
        </w:tc>
      </w:tr>
      <w:tr w:rsidR="00E1435B" w:rsidRPr="009217FD" w14:paraId="78EA859B"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0A67D9BF" w14:textId="77777777" w:rsidR="00E1435B" w:rsidRPr="009217FD" w:rsidRDefault="00E1435B" w:rsidP="001733C9">
            <w:pPr>
              <w:jc w:val="both"/>
              <w:rPr>
                <w:color w:val="000000"/>
                <w:sz w:val="22"/>
                <w:szCs w:val="22"/>
              </w:rPr>
            </w:pPr>
            <w:r w:rsidRPr="009217FD">
              <w:rPr>
                <w:color w:val="000000"/>
                <w:sz w:val="22"/>
                <w:szCs w:val="22"/>
              </w:rPr>
              <w:t>Экономическое развитие и инновационная экономика</w:t>
            </w:r>
          </w:p>
        </w:tc>
        <w:tc>
          <w:tcPr>
            <w:tcW w:w="706" w:type="pct"/>
            <w:tcBorders>
              <w:top w:val="nil"/>
              <w:left w:val="nil"/>
              <w:bottom w:val="single" w:sz="4" w:space="0" w:color="auto"/>
              <w:right w:val="single" w:sz="4" w:space="0" w:color="auto"/>
            </w:tcBorders>
            <w:shd w:val="clear" w:color="auto" w:fill="auto"/>
            <w:vAlign w:val="center"/>
            <w:hideMark/>
          </w:tcPr>
          <w:p w14:paraId="4D192A42" w14:textId="77777777" w:rsidR="00E1435B" w:rsidRPr="009217FD" w:rsidRDefault="00E1435B" w:rsidP="001733C9">
            <w:pPr>
              <w:jc w:val="right"/>
              <w:rPr>
                <w:color w:val="000000"/>
                <w:sz w:val="22"/>
                <w:szCs w:val="22"/>
              </w:rPr>
            </w:pPr>
            <w:r w:rsidRPr="009217FD">
              <w:rPr>
                <w:color w:val="000000"/>
                <w:sz w:val="22"/>
                <w:szCs w:val="22"/>
              </w:rPr>
              <w:t>19 763</w:t>
            </w:r>
          </w:p>
        </w:tc>
        <w:tc>
          <w:tcPr>
            <w:tcW w:w="706" w:type="pct"/>
            <w:tcBorders>
              <w:top w:val="nil"/>
              <w:left w:val="nil"/>
              <w:bottom w:val="single" w:sz="4" w:space="0" w:color="auto"/>
              <w:right w:val="single" w:sz="4" w:space="0" w:color="auto"/>
            </w:tcBorders>
            <w:shd w:val="clear" w:color="auto" w:fill="auto"/>
            <w:vAlign w:val="center"/>
            <w:hideMark/>
          </w:tcPr>
          <w:p w14:paraId="597716D1" w14:textId="77777777" w:rsidR="00E1435B" w:rsidRPr="009217FD" w:rsidRDefault="00E1435B" w:rsidP="001733C9">
            <w:pPr>
              <w:jc w:val="right"/>
              <w:rPr>
                <w:color w:val="000000"/>
                <w:sz w:val="22"/>
                <w:szCs w:val="22"/>
              </w:rPr>
            </w:pPr>
            <w:r w:rsidRPr="009217FD">
              <w:rPr>
                <w:color w:val="000000"/>
                <w:sz w:val="22"/>
                <w:szCs w:val="22"/>
              </w:rPr>
              <w:t>20 510</w:t>
            </w:r>
          </w:p>
        </w:tc>
        <w:tc>
          <w:tcPr>
            <w:tcW w:w="524" w:type="pct"/>
            <w:tcBorders>
              <w:top w:val="nil"/>
              <w:left w:val="nil"/>
              <w:bottom w:val="single" w:sz="4" w:space="0" w:color="auto"/>
              <w:right w:val="single" w:sz="4" w:space="0" w:color="auto"/>
            </w:tcBorders>
            <w:shd w:val="clear" w:color="auto" w:fill="auto"/>
            <w:vAlign w:val="center"/>
            <w:hideMark/>
          </w:tcPr>
          <w:p w14:paraId="48B33EE5" w14:textId="77777777" w:rsidR="00E1435B" w:rsidRPr="009217FD" w:rsidRDefault="00E1435B" w:rsidP="001733C9">
            <w:pPr>
              <w:jc w:val="center"/>
              <w:rPr>
                <w:color w:val="000000"/>
                <w:sz w:val="22"/>
                <w:szCs w:val="22"/>
              </w:rPr>
            </w:pPr>
            <w:r w:rsidRPr="009217FD">
              <w:rPr>
                <w:color w:val="000000"/>
                <w:sz w:val="22"/>
                <w:szCs w:val="22"/>
              </w:rPr>
              <w:t>4%</w:t>
            </w:r>
          </w:p>
        </w:tc>
        <w:tc>
          <w:tcPr>
            <w:tcW w:w="706" w:type="pct"/>
            <w:tcBorders>
              <w:top w:val="nil"/>
              <w:left w:val="nil"/>
              <w:bottom w:val="single" w:sz="4" w:space="0" w:color="auto"/>
              <w:right w:val="single" w:sz="4" w:space="0" w:color="auto"/>
            </w:tcBorders>
            <w:shd w:val="clear" w:color="auto" w:fill="auto"/>
            <w:vAlign w:val="center"/>
            <w:hideMark/>
          </w:tcPr>
          <w:p w14:paraId="1F80B168" w14:textId="77777777" w:rsidR="00E1435B" w:rsidRPr="009217FD" w:rsidRDefault="00E1435B" w:rsidP="001733C9">
            <w:pPr>
              <w:jc w:val="right"/>
              <w:rPr>
                <w:color w:val="000000"/>
                <w:sz w:val="22"/>
                <w:szCs w:val="22"/>
              </w:rPr>
            </w:pPr>
            <w:r w:rsidRPr="009217FD">
              <w:rPr>
                <w:color w:val="000000"/>
                <w:sz w:val="22"/>
                <w:szCs w:val="22"/>
              </w:rPr>
              <w:t>1 249</w:t>
            </w:r>
          </w:p>
        </w:tc>
        <w:tc>
          <w:tcPr>
            <w:tcW w:w="605" w:type="pct"/>
            <w:tcBorders>
              <w:top w:val="nil"/>
              <w:left w:val="nil"/>
              <w:bottom w:val="single" w:sz="4" w:space="0" w:color="auto"/>
              <w:right w:val="single" w:sz="4" w:space="0" w:color="auto"/>
            </w:tcBorders>
            <w:shd w:val="clear" w:color="auto" w:fill="auto"/>
            <w:vAlign w:val="center"/>
            <w:hideMark/>
          </w:tcPr>
          <w:p w14:paraId="2722B0EF" w14:textId="77777777" w:rsidR="00E1435B" w:rsidRPr="009217FD" w:rsidRDefault="00E1435B" w:rsidP="001733C9">
            <w:pPr>
              <w:jc w:val="center"/>
              <w:rPr>
                <w:color w:val="000000"/>
                <w:sz w:val="22"/>
                <w:szCs w:val="22"/>
              </w:rPr>
            </w:pPr>
            <w:r w:rsidRPr="009217FD">
              <w:rPr>
                <w:color w:val="000000"/>
                <w:sz w:val="22"/>
                <w:szCs w:val="22"/>
              </w:rPr>
              <w:t>-94%</w:t>
            </w:r>
          </w:p>
        </w:tc>
      </w:tr>
      <w:tr w:rsidR="00E1435B" w:rsidRPr="009217FD" w14:paraId="1E2086AF"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581481C5" w14:textId="77777777" w:rsidR="00E1435B" w:rsidRPr="009217FD" w:rsidRDefault="00E1435B" w:rsidP="001733C9">
            <w:pPr>
              <w:jc w:val="both"/>
              <w:rPr>
                <w:color w:val="000000"/>
                <w:sz w:val="22"/>
                <w:szCs w:val="22"/>
              </w:rPr>
            </w:pPr>
            <w:r w:rsidRPr="009217FD">
              <w:rPr>
                <w:color w:val="000000"/>
                <w:sz w:val="22"/>
                <w:szCs w:val="22"/>
              </w:rPr>
              <w:t>Реализация государственной национальной политики</w:t>
            </w:r>
          </w:p>
        </w:tc>
        <w:tc>
          <w:tcPr>
            <w:tcW w:w="706" w:type="pct"/>
            <w:tcBorders>
              <w:top w:val="nil"/>
              <w:left w:val="nil"/>
              <w:bottom w:val="single" w:sz="4" w:space="0" w:color="auto"/>
              <w:right w:val="single" w:sz="4" w:space="0" w:color="auto"/>
            </w:tcBorders>
            <w:shd w:val="clear" w:color="auto" w:fill="auto"/>
            <w:vAlign w:val="center"/>
            <w:hideMark/>
          </w:tcPr>
          <w:p w14:paraId="25C34327" w14:textId="77777777" w:rsidR="00E1435B" w:rsidRPr="009217FD" w:rsidRDefault="00E1435B" w:rsidP="001733C9">
            <w:pPr>
              <w:jc w:val="right"/>
              <w:rPr>
                <w:color w:val="000000"/>
                <w:sz w:val="22"/>
                <w:szCs w:val="22"/>
              </w:rPr>
            </w:pPr>
            <w:r w:rsidRPr="009217FD">
              <w:rPr>
                <w:color w:val="000000"/>
                <w:sz w:val="22"/>
                <w:szCs w:val="22"/>
              </w:rPr>
              <w:t>968</w:t>
            </w:r>
          </w:p>
        </w:tc>
        <w:tc>
          <w:tcPr>
            <w:tcW w:w="706" w:type="pct"/>
            <w:tcBorders>
              <w:top w:val="nil"/>
              <w:left w:val="nil"/>
              <w:bottom w:val="single" w:sz="4" w:space="0" w:color="auto"/>
              <w:right w:val="single" w:sz="4" w:space="0" w:color="auto"/>
            </w:tcBorders>
            <w:shd w:val="clear" w:color="auto" w:fill="auto"/>
            <w:vAlign w:val="center"/>
            <w:hideMark/>
          </w:tcPr>
          <w:p w14:paraId="4EF3E7D0" w14:textId="77777777" w:rsidR="00E1435B" w:rsidRPr="009217FD" w:rsidRDefault="00E1435B" w:rsidP="001733C9">
            <w:pPr>
              <w:jc w:val="right"/>
              <w:rPr>
                <w:color w:val="000000"/>
                <w:sz w:val="22"/>
                <w:szCs w:val="22"/>
              </w:rPr>
            </w:pPr>
            <w:r w:rsidRPr="009217FD">
              <w:rPr>
                <w:color w:val="000000"/>
                <w:sz w:val="22"/>
                <w:szCs w:val="22"/>
              </w:rPr>
              <w:t>968</w:t>
            </w:r>
          </w:p>
        </w:tc>
        <w:tc>
          <w:tcPr>
            <w:tcW w:w="524" w:type="pct"/>
            <w:tcBorders>
              <w:top w:val="nil"/>
              <w:left w:val="nil"/>
              <w:bottom w:val="single" w:sz="4" w:space="0" w:color="auto"/>
              <w:right w:val="single" w:sz="4" w:space="0" w:color="auto"/>
            </w:tcBorders>
            <w:shd w:val="clear" w:color="auto" w:fill="auto"/>
            <w:vAlign w:val="center"/>
            <w:hideMark/>
          </w:tcPr>
          <w:p w14:paraId="7E10FCB0" w14:textId="77777777" w:rsidR="00E1435B" w:rsidRPr="009217FD" w:rsidRDefault="00E1435B" w:rsidP="001733C9">
            <w:pPr>
              <w:jc w:val="center"/>
              <w:rPr>
                <w:color w:val="000000"/>
                <w:sz w:val="22"/>
                <w:szCs w:val="22"/>
              </w:rPr>
            </w:pPr>
            <w:r w:rsidRPr="009217FD">
              <w:rPr>
                <w:color w:val="000000"/>
                <w:sz w:val="22"/>
                <w:szCs w:val="22"/>
              </w:rPr>
              <w:t>0%</w:t>
            </w:r>
          </w:p>
        </w:tc>
        <w:tc>
          <w:tcPr>
            <w:tcW w:w="706" w:type="pct"/>
            <w:tcBorders>
              <w:top w:val="nil"/>
              <w:left w:val="nil"/>
              <w:bottom w:val="single" w:sz="4" w:space="0" w:color="auto"/>
              <w:right w:val="single" w:sz="4" w:space="0" w:color="auto"/>
            </w:tcBorders>
            <w:shd w:val="clear" w:color="auto" w:fill="auto"/>
            <w:vAlign w:val="center"/>
            <w:hideMark/>
          </w:tcPr>
          <w:p w14:paraId="6CBADBE1" w14:textId="77777777" w:rsidR="00E1435B" w:rsidRPr="009217FD" w:rsidRDefault="00E1435B" w:rsidP="001733C9">
            <w:pPr>
              <w:jc w:val="right"/>
              <w:rPr>
                <w:color w:val="000000"/>
                <w:sz w:val="22"/>
                <w:szCs w:val="22"/>
              </w:rPr>
            </w:pPr>
            <w:r w:rsidRPr="009217FD">
              <w:rPr>
                <w:color w:val="000000"/>
                <w:sz w:val="22"/>
                <w:szCs w:val="22"/>
              </w:rPr>
              <w:t>968</w:t>
            </w:r>
          </w:p>
        </w:tc>
        <w:tc>
          <w:tcPr>
            <w:tcW w:w="605" w:type="pct"/>
            <w:tcBorders>
              <w:top w:val="nil"/>
              <w:left w:val="nil"/>
              <w:bottom w:val="single" w:sz="4" w:space="0" w:color="auto"/>
              <w:right w:val="single" w:sz="4" w:space="0" w:color="auto"/>
            </w:tcBorders>
            <w:shd w:val="clear" w:color="auto" w:fill="auto"/>
            <w:vAlign w:val="center"/>
            <w:hideMark/>
          </w:tcPr>
          <w:p w14:paraId="57922EF6" w14:textId="77777777" w:rsidR="00E1435B" w:rsidRPr="009217FD" w:rsidRDefault="00E1435B" w:rsidP="001733C9">
            <w:pPr>
              <w:jc w:val="center"/>
              <w:rPr>
                <w:color w:val="000000"/>
                <w:sz w:val="22"/>
                <w:szCs w:val="22"/>
              </w:rPr>
            </w:pPr>
            <w:r w:rsidRPr="009217FD">
              <w:rPr>
                <w:color w:val="000000"/>
                <w:sz w:val="22"/>
                <w:szCs w:val="22"/>
              </w:rPr>
              <w:t>0%</w:t>
            </w:r>
          </w:p>
        </w:tc>
      </w:tr>
      <w:tr w:rsidR="00E1435B" w:rsidRPr="009217FD" w14:paraId="1C9E279C"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60DBAFF4" w14:textId="77777777" w:rsidR="00E1435B" w:rsidRPr="009217FD" w:rsidRDefault="00E1435B" w:rsidP="001733C9">
            <w:pPr>
              <w:jc w:val="both"/>
              <w:rPr>
                <w:color w:val="000000"/>
                <w:sz w:val="22"/>
                <w:szCs w:val="22"/>
              </w:rPr>
            </w:pPr>
            <w:r w:rsidRPr="009217FD">
              <w:rPr>
                <w:color w:val="000000"/>
                <w:sz w:val="22"/>
                <w:szCs w:val="22"/>
              </w:rPr>
              <w:t>Доступная среда</w:t>
            </w:r>
          </w:p>
        </w:tc>
        <w:tc>
          <w:tcPr>
            <w:tcW w:w="706" w:type="pct"/>
            <w:tcBorders>
              <w:top w:val="nil"/>
              <w:left w:val="nil"/>
              <w:bottom w:val="single" w:sz="4" w:space="0" w:color="auto"/>
              <w:right w:val="single" w:sz="4" w:space="0" w:color="auto"/>
            </w:tcBorders>
            <w:shd w:val="clear" w:color="auto" w:fill="auto"/>
            <w:vAlign w:val="center"/>
            <w:hideMark/>
          </w:tcPr>
          <w:p w14:paraId="66FA0F4F" w14:textId="77777777" w:rsidR="00E1435B" w:rsidRPr="009217FD" w:rsidRDefault="00E1435B" w:rsidP="001733C9">
            <w:pPr>
              <w:jc w:val="right"/>
              <w:rPr>
                <w:color w:val="000000"/>
                <w:sz w:val="22"/>
                <w:szCs w:val="22"/>
              </w:rPr>
            </w:pPr>
            <w:r w:rsidRPr="009217FD">
              <w:rPr>
                <w:color w:val="000000"/>
                <w:sz w:val="22"/>
                <w:szCs w:val="22"/>
              </w:rPr>
              <w:t>1 007</w:t>
            </w:r>
          </w:p>
        </w:tc>
        <w:tc>
          <w:tcPr>
            <w:tcW w:w="706" w:type="pct"/>
            <w:tcBorders>
              <w:top w:val="nil"/>
              <w:left w:val="nil"/>
              <w:bottom w:val="single" w:sz="4" w:space="0" w:color="auto"/>
              <w:right w:val="single" w:sz="4" w:space="0" w:color="auto"/>
            </w:tcBorders>
            <w:shd w:val="clear" w:color="auto" w:fill="auto"/>
            <w:vAlign w:val="center"/>
            <w:hideMark/>
          </w:tcPr>
          <w:p w14:paraId="222A4A94" w14:textId="77777777" w:rsidR="00E1435B" w:rsidRPr="009217FD" w:rsidRDefault="00E1435B" w:rsidP="001733C9">
            <w:pPr>
              <w:jc w:val="right"/>
              <w:rPr>
                <w:color w:val="000000"/>
                <w:sz w:val="22"/>
                <w:szCs w:val="22"/>
              </w:rPr>
            </w:pPr>
            <w:r w:rsidRPr="009217FD">
              <w:rPr>
                <w:color w:val="000000"/>
                <w:sz w:val="22"/>
                <w:szCs w:val="22"/>
              </w:rPr>
              <w:t>902</w:t>
            </w:r>
          </w:p>
        </w:tc>
        <w:tc>
          <w:tcPr>
            <w:tcW w:w="524" w:type="pct"/>
            <w:tcBorders>
              <w:top w:val="nil"/>
              <w:left w:val="nil"/>
              <w:bottom w:val="single" w:sz="4" w:space="0" w:color="auto"/>
              <w:right w:val="single" w:sz="4" w:space="0" w:color="auto"/>
            </w:tcBorders>
            <w:shd w:val="clear" w:color="auto" w:fill="auto"/>
            <w:vAlign w:val="center"/>
            <w:hideMark/>
          </w:tcPr>
          <w:p w14:paraId="4B7BD36D" w14:textId="77777777" w:rsidR="00E1435B" w:rsidRPr="009217FD" w:rsidRDefault="00E1435B" w:rsidP="001733C9">
            <w:pPr>
              <w:jc w:val="center"/>
              <w:rPr>
                <w:color w:val="000000"/>
                <w:sz w:val="22"/>
                <w:szCs w:val="22"/>
              </w:rPr>
            </w:pPr>
            <w:r w:rsidRPr="009217FD">
              <w:rPr>
                <w:color w:val="000000"/>
                <w:sz w:val="22"/>
                <w:szCs w:val="22"/>
              </w:rPr>
              <w:t>-10%</w:t>
            </w:r>
          </w:p>
        </w:tc>
        <w:tc>
          <w:tcPr>
            <w:tcW w:w="706" w:type="pct"/>
            <w:tcBorders>
              <w:top w:val="nil"/>
              <w:left w:val="nil"/>
              <w:bottom w:val="single" w:sz="4" w:space="0" w:color="auto"/>
              <w:right w:val="single" w:sz="4" w:space="0" w:color="auto"/>
            </w:tcBorders>
            <w:shd w:val="clear" w:color="auto" w:fill="auto"/>
            <w:vAlign w:val="center"/>
            <w:hideMark/>
          </w:tcPr>
          <w:p w14:paraId="686AD742" w14:textId="77777777" w:rsidR="00E1435B" w:rsidRPr="009217FD" w:rsidRDefault="00E1435B" w:rsidP="001733C9">
            <w:pPr>
              <w:jc w:val="right"/>
              <w:rPr>
                <w:color w:val="000000"/>
                <w:sz w:val="22"/>
                <w:szCs w:val="22"/>
              </w:rPr>
            </w:pPr>
            <w:r w:rsidRPr="009217FD">
              <w:rPr>
                <w:color w:val="000000"/>
                <w:sz w:val="22"/>
                <w:szCs w:val="22"/>
              </w:rPr>
              <w:t>824</w:t>
            </w:r>
          </w:p>
        </w:tc>
        <w:tc>
          <w:tcPr>
            <w:tcW w:w="605" w:type="pct"/>
            <w:tcBorders>
              <w:top w:val="nil"/>
              <w:left w:val="nil"/>
              <w:bottom w:val="single" w:sz="4" w:space="0" w:color="auto"/>
              <w:right w:val="single" w:sz="4" w:space="0" w:color="auto"/>
            </w:tcBorders>
            <w:shd w:val="clear" w:color="auto" w:fill="auto"/>
            <w:vAlign w:val="center"/>
            <w:hideMark/>
          </w:tcPr>
          <w:p w14:paraId="65D0F6EF" w14:textId="77777777" w:rsidR="00E1435B" w:rsidRPr="009217FD" w:rsidRDefault="00E1435B" w:rsidP="001733C9">
            <w:pPr>
              <w:jc w:val="center"/>
              <w:rPr>
                <w:color w:val="000000"/>
                <w:sz w:val="22"/>
                <w:szCs w:val="22"/>
              </w:rPr>
            </w:pPr>
            <w:r w:rsidRPr="009217FD">
              <w:rPr>
                <w:color w:val="000000"/>
                <w:sz w:val="22"/>
                <w:szCs w:val="22"/>
              </w:rPr>
              <w:t>-9%</w:t>
            </w:r>
          </w:p>
        </w:tc>
      </w:tr>
      <w:tr w:rsidR="00E1435B" w:rsidRPr="009217FD" w14:paraId="2C1F0155"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7A625E04" w14:textId="77777777" w:rsidR="00E1435B" w:rsidRPr="009217FD" w:rsidRDefault="00E1435B" w:rsidP="001733C9">
            <w:pPr>
              <w:jc w:val="both"/>
              <w:rPr>
                <w:color w:val="000000"/>
                <w:sz w:val="22"/>
                <w:szCs w:val="22"/>
              </w:rPr>
            </w:pPr>
            <w:r w:rsidRPr="009217FD">
              <w:rPr>
                <w:color w:val="000000"/>
                <w:sz w:val="22"/>
                <w:szCs w:val="22"/>
              </w:rPr>
              <w:t>Охрана окружающей среды</w:t>
            </w:r>
          </w:p>
        </w:tc>
        <w:tc>
          <w:tcPr>
            <w:tcW w:w="706" w:type="pct"/>
            <w:tcBorders>
              <w:top w:val="nil"/>
              <w:left w:val="nil"/>
              <w:bottom w:val="single" w:sz="4" w:space="0" w:color="auto"/>
              <w:right w:val="single" w:sz="4" w:space="0" w:color="auto"/>
            </w:tcBorders>
            <w:shd w:val="clear" w:color="auto" w:fill="auto"/>
            <w:vAlign w:val="center"/>
            <w:hideMark/>
          </w:tcPr>
          <w:p w14:paraId="2ABDB132" w14:textId="77777777" w:rsidR="00E1435B" w:rsidRPr="009217FD" w:rsidRDefault="00E1435B" w:rsidP="001733C9">
            <w:pPr>
              <w:jc w:val="right"/>
              <w:rPr>
                <w:color w:val="000000"/>
                <w:sz w:val="22"/>
                <w:szCs w:val="22"/>
              </w:rPr>
            </w:pPr>
            <w:r w:rsidRPr="009217FD">
              <w:rPr>
                <w:color w:val="000000"/>
                <w:sz w:val="22"/>
                <w:szCs w:val="22"/>
              </w:rPr>
              <w:t>38 474</w:t>
            </w:r>
          </w:p>
        </w:tc>
        <w:tc>
          <w:tcPr>
            <w:tcW w:w="706" w:type="pct"/>
            <w:tcBorders>
              <w:top w:val="nil"/>
              <w:left w:val="nil"/>
              <w:bottom w:val="single" w:sz="4" w:space="0" w:color="auto"/>
              <w:right w:val="single" w:sz="4" w:space="0" w:color="auto"/>
            </w:tcBorders>
            <w:shd w:val="clear" w:color="auto" w:fill="auto"/>
            <w:vAlign w:val="center"/>
            <w:hideMark/>
          </w:tcPr>
          <w:p w14:paraId="4A439AD0" w14:textId="77777777" w:rsidR="00E1435B" w:rsidRPr="009217FD" w:rsidRDefault="00E1435B" w:rsidP="001733C9">
            <w:pPr>
              <w:jc w:val="right"/>
              <w:rPr>
                <w:color w:val="000000"/>
                <w:sz w:val="22"/>
                <w:szCs w:val="22"/>
              </w:rPr>
            </w:pPr>
            <w:r w:rsidRPr="009217FD">
              <w:rPr>
                <w:color w:val="000000"/>
                <w:sz w:val="22"/>
                <w:szCs w:val="22"/>
              </w:rPr>
              <w:t>19 026</w:t>
            </w:r>
          </w:p>
        </w:tc>
        <w:tc>
          <w:tcPr>
            <w:tcW w:w="524" w:type="pct"/>
            <w:tcBorders>
              <w:top w:val="nil"/>
              <w:left w:val="nil"/>
              <w:bottom w:val="single" w:sz="4" w:space="0" w:color="auto"/>
              <w:right w:val="single" w:sz="4" w:space="0" w:color="auto"/>
            </w:tcBorders>
            <w:shd w:val="clear" w:color="auto" w:fill="auto"/>
            <w:vAlign w:val="center"/>
            <w:hideMark/>
          </w:tcPr>
          <w:p w14:paraId="1E96FAA0" w14:textId="77777777" w:rsidR="00E1435B" w:rsidRPr="009217FD" w:rsidRDefault="00E1435B" w:rsidP="001733C9">
            <w:pPr>
              <w:jc w:val="center"/>
              <w:rPr>
                <w:color w:val="000000"/>
                <w:sz w:val="22"/>
                <w:szCs w:val="22"/>
              </w:rPr>
            </w:pPr>
            <w:r w:rsidRPr="009217FD">
              <w:rPr>
                <w:color w:val="000000"/>
                <w:sz w:val="22"/>
                <w:szCs w:val="22"/>
              </w:rPr>
              <w:t>-51%</w:t>
            </w:r>
          </w:p>
        </w:tc>
        <w:tc>
          <w:tcPr>
            <w:tcW w:w="706" w:type="pct"/>
            <w:tcBorders>
              <w:top w:val="nil"/>
              <w:left w:val="nil"/>
              <w:bottom w:val="single" w:sz="4" w:space="0" w:color="auto"/>
              <w:right w:val="single" w:sz="4" w:space="0" w:color="auto"/>
            </w:tcBorders>
            <w:shd w:val="clear" w:color="auto" w:fill="auto"/>
            <w:vAlign w:val="center"/>
            <w:hideMark/>
          </w:tcPr>
          <w:p w14:paraId="21199688" w14:textId="77777777" w:rsidR="00E1435B" w:rsidRPr="009217FD" w:rsidRDefault="00E1435B" w:rsidP="001733C9">
            <w:pPr>
              <w:jc w:val="right"/>
              <w:rPr>
                <w:color w:val="000000"/>
                <w:sz w:val="22"/>
                <w:szCs w:val="22"/>
              </w:rPr>
            </w:pPr>
            <w:r w:rsidRPr="009217FD">
              <w:rPr>
                <w:color w:val="000000"/>
                <w:sz w:val="22"/>
                <w:szCs w:val="22"/>
              </w:rPr>
              <w:t>332</w:t>
            </w:r>
          </w:p>
        </w:tc>
        <w:tc>
          <w:tcPr>
            <w:tcW w:w="605" w:type="pct"/>
            <w:tcBorders>
              <w:top w:val="nil"/>
              <w:left w:val="nil"/>
              <w:bottom w:val="single" w:sz="4" w:space="0" w:color="auto"/>
              <w:right w:val="single" w:sz="4" w:space="0" w:color="auto"/>
            </w:tcBorders>
            <w:shd w:val="clear" w:color="auto" w:fill="auto"/>
            <w:vAlign w:val="center"/>
            <w:hideMark/>
          </w:tcPr>
          <w:p w14:paraId="6DB0A10A" w14:textId="77777777" w:rsidR="00E1435B" w:rsidRPr="009217FD" w:rsidRDefault="00E1435B" w:rsidP="001733C9">
            <w:pPr>
              <w:jc w:val="center"/>
              <w:rPr>
                <w:color w:val="000000"/>
                <w:sz w:val="22"/>
                <w:szCs w:val="22"/>
              </w:rPr>
            </w:pPr>
            <w:r w:rsidRPr="009217FD">
              <w:rPr>
                <w:color w:val="000000"/>
                <w:sz w:val="22"/>
                <w:szCs w:val="22"/>
              </w:rPr>
              <w:t>-98%</w:t>
            </w:r>
          </w:p>
        </w:tc>
      </w:tr>
      <w:tr w:rsidR="00E1435B" w:rsidRPr="009217FD" w14:paraId="4C423C80"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3C82E7BB" w14:textId="77777777" w:rsidR="00E1435B" w:rsidRPr="009217FD" w:rsidRDefault="00E1435B" w:rsidP="001733C9">
            <w:pPr>
              <w:jc w:val="both"/>
              <w:rPr>
                <w:color w:val="000000"/>
                <w:sz w:val="22"/>
                <w:szCs w:val="22"/>
              </w:rPr>
            </w:pPr>
            <w:r w:rsidRPr="009217FD">
              <w:rPr>
                <w:color w:val="000000"/>
                <w:sz w:val="22"/>
                <w:szCs w:val="22"/>
              </w:rPr>
              <w:t>Научно-технологическое развитие Российской Федерации</w:t>
            </w:r>
          </w:p>
        </w:tc>
        <w:tc>
          <w:tcPr>
            <w:tcW w:w="706" w:type="pct"/>
            <w:tcBorders>
              <w:top w:val="nil"/>
              <w:left w:val="nil"/>
              <w:bottom w:val="single" w:sz="4" w:space="0" w:color="auto"/>
              <w:right w:val="single" w:sz="4" w:space="0" w:color="auto"/>
            </w:tcBorders>
            <w:shd w:val="clear" w:color="auto" w:fill="auto"/>
            <w:vAlign w:val="center"/>
            <w:hideMark/>
          </w:tcPr>
          <w:p w14:paraId="0500C036" w14:textId="77777777" w:rsidR="00E1435B" w:rsidRPr="009217FD" w:rsidRDefault="00E1435B" w:rsidP="001733C9">
            <w:pPr>
              <w:jc w:val="right"/>
              <w:rPr>
                <w:color w:val="000000"/>
                <w:sz w:val="22"/>
                <w:szCs w:val="22"/>
              </w:rPr>
            </w:pPr>
            <w:r w:rsidRPr="009217FD">
              <w:rPr>
                <w:color w:val="000000"/>
                <w:sz w:val="22"/>
                <w:szCs w:val="22"/>
              </w:rPr>
              <w:t>309</w:t>
            </w:r>
          </w:p>
        </w:tc>
        <w:tc>
          <w:tcPr>
            <w:tcW w:w="706" w:type="pct"/>
            <w:tcBorders>
              <w:top w:val="nil"/>
              <w:left w:val="nil"/>
              <w:bottom w:val="single" w:sz="4" w:space="0" w:color="auto"/>
              <w:right w:val="single" w:sz="4" w:space="0" w:color="auto"/>
            </w:tcBorders>
            <w:shd w:val="clear" w:color="auto" w:fill="auto"/>
            <w:vAlign w:val="center"/>
            <w:hideMark/>
          </w:tcPr>
          <w:p w14:paraId="08DA91D7" w14:textId="77777777" w:rsidR="00E1435B" w:rsidRPr="009217FD" w:rsidRDefault="00E1435B" w:rsidP="001733C9">
            <w:pPr>
              <w:jc w:val="right"/>
              <w:rPr>
                <w:color w:val="000000"/>
                <w:sz w:val="22"/>
                <w:szCs w:val="22"/>
              </w:rPr>
            </w:pPr>
            <w:r w:rsidRPr="009217FD">
              <w:rPr>
                <w:color w:val="000000"/>
                <w:sz w:val="22"/>
                <w:szCs w:val="22"/>
              </w:rPr>
              <w:t>309</w:t>
            </w:r>
          </w:p>
        </w:tc>
        <w:tc>
          <w:tcPr>
            <w:tcW w:w="524" w:type="pct"/>
            <w:tcBorders>
              <w:top w:val="nil"/>
              <w:left w:val="nil"/>
              <w:bottom w:val="single" w:sz="4" w:space="0" w:color="auto"/>
              <w:right w:val="single" w:sz="4" w:space="0" w:color="auto"/>
            </w:tcBorders>
            <w:shd w:val="clear" w:color="auto" w:fill="auto"/>
            <w:vAlign w:val="center"/>
            <w:hideMark/>
          </w:tcPr>
          <w:p w14:paraId="44199DC0" w14:textId="77777777" w:rsidR="00E1435B" w:rsidRPr="009217FD" w:rsidRDefault="00E1435B" w:rsidP="001733C9">
            <w:pPr>
              <w:jc w:val="center"/>
              <w:rPr>
                <w:color w:val="000000"/>
                <w:sz w:val="22"/>
                <w:szCs w:val="22"/>
              </w:rPr>
            </w:pPr>
            <w:r w:rsidRPr="009217FD">
              <w:rPr>
                <w:color w:val="000000"/>
                <w:sz w:val="22"/>
                <w:szCs w:val="22"/>
              </w:rPr>
              <w:t>0%</w:t>
            </w:r>
          </w:p>
        </w:tc>
        <w:tc>
          <w:tcPr>
            <w:tcW w:w="706" w:type="pct"/>
            <w:tcBorders>
              <w:top w:val="nil"/>
              <w:left w:val="nil"/>
              <w:bottom w:val="single" w:sz="4" w:space="0" w:color="auto"/>
              <w:right w:val="single" w:sz="4" w:space="0" w:color="auto"/>
            </w:tcBorders>
            <w:shd w:val="clear" w:color="auto" w:fill="auto"/>
            <w:vAlign w:val="center"/>
            <w:hideMark/>
          </w:tcPr>
          <w:p w14:paraId="25C5B4E1" w14:textId="77777777" w:rsidR="00E1435B" w:rsidRPr="009217FD" w:rsidRDefault="00E1435B" w:rsidP="001733C9">
            <w:pPr>
              <w:jc w:val="right"/>
              <w:rPr>
                <w:color w:val="000000"/>
                <w:sz w:val="22"/>
                <w:szCs w:val="22"/>
              </w:rPr>
            </w:pPr>
            <w:r w:rsidRPr="009217FD">
              <w:rPr>
                <w:color w:val="000000"/>
                <w:sz w:val="22"/>
                <w:szCs w:val="22"/>
              </w:rPr>
              <w:t>309</w:t>
            </w:r>
          </w:p>
        </w:tc>
        <w:tc>
          <w:tcPr>
            <w:tcW w:w="605" w:type="pct"/>
            <w:tcBorders>
              <w:top w:val="nil"/>
              <w:left w:val="nil"/>
              <w:bottom w:val="single" w:sz="4" w:space="0" w:color="auto"/>
              <w:right w:val="single" w:sz="4" w:space="0" w:color="auto"/>
            </w:tcBorders>
            <w:shd w:val="clear" w:color="auto" w:fill="auto"/>
            <w:vAlign w:val="center"/>
            <w:hideMark/>
          </w:tcPr>
          <w:p w14:paraId="2CB8E552" w14:textId="77777777" w:rsidR="00E1435B" w:rsidRPr="009217FD" w:rsidRDefault="00E1435B" w:rsidP="001733C9">
            <w:pPr>
              <w:jc w:val="center"/>
              <w:rPr>
                <w:color w:val="000000"/>
                <w:sz w:val="22"/>
                <w:szCs w:val="22"/>
              </w:rPr>
            </w:pPr>
            <w:r w:rsidRPr="009217FD">
              <w:rPr>
                <w:color w:val="000000"/>
                <w:sz w:val="22"/>
                <w:szCs w:val="22"/>
              </w:rPr>
              <w:t>0%</w:t>
            </w:r>
          </w:p>
        </w:tc>
      </w:tr>
      <w:tr w:rsidR="00E1435B" w:rsidRPr="009217FD" w14:paraId="43474C60" w14:textId="77777777" w:rsidTr="00195EDA">
        <w:trPr>
          <w:trHeight w:val="955"/>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2417DFCE" w14:textId="77777777" w:rsidR="00E1435B" w:rsidRPr="009217FD" w:rsidRDefault="00E1435B" w:rsidP="001733C9">
            <w:pPr>
              <w:jc w:val="both"/>
              <w:rPr>
                <w:color w:val="000000"/>
                <w:sz w:val="22"/>
                <w:szCs w:val="22"/>
              </w:rPr>
            </w:pPr>
            <w:r w:rsidRPr="009217FD">
              <w:rPr>
                <w:color w:val="000000"/>
                <w:sz w:val="22"/>
                <w:szCs w:val="22"/>
              </w:rPr>
              <w:t>Обеспечение общественного порядка и противодействие преступности</w:t>
            </w:r>
          </w:p>
        </w:tc>
        <w:tc>
          <w:tcPr>
            <w:tcW w:w="706" w:type="pct"/>
            <w:tcBorders>
              <w:top w:val="nil"/>
              <w:left w:val="nil"/>
              <w:bottom w:val="single" w:sz="4" w:space="0" w:color="auto"/>
              <w:right w:val="single" w:sz="4" w:space="0" w:color="auto"/>
            </w:tcBorders>
            <w:shd w:val="clear" w:color="auto" w:fill="auto"/>
            <w:vAlign w:val="center"/>
            <w:hideMark/>
          </w:tcPr>
          <w:p w14:paraId="42F1AB7E" w14:textId="77777777" w:rsidR="00E1435B" w:rsidRPr="009217FD" w:rsidRDefault="00E1435B" w:rsidP="001733C9">
            <w:pPr>
              <w:jc w:val="right"/>
              <w:rPr>
                <w:color w:val="000000"/>
                <w:sz w:val="22"/>
                <w:szCs w:val="22"/>
              </w:rPr>
            </w:pPr>
            <w:r w:rsidRPr="009217FD">
              <w:rPr>
                <w:color w:val="000000"/>
                <w:sz w:val="22"/>
                <w:szCs w:val="22"/>
              </w:rPr>
              <w:t>300</w:t>
            </w:r>
          </w:p>
        </w:tc>
        <w:tc>
          <w:tcPr>
            <w:tcW w:w="706" w:type="pct"/>
            <w:tcBorders>
              <w:top w:val="nil"/>
              <w:left w:val="nil"/>
              <w:bottom w:val="single" w:sz="4" w:space="0" w:color="auto"/>
              <w:right w:val="single" w:sz="4" w:space="0" w:color="auto"/>
            </w:tcBorders>
            <w:shd w:val="clear" w:color="auto" w:fill="auto"/>
            <w:vAlign w:val="center"/>
            <w:hideMark/>
          </w:tcPr>
          <w:p w14:paraId="4C4CC974" w14:textId="77777777" w:rsidR="00E1435B" w:rsidRPr="009217FD" w:rsidRDefault="00E1435B" w:rsidP="001733C9">
            <w:pPr>
              <w:jc w:val="right"/>
              <w:rPr>
                <w:color w:val="000000"/>
                <w:sz w:val="22"/>
                <w:szCs w:val="22"/>
              </w:rPr>
            </w:pPr>
            <w:r w:rsidRPr="009217FD">
              <w:rPr>
                <w:color w:val="000000"/>
                <w:sz w:val="22"/>
                <w:szCs w:val="22"/>
              </w:rPr>
              <w:t>300</w:t>
            </w:r>
          </w:p>
        </w:tc>
        <w:tc>
          <w:tcPr>
            <w:tcW w:w="524" w:type="pct"/>
            <w:tcBorders>
              <w:top w:val="nil"/>
              <w:left w:val="nil"/>
              <w:bottom w:val="single" w:sz="4" w:space="0" w:color="auto"/>
              <w:right w:val="single" w:sz="4" w:space="0" w:color="auto"/>
            </w:tcBorders>
            <w:shd w:val="clear" w:color="auto" w:fill="auto"/>
            <w:vAlign w:val="center"/>
            <w:hideMark/>
          </w:tcPr>
          <w:p w14:paraId="38D94853" w14:textId="77777777" w:rsidR="00E1435B" w:rsidRPr="009217FD" w:rsidRDefault="00E1435B" w:rsidP="001733C9">
            <w:pPr>
              <w:jc w:val="center"/>
              <w:rPr>
                <w:color w:val="000000"/>
                <w:sz w:val="22"/>
                <w:szCs w:val="22"/>
              </w:rPr>
            </w:pPr>
            <w:r w:rsidRPr="009217FD">
              <w:rPr>
                <w:color w:val="000000"/>
                <w:sz w:val="22"/>
                <w:szCs w:val="22"/>
              </w:rPr>
              <w:t>0%</w:t>
            </w:r>
          </w:p>
        </w:tc>
        <w:tc>
          <w:tcPr>
            <w:tcW w:w="706" w:type="pct"/>
            <w:tcBorders>
              <w:top w:val="nil"/>
              <w:left w:val="nil"/>
              <w:bottom w:val="single" w:sz="4" w:space="0" w:color="auto"/>
              <w:right w:val="single" w:sz="4" w:space="0" w:color="auto"/>
            </w:tcBorders>
            <w:shd w:val="clear" w:color="auto" w:fill="auto"/>
            <w:vAlign w:val="center"/>
            <w:hideMark/>
          </w:tcPr>
          <w:p w14:paraId="02B86230" w14:textId="77777777" w:rsidR="00E1435B" w:rsidRPr="009217FD" w:rsidRDefault="00E1435B" w:rsidP="001733C9">
            <w:pPr>
              <w:jc w:val="right"/>
              <w:rPr>
                <w:color w:val="000000"/>
                <w:sz w:val="22"/>
                <w:szCs w:val="22"/>
              </w:rPr>
            </w:pPr>
            <w:r w:rsidRPr="009217FD">
              <w:rPr>
                <w:color w:val="000000"/>
                <w:sz w:val="22"/>
                <w:szCs w:val="22"/>
              </w:rPr>
              <w:t>300</w:t>
            </w:r>
          </w:p>
        </w:tc>
        <w:tc>
          <w:tcPr>
            <w:tcW w:w="605" w:type="pct"/>
            <w:tcBorders>
              <w:top w:val="nil"/>
              <w:left w:val="nil"/>
              <w:bottom w:val="single" w:sz="4" w:space="0" w:color="auto"/>
              <w:right w:val="single" w:sz="4" w:space="0" w:color="auto"/>
            </w:tcBorders>
            <w:shd w:val="clear" w:color="auto" w:fill="auto"/>
            <w:vAlign w:val="center"/>
            <w:hideMark/>
          </w:tcPr>
          <w:p w14:paraId="769B6A3B" w14:textId="77777777" w:rsidR="00E1435B" w:rsidRPr="009217FD" w:rsidRDefault="00E1435B" w:rsidP="001733C9">
            <w:pPr>
              <w:jc w:val="center"/>
              <w:rPr>
                <w:color w:val="000000"/>
                <w:sz w:val="22"/>
                <w:szCs w:val="22"/>
              </w:rPr>
            </w:pPr>
            <w:r w:rsidRPr="009217FD">
              <w:rPr>
                <w:color w:val="000000"/>
                <w:sz w:val="22"/>
                <w:szCs w:val="22"/>
              </w:rPr>
              <w:t>0%</w:t>
            </w:r>
          </w:p>
        </w:tc>
      </w:tr>
      <w:tr w:rsidR="00E1435B" w:rsidRPr="009217FD" w14:paraId="7F1754D4"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2149E1DC" w14:textId="77777777" w:rsidR="00E1435B" w:rsidRPr="009217FD" w:rsidRDefault="00E1435B" w:rsidP="001733C9">
            <w:pPr>
              <w:jc w:val="both"/>
              <w:rPr>
                <w:color w:val="000000"/>
                <w:sz w:val="22"/>
                <w:szCs w:val="22"/>
              </w:rPr>
            </w:pPr>
            <w:r w:rsidRPr="009217FD">
              <w:rPr>
                <w:color w:val="000000"/>
                <w:sz w:val="22"/>
                <w:szCs w:val="22"/>
              </w:rPr>
              <w:lastRenderedPageBreak/>
              <w:t>Информационное общество</w:t>
            </w:r>
          </w:p>
        </w:tc>
        <w:tc>
          <w:tcPr>
            <w:tcW w:w="706" w:type="pct"/>
            <w:tcBorders>
              <w:top w:val="nil"/>
              <w:left w:val="nil"/>
              <w:bottom w:val="single" w:sz="4" w:space="0" w:color="auto"/>
              <w:right w:val="single" w:sz="4" w:space="0" w:color="auto"/>
            </w:tcBorders>
            <w:shd w:val="clear" w:color="auto" w:fill="auto"/>
            <w:vAlign w:val="center"/>
            <w:hideMark/>
          </w:tcPr>
          <w:p w14:paraId="2A6A6660" w14:textId="77777777" w:rsidR="00E1435B" w:rsidRPr="009217FD" w:rsidRDefault="00E1435B" w:rsidP="001733C9">
            <w:pPr>
              <w:jc w:val="right"/>
              <w:rPr>
                <w:color w:val="000000"/>
                <w:sz w:val="22"/>
                <w:szCs w:val="22"/>
              </w:rPr>
            </w:pPr>
            <w:r w:rsidRPr="009217FD">
              <w:rPr>
                <w:color w:val="000000"/>
                <w:sz w:val="22"/>
                <w:szCs w:val="22"/>
              </w:rPr>
              <w:t>371</w:t>
            </w:r>
          </w:p>
        </w:tc>
        <w:tc>
          <w:tcPr>
            <w:tcW w:w="706" w:type="pct"/>
            <w:tcBorders>
              <w:top w:val="nil"/>
              <w:left w:val="nil"/>
              <w:bottom w:val="single" w:sz="4" w:space="0" w:color="auto"/>
              <w:right w:val="single" w:sz="4" w:space="0" w:color="auto"/>
            </w:tcBorders>
            <w:shd w:val="clear" w:color="auto" w:fill="auto"/>
            <w:vAlign w:val="center"/>
            <w:hideMark/>
          </w:tcPr>
          <w:p w14:paraId="4EE64638" w14:textId="77777777" w:rsidR="00E1435B" w:rsidRPr="009217FD" w:rsidRDefault="00E1435B" w:rsidP="001733C9">
            <w:pPr>
              <w:jc w:val="right"/>
              <w:rPr>
                <w:color w:val="000000"/>
                <w:sz w:val="22"/>
                <w:szCs w:val="22"/>
              </w:rPr>
            </w:pPr>
            <w:r w:rsidRPr="009217FD">
              <w:rPr>
                <w:color w:val="000000"/>
                <w:sz w:val="22"/>
                <w:szCs w:val="22"/>
              </w:rPr>
              <w:t>439</w:t>
            </w:r>
          </w:p>
        </w:tc>
        <w:tc>
          <w:tcPr>
            <w:tcW w:w="524" w:type="pct"/>
            <w:tcBorders>
              <w:top w:val="nil"/>
              <w:left w:val="nil"/>
              <w:bottom w:val="single" w:sz="4" w:space="0" w:color="auto"/>
              <w:right w:val="single" w:sz="4" w:space="0" w:color="auto"/>
            </w:tcBorders>
            <w:shd w:val="clear" w:color="auto" w:fill="auto"/>
            <w:vAlign w:val="center"/>
            <w:hideMark/>
          </w:tcPr>
          <w:p w14:paraId="7320A7E9" w14:textId="77777777" w:rsidR="00E1435B" w:rsidRPr="009217FD" w:rsidRDefault="00E1435B" w:rsidP="001733C9">
            <w:pPr>
              <w:jc w:val="center"/>
              <w:rPr>
                <w:color w:val="000000"/>
                <w:sz w:val="22"/>
                <w:szCs w:val="22"/>
              </w:rPr>
            </w:pPr>
            <w:r w:rsidRPr="009217FD">
              <w:rPr>
                <w:color w:val="000000"/>
                <w:sz w:val="22"/>
                <w:szCs w:val="22"/>
              </w:rPr>
              <w:t>18%</w:t>
            </w:r>
          </w:p>
        </w:tc>
        <w:tc>
          <w:tcPr>
            <w:tcW w:w="706" w:type="pct"/>
            <w:tcBorders>
              <w:top w:val="nil"/>
              <w:left w:val="nil"/>
              <w:bottom w:val="single" w:sz="4" w:space="0" w:color="auto"/>
              <w:right w:val="single" w:sz="4" w:space="0" w:color="auto"/>
            </w:tcBorders>
            <w:shd w:val="clear" w:color="auto" w:fill="auto"/>
            <w:vAlign w:val="center"/>
            <w:hideMark/>
          </w:tcPr>
          <w:p w14:paraId="46D6801E" w14:textId="77777777" w:rsidR="00E1435B" w:rsidRPr="009217FD" w:rsidRDefault="00E1435B" w:rsidP="001733C9">
            <w:pPr>
              <w:jc w:val="right"/>
              <w:rPr>
                <w:color w:val="000000"/>
                <w:sz w:val="22"/>
                <w:szCs w:val="22"/>
              </w:rPr>
            </w:pPr>
            <w:r w:rsidRPr="009217FD">
              <w:rPr>
                <w:color w:val="000000"/>
                <w:sz w:val="22"/>
                <w:szCs w:val="22"/>
              </w:rPr>
              <w:t>292</w:t>
            </w:r>
          </w:p>
        </w:tc>
        <w:tc>
          <w:tcPr>
            <w:tcW w:w="605" w:type="pct"/>
            <w:tcBorders>
              <w:top w:val="nil"/>
              <w:left w:val="nil"/>
              <w:bottom w:val="single" w:sz="4" w:space="0" w:color="auto"/>
              <w:right w:val="single" w:sz="4" w:space="0" w:color="auto"/>
            </w:tcBorders>
            <w:shd w:val="clear" w:color="auto" w:fill="auto"/>
            <w:vAlign w:val="center"/>
            <w:hideMark/>
          </w:tcPr>
          <w:p w14:paraId="2DFDDD16" w14:textId="77777777" w:rsidR="00E1435B" w:rsidRPr="009217FD" w:rsidRDefault="00E1435B" w:rsidP="001733C9">
            <w:pPr>
              <w:jc w:val="center"/>
              <w:rPr>
                <w:color w:val="000000"/>
                <w:sz w:val="22"/>
                <w:szCs w:val="22"/>
              </w:rPr>
            </w:pPr>
            <w:r w:rsidRPr="009217FD">
              <w:rPr>
                <w:color w:val="000000"/>
                <w:sz w:val="22"/>
                <w:szCs w:val="22"/>
              </w:rPr>
              <w:t>-33%</w:t>
            </w:r>
          </w:p>
        </w:tc>
      </w:tr>
      <w:tr w:rsidR="00E1435B" w:rsidRPr="009217FD" w14:paraId="0200283C"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3D1E3FED" w14:textId="77777777" w:rsidR="00E1435B" w:rsidRPr="009217FD" w:rsidRDefault="00E1435B" w:rsidP="001733C9">
            <w:pPr>
              <w:jc w:val="both"/>
              <w:rPr>
                <w:color w:val="000000"/>
                <w:sz w:val="22"/>
                <w:szCs w:val="22"/>
              </w:rPr>
            </w:pPr>
            <w:r w:rsidRPr="009217FD">
              <w:rPr>
                <w:color w:val="000000"/>
                <w:sz w:val="22"/>
                <w:szCs w:val="22"/>
              </w:rPr>
              <w:t>Содействие занятости населения</w:t>
            </w:r>
          </w:p>
        </w:tc>
        <w:tc>
          <w:tcPr>
            <w:tcW w:w="706" w:type="pct"/>
            <w:tcBorders>
              <w:top w:val="nil"/>
              <w:left w:val="nil"/>
              <w:bottom w:val="single" w:sz="4" w:space="0" w:color="auto"/>
              <w:right w:val="single" w:sz="4" w:space="0" w:color="auto"/>
            </w:tcBorders>
            <w:shd w:val="clear" w:color="auto" w:fill="auto"/>
            <w:vAlign w:val="center"/>
            <w:hideMark/>
          </w:tcPr>
          <w:p w14:paraId="4C874B20" w14:textId="77777777" w:rsidR="00E1435B" w:rsidRPr="009217FD" w:rsidRDefault="00E1435B" w:rsidP="001733C9">
            <w:pPr>
              <w:jc w:val="right"/>
              <w:rPr>
                <w:color w:val="000000"/>
                <w:sz w:val="22"/>
                <w:szCs w:val="22"/>
              </w:rPr>
            </w:pPr>
            <w:r w:rsidRPr="009217FD">
              <w:rPr>
                <w:color w:val="000000"/>
                <w:sz w:val="22"/>
                <w:szCs w:val="22"/>
              </w:rPr>
              <w:t>1 639</w:t>
            </w:r>
          </w:p>
        </w:tc>
        <w:tc>
          <w:tcPr>
            <w:tcW w:w="706" w:type="pct"/>
            <w:tcBorders>
              <w:top w:val="nil"/>
              <w:left w:val="nil"/>
              <w:bottom w:val="single" w:sz="4" w:space="0" w:color="auto"/>
              <w:right w:val="single" w:sz="4" w:space="0" w:color="auto"/>
            </w:tcBorders>
            <w:shd w:val="clear" w:color="auto" w:fill="auto"/>
            <w:vAlign w:val="center"/>
            <w:hideMark/>
          </w:tcPr>
          <w:p w14:paraId="7D59F745" w14:textId="77777777" w:rsidR="00E1435B" w:rsidRPr="009217FD" w:rsidRDefault="00E1435B" w:rsidP="001733C9">
            <w:pPr>
              <w:jc w:val="right"/>
              <w:rPr>
                <w:color w:val="000000"/>
                <w:sz w:val="22"/>
                <w:szCs w:val="22"/>
              </w:rPr>
            </w:pPr>
            <w:r w:rsidRPr="009217FD">
              <w:rPr>
                <w:color w:val="000000"/>
                <w:sz w:val="22"/>
                <w:szCs w:val="22"/>
              </w:rPr>
              <w:t>1 139</w:t>
            </w:r>
          </w:p>
        </w:tc>
        <w:tc>
          <w:tcPr>
            <w:tcW w:w="524" w:type="pct"/>
            <w:tcBorders>
              <w:top w:val="nil"/>
              <w:left w:val="nil"/>
              <w:bottom w:val="single" w:sz="4" w:space="0" w:color="auto"/>
              <w:right w:val="single" w:sz="4" w:space="0" w:color="auto"/>
            </w:tcBorders>
            <w:shd w:val="clear" w:color="auto" w:fill="auto"/>
            <w:vAlign w:val="center"/>
            <w:hideMark/>
          </w:tcPr>
          <w:p w14:paraId="7F6FFA70" w14:textId="77777777" w:rsidR="00E1435B" w:rsidRPr="009217FD" w:rsidRDefault="00E1435B" w:rsidP="001733C9">
            <w:pPr>
              <w:jc w:val="center"/>
              <w:rPr>
                <w:color w:val="000000"/>
                <w:sz w:val="22"/>
                <w:szCs w:val="22"/>
              </w:rPr>
            </w:pPr>
            <w:r w:rsidRPr="009217FD">
              <w:rPr>
                <w:color w:val="000000"/>
                <w:sz w:val="22"/>
                <w:szCs w:val="22"/>
              </w:rPr>
              <w:t>-31%</w:t>
            </w:r>
          </w:p>
        </w:tc>
        <w:tc>
          <w:tcPr>
            <w:tcW w:w="706" w:type="pct"/>
            <w:tcBorders>
              <w:top w:val="nil"/>
              <w:left w:val="nil"/>
              <w:bottom w:val="single" w:sz="4" w:space="0" w:color="auto"/>
              <w:right w:val="single" w:sz="4" w:space="0" w:color="auto"/>
            </w:tcBorders>
            <w:shd w:val="clear" w:color="auto" w:fill="auto"/>
            <w:vAlign w:val="center"/>
            <w:hideMark/>
          </w:tcPr>
          <w:p w14:paraId="05E79BF1" w14:textId="77777777" w:rsidR="00E1435B" w:rsidRPr="009217FD" w:rsidRDefault="00E1435B" w:rsidP="001733C9">
            <w:pPr>
              <w:jc w:val="right"/>
              <w:rPr>
                <w:color w:val="000000"/>
                <w:sz w:val="22"/>
                <w:szCs w:val="22"/>
              </w:rPr>
            </w:pPr>
            <w:r w:rsidRPr="009217FD">
              <w:rPr>
                <w:color w:val="000000"/>
                <w:sz w:val="22"/>
                <w:szCs w:val="22"/>
              </w:rPr>
              <w:t>0</w:t>
            </w:r>
          </w:p>
        </w:tc>
        <w:tc>
          <w:tcPr>
            <w:tcW w:w="605" w:type="pct"/>
            <w:tcBorders>
              <w:top w:val="nil"/>
              <w:left w:val="nil"/>
              <w:bottom w:val="single" w:sz="4" w:space="0" w:color="auto"/>
              <w:right w:val="single" w:sz="4" w:space="0" w:color="auto"/>
            </w:tcBorders>
            <w:shd w:val="clear" w:color="auto" w:fill="auto"/>
            <w:vAlign w:val="center"/>
            <w:hideMark/>
          </w:tcPr>
          <w:p w14:paraId="21562CC4" w14:textId="77777777" w:rsidR="00E1435B" w:rsidRPr="009217FD" w:rsidRDefault="00E1435B" w:rsidP="001733C9">
            <w:pPr>
              <w:jc w:val="center"/>
              <w:rPr>
                <w:color w:val="000000"/>
                <w:sz w:val="22"/>
                <w:szCs w:val="22"/>
              </w:rPr>
            </w:pPr>
            <w:r w:rsidRPr="009217FD">
              <w:rPr>
                <w:color w:val="000000"/>
                <w:sz w:val="22"/>
                <w:szCs w:val="22"/>
              </w:rPr>
              <w:t>-</w:t>
            </w:r>
          </w:p>
        </w:tc>
      </w:tr>
      <w:tr w:rsidR="00E1435B" w:rsidRPr="009217FD" w14:paraId="2C3CB0BE"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5B142EC8" w14:textId="77777777" w:rsidR="00E1435B" w:rsidRPr="009217FD" w:rsidRDefault="00E1435B" w:rsidP="001733C9">
            <w:pPr>
              <w:jc w:val="both"/>
              <w:rPr>
                <w:color w:val="000000"/>
                <w:sz w:val="22"/>
                <w:szCs w:val="22"/>
              </w:rPr>
            </w:pPr>
            <w:r w:rsidRPr="009217FD">
              <w:rPr>
                <w:color w:val="000000"/>
                <w:sz w:val="22"/>
                <w:szCs w:val="22"/>
              </w:rPr>
              <w:t>Космическая деятельность России</w:t>
            </w:r>
          </w:p>
        </w:tc>
        <w:tc>
          <w:tcPr>
            <w:tcW w:w="706" w:type="pct"/>
            <w:tcBorders>
              <w:top w:val="nil"/>
              <w:left w:val="nil"/>
              <w:bottom w:val="single" w:sz="4" w:space="0" w:color="auto"/>
              <w:right w:val="single" w:sz="4" w:space="0" w:color="auto"/>
            </w:tcBorders>
            <w:shd w:val="clear" w:color="auto" w:fill="auto"/>
            <w:vAlign w:val="center"/>
            <w:hideMark/>
          </w:tcPr>
          <w:p w14:paraId="30539636" w14:textId="77777777" w:rsidR="00E1435B" w:rsidRPr="009217FD" w:rsidRDefault="00E1435B" w:rsidP="001733C9">
            <w:pPr>
              <w:jc w:val="right"/>
              <w:rPr>
                <w:color w:val="000000"/>
                <w:sz w:val="22"/>
                <w:szCs w:val="22"/>
              </w:rPr>
            </w:pPr>
            <w:r w:rsidRPr="009217FD">
              <w:rPr>
                <w:color w:val="000000"/>
                <w:sz w:val="22"/>
                <w:szCs w:val="22"/>
              </w:rPr>
              <w:t>396</w:t>
            </w:r>
          </w:p>
        </w:tc>
        <w:tc>
          <w:tcPr>
            <w:tcW w:w="706" w:type="pct"/>
            <w:tcBorders>
              <w:top w:val="nil"/>
              <w:left w:val="nil"/>
              <w:bottom w:val="single" w:sz="4" w:space="0" w:color="auto"/>
              <w:right w:val="single" w:sz="4" w:space="0" w:color="auto"/>
            </w:tcBorders>
            <w:shd w:val="clear" w:color="auto" w:fill="auto"/>
            <w:vAlign w:val="center"/>
            <w:hideMark/>
          </w:tcPr>
          <w:p w14:paraId="11B66126" w14:textId="77777777" w:rsidR="00E1435B" w:rsidRPr="009217FD" w:rsidRDefault="00E1435B" w:rsidP="001733C9">
            <w:pPr>
              <w:jc w:val="right"/>
              <w:rPr>
                <w:color w:val="000000"/>
                <w:sz w:val="22"/>
                <w:szCs w:val="22"/>
              </w:rPr>
            </w:pPr>
            <w:r w:rsidRPr="009217FD">
              <w:rPr>
                <w:color w:val="000000"/>
                <w:sz w:val="22"/>
                <w:szCs w:val="22"/>
              </w:rPr>
              <w:t>0</w:t>
            </w:r>
          </w:p>
        </w:tc>
        <w:tc>
          <w:tcPr>
            <w:tcW w:w="524" w:type="pct"/>
            <w:tcBorders>
              <w:top w:val="nil"/>
              <w:left w:val="nil"/>
              <w:bottom w:val="single" w:sz="4" w:space="0" w:color="auto"/>
              <w:right w:val="single" w:sz="4" w:space="0" w:color="auto"/>
            </w:tcBorders>
            <w:shd w:val="clear" w:color="auto" w:fill="auto"/>
            <w:vAlign w:val="center"/>
            <w:hideMark/>
          </w:tcPr>
          <w:p w14:paraId="1CB9A5E1" w14:textId="77777777" w:rsidR="00E1435B" w:rsidRPr="009217FD" w:rsidRDefault="00E1435B" w:rsidP="001733C9">
            <w:pPr>
              <w:jc w:val="center"/>
              <w:rPr>
                <w:color w:val="000000"/>
                <w:sz w:val="22"/>
                <w:szCs w:val="22"/>
              </w:rPr>
            </w:pPr>
            <w:r w:rsidRPr="009217FD">
              <w:rPr>
                <w:color w:val="000000"/>
                <w:sz w:val="22"/>
                <w:szCs w:val="22"/>
              </w:rPr>
              <w:t>-</w:t>
            </w:r>
          </w:p>
        </w:tc>
        <w:tc>
          <w:tcPr>
            <w:tcW w:w="706" w:type="pct"/>
            <w:tcBorders>
              <w:top w:val="nil"/>
              <w:left w:val="nil"/>
              <w:bottom w:val="single" w:sz="4" w:space="0" w:color="auto"/>
              <w:right w:val="single" w:sz="4" w:space="0" w:color="auto"/>
            </w:tcBorders>
            <w:shd w:val="clear" w:color="auto" w:fill="auto"/>
            <w:vAlign w:val="center"/>
            <w:hideMark/>
          </w:tcPr>
          <w:p w14:paraId="191D6FA0" w14:textId="77777777" w:rsidR="00E1435B" w:rsidRPr="009217FD" w:rsidRDefault="00E1435B" w:rsidP="001733C9">
            <w:pPr>
              <w:jc w:val="right"/>
              <w:rPr>
                <w:color w:val="000000"/>
                <w:sz w:val="22"/>
                <w:szCs w:val="22"/>
              </w:rPr>
            </w:pPr>
            <w:r w:rsidRPr="009217FD">
              <w:rPr>
                <w:color w:val="000000"/>
                <w:sz w:val="22"/>
                <w:szCs w:val="22"/>
              </w:rPr>
              <w:t>0</w:t>
            </w:r>
          </w:p>
        </w:tc>
        <w:tc>
          <w:tcPr>
            <w:tcW w:w="605" w:type="pct"/>
            <w:tcBorders>
              <w:top w:val="nil"/>
              <w:left w:val="nil"/>
              <w:bottom w:val="single" w:sz="4" w:space="0" w:color="auto"/>
              <w:right w:val="single" w:sz="4" w:space="0" w:color="auto"/>
            </w:tcBorders>
            <w:shd w:val="clear" w:color="auto" w:fill="auto"/>
            <w:vAlign w:val="center"/>
            <w:hideMark/>
          </w:tcPr>
          <w:p w14:paraId="194FFA29" w14:textId="77777777" w:rsidR="00E1435B" w:rsidRPr="009217FD" w:rsidRDefault="00E1435B" w:rsidP="001733C9">
            <w:pPr>
              <w:jc w:val="center"/>
              <w:rPr>
                <w:color w:val="000000"/>
                <w:sz w:val="22"/>
                <w:szCs w:val="22"/>
              </w:rPr>
            </w:pPr>
            <w:r w:rsidRPr="009217FD">
              <w:rPr>
                <w:color w:val="000000"/>
                <w:sz w:val="22"/>
                <w:szCs w:val="22"/>
              </w:rPr>
              <w:t>-</w:t>
            </w:r>
          </w:p>
        </w:tc>
      </w:tr>
      <w:tr w:rsidR="00E1435B" w:rsidRPr="009217FD" w14:paraId="097E32DE"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2F552531" w14:textId="77777777" w:rsidR="00E1435B" w:rsidRPr="009217FD" w:rsidRDefault="00E1435B" w:rsidP="001733C9">
            <w:pPr>
              <w:jc w:val="both"/>
              <w:rPr>
                <w:color w:val="000000"/>
                <w:sz w:val="22"/>
                <w:szCs w:val="22"/>
              </w:rPr>
            </w:pPr>
            <w:r w:rsidRPr="009217FD">
              <w:rPr>
                <w:color w:val="000000"/>
                <w:sz w:val="22"/>
                <w:szCs w:val="22"/>
              </w:rPr>
              <w:t>Развитие рыбохозяйственного комплекса</w:t>
            </w:r>
          </w:p>
        </w:tc>
        <w:tc>
          <w:tcPr>
            <w:tcW w:w="706" w:type="pct"/>
            <w:tcBorders>
              <w:top w:val="nil"/>
              <w:left w:val="nil"/>
              <w:bottom w:val="single" w:sz="4" w:space="0" w:color="auto"/>
              <w:right w:val="single" w:sz="4" w:space="0" w:color="auto"/>
            </w:tcBorders>
            <w:shd w:val="clear" w:color="auto" w:fill="auto"/>
            <w:vAlign w:val="center"/>
            <w:hideMark/>
          </w:tcPr>
          <w:p w14:paraId="70809D2B" w14:textId="77777777" w:rsidR="00E1435B" w:rsidRPr="009217FD" w:rsidRDefault="00E1435B" w:rsidP="001733C9">
            <w:pPr>
              <w:jc w:val="right"/>
              <w:rPr>
                <w:color w:val="000000"/>
                <w:sz w:val="22"/>
                <w:szCs w:val="22"/>
              </w:rPr>
            </w:pPr>
            <w:r w:rsidRPr="009217FD">
              <w:rPr>
                <w:color w:val="000000"/>
                <w:sz w:val="22"/>
                <w:szCs w:val="22"/>
              </w:rPr>
              <w:t>13</w:t>
            </w:r>
          </w:p>
        </w:tc>
        <w:tc>
          <w:tcPr>
            <w:tcW w:w="706" w:type="pct"/>
            <w:tcBorders>
              <w:top w:val="nil"/>
              <w:left w:val="nil"/>
              <w:bottom w:val="single" w:sz="4" w:space="0" w:color="auto"/>
              <w:right w:val="single" w:sz="4" w:space="0" w:color="auto"/>
            </w:tcBorders>
            <w:shd w:val="clear" w:color="auto" w:fill="auto"/>
            <w:vAlign w:val="center"/>
            <w:hideMark/>
          </w:tcPr>
          <w:p w14:paraId="111A68B2" w14:textId="77777777" w:rsidR="00E1435B" w:rsidRPr="009217FD" w:rsidRDefault="00E1435B" w:rsidP="001733C9">
            <w:pPr>
              <w:jc w:val="right"/>
              <w:rPr>
                <w:color w:val="000000"/>
                <w:sz w:val="22"/>
                <w:szCs w:val="22"/>
              </w:rPr>
            </w:pPr>
            <w:r w:rsidRPr="009217FD">
              <w:rPr>
                <w:color w:val="000000"/>
                <w:sz w:val="22"/>
                <w:szCs w:val="22"/>
              </w:rPr>
              <w:t>2</w:t>
            </w:r>
          </w:p>
        </w:tc>
        <w:tc>
          <w:tcPr>
            <w:tcW w:w="524" w:type="pct"/>
            <w:tcBorders>
              <w:top w:val="nil"/>
              <w:left w:val="nil"/>
              <w:bottom w:val="single" w:sz="4" w:space="0" w:color="auto"/>
              <w:right w:val="single" w:sz="4" w:space="0" w:color="auto"/>
            </w:tcBorders>
            <w:shd w:val="clear" w:color="auto" w:fill="auto"/>
            <w:vAlign w:val="center"/>
            <w:hideMark/>
          </w:tcPr>
          <w:p w14:paraId="3D2F21B2" w14:textId="77777777" w:rsidR="00E1435B" w:rsidRPr="009217FD" w:rsidRDefault="00E1435B" w:rsidP="001733C9">
            <w:pPr>
              <w:jc w:val="center"/>
              <w:rPr>
                <w:color w:val="000000"/>
                <w:sz w:val="22"/>
                <w:szCs w:val="22"/>
              </w:rPr>
            </w:pPr>
            <w:r w:rsidRPr="009217FD">
              <w:rPr>
                <w:color w:val="000000"/>
                <w:sz w:val="22"/>
                <w:szCs w:val="22"/>
              </w:rPr>
              <w:t>-84%</w:t>
            </w:r>
          </w:p>
        </w:tc>
        <w:tc>
          <w:tcPr>
            <w:tcW w:w="706" w:type="pct"/>
            <w:tcBorders>
              <w:top w:val="nil"/>
              <w:left w:val="nil"/>
              <w:bottom w:val="single" w:sz="4" w:space="0" w:color="auto"/>
              <w:right w:val="single" w:sz="4" w:space="0" w:color="auto"/>
            </w:tcBorders>
            <w:shd w:val="clear" w:color="auto" w:fill="auto"/>
            <w:vAlign w:val="center"/>
            <w:hideMark/>
          </w:tcPr>
          <w:p w14:paraId="542C89DF" w14:textId="77777777" w:rsidR="00E1435B" w:rsidRPr="009217FD" w:rsidRDefault="00E1435B" w:rsidP="001733C9">
            <w:pPr>
              <w:jc w:val="right"/>
              <w:rPr>
                <w:color w:val="000000"/>
                <w:sz w:val="22"/>
                <w:szCs w:val="22"/>
              </w:rPr>
            </w:pPr>
            <w:r w:rsidRPr="009217FD">
              <w:rPr>
                <w:color w:val="000000"/>
                <w:sz w:val="22"/>
                <w:szCs w:val="22"/>
              </w:rPr>
              <w:t>0</w:t>
            </w:r>
          </w:p>
        </w:tc>
        <w:tc>
          <w:tcPr>
            <w:tcW w:w="605" w:type="pct"/>
            <w:tcBorders>
              <w:top w:val="nil"/>
              <w:left w:val="nil"/>
              <w:bottom w:val="single" w:sz="4" w:space="0" w:color="auto"/>
              <w:right w:val="single" w:sz="4" w:space="0" w:color="auto"/>
            </w:tcBorders>
            <w:shd w:val="clear" w:color="auto" w:fill="auto"/>
            <w:vAlign w:val="center"/>
            <w:hideMark/>
          </w:tcPr>
          <w:p w14:paraId="4BB2128B" w14:textId="77777777" w:rsidR="00E1435B" w:rsidRPr="009217FD" w:rsidRDefault="00E1435B" w:rsidP="001733C9">
            <w:pPr>
              <w:jc w:val="center"/>
              <w:rPr>
                <w:color w:val="000000"/>
                <w:sz w:val="22"/>
                <w:szCs w:val="22"/>
              </w:rPr>
            </w:pPr>
            <w:r w:rsidRPr="009217FD">
              <w:rPr>
                <w:color w:val="000000"/>
                <w:sz w:val="22"/>
                <w:szCs w:val="22"/>
              </w:rPr>
              <w:t>-</w:t>
            </w:r>
          </w:p>
        </w:tc>
      </w:tr>
      <w:tr w:rsidR="00E1435B" w:rsidRPr="009217FD" w14:paraId="1E350714"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4972365B" w14:textId="77777777" w:rsidR="00E1435B" w:rsidRPr="009217FD" w:rsidRDefault="00E1435B" w:rsidP="001733C9">
            <w:pPr>
              <w:jc w:val="both"/>
              <w:rPr>
                <w:color w:val="000000"/>
                <w:sz w:val="22"/>
                <w:szCs w:val="22"/>
              </w:rPr>
            </w:pPr>
            <w:r w:rsidRPr="009217FD">
              <w:rPr>
                <w:color w:val="000000"/>
                <w:sz w:val="22"/>
                <w:szCs w:val="22"/>
              </w:rPr>
              <w:t>Обеспечение обороноспособности страны</w:t>
            </w:r>
          </w:p>
        </w:tc>
        <w:tc>
          <w:tcPr>
            <w:tcW w:w="706" w:type="pct"/>
            <w:tcBorders>
              <w:top w:val="nil"/>
              <w:left w:val="nil"/>
              <w:bottom w:val="single" w:sz="4" w:space="0" w:color="auto"/>
              <w:right w:val="single" w:sz="4" w:space="0" w:color="auto"/>
            </w:tcBorders>
            <w:shd w:val="clear" w:color="auto" w:fill="auto"/>
            <w:vAlign w:val="center"/>
            <w:hideMark/>
          </w:tcPr>
          <w:p w14:paraId="3D9C1461" w14:textId="77777777" w:rsidR="00E1435B" w:rsidRPr="009217FD" w:rsidRDefault="00E1435B" w:rsidP="001733C9">
            <w:pPr>
              <w:jc w:val="right"/>
              <w:rPr>
                <w:color w:val="000000"/>
                <w:sz w:val="22"/>
                <w:szCs w:val="22"/>
              </w:rPr>
            </w:pPr>
            <w:r w:rsidRPr="009217FD">
              <w:rPr>
                <w:color w:val="000000"/>
                <w:sz w:val="22"/>
                <w:szCs w:val="22"/>
              </w:rPr>
              <w:t>603</w:t>
            </w:r>
          </w:p>
        </w:tc>
        <w:tc>
          <w:tcPr>
            <w:tcW w:w="706" w:type="pct"/>
            <w:tcBorders>
              <w:top w:val="nil"/>
              <w:left w:val="nil"/>
              <w:bottom w:val="single" w:sz="4" w:space="0" w:color="auto"/>
              <w:right w:val="single" w:sz="4" w:space="0" w:color="auto"/>
            </w:tcBorders>
            <w:shd w:val="clear" w:color="auto" w:fill="auto"/>
            <w:vAlign w:val="center"/>
            <w:hideMark/>
          </w:tcPr>
          <w:p w14:paraId="27C6A67B" w14:textId="77777777" w:rsidR="00E1435B" w:rsidRPr="009217FD" w:rsidRDefault="00E1435B" w:rsidP="001733C9">
            <w:pPr>
              <w:jc w:val="right"/>
              <w:rPr>
                <w:color w:val="000000"/>
                <w:sz w:val="22"/>
                <w:szCs w:val="22"/>
              </w:rPr>
            </w:pPr>
            <w:r w:rsidRPr="009217FD">
              <w:rPr>
                <w:color w:val="000000"/>
                <w:sz w:val="22"/>
                <w:szCs w:val="22"/>
              </w:rPr>
              <w:t>916</w:t>
            </w:r>
          </w:p>
        </w:tc>
        <w:tc>
          <w:tcPr>
            <w:tcW w:w="524" w:type="pct"/>
            <w:tcBorders>
              <w:top w:val="nil"/>
              <w:left w:val="nil"/>
              <w:bottom w:val="single" w:sz="4" w:space="0" w:color="auto"/>
              <w:right w:val="single" w:sz="4" w:space="0" w:color="auto"/>
            </w:tcBorders>
            <w:shd w:val="clear" w:color="auto" w:fill="auto"/>
            <w:vAlign w:val="center"/>
            <w:hideMark/>
          </w:tcPr>
          <w:p w14:paraId="0AED7CFA" w14:textId="77777777" w:rsidR="00E1435B" w:rsidRPr="009217FD" w:rsidRDefault="00E1435B" w:rsidP="001733C9">
            <w:pPr>
              <w:jc w:val="center"/>
              <w:rPr>
                <w:color w:val="000000"/>
                <w:sz w:val="22"/>
                <w:szCs w:val="22"/>
              </w:rPr>
            </w:pPr>
            <w:r w:rsidRPr="009217FD">
              <w:rPr>
                <w:color w:val="000000"/>
                <w:sz w:val="22"/>
                <w:szCs w:val="22"/>
              </w:rPr>
              <w:t>52%</w:t>
            </w:r>
          </w:p>
        </w:tc>
        <w:tc>
          <w:tcPr>
            <w:tcW w:w="706" w:type="pct"/>
            <w:tcBorders>
              <w:top w:val="nil"/>
              <w:left w:val="nil"/>
              <w:bottom w:val="single" w:sz="4" w:space="0" w:color="auto"/>
              <w:right w:val="single" w:sz="4" w:space="0" w:color="auto"/>
            </w:tcBorders>
            <w:shd w:val="clear" w:color="auto" w:fill="auto"/>
            <w:vAlign w:val="center"/>
            <w:hideMark/>
          </w:tcPr>
          <w:p w14:paraId="53E03073" w14:textId="77777777" w:rsidR="00E1435B" w:rsidRPr="009217FD" w:rsidRDefault="00E1435B" w:rsidP="001733C9">
            <w:pPr>
              <w:jc w:val="right"/>
              <w:rPr>
                <w:color w:val="000000"/>
                <w:sz w:val="22"/>
                <w:szCs w:val="22"/>
              </w:rPr>
            </w:pPr>
            <w:r w:rsidRPr="009217FD">
              <w:rPr>
                <w:color w:val="000000"/>
                <w:sz w:val="22"/>
                <w:szCs w:val="22"/>
              </w:rPr>
              <w:t>0</w:t>
            </w:r>
          </w:p>
        </w:tc>
        <w:tc>
          <w:tcPr>
            <w:tcW w:w="605" w:type="pct"/>
            <w:tcBorders>
              <w:top w:val="nil"/>
              <w:left w:val="nil"/>
              <w:bottom w:val="single" w:sz="4" w:space="0" w:color="auto"/>
              <w:right w:val="single" w:sz="4" w:space="0" w:color="auto"/>
            </w:tcBorders>
            <w:shd w:val="clear" w:color="auto" w:fill="auto"/>
            <w:vAlign w:val="center"/>
            <w:hideMark/>
          </w:tcPr>
          <w:p w14:paraId="5AAF9D5E" w14:textId="77777777" w:rsidR="00E1435B" w:rsidRPr="009217FD" w:rsidRDefault="00E1435B" w:rsidP="001733C9">
            <w:pPr>
              <w:jc w:val="center"/>
              <w:rPr>
                <w:color w:val="000000"/>
                <w:sz w:val="22"/>
                <w:szCs w:val="22"/>
              </w:rPr>
            </w:pPr>
            <w:r w:rsidRPr="009217FD">
              <w:rPr>
                <w:color w:val="000000"/>
                <w:sz w:val="22"/>
                <w:szCs w:val="22"/>
              </w:rPr>
              <w:t>-</w:t>
            </w:r>
          </w:p>
        </w:tc>
      </w:tr>
      <w:tr w:rsidR="00E1435B" w:rsidRPr="009217FD" w14:paraId="56C28212" w14:textId="77777777" w:rsidTr="00195EDA">
        <w:trPr>
          <w:trHeight w:val="476"/>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735D3B44" w14:textId="77777777" w:rsidR="00E1435B" w:rsidRPr="009217FD" w:rsidRDefault="00E1435B" w:rsidP="001733C9">
            <w:pPr>
              <w:jc w:val="both"/>
              <w:rPr>
                <w:color w:val="000000"/>
                <w:sz w:val="22"/>
                <w:szCs w:val="22"/>
              </w:rPr>
            </w:pPr>
            <w:r w:rsidRPr="009217FD">
              <w:rPr>
                <w:color w:val="000000"/>
                <w:sz w:val="22"/>
                <w:szCs w:val="22"/>
              </w:rPr>
              <w:t>Развитие туризма</w:t>
            </w:r>
          </w:p>
        </w:tc>
        <w:tc>
          <w:tcPr>
            <w:tcW w:w="706" w:type="pct"/>
            <w:tcBorders>
              <w:top w:val="nil"/>
              <w:left w:val="nil"/>
              <w:bottom w:val="single" w:sz="4" w:space="0" w:color="auto"/>
              <w:right w:val="single" w:sz="4" w:space="0" w:color="auto"/>
            </w:tcBorders>
            <w:shd w:val="clear" w:color="auto" w:fill="auto"/>
            <w:vAlign w:val="center"/>
            <w:hideMark/>
          </w:tcPr>
          <w:p w14:paraId="5AB797F6" w14:textId="77777777" w:rsidR="00E1435B" w:rsidRPr="009217FD" w:rsidRDefault="00E1435B" w:rsidP="001733C9">
            <w:pPr>
              <w:jc w:val="right"/>
              <w:rPr>
                <w:color w:val="000000"/>
                <w:sz w:val="22"/>
                <w:szCs w:val="22"/>
              </w:rPr>
            </w:pPr>
            <w:r w:rsidRPr="009217FD">
              <w:rPr>
                <w:color w:val="000000"/>
                <w:sz w:val="22"/>
                <w:szCs w:val="22"/>
              </w:rPr>
              <w:t>22 332</w:t>
            </w:r>
          </w:p>
        </w:tc>
        <w:tc>
          <w:tcPr>
            <w:tcW w:w="706" w:type="pct"/>
            <w:tcBorders>
              <w:top w:val="nil"/>
              <w:left w:val="nil"/>
              <w:bottom w:val="single" w:sz="4" w:space="0" w:color="auto"/>
              <w:right w:val="single" w:sz="4" w:space="0" w:color="auto"/>
            </w:tcBorders>
            <w:shd w:val="clear" w:color="auto" w:fill="auto"/>
            <w:vAlign w:val="center"/>
            <w:hideMark/>
          </w:tcPr>
          <w:p w14:paraId="504DA6BC" w14:textId="77777777" w:rsidR="00E1435B" w:rsidRPr="009217FD" w:rsidRDefault="00E1435B" w:rsidP="001733C9">
            <w:pPr>
              <w:jc w:val="right"/>
              <w:rPr>
                <w:color w:val="000000"/>
                <w:sz w:val="22"/>
                <w:szCs w:val="22"/>
              </w:rPr>
            </w:pPr>
            <w:r w:rsidRPr="009217FD">
              <w:rPr>
                <w:color w:val="000000"/>
                <w:sz w:val="22"/>
                <w:szCs w:val="22"/>
              </w:rPr>
              <w:t>16 753</w:t>
            </w:r>
          </w:p>
        </w:tc>
        <w:tc>
          <w:tcPr>
            <w:tcW w:w="524" w:type="pct"/>
            <w:tcBorders>
              <w:top w:val="nil"/>
              <w:left w:val="nil"/>
              <w:bottom w:val="single" w:sz="4" w:space="0" w:color="auto"/>
              <w:right w:val="single" w:sz="4" w:space="0" w:color="auto"/>
            </w:tcBorders>
            <w:shd w:val="clear" w:color="auto" w:fill="auto"/>
            <w:vAlign w:val="center"/>
            <w:hideMark/>
          </w:tcPr>
          <w:p w14:paraId="4E02697D" w14:textId="77777777" w:rsidR="00E1435B" w:rsidRPr="009217FD" w:rsidRDefault="00E1435B" w:rsidP="001733C9">
            <w:pPr>
              <w:jc w:val="center"/>
              <w:rPr>
                <w:color w:val="000000"/>
                <w:sz w:val="22"/>
                <w:szCs w:val="22"/>
              </w:rPr>
            </w:pPr>
            <w:r w:rsidRPr="009217FD">
              <w:rPr>
                <w:color w:val="000000"/>
                <w:sz w:val="22"/>
                <w:szCs w:val="22"/>
              </w:rPr>
              <w:t>-25%</w:t>
            </w:r>
          </w:p>
        </w:tc>
        <w:tc>
          <w:tcPr>
            <w:tcW w:w="706" w:type="pct"/>
            <w:tcBorders>
              <w:top w:val="nil"/>
              <w:left w:val="nil"/>
              <w:bottom w:val="single" w:sz="4" w:space="0" w:color="auto"/>
              <w:right w:val="single" w:sz="4" w:space="0" w:color="auto"/>
            </w:tcBorders>
            <w:shd w:val="clear" w:color="auto" w:fill="auto"/>
            <w:vAlign w:val="center"/>
            <w:hideMark/>
          </w:tcPr>
          <w:p w14:paraId="4D95CF87" w14:textId="77777777" w:rsidR="00E1435B" w:rsidRPr="009217FD" w:rsidRDefault="00E1435B" w:rsidP="001733C9">
            <w:pPr>
              <w:jc w:val="right"/>
              <w:rPr>
                <w:color w:val="000000"/>
                <w:sz w:val="22"/>
                <w:szCs w:val="22"/>
              </w:rPr>
            </w:pPr>
            <w:r w:rsidRPr="009217FD">
              <w:rPr>
                <w:color w:val="000000"/>
                <w:sz w:val="22"/>
                <w:szCs w:val="22"/>
              </w:rPr>
              <w:t>0</w:t>
            </w:r>
          </w:p>
        </w:tc>
        <w:tc>
          <w:tcPr>
            <w:tcW w:w="605" w:type="pct"/>
            <w:tcBorders>
              <w:top w:val="nil"/>
              <w:left w:val="nil"/>
              <w:bottom w:val="single" w:sz="4" w:space="0" w:color="auto"/>
              <w:right w:val="single" w:sz="4" w:space="0" w:color="auto"/>
            </w:tcBorders>
            <w:shd w:val="clear" w:color="auto" w:fill="auto"/>
            <w:vAlign w:val="center"/>
            <w:hideMark/>
          </w:tcPr>
          <w:p w14:paraId="07475632" w14:textId="77777777" w:rsidR="00E1435B" w:rsidRPr="009217FD" w:rsidRDefault="00E1435B" w:rsidP="001733C9">
            <w:pPr>
              <w:jc w:val="center"/>
              <w:rPr>
                <w:color w:val="000000"/>
                <w:sz w:val="22"/>
                <w:szCs w:val="22"/>
              </w:rPr>
            </w:pPr>
            <w:r w:rsidRPr="009217FD">
              <w:rPr>
                <w:color w:val="000000"/>
                <w:sz w:val="22"/>
                <w:szCs w:val="22"/>
              </w:rPr>
              <w:t>-</w:t>
            </w:r>
          </w:p>
        </w:tc>
      </w:tr>
      <w:tr w:rsidR="00E1435B" w:rsidRPr="009217FD" w14:paraId="39544497" w14:textId="77777777" w:rsidTr="00195EDA">
        <w:trPr>
          <w:trHeight w:val="955"/>
        </w:trPr>
        <w:tc>
          <w:tcPr>
            <w:tcW w:w="1752" w:type="pct"/>
            <w:tcBorders>
              <w:top w:val="nil"/>
              <w:left w:val="single" w:sz="4" w:space="0" w:color="auto"/>
              <w:bottom w:val="single" w:sz="4" w:space="0" w:color="auto"/>
              <w:right w:val="single" w:sz="4" w:space="0" w:color="auto"/>
            </w:tcBorders>
            <w:shd w:val="clear" w:color="auto" w:fill="auto"/>
            <w:vAlign w:val="center"/>
            <w:hideMark/>
          </w:tcPr>
          <w:p w14:paraId="7F04D86F" w14:textId="77777777" w:rsidR="00E1435B" w:rsidRPr="009217FD" w:rsidRDefault="00E1435B" w:rsidP="001733C9">
            <w:pPr>
              <w:jc w:val="both"/>
              <w:rPr>
                <w:color w:val="000000"/>
                <w:sz w:val="22"/>
                <w:szCs w:val="22"/>
              </w:rPr>
            </w:pPr>
            <w:r w:rsidRPr="009217FD">
              <w:rPr>
                <w:color w:val="000000"/>
                <w:sz w:val="22"/>
                <w:szCs w:val="22"/>
              </w:rPr>
              <w:t>Реализация функций иных федеральных органов государственной власти</w:t>
            </w:r>
          </w:p>
        </w:tc>
        <w:tc>
          <w:tcPr>
            <w:tcW w:w="706" w:type="pct"/>
            <w:tcBorders>
              <w:top w:val="nil"/>
              <w:left w:val="nil"/>
              <w:bottom w:val="single" w:sz="4" w:space="0" w:color="auto"/>
              <w:right w:val="single" w:sz="4" w:space="0" w:color="auto"/>
            </w:tcBorders>
            <w:shd w:val="clear" w:color="auto" w:fill="auto"/>
            <w:vAlign w:val="center"/>
            <w:hideMark/>
          </w:tcPr>
          <w:p w14:paraId="77F009BD" w14:textId="77777777" w:rsidR="00E1435B" w:rsidRPr="009217FD" w:rsidRDefault="00E1435B" w:rsidP="001733C9">
            <w:pPr>
              <w:jc w:val="right"/>
              <w:rPr>
                <w:color w:val="000000"/>
                <w:sz w:val="22"/>
                <w:szCs w:val="22"/>
              </w:rPr>
            </w:pPr>
            <w:r w:rsidRPr="009217FD">
              <w:rPr>
                <w:color w:val="000000"/>
                <w:sz w:val="22"/>
                <w:szCs w:val="22"/>
              </w:rPr>
              <w:t>3 126</w:t>
            </w:r>
          </w:p>
        </w:tc>
        <w:tc>
          <w:tcPr>
            <w:tcW w:w="706" w:type="pct"/>
            <w:tcBorders>
              <w:top w:val="nil"/>
              <w:left w:val="nil"/>
              <w:bottom w:val="single" w:sz="4" w:space="0" w:color="auto"/>
              <w:right w:val="single" w:sz="4" w:space="0" w:color="auto"/>
            </w:tcBorders>
            <w:shd w:val="clear" w:color="auto" w:fill="auto"/>
            <w:vAlign w:val="center"/>
            <w:hideMark/>
          </w:tcPr>
          <w:p w14:paraId="4EB29BC2" w14:textId="77777777" w:rsidR="00E1435B" w:rsidRPr="009217FD" w:rsidRDefault="00E1435B" w:rsidP="001733C9">
            <w:pPr>
              <w:jc w:val="right"/>
              <w:rPr>
                <w:color w:val="000000"/>
                <w:sz w:val="22"/>
                <w:szCs w:val="22"/>
              </w:rPr>
            </w:pPr>
            <w:r w:rsidRPr="009217FD">
              <w:rPr>
                <w:color w:val="000000"/>
                <w:sz w:val="22"/>
                <w:szCs w:val="22"/>
              </w:rPr>
              <w:t>0</w:t>
            </w:r>
          </w:p>
        </w:tc>
        <w:tc>
          <w:tcPr>
            <w:tcW w:w="524" w:type="pct"/>
            <w:tcBorders>
              <w:top w:val="nil"/>
              <w:left w:val="nil"/>
              <w:bottom w:val="single" w:sz="4" w:space="0" w:color="auto"/>
              <w:right w:val="single" w:sz="4" w:space="0" w:color="auto"/>
            </w:tcBorders>
            <w:shd w:val="clear" w:color="auto" w:fill="auto"/>
            <w:vAlign w:val="center"/>
            <w:hideMark/>
          </w:tcPr>
          <w:p w14:paraId="350E444F" w14:textId="77777777" w:rsidR="00E1435B" w:rsidRPr="009217FD" w:rsidRDefault="00E1435B" w:rsidP="001733C9">
            <w:pPr>
              <w:jc w:val="center"/>
              <w:rPr>
                <w:color w:val="000000"/>
                <w:sz w:val="22"/>
                <w:szCs w:val="22"/>
              </w:rPr>
            </w:pPr>
            <w:r w:rsidRPr="009217FD">
              <w:rPr>
                <w:color w:val="000000"/>
                <w:sz w:val="22"/>
                <w:szCs w:val="22"/>
              </w:rPr>
              <w:t>-</w:t>
            </w:r>
          </w:p>
        </w:tc>
        <w:tc>
          <w:tcPr>
            <w:tcW w:w="706" w:type="pct"/>
            <w:tcBorders>
              <w:top w:val="nil"/>
              <w:left w:val="nil"/>
              <w:bottom w:val="single" w:sz="4" w:space="0" w:color="auto"/>
              <w:right w:val="single" w:sz="4" w:space="0" w:color="auto"/>
            </w:tcBorders>
            <w:shd w:val="clear" w:color="auto" w:fill="auto"/>
            <w:vAlign w:val="center"/>
            <w:hideMark/>
          </w:tcPr>
          <w:p w14:paraId="7F5F5493" w14:textId="77777777" w:rsidR="00E1435B" w:rsidRPr="009217FD" w:rsidRDefault="00E1435B" w:rsidP="001733C9">
            <w:pPr>
              <w:jc w:val="right"/>
              <w:rPr>
                <w:color w:val="000000"/>
                <w:sz w:val="22"/>
                <w:szCs w:val="22"/>
              </w:rPr>
            </w:pPr>
            <w:r w:rsidRPr="009217FD">
              <w:rPr>
                <w:color w:val="000000"/>
                <w:sz w:val="22"/>
                <w:szCs w:val="22"/>
              </w:rPr>
              <w:t>0</w:t>
            </w:r>
          </w:p>
        </w:tc>
        <w:tc>
          <w:tcPr>
            <w:tcW w:w="605" w:type="pct"/>
            <w:tcBorders>
              <w:top w:val="nil"/>
              <w:left w:val="nil"/>
              <w:bottom w:val="single" w:sz="4" w:space="0" w:color="auto"/>
              <w:right w:val="single" w:sz="4" w:space="0" w:color="auto"/>
            </w:tcBorders>
            <w:shd w:val="clear" w:color="auto" w:fill="auto"/>
            <w:vAlign w:val="center"/>
            <w:hideMark/>
          </w:tcPr>
          <w:p w14:paraId="073C8F5B" w14:textId="77777777" w:rsidR="00E1435B" w:rsidRPr="009217FD" w:rsidRDefault="00E1435B" w:rsidP="001733C9">
            <w:pPr>
              <w:jc w:val="center"/>
              <w:rPr>
                <w:color w:val="000000"/>
                <w:sz w:val="22"/>
                <w:szCs w:val="22"/>
              </w:rPr>
            </w:pPr>
            <w:r w:rsidRPr="009217FD">
              <w:rPr>
                <w:color w:val="000000"/>
                <w:sz w:val="22"/>
                <w:szCs w:val="22"/>
              </w:rPr>
              <w:t>-</w:t>
            </w:r>
          </w:p>
        </w:tc>
      </w:tr>
    </w:tbl>
    <w:p w14:paraId="70D826F9" w14:textId="77777777" w:rsidR="00E1435B" w:rsidRPr="00753A80" w:rsidRDefault="00E1435B" w:rsidP="00E1435B">
      <w:pPr>
        <w:jc w:val="center"/>
        <w:rPr>
          <w:bCs/>
          <w:i/>
          <w:sz w:val="24"/>
          <w:szCs w:val="24"/>
        </w:rPr>
      </w:pPr>
      <w:r w:rsidRPr="00753A80">
        <w:rPr>
          <w:i/>
          <w:sz w:val="24"/>
          <w:szCs w:val="24"/>
        </w:rPr>
        <w:t>Источник: Проект ФЗ «</w:t>
      </w:r>
      <w:r w:rsidRPr="00753A80">
        <w:rPr>
          <w:bCs/>
          <w:i/>
          <w:sz w:val="24"/>
          <w:szCs w:val="24"/>
        </w:rPr>
        <w:t>О федеральном бюджете на 2023 год</w:t>
      </w:r>
      <w:r w:rsidRPr="00753A80">
        <w:rPr>
          <w:i/>
          <w:sz w:val="24"/>
          <w:szCs w:val="24"/>
        </w:rPr>
        <w:t xml:space="preserve"> </w:t>
      </w:r>
      <w:r w:rsidRPr="00753A80">
        <w:rPr>
          <w:bCs/>
          <w:i/>
          <w:sz w:val="24"/>
          <w:szCs w:val="24"/>
        </w:rPr>
        <w:t>и на плановый период 2024 и 2025 годов»</w:t>
      </w:r>
    </w:p>
    <w:p w14:paraId="2F5C21A8" w14:textId="77777777" w:rsidR="00E1435B" w:rsidRDefault="00E1435B" w:rsidP="00E1435B">
      <w:pPr>
        <w:spacing w:line="360" w:lineRule="auto"/>
        <w:ind w:firstLine="851"/>
        <w:jc w:val="both"/>
        <w:rPr>
          <w:color w:val="000000"/>
          <w:sz w:val="24"/>
          <w:szCs w:val="24"/>
        </w:rPr>
      </w:pPr>
    </w:p>
    <w:p w14:paraId="7C8405F7" w14:textId="77777777" w:rsidR="00E1435B" w:rsidRPr="00753A80" w:rsidRDefault="00E1435B" w:rsidP="00E1435B">
      <w:pPr>
        <w:spacing w:line="360" w:lineRule="auto"/>
        <w:ind w:firstLine="709"/>
        <w:contextualSpacing/>
        <w:jc w:val="both"/>
        <w:rPr>
          <w:sz w:val="24"/>
          <w:szCs w:val="24"/>
        </w:rPr>
      </w:pPr>
      <w:r>
        <w:rPr>
          <w:color w:val="000000"/>
          <w:sz w:val="24"/>
          <w:szCs w:val="24"/>
        </w:rPr>
        <w:t xml:space="preserve">Основной объем сокращения </w:t>
      </w:r>
      <w:r w:rsidRPr="00753A80">
        <w:rPr>
          <w:color w:val="000000"/>
          <w:sz w:val="24"/>
          <w:szCs w:val="24"/>
        </w:rPr>
        <w:t xml:space="preserve">субсидий в 2024–2025 годах связан с </w:t>
      </w:r>
      <w:r>
        <w:rPr>
          <w:color w:val="000000"/>
          <w:sz w:val="24"/>
          <w:szCs w:val="24"/>
        </w:rPr>
        <w:t xml:space="preserve">уменьшением </w:t>
      </w:r>
      <w:r w:rsidRPr="00753A80">
        <w:rPr>
          <w:color w:val="000000"/>
          <w:sz w:val="24"/>
          <w:szCs w:val="24"/>
        </w:rPr>
        <w:t xml:space="preserve">ассигнований </w:t>
      </w:r>
      <w:r w:rsidRPr="00753A80">
        <w:rPr>
          <w:color w:val="000000" w:themeColor="text1"/>
          <w:sz w:val="24"/>
          <w:szCs w:val="24"/>
        </w:rPr>
        <w:t>по государственным программам «Развитие образования» (-52%) и «</w:t>
      </w:r>
      <w:r w:rsidRPr="00753A80">
        <w:rPr>
          <w:color w:val="000000"/>
          <w:sz w:val="24"/>
          <w:szCs w:val="24"/>
        </w:rPr>
        <w:t>Социальная поддержка граждан» (-29%)</w:t>
      </w:r>
      <w:r>
        <w:rPr>
          <w:color w:val="000000"/>
          <w:sz w:val="24"/>
          <w:szCs w:val="24"/>
        </w:rPr>
        <w:t>, что следует оценить крайне негативно</w:t>
      </w:r>
      <w:r w:rsidRPr="00753A80">
        <w:rPr>
          <w:color w:val="000000"/>
          <w:sz w:val="24"/>
          <w:szCs w:val="24"/>
        </w:rPr>
        <w:t xml:space="preserve">. </w:t>
      </w:r>
      <w:r>
        <w:rPr>
          <w:sz w:val="24"/>
          <w:szCs w:val="24"/>
        </w:rPr>
        <w:t>Выявленное</w:t>
      </w:r>
      <w:r w:rsidRPr="00753A80">
        <w:rPr>
          <w:sz w:val="24"/>
          <w:szCs w:val="24"/>
        </w:rPr>
        <w:t xml:space="preserve"> изменение в объемах межбюджетных трансфертов бюджетам субъектов Российской Федерации по социальному направлению связано с введением единого универсального пособия на детей с 01 января 2023 года, финансирование которого осуществляется посредством Социального фонда России, способствует сокращению полномочий субфедеральных органов власти по проведению данных выплат и как, следствие, снижению межбюджетных трансфертов</w:t>
      </w:r>
      <w:r>
        <w:rPr>
          <w:sz w:val="24"/>
          <w:szCs w:val="24"/>
        </w:rPr>
        <w:t>.</w:t>
      </w:r>
    </w:p>
    <w:p w14:paraId="6FE5D00F" w14:textId="77777777" w:rsidR="00E1435B" w:rsidRDefault="00E1435B" w:rsidP="00E1435B">
      <w:pPr>
        <w:spacing w:line="360" w:lineRule="auto"/>
        <w:ind w:firstLine="851"/>
        <w:contextualSpacing/>
        <w:jc w:val="both"/>
        <w:rPr>
          <w:color w:val="000000"/>
          <w:sz w:val="24"/>
          <w:szCs w:val="24"/>
        </w:rPr>
      </w:pPr>
      <w:r w:rsidRPr="00753A80">
        <w:rPr>
          <w:color w:val="000000"/>
          <w:sz w:val="24"/>
          <w:szCs w:val="24"/>
        </w:rPr>
        <w:t xml:space="preserve">Исходя из паспорта программ «Социальная поддержка граждан» и «Развитие образования», 2024 год – последний год </w:t>
      </w:r>
      <w:r>
        <w:rPr>
          <w:color w:val="000000"/>
          <w:sz w:val="24"/>
          <w:szCs w:val="24"/>
        </w:rPr>
        <w:t xml:space="preserve">их </w:t>
      </w:r>
      <w:r w:rsidRPr="00753A80">
        <w:rPr>
          <w:color w:val="000000"/>
          <w:sz w:val="24"/>
          <w:szCs w:val="24"/>
        </w:rPr>
        <w:t>финансового обеспечения</w:t>
      </w:r>
      <w:r>
        <w:rPr>
          <w:color w:val="000000"/>
          <w:sz w:val="24"/>
          <w:szCs w:val="24"/>
        </w:rPr>
        <w:t>. Ввиду отсутствия на момент подготовки заключения новых программ, связанных с развитием и сохранением человеческого капитала, выявленное</w:t>
      </w:r>
      <w:r w:rsidRPr="00753A80">
        <w:rPr>
          <w:color w:val="000000"/>
          <w:sz w:val="24"/>
          <w:szCs w:val="24"/>
        </w:rPr>
        <w:t xml:space="preserve"> снижение субсидий по этим программам в 2024–2025</w:t>
      </w:r>
      <w:r>
        <w:rPr>
          <w:color w:val="000000"/>
          <w:sz w:val="24"/>
          <w:szCs w:val="24"/>
        </w:rPr>
        <w:t xml:space="preserve"> годы может негативно отразиться на развитии образовательного и карьерного потенциала российской молодежи, с одной стороны, и снижении уровня социального обеспечения наиболее уязвимых групп российских граждан с другой</w:t>
      </w:r>
      <w:r w:rsidRPr="00753A80">
        <w:rPr>
          <w:color w:val="000000"/>
          <w:sz w:val="24"/>
          <w:szCs w:val="24"/>
        </w:rPr>
        <w:t xml:space="preserve">. </w:t>
      </w:r>
      <w:r>
        <w:rPr>
          <w:color w:val="000000"/>
          <w:sz w:val="24"/>
          <w:szCs w:val="24"/>
        </w:rPr>
        <w:t>В</w:t>
      </w:r>
      <w:r w:rsidRPr="00753A80">
        <w:rPr>
          <w:color w:val="000000"/>
          <w:sz w:val="24"/>
          <w:szCs w:val="24"/>
        </w:rPr>
        <w:t xml:space="preserve"> текущи</w:t>
      </w:r>
      <w:r>
        <w:rPr>
          <w:color w:val="000000"/>
          <w:sz w:val="24"/>
          <w:szCs w:val="24"/>
        </w:rPr>
        <w:t>х</w:t>
      </w:r>
      <w:r w:rsidRPr="00753A80">
        <w:rPr>
          <w:color w:val="000000"/>
          <w:sz w:val="24"/>
          <w:szCs w:val="24"/>
        </w:rPr>
        <w:t xml:space="preserve"> условиях</w:t>
      </w:r>
      <w:r>
        <w:rPr>
          <w:color w:val="000000"/>
          <w:sz w:val="24"/>
          <w:szCs w:val="24"/>
        </w:rPr>
        <w:t xml:space="preserve"> постоянная социальная </w:t>
      </w:r>
      <w:r w:rsidRPr="00753A80">
        <w:rPr>
          <w:color w:val="000000"/>
          <w:sz w:val="24"/>
          <w:szCs w:val="24"/>
        </w:rPr>
        <w:t xml:space="preserve">поддержка граждан и развитие образования критически </w:t>
      </w:r>
      <w:r>
        <w:rPr>
          <w:color w:val="000000"/>
          <w:sz w:val="24"/>
          <w:szCs w:val="24"/>
        </w:rPr>
        <w:t xml:space="preserve">в России </w:t>
      </w:r>
      <w:r w:rsidRPr="00753A80">
        <w:rPr>
          <w:color w:val="000000"/>
          <w:sz w:val="24"/>
          <w:szCs w:val="24"/>
        </w:rPr>
        <w:t>необходимы. Уход с рынка международных компаний ведет к потере рабочих мест и росту безработицы (в т.ч. скрытой), что необходимо учесть в реализации программы «Социальная поддержка граждан» в 2024-2025 год</w:t>
      </w:r>
      <w:r>
        <w:rPr>
          <w:color w:val="000000"/>
          <w:sz w:val="24"/>
          <w:szCs w:val="24"/>
        </w:rPr>
        <w:t>ы и за пределами прогнозного бюджетного цикла</w:t>
      </w:r>
      <w:r w:rsidRPr="00753A80">
        <w:rPr>
          <w:color w:val="000000"/>
          <w:sz w:val="24"/>
          <w:szCs w:val="24"/>
        </w:rPr>
        <w:t xml:space="preserve">. </w:t>
      </w:r>
    </w:p>
    <w:p w14:paraId="5E6BCF0D" w14:textId="77777777" w:rsidR="00E1435B" w:rsidRPr="00753A80" w:rsidRDefault="00E1435B" w:rsidP="00E1435B">
      <w:pPr>
        <w:spacing w:line="360" w:lineRule="auto"/>
        <w:ind w:firstLine="708"/>
        <w:contextualSpacing/>
        <w:jc w:val="both"/>
        <w:rPr>
          <w:color w:val="000000"/>
          <w:sz w:val="24"/>
          <w:szCs w:val="24"/>
        </w:rPr>
      </w:pPr>
      <w:r>
        <w:rPr>
          <w:color w:val="000000" w:themeColor="text1"/>
          <w:sz w:val="24"/>
          <w:szCs w:val="24"/>
        </w:rPr>
        <w:t>Оценка с</w:t>
      </w:r>
      <w:r w:rsidRPr="00753A80">
        <w:rPr>
          <w:color w:val="000000" w:themeColor="text1"/>
          <w:sz w:val="24"/>
          <w:szCs w:val="24"/>
        </w:rPr>
        <w:t>труктур</w:t>
      </w:r>
      <w:r>
        <w:rPr>
          <w:color w:val="000000" w:themeColor="text1"/>
          <w:sz w:val="24"/>
          <w:szCs w:val="24"/>
        </w:rPr>
        <w:t>ы</w:t>
      </w:r>
      <w:r w:rsidRPr="00753A80">
        <w:rPr>
          <w:color w:val="000000" w:themeColor="text1"/>
          <w:sz w:val="24"/>
          <w:szCs w:val="24"/>
        </w:rPr>
        <w:t xml:space="preserve"> </w:t>
      </w:r>
      <w:r>
        <w:rPr>
          <w:color w:val="000000" w:themeColor="text1"/>
          <w:sz w:val="24"/>
          <w:szCs w:val="24"/>
        </w:rPr>
        <w:t xml:space="preserve">финансирования </w:t>
      </w:r>
      <w:r w:rsidRPr="00753A80">
        <w:rPr>
          <w:color w:val="000000" w:themeColor="text1"/>
          <w:sz w:val="24"/>
          <w:szCs w:val="24"/>
        </w:rPr>
        <w:t>государственны</w:t>
      </w:r>
      <w:r>
        <w:rPr>
          <w:color w:val="000000" w:themeColor="text1"/>
          <w:sz w:val="24"/>
          <w:szCs w:val="24"/>
        </w:rPr>
        <w:t>х</w:t>
      </w:r>
      <w:r w:rsidRPr="00753A80">
        <w:rPr>
          <w:color w:val="000000" w:themeColor="text1"/>
          <w:sz w:val="24"/>
          <w:szCs w:val="24"/>
        </w:rPr>
        <w:t xml:space="preserve"> программ </w:t>
      </w:r>
      <w:r>
        <w:rPr>
          <w:color w:val="000000" w:themeColor="text1"/>
          <w:sz w:val="24"/>
          <w:szCs w:val="24"/>
        </w:rPr>
        <w:t xml:space="preserve">за счет субсидий из федерального бюджета в прогнозном периоде </w:t>
      </w:r>
      <w:r w:rsidRPr="00643E17">
        <w:rPr>
          <w:color w:val="000000" w:themeColor="text1"/>
          <w:sz w:val="24"/>
          <w:szCs w:val="24"/>
        </w:rPr>
        <w:t>(табл. 11)</w:t>
      </w:r>
      <w:r>
        <w:rPr>
          <w:color w:val="000000" w:themeColor="text1"/>
          <w:sz w:val="24"/>
          <w:szCs w:val="24"/>
        </w:rPr>
        <w:t xml:space="preserve"> выявила </w:t>
      </w:r>
      <w:r w:rsidRPr="00753A80">
        <w:rPr>
          <w:color w:val="000000" w:themeColor="text1"/>
          <w:sz w:val="24"/>
          <w:szCs w:val="24"/>
        </w:rPr>
        <w:t>смещ</w:t>
      </w:r>
      <w:r>
        <w:rPr>
          <w:color w:val="000000" w:themeColor="text1"/>
          <w:sz w:val="24"/>
          <w:szCs w:val="24"/>
        </w:rPr>
        <w:t xml:space="preserve">ение приоритетов </w:t>
      </w:r>
      <w:r w:rsidRPr="00753A80">
        <w:rPr>
          <w:color w:val="000000" w:themeColor="text1"/>
          <w:sz w:val="24"/>
          <w:szCs w:val="24"/>
        </w:rPr>
        <w:t xml:space="preserve">к 2025 году в сторону </w:t>
      </w:r>
      <w:r>
        <w:rPr>
          <w:color w:val="000000" w:themeColor="text1"/>
          <w:sz w:val="24"/>
          <w:szCs w:val="24"/>
        </w:rPr>
        <w:t>следующих гос</w:t>
      </w:r>
      <w:r w:rsidRPr="00753A80">
        <w:rPr>
          <w:color w:val="000000" w:themeColor="text1"/>
          <w:sz w:val="24"/>
          <w:szCs w:val="24"/>
        </w:rPr>
        <w:t>программ</w:t>
      </w:r>
      <w:r>
        <w:rPr>
          <w:color w:val="000000" w:themeColor="text1"/>
          <w:sz w:val="24"/>
          <w:szCs w:val="24"/>
        </w:rPr>
        <w:t>:</w:t>
      </w:r>
      <w:r w:rsidRPr="00753A80">
        <w:rPr>
          <w:color w:val="000000" w:themeColor="text1"/>
          <w:sz w:val="24"/>
          <w:szCs w:val="24"/>
        </w:rPr>
        <w:t xml:space="preserve"> «Развитие Транспортной системы» (+17%), </w:t>
      </w:r>
      <w:r w:rsidRPr="00753A80">
        <w:rPr>
          <w:color w:val="000000" w:themeColor="text1"/>
          <w:sz w:val="24"/>
          <w:szCs w:val="24"/>
        </w:rPr>
        <w:lastRenderedPageBreak/>
        <w:t>«Развитие здравоохранения»</w:t>
      </w:r>
      <w:r>
        <w:rPr>
          <w:color w:val="000000" w:themeColor="text1"/>
          <w:sz w:val="24"/>
          <w:szCs w:val="24"/>
        </w:rPr>
        <w:t xml:space="preserve"> </w:t>
      </w:r>
      <w:r w:rsidRPr="00753A80">
        <w:rPr>
          <w:color w:val="000000" w:themeColor="text1"/>
          <w:sz w:val="24"/>
          <w:szCs w:val="24"/>
        </w:rPr>
        <w:t>(+6%)</w:t>
      </w:r>
      <w:r>
        <w:rPr>
          <w:color w:val="000000" w:themeColor="text1"/>
          <w:sz w:val="24"/>
          <w:szCs w:val="24"/>
        </w:rPr>
        <w:t xml:space="preserve">, что </w:t>
      </w:r>
      <w:r w:rsidRPr="00753A80">
        <w:rPr>
          <w:color w:val="000000" w:themeColor="text1"/>
          <w:sz w:val="24"/>
          <w:szCs w:val="24"/>
        </w:rPr>
        <w:t xml:space="preserve">оценивается </w:t>
      </w:r>
      <w:r>
        <w:rPr>
          <w:color w:val="000000" w:themeColor="text1"/>
          <w:sz w:val="24"/>
          <w:szCs w:val="24"/>
        </w:rPr>
        <w:t xml:space="preserve">нами безусловно </w:t>
      </w:r>
      <w:r w:rsidRPr="00753A80">
        <w:rPr>
          <w:color w:val="000000" w:themeColor="text1"/>
          <w:sz w:val="24"/>
          <w:szCs w:val="24"/>
        </w:rPr>
        <w:t xml:space="preserve">положительно. Рост расходов на расширение и модернизацию транспортного сообщения в условиях необходимости переориентации </w:t>
      </w:r>
      <w:r>
        <w:rPr>
          <w:color w:val="000000" w:themeColor="text1"/>
          <w:sz w:val="24"/>
          <w:szCs w:val="24"/>
        </w:rPr>
        <w:t xml:space="preserve">российской </w:t>
      </w:r>
      <w:r w:rsidRPr="00753A80">
        <w:rPr>
          <w:color w:val="000000" w:themeColor="text1"/>
          <w:sz w:val="24"/>
          <w:szCs w:val="24"/>
        </w:rPr>
        <w:t xml:space="preserve">экономики в сторону азиатского потребителя положительно скажется на экспортном потенциале страны. </w:t>
      </w:r>
      <w:r>
        <w:rPr>
          <w:color w:val="000000" w:themeColor="text1"/>
          <w:sz w:val="24"/>
          <w:szCs w:val="24"/>
        </w:rPr>
        <w:t>Одновременно с</w:t>
      </w:r>
      <w:r w:rsidRPr="00753A80">
        <w:rPr>
          <w:color w:val="000000" w:themeColor="text1"/>
          <w:sz w:val="24"/>
          <w:szCs w:val="24"/>
        </w:rPr>
        <w:t xml:space="preserve">ущественно снижется доля субсидий на </w:t>
      </w:r>
      <w:r>
        <w:rPr>
          <w:color w:val="000000" w:themeColor="text1"/>
          <w:sz w:val="24"/>
          <w:szCs w:val="24"/>
        </w:rPr>
        <w:t>гос</w:t>
      </w:r>
      <w:r w:rsidRPr="00753A80">
        <w:rPr>
          <w:color w:val="000000" w:themeColor="text1"/>
          <w:sz w:val="24"/>
          <w:szCs w:val="24"/>
        </w:rPr>
        <w:t>программы «Развитие образования» (-5%) и «</w:t>
      </w:r>
      <w:r w:rsidRPr="00753A80">
        <w:rPr>
          <w:color w:val="000000"/>
          <w:sz w:val="24"/>
          <w:szCs w:val="24"/>
        </w:rPr>
        <w:t>Социальная поддержка граждан» (-11%), что</w:t>
      </w:r>
      <w:r>
        <w:rPr>
          <w:color w:val="000000"/>
          <w:sz w:val="24"/>
          <w:szCs w:val="24"/>
        </w:rPr>
        <w:t>,</w:t>
      </w:r>
      <w:r w:rsidRPr="00753A80">
        <w:rPr>
          <w:color w:val="000000"/>
          <w:sz w:val="24"/>
          <w:szCs w:val="24"/>
        </w:rPr>
        <w:t xml:space="preserve"> как ранее было отмечено, является негативным фактором для социальной стабильности и уровня квалификации населения</w:t>
      </w:r>
      <w:r w:rsidRPr="00753A80">
        <w:rPr>
          <w:color w:val="000000" w:themeColor="text1"/>
          <w:sz w:val="24"/>
          <w:szCs w:val="24"/>
        </w:rPr>
        <w:t xml:space="preserve">. </w:t>
      </w:r>
      <w:r>
        <w:rPr>
          <w:color w:val="000000" w:themeColor="text1"/>
          <w:sz w:val="24"/>
          <w:szCs w:val="24"/>
        </w:rPr>
        <w:t>Устойчивый ежегодный р</w:t>
      </w:r>
      <w:r w:rsidRPr="00753A80">
        <w:rPr>
          <w:color w:val="000000" w:themeColor="text1"/>
          <w:sz w:val="24"/>
          <w:szCs w:val="24"/>
        </w:rPr>
        <w:t>ост расходов на медицину способен компенсировать общ</w:t>
      </w:r>
      <w:r>
        <w:rPr>
          <w:color w:val="000000" w:themeColor="text1"/>
          <w:sz w:val="24"/>
          <w:szCs w:val="24"/>
        </w:rPr>
        <w:t>ее</w:t>
      </w:r>
      <w:r w:rsidRPr="00753A80">
        <w:rPr>
          <w:color w:val="000000" w:themeColor="text1"/>
          <w:sz w:val="24"/>
          <w:szCs w:val="24"/>
        </w:rPr>
        <w:t xml:space="preserve"> недофинансирован</w:t>
      </w:r>
      <w:r>
        <w:rPr>
          <w:color w:val="000000" w:themeColor="text1"/>
          <w:sz w:val="24"/>
          <w:szCs w:val="24"/>
        </w:rPr>
        <w:t>ие</w:t>
      </w:r>
      <w:r w:rsidRPr="00753A80">
        <w:rPr>
          <w:color w:val="000000" w:themeColor="text1"/>
          <w:sz w:val="24"/>
          <w:szCs w:val="24"/>
        </w:rPr>
        <w:t xml:space="preserve"> учреждений</w:t>
      </w:r>
      <w:r>
        <w:rPr>
          <w:color w:val="000000" w:themeColor="text1"/>
          <w:sz w:val="24"/>
          <w:szCs w:val="24"/>
        </w:rPr>
        <w:t xml:space="preserve"> здравоохранения</w:t>
      </w:r>
      <w:r w:rsidRPr="00753A80">
        <w:rPr>
          <w:color w:val="000000" w:themeColor="text1"/>
          <w:sz w:val="24"/>
          <w:szCs w:val="24"/>
        </w:rPr>
        <w:t>, выявленную в период пандемии корон</w:t>
      </w:r>
      <w:r>
        <w:rPr>
          <w:color w:val="000000" w:themeColor="text1"/>
          <w:sz w:val="24"/>
          <w:szCs w:val="24"/>
        </w:rPr>
        <w:t>а</w:t>
      </w:r>
      <w:r w:rsidRPr="00753A80">
        <w:rPr>
          <w:color w:val="000000" w:themeColor="text1"/>
          <w:sz w:val="24"/>
          <w:szCs w:val="24"/>
        </w:rPr>
        <w:t xml:space="preserve">вируса. </w:t>
      </w:r>
    </w:p>
    <w:p w14:paraId="68F30C72" w14:textId="77777777" w:rsidR="00E1435B" w:rsidRDefault="00E1435B" w:rsidP="00E1435B">
      <w:pPr>
        <w:spacing w:line="360" w:lineRule="auto"/>
        <w:jc w:val="both"/>
        <w:rPr>
          <w:bCs/>
          <w:i/>
          <w:iCs/>
          <w:color w:val="000000" w:themeColor="text1"/>
          <w:sz w:val="24"/>
          <w:szCs w:val="24"/>
        </w:rPr>
      </w:pPr>
    </w:p>
    <w:p w14:paraId="4F3172BD" w14:textId="77777777" w:rsidR="00E1435B" w:rsidRPr="00643E17" w:rsidRDefault="00E1435B" w:rsidP="00E1435B">
      <w:pPr>
        <w:spacing w:line="360" w:lineRule="auto"/>
        <w:jc w:val="both"/>
        <w:rPr>
          <w:bCs/>
          <w:i/>
          <w:iCs/>
          <w:color w:val="000000" w:themeColor="text1"/>
          <w:sz w:val="24"/>
          <w:szCs w:val="24"/>
        </w:rPr>
      </w:pPr>
      <w:r w:rsidRPr="00643E17">
        <w:rPr>
          <w:bCs/>
          <w:i/>
          <w:iCs/>
          <w:color w:val="000000" w:themeColor="text1"/>
          <w:sz w:val="24"/>
          <w:szCs w:val="24"/>
        </w:rPr>
        <w:t>Таблица 11 - Структура распределения субсидий из федерального бюджета на финансирование государственных программ в проекте бюджета 2023–2025, в %</w:t>
      </w:r>
    </w:p>
    <w:tbl>
      <w:tblPr>
        <w:tblStyle w:val="afa"/>
        <w:tblW w:w="5000" w:type="pct"/>
        <w:tblLook w:val="04A0" w:firstRow="1" w:lastRow="0" w:firstColumn="1" w:lastColumn="0" w:noHBand="0" w:noVBand="1"/>
      </w:tblPr>
      <w:tblGrid>
        <w:gridCol w:w="4130"/>
        <w:gridCol w:w="1739"/>
        <w:gridCol w:w="1738"/>
        <w:gridCol w:w="1738"/>
      </w:tblGrid>
      <w:tr w:rsidR="00E1435B" w:rsidRPr="009217FD" w14:paraId="12F417E1" w14:textId="77777777" w:rsidTr="00195EDA">
        <w:trPr>
          <w:trHeight w:val="397"/>
        </w:trPr>
        <w:tc>
          <w:tcPr>
            <w:tcW w:w="2209" w:type="pct"/>
            <w:vAlign w:val="center"/>
            <w:hideMark/>
          </w:tcPr>
          <w:p w14:paraId="370BAA22" w14:textId="77777777" w:rsidR="00E1435B" w:rsidRPr="008F6714" w:rsidRDefault="00E1435B" w:rsidP="001733C9">
            <w:pPr>
              <w:rPr>
                <w:bCs/>
                <w:color w:val="000000"/>
                <w:sz w:val="22"/>
                <w:szCs w:val="22"/>
              </w:rPr>
            </w:pPr>
            <w:r w:rsidRPr="008F6714">
              <w:rPr>
                <w:bCs/>
                <w:color w:val="000000"/>
                <w:sz w:val="22"/>
                <w:szCs w:val="22"/>
              </w:rPr>
              <w:t>Наименование госпрограммы</w:t>
            </w:r>
          </w:p>
        </w:tc>
        <w:tc>
          <w:tcPr>
            <w:tcW w:w="930" w:type="pct"/>
            <w:vAlign w:val="center"/>
            <w:hideMark/>
          </w:tcPr>
          <w:p w14:paraId="558A9C4A" w14:textId="77777777" w:rsidR="00E1435B" w:rsidRPr="008F6714" w:rsidRDefault="00E1435B" w:rsidP="001733C9">
            <w:pPr>
              <w:jc w:val="center"/>
              <w:rPr>
                <w:bCs/>
                <w:color w:val="000000"/>
                <w:sz w:val="22"/>
                <w:szCs w:val="22"/>
              </w:rPr>
            </w:pPr>
            <w:r w:rsidRPr="008F6714">
              <w:rPr>
                <w:bCs/>
                <w:color w:val="000000"/>
                <w:sz w:val="22"/>
                <w:szCs w:val="22"/>
              </w:rPr>
              <w:t>2023 год</w:t>
            </w:r>
          </w:p>
        </w:tc>
        <w:tc>
          <w:tcPr>
            <w:tcW w:w="930" w:type="pct"/>
            <w:vAlign w:val="center"/>
            <w:hideMark/>
          </w:tcPr>
          <w:p w14:paraId="419A96BA" w14:textId="77777777" w:rsidR="00E1435B" w:rsidRPr="008F6714" w:rsidRDefault="00E1435B" w:rsidP="001733C9">
            <w:pPr>
              <w:jc w:val="center"/>
              <w:rPr>
                <w:bCs/>
                <w:color w:val="000000"/>
                <w:sz w:val="22"/>
                <w:szCs w:val="22"/>
              </w:rPr>
            </w:pPr>
            <w:r w:rsidRPr="008F6714">
              <w:rPr>
                <w:bCs/>
                <w:color w:val="000000"/>
                <w:sz w:val="22"/>
                <w:szCs w:val="22"/>
              </w:rPr>
              <w:t>2024 год</w:t>
            </w:r>
          </w:p>
        </w:tc>
        <w:tc>
          <w:tcPr>
            <w:tcW w:w="930" w:type="pct"/>
            <w:vAlign w:val="center"/>
            <w:hideMark/>
          </w:tcPr>
          <w:p w14:paraId="62954139" w14:textId="77777777" w:rsidR="00E1435B" w:rsidRPr="008F6714" w:rsidRDefault="00E1435B" w:rsidP="001733C9">
            <w:pPr>
              <w:jc w:val="center"/>
              <w:rPr>
                <w:bCs/>
                <w:color w:val="000000"/>
                <w:sz w:val="22"/>
                <w:szCs w:val="22"/>
              </w:rPr>
            </w:pPr>
            <w:r w:rsidRPr="008F6714">
              <w:rPr>
                <w:bCs/>
                <w:color w:val="000000"/>
                <w:sz w:val="22"/>
                <w:szCs w:val="22"/>
              </w:rPr>
              <w:t>2025 год</w:t>
            </w:r>
          </w:p>
        </w:tc>
      </w:tr>
      <w:tr w:rsidR="00E1435B" w:rsidRPr="009217FD" w14:paraId="7A9615BB" w14:textId="77777777" w:rsidTr="00195EDA">
        <w:trPr>
          <w:trHeight w:val="397"/>
        </w:trPr>
        <w:tc>
          <w:tcPr>
            <w:tcW w:w="2209" w:type="pct"/>
            <w:vAlign w:val="center"/>
            <w:hideMark/>
          </w:tcPr>
          <w:p w14:paraId="3944C2FE" w14:textId="77777777" w:rsidR="00E1435B" w:rsidRPr="009217FD" w:rsidRDefault="00E1435B" w:rsidP="001733C9">
            <w:pPr>
              <w:rPr>
                <w:color w:val="000000"/>
                <w:sz w:val="22"/>
                <w:szCs w:val="22"/>
              </w:rPr>
            </w:pPr>
            <w:r w:rsidRPr="009217FD">
              <w:rPr>
                <w:color w:val="000000"/>
                <w:sz w:val="22"/>
                <w:szCs w:val="22"/>
              </w:rPr>
              <w:t>Развитие транспортной системы</w:t>
            </w:r>
          </w:p>
        </w:tc>
        <w:tc>
          <w:tcPr>
            <w:tcW w:w="930" w:type="pct"/>
            <w:noWrap/>
            <w:vAlign w:val="center"/>
            <w:hideMark/>
          </w:tcPr>
          <w:p w14:paraId="1DF96337" w14:textId="77777777" w:rsidR="00E1435B" w:rsidRPr="009217FD" w:rsidRDefault="00E1435B" w:rsidP="001733C9">
            <w:pPr>
              <w:jc w:val="center"/>
              <w:rPr>
                <w:color w:val="000000"/>
                <w:sz w:val="22"/>
                <w:szCs w:val="22"/>
              </w:rPr>
            </w:pPr>
            <w:r w:rsidRPr="009217FD">
              <w:rPr>
                <w:color w:val="000000"/>
                <w:sz w:val="22"/>
                <w:szCs w:val="22"/>
              </w:rPr>
              <w:t>11%</w:t>
            </w:r>
          </w:p>
        </w:tc>
        <w:tc>
          <w:tcPr>
            <w:tcW w:w="930" w:type="pct"/>
            <w:noWrap/>
            <w:vAlign w:val="center"/>
            <w:hideMark/>
          </w:tcPr>
          <w:p w14:paraId="035FFFC3" w14:textId="77777777" w:rsidR="00E1435B" w:rsidRPr="009217FD" w:rsidRDefault="00E1435B" w:rsidP="001733C9">
            <w:pPr>
              <w:jc w:val="center"/>
              <w:rPr>
                <w:color w:val="000000"/>
                <w:sz w:val="22"/>
                <w:szCs w:val="22"/>
              </w:rPr>
            </w:pPr>
            <w:r w:rsidRPr="009217FD">
              <w:rPr>
                <w:color w:val="000000"/>
                <w:sz w:val="22"/>
                <w:szCs w:val="22"/>
              </w:rPr>
              <w:t>20%</w:t>
            </w:r>
          </w:p>
        </w:tc>
        <w:tc>
          <w:tcPr>
            <w:tcW w:w="930" w:type="pct"/>
            <w:noWrap/>
            <w:vAlign w:val="center"/>
            <w:hideMark/>
          </w:tcPr>
          <w:p w14:paraId="14E399F5" w14:textId="77777777" w:rsidR="00E1435B" w:rsidRPr="009217FD" w:rsidRDefault="00E1435B" w:rsidP="001733C9">
            <w:pPr>
              <w:jc w:val="center"/>
              <w:rPr>
                <w:color w:val="000000"/>
                <w:sz w:val="22"/>
                <w:szCs w:val="22"/>
              </w:rPr>
            </w:pPr>
            <w:r w:rsidRPr="009217FD">
              <w:rPr>
                <w:color w:val="000000"/>
                <w:sz w:val="22"/>
                <w:szCs w:val="22"/>
              </w:rPr>
              <w:t>28%</w:t>
            </w:r>
          </w:p>
        </w:tc>
      </w:tr>
      <w:tr w:rsidR="00E1435B" w:rsidRPr="009217FD" w14:paraId="52A8272E" w14:textId="77777777" w:rsidTr="00195EDA">
        <w:trPr>
          <w:trHeight w:val="397"/>
        </w:trPr>
        <w:tc>
          <w:tcPr>
            <w:tcW w:w="2209" w:type="pct"/>
            <w:vAlign w:val="center"/>
            <w:hideMark/>
          </w:tcPr>
          <w:p w14:paraId="6ACC9CF2" w14:textId="77777777" w:rsidR="00E1435B" w:rsidRPr="009217FD" w:rsidRDefault="00E1435B" w:rsidP="001733C9">
            <w:pPr>
              <w:rPr>
                <w:color w:val="000000"/>
                <w:sz w:val="22"/>
                <w:szCs w:val="22"/>
              </w:rPr>
            </w:pPr>
            <w:r w:rsidRPr="009217FD">
              <w:rPr>
                <w:color w:val="000000"/>
                <w:sz w:val="22"/>
                <w:szCs w:val="22"/>
              </w:rPr>
              <w:t>Развитие здравоохранения</w:t>
            </w:r>
          </w:p>
        </w:tc>
        <w:tc>
          <w:tcPr>
            <w:tcW w:w="930" w:type="pct"/>
            <w:noWrap/>
            <w:vAlign w:val="center"/>
            <w:hideMark/>
          </w:tcPr>
          <w:p w14:paraId="46ADCD0D" w14:textId="77777777" w:rsidR="00E1435B" w:rsidRPr="009217FD" w:rsidRDefault="00E1435B" w:rsidP="001733C9">
            <w:pPr>
              <w:jc w:val="center"/>
              <w:rPr>
                <w:color w:val="000000"/>
                <w:sz w:val="22"/>
                <w:szCs w:val="22"/>
              </w:rPr>
            </w:pPr>
            <w:r w:rsidRPr="009217FD">
              <w:rPr>
                <w:color w:val="000000"/>
                <w:sz w:val="22"/>
                <w:szCs w:val="22"/>
              </w:rPr>
              <w:t>11%</w:t>
            </w:r>
          </w:p>
        </w:tc>
        <w:tc>
          <w:tcPr>
            <w:tcW w:w="930" w:type="pct"/>
            <w:noWrap/>
            <w:vAlign w:val="center"/>
            <w:hideMark/>
          </w:tcPr>
          <w:p w14:paraId="14A03D2C" w14:textId="77777777" w:rsidR="00E1435B" w:rsidRPr="009217FD" w:rsidRDefault="00E1435B" w:rsidP="001733C9">
            <w:pPr>
              <w:jc w:val="center"/>
              <w:rPr>
                <w:color w:val="000000"/>
                <w:sz w:val="22"/>
                <w:szCs w:val="22"/>
              </w:rPr>
            </w:pPr>
            <w:r w:rsidRPr="009217FD">
              <w:rPr>
                <w:color w:val="000000"/>
                <w:sz w:val="22"/>
                <w:szCs w:val="22"/>
              </w:rPr>
              <w:t>12%</w:t>
            </w:r>
          </w:p>
        </w:tc>
        <w:tc>
          <w:tcPr>
            <w:tcW w:w="930" w:type="pct"/>
            <w:noWrap/>
            <w:vAlign w:val="center"/>
            <w:hideMark/>
          </w:tcPr>
          <w:p w14:paraId="62578578" w14:textId="77777777" w:rsidR="00E1435B" w:rsidRPr="009217FD" w:rsidRDefault="00E1435B" w:rsidP="001733C9">
            <w:pPr>
              <w:jc w:val="center"/>
              <w:rPr>
                <w:color w:val="000000"/>
                <w:sz w:val="22"/>
                <w:szCs w:val="22"/>
              </w:rPr>
            </w:pPr>
            <w:r w:rsidRPr="009217FD">
              <w:rPr>
                <w:color w:val="000000"/>
                <w:sz w:val="22"/>
                <w:szCs w:val="22"/>
              </w:rPr>
              <w:t>17%</w:t>
            </w:r>
          </w:p>
        </w:tc>
      </w:tr>
      <w:tr w:rsidR="00E1435B" w:rsidRPr="009217FD" w14:paraId="01B1AAD6" w14:textId="77777777" w:rsidTr="00195EDA">
        <w:trPr>
          <w:trHeight w:val="397"/>
        </w:trPr>
        <w:tc>
          <w:tcPr>
            <w:tcW w:w="2209" w:type="pct"/>
            <w:vAlign w:val="center"/>
            <w:hideMark/>
          </w:tcPr>
          <w:p w14:paraId="17F400B5" w14:textId="77777777" w:rsidR="00E1435B" w:rsidRPr="009217FD" w:rsidRDefault="00E1435B" w:rsidP="001733C9">
            <w:pPr>
              <w:rPr>
                <w:color w:val="000000"/>
                <w:sz w:val="22"/>
                <w:szCs w:val="22"/>
              </w:rPr>
            </w:pPr>
            <w:r w:rsidRPr="009217FD">
              <w:rPr>
                <w:color w:val="000000"/>
                <w:sz w:val="22"/>
                <w:szCs w:val="22"/>
              </w:rPr>
              <w:t>Развитие образования</w:t>
            </w:r>
          </w:p>
        </w:tc>
        <w:tc>
          <w:tcPr>
            <w:tcW w:w="930" w:type="pct"/>
            <w:noWrap/>
            <w:vAlign w:val="center"/>
            <w:hideMark/>
          </w:tcPr>
          <w:p w14:paraId="06CBCFF0" w14:textId="77777777" w:rsidR="00E1435B" w:rsidRPr="009217FD" w:rsidRDefault="00E1435B" w:rsidP="001733C9">
            <w:pPr>
              <w:jc w:val="center"/>
              <w:rPr>
                <w:color w:val="000000"/>
                <w:sz w:val="22"/>
                <w:szCs w:val="22"/>
              </w:rPr>
            </w:pPr>
            <w:r w:rsidRPr="009217FD">
              <w:rPr>
                <w:color w:val="000000"/>
                <w:sz w:val="22"/>
                <w:szCs w:val="22"/>
              </w:rPr>
              <w:t>19%</w:t>
            </w:r>
          </w:p>
        </w:tc>
        <w:tc>
          <w:tcPr>
            <w:tcW w:w="930" w:type="pct"/>
            <w:noWrap/>
            <w:vAlign w:val="center"/>
            <w:hideMark/>
          </w:tcPr>
          <w:p w14:paraId="53F4D5CB" w14:textId="77777777" w:rsidR="00E1435B" w:rsidRPr="009217FD" w:rsidRDefault="00E1435B" w:rsidP="001733C9">
            <w:pPr>
              <w:jc w:val="center"/>
              <w:rPr>
                <w:color w:val="000000"/>
                <w:sz w:val="22"/>
                <w:szCs w:val="22"/>
              </w:rPr>
            </w:pPr>
            <w:r w:rsidRPr="009217FD">
              <w:rPr>
                <w:color w:val="000000"/>
                <w:sz w:val="22"/>
                <w:szCs w:val="22"/>
              </w:rPr>
              <w:t>20%</w:t>
            </w:r>
          </w:p>
        </w:tc>
        <w:tc>
          <w:tcPr>
            <w:tcW w:w="930" w:type="pct"/>
            <w:noWrap/>
            <w:vAlign w:val="center"/>
            <w:hideMark/>
          </w:tcPr>
          <w:p w14:paraId="72BAC202" w14:textId="77777777" w:rsidR="00E1435B" w:rsidRPr="009217FD" w:rsidRDefault="00E1435B" w:rsidP="001733C9">
            <w:pPr>
              <w:jc w:val="center"/>
              <w:rPr>
                <w:color w:val="000000"/>
                <w:sz w:val="22"/>
                <w:szCs w:val="22"/>
              </w:rPr>
            </w:pPr>
            <w:r w:rsidRPr="009217FD">
              <w:rPr>
                <w:color w:val="000000"/>
                <w:sz w:val="22"/>
                <w:szCs w:val="22"/>
              </w:rPr>
              <w:t>14%</w:t>
            </w:r>
          </w:p>
        </w:tc>
      </w:tr>
      <w:tr w:rsidR="00E1435B" w:rsidRPr="009217FD" w14:paraId="5170E1DC" w14:textId="77777777" w:rsidTr="00195EDA">
        <w:trPr>
          <w:trHeight w:val="397"/>
        </w:trPr>
        <w:tc>
          <w:tcPr>
            <w:tcW w:w="2209" w:type="pct"/>
            <w:vAlign w:val="center"/>
            <w:hideMark/>
          </w:tcPr>
          <w:p w14:paraId="17F37AA2" w14:textId="77777777" w:rsidR="00E1435B" w:rsidRPr="009217FD" w:rsidRDefault="00E1435B" w:rsidP="001733C9">
            <w:pPr>
              <w:rPr>
                <w:color w:val="000000"/>
                <w:sz w:val="22"/>
                <w:szCs w:val="22"/>
              </w:rPr>
            </w:pPr>
            <w:r w:rsidRPr="009217FD">
              <w:rPr>
                <w:color w:val="000000"/>
                <w:sz w:val="22"/>
                <w:szCs w:val="22"/>
              </w:rPr>
              <w:t>Социальная поддержка граждан</w:t>
            </w:r>
          </w:p>
        </w:tc>
        <w:tc>
          <w:tcPr>
            <w:tcW w:w="930" w:type="pct"/>
            <w:noWrap/>
            <w:vAlign w:val="center"/>
            <w:hideMark/>
          </w:tcPr>
          <w:p w14:paraId="72B456BE" w14:textId="77777777" w:rsidR="00E1435B" w:rsidRPr="009217FD" w:rsidRDefault="00E1435B" w:rsidP="001733C9">
            <w:pPr>
              <w:jc w:val="center"/>
              <w:rPr>
                <w:color w:val="000000"/>
                <w:sz w:val="22"/>
                <w:szCs w:val="22"/>
              </w:rPr>
            </w:pPr>
            <w:r w:rsidRPr="009217FD">
              <w:rPr>
                <w:color w:val="000000"/>
                <w:sz w:val="22"/>
                <w:szCs w:val="22"/>
              </w:rPr>
              <w:t>23%</w:t>
            </w:r>
          </w:p>
        </w:tc>
        <w:tc>
          <w:tcPr>
            <w:tcW w:w="930" w:type="pct"/>
            <w:noWrap/>
            <w:vAlign w:val="center"/>
            <w:hideMark/>
          </w:tcPr>
          <w:p w14:paraId="0B70A938" w14:textId="77777777" w:rsidR="00E1435B" w:rsidRPr="009217FD" w:rsidRDefault="00E1435B" w:rsidP="001733C9">
            <w:pPr>
              <w:jc w:val="center"/>
              <w:rPr>
                <w:color w:val="000000"/>
                <w:sz w:val="22"/>
                <w:szCs w:val="22"/>
              </w:rPr>
            </w:pPr>
            <w:r w:rsidRPr="009217FD">
              <w:rPr>
                <w:color w:val="000000"/>
                <w:sz w:val="22"/>
                <w:szCs w:val="22"/>
              </w:rPr>
              <w:t>11%</w:t>
            </w:r>
          </w:p>
        </w:tc>
        <w:tc>
          <w:tcPr>
            <w:tcW w:w="930" w:type="pct"/>
            <w:noWrap/>
            <w:vAlign w:val="center"/>
            <w:hideMark/>
          </w:tcPr>
          <w:p w14:paraId="7C1875EC" w14:textId="77777777" w:rsidR="00E1435B" w:rsidRPr="009217FD" w:rsidRDefault="00E1435B" w:rsidP="001733C9">
            <w:pPr>
              <w:jc w:val="center"/>
              <w:rPr>
                <w:color w:val="000000"/>
                <w:sz w:val="22"/>
                <w:szCs w:val="22"/>
              </w:rPr>
            </w:pPr>
            <w:r w:rsidRPr="009217FD">
              <w:rPr>
                <w:color w:val="000000"/>
                <w:sz w:val="22"/>
                <w:szCs w:val="22"/>
              </w:rPr>
              <w:t>12%</w:t>
            </w:r>
          </w:p>
        </w:tc>
      </w:tr>
      <w:tr w:rsidR="00E1435B" w:rsidRPr="009217FD" w14:paraId="0F182D03" w14:textId="77777777" w:rsidTr="00195EDA">
        <w:trPr>
          <w:trHeight w:val="34"/>
        </w:trPr>
        <w:tc>
          <w:tcPr>
            <w:tcW w:w="2209" w:type="pct"/>
            <w:vAlign w:val="center"/>
            <w:hideMark/>
          </w:tcPr>
          <w:p w14:paraId="729589F6" w14:textId="77777777" w:rsidR="00E1435B" w:rsidRPr="009217FD" w:rsidRDefault="00E1435B" w:rsidP="001733C9">
            <w:pPr>
              <w:rPr>
                <w:color w:val="000000"/>
                <w:sz w:val="22"/>
                <w:szCs w:val="22"/>
              </w:rPr>
            </w:pPr>
            <w:r w:rsidRPr="009217FD">
              <w:rPr>
                <w:color w:val="000000"/>
                <w:sz w:val="22"/>
                <w:szCs w:val="22"/>
              </w:rPr>
              <w:t>Развитие сельского хозяйства и регулирования рынков сельскохозяйственной продукции, сырья и продовольствия</w:t>
            </w:r>
          </w:p>
        </w:tc>
        <w:tc>
          <w:tcPr>
            <w:tcW w:w="930" w:type="pct"/>
            <w:noWrap/>
            <w:vAlign w:val="center"/>
            <w:hideMark/>
          </w:tcPr>
          <w:p w14:paraId="6DDAA8C9" w14:textId="77777777" w:rsidR="00E1435B" w:rsidRPr="009217FD" w:rsidRDefault="00E1435B" w:rsidP="001733C9">
            <w:pPr>
              <w:jc w:val="center"/>
              <w:rPr>
                <w:color w:val="000000"/>
                <w:sz w:val="22"/>
                <w:szCs w:val="22"/>
              </w:rPr>
            </w:pPr>
            <w:r w:rsidRPr="009217FD">
              <w:rPr>
                <w:color w:val="000000"/>
                <w:sz w:val="22"/>
                <w:szCs w:val="22"/>
              </w:rPr>
              <w:t>5%</w:t>
            </w:r>
          </w:p>
        </w:tc>
        <w:tc>
          <w:tcPr>
            <w:tcW w:w="930" w:type="pct"/>
            <w:noWrap/>
            <w:vAlign w:val="center"/>
            <w:hideMark/>
          </w:tcPr>
          <w:p w14:paraId="788A2220" w14:textId="77777777" w:rsidR="00E1435B" w:rsidRPr="009217FD" w:rsidRDefault="00E1435B" w:rsidP="001733C9">
            <w:pPr>
              <w:jc w:val="center"/>
              <w:rPr>
                <w:color w:val="000000"/>
                <w:sz w:val="22"/>
                <w:szCs w:val="22"/>
              </w:rPr>
            </w:pPr>
            <w:r w:rsidRPr="009217FD">
              <w:rPr>
                <w:color w:val="000000"/>
                <w:sz w:val="22"/>
                <w:szCs w:val="22"/>
              </w:rPr>
              <w:t>7%</w:t>
            </w:r>
          </w:p>
        </w:tc>
        <w:tc>
          <w:tcPr>
            <w:tcW w:w="930" w:type="pct"/>
            <w:noWrap/>
            <w:vAlign w:val="center"/>
            <w:hideMark/>
          </w:tcPr>
          <w:p w14:paraId="664C103F" w14:textId="77777777" w:rsidR="00E1435B" w:rsidRPr="009217FD" w:rsidRDefault="00E1435B" w:rsidP="001733C9">
            <w:pPr>
              <w:jc w:val="center"/>
              <w:rPr>
                <w:color w:val="000000"/>
                <w:sz w:val="22"/>
                <w:szCs w:val="22"/>
              </w:rPr>
            </w:pPr>
            <w:r w:rsidRPr="009217FD">
              <w:rPr>
                <w:color w:val="000000"/>
                <w:sz w:val="22"/>
                <w:szCs w:val="22"/>
              </w:rPr>
              <w:t>8%</w:t>
            </w:r>
          </w:p>
        </w:tc>
      </w:tr>
      <w:tr w:rsidR="00E1435B" w:rsidRPr="009217FD" w14:paraId="7031105E" w14:textId="77777777" w:rsidTr="00195EDA">
        <w:trPr>
          <w:trHeight w:val="18"/>
        </w:trPr>
        <w:tc>
          <w:tcPr>
            <w:tcW w:w="2209" w:type="pct"/>
            <w:vAlign w:val="center"/>
            <w:hideMark/>
          </w:tcPr>
          <w:p w14:paraId="2D8383B0" w14:textId="77777777" w:rsidR="00E1435B" w:rsidRPr="009217FD" w:rsidRDefault="00E1435B" w:rsidP="001733C9">
            <w:pPr>
              <w:rPr>
                <w:color w:val="000000"/>
                <w:sz w:val="22"/>
                <w:szCs w:val="22"/>
              </w:rPr>
            </w:pPr>
            <w:r w:rsidRPr="009217FD">
              <w:rPr>
                <w:color w:val="000000"/>
                <w:sz w:val="22"/>
                <w:szCs w:val="22"/>
              </w:rPr>
              <w:t>Социально-экономическое развитие Республики Крым и г. Севастополя</w:t>
            </w:r>
          </w:p>
        </w:tc>
        <w:tc>
          <w:tcPr>
            <w:tcW w:w="930" w:type="pct"/>
            <w:noWrap/>
            <w:vAlign w:val="center"/>
            <w:hideMark/>
          </w:tcPr>
          <w:p w14:paraId="295FC83D" w14:textId="77777777" w:rsidR="00E1435B" w:rsidRPr="009217FD" w:rsidRDefault="00E1435B" w:rsidP="001733C9">
            <w:pPr>
              <w:jc w:val="center"/>
              <w:rPr>
                <w:color w:val="000000"/>
                <w:sz w:val="22"/>
                <w:szCs w:val="22"/>
              </w:rPr>
            </w:pPr>
            <w:r w:rsidRPr="009217FD">
              <w:rPr>
                <w:color w:val="000000"/>
                <w:sz w:val="22"/>
                <w:szCs w:val="22"/>
              </w:rPr>
              <w:t>8%</w:t>
            </w:r>
          </w:p>
        </w:tc>
        <w:tc>
          <w:tcPr>
            <w:tcW w:w="930" w:type="pct"/>
            <w:noWrap/>
            <w:vAlign w:val="center"/>
            <w:hideMark/>
          </w:tcPr>
          <w:p w14:paraId="5A9182B5" w14:textId="77777777" w:rsidR="00E1435B" w:rsidRPr="009217FD" w:rsidRDefault="00E1435B" w:rsidP="001733C9">
            <w:pPr>
              <w:jc w:val="center"/>
              <w:rPr>
                <w:color w:val="000000"/>
                <w:sz w:val="22"/>
                <w:szCs w:val="22"/>
              </w:rPr>
            </w:pPr>
            <w:r w:rsidRPr="009217FD">
              <w:rPr>
                <w:color w:val="000000"/>
                <w:sz w:val="22"/>
                <w:szCs w:val="22"/>
              </w:rPr>
              <w:t>6%</w:t>
            </w:r>
          </w:p>
        </w:tc>
        <w:tc>
          <w:tcPr>
            <w:tcW w:w="930" w:type="pct"/>
            <w:noWrap/>
            <w:vAlign w:val="center"/>
            <w:hideMark/>
          </w:tcPr>
          <w:p w14:paraId="1B503C96" w14:textId="77777777" w:rsidR="00E1435B" w:rsidRPr="009217FD" w:rsidRDefault="00E1435B" w:rsidP="001733C9">
            <w:pPr>
              <w:jc w:val="center"/>
              <w:rPr>
                <w:color w:val="000000"/>
                <w:sz w:val="22"/>
                <w:szCs w:val="22"/>
              </w:rPr>
            </w:pPr>
            <w:r w:rsidRPr="009217FD">
              <w:rPr>
                <w:color w:val="000000"/>
                <w:sz w:val="22"/>
                <w:szCs w:val="22"/>
              </w:rPr>
              <w:t>7%</w:t>
            </w:r>
          </w:p>
        </w:tc>
      </w:tr>
      <w:tr w:rsidR="00E1435B" w:rsidRPr="009217FD" w14:paraId="2391F4D4" w14:textId="77777777" w:rsidTr="00195EDA">
        <w:trPr>
          <w:trHeight w:val="34"/>
        </w:trPr>
        <w:tc>
          <w:tcPr>
            <w:tcW w:w="2209" w:type="pct"/>
            <w:vAlign w:val="center"/>
            <w:hideMark/>
          </w:tcPr>
          <w:p w14:paraId="254DEA19" w14:textId="77777777" w:rsidR="00E1435B" w:rsidRPr="009217FD" w:rsidRDefault="00E1435B" w:rsidP="001733C9">
            <w:pPr>
              <w:rPr>
                <w:color w:val="000000"/>
                <w:sz w:val="22"/>
                <w:szCs w:val="22"/>
              </w:rPr>
            </w:pPr>
            <w:r w:rsidRPr="009217FD">
              <w:rPr>
                <w:color w:val="000000"/>
                <w:sz w:val="22"/>
                <w:szCs w:val="22"/>
              </w:rPr>
              <w:t>Обеспечение доступным и комфортным жильем и коммунальными услугами граждан Российской Федерации</w:t>
            </w:r>
          </w:p>
        </w:tc>
        <w:tc>
          <w:tcPr>
            <w:tcW w:w="930" w:type="pct"/>
            <w:noWrap/>
            <w:vAlign w:val="center"/>
            <w:hideMark/>
          </w:tcPr>
          <w:p w14:paraId="391A95FA" w14:textId="77777777" w:rsidR="00E1435B" w:rsidRPr="009217FD" w:rsidRDefault="00E1435B" w:rsidP="001733C9">
            <w:pPr>
              <w:jc w:val="center"/>
              <w:rPr>
                <w:color w:val="000000"/>
                <w:sz w:val="22"/>
                <w:szCs w:val="22"/>
              </w:rPr>
            </w:pPr>
            <w:r w:rsidRPr="009217FD">
              <w:rPr>
                <w:color w:val="000000"/>
                <w:sz w:val="22"/>
                <w:szCs w:val="22"/>
              </w:rPr>
              <w:t>10%</w:t>
            </w:r>
          </w:p>
        </w:tc>
        <w:tc>
          <w:tcPr>
            <w:tcW w:w="930" w:type="pct"/>
            <w:noWrap/>
            <w:vAlign w:val="center"/>
            <w:hideMark/>
          </w:tcPr>
          <w:p w14:paraId="4BF869F1" w14:textId="77777777" w:rsidR="00E1435B" w:rsidRPr="009217FD" w:rsidRDefault="00E1435B" w:rsidP="001733C9">
            <w:pPr>
              <w:jc w:val="center"/>
              <w:rPr>
                <w:color w:val="000000"/>
                <w:sz w:val="22"/>
                <w:szCs w:val="22"/>
              </w:rPr>
            </w:pPr>
            <w:r w:rsidRPr="009217FD">
              <w:rPr>
                <w:color w:val="000000"/>
                <w:sz w:val="22"/>
                <w:szCs w:val="22"/>
              </w:rPr>
              <w:t>11%</w:t>
            </w:r>
          </w:p>
        </w:tc>
        <w:tc>
          <w:tcPr>
            <w:tcW w:w="930" w:type="pct"/>
            <w:noWrap/>
            <w:vAlign w:val="center"/>
            <w:hideMark/>
          </w:tcPr>
          <w:p w14:paraId="14051F64" w14:textId="77777777" w:rsidR="00E1435B" w:rsidRPr="009217FD" w:rsidRDefault="00E1435B" w:rsidP="001733C9">
            <w:pPr>
              <w:jc w:val="center"/>
              <w:rPr>
                <w:color w:val="000000"/>
                <w:sz w:val="22"/>
                <w:szCs w:val="22"/>
              </w:rPr>
            </w:pPr>
            <w:r w:rsidRPr="009217FD">
              <w:rPr>
                <w:color w:val="000000"/>
                <w:sz w:val="22"/>
                <w:szCs w:val="22"/>
              </w:rPr>
              <w:t>3%</w:t>
            </w:r>
          </w:p>
        </w:tc>
      </w:tr>
      <w:tr w:rsidR="00E1435B" w:rsidRPr="009217FD" w14:paraId="72961430" w14:textId="77777777" w:rsidTr="00195EDA">
        <w:trPr>
          <w:trHeight w:val="18"/>
        </w:trPr>
        <w:tc>
          <w:tcPr>
            <w:tcW w:w="2209" w:type="pct"/>
            <w:vAlign w:val="center"/>
            <w:hideMark/>
          </w:tcPr>
          <w:p w14:paraId="316A3704" w14:textId="77777777" w:rsidR="00E1435B" w:rsidRPr="009217FD" w:rsidRDefault="00E1435B" w:rsidP="001733C9">
            <w:pPr>
              <w:rPr>
                <w:color w:val="000000"/>
                <w:sz w:val="22"/>
                <w:szCs w:val="22"/>
              </w:rPr>
            </w:pPr>
            <w:r w:rsidRPr="009217FD">
              <w:rPr>
                <w:color w:val="000000"/>
                <w:sz w:val="22"/>
                <w:szCs w:val="22"/>
              </w:rPr>
              <w:t>Комплексное развитие сельских территорий</w:t>
            </w:r>
          </w:p>
        </w:tc>
        <w:tc>
          <w:tcPr>
            <w:tcW w:w="930" w:type="pct"/>
            <w:noWrap/>
            <w:vAlign w:val="center"/>
            <w:hideMark/>
          </w:tcPr>
          <w:p w14:paraId="52CD71AA" w14:textId="77777777" w:rsidR="00E1435B" w:rsidRPr="009217FD" w:rsidRDefault="00E1435B" w:rsidP="001733C9">
            <w:pPr>
              <w:jc w:val="center"/>
              <w:rPr>
                <w:color w:val="000000"/>
                <w:sz w:val="22"/>
                <w:szCs w:val="22"/>
              </w:rPr>
            </w:pPr>
            <w:r w:rsidRPr="009217FD">
              <w:rPr>
                <w:color w:val="000000"/>
                <w:sz w:val="22"/>
                <w:szCs w:val="22"/>
              </w:rPr>
              <w:t>2%</w:t>
            </w:r>
          </w:p>
        </w:tc>
        <w:tc>
          <w:tcPr>
            <w:tcW w:w="930" w:type="pct"/>
            <w:noWrap/>
            <w:vAlign w:val="center"/>
            <w:hideMark/>
          </w:tcPr>
          <w:p w14:paraId="2E8E5F1A" w14:textId="77777777" w:rsidR="00E1435B" w:rsidRPr="009217FD" w:rsidRDefault="00E1435B" w:rsidP="001733C9">
            <w:pPr>
              <w:jc w:val="center"/>
              <w:rPr>
                <w:color w:val="000000"/>
                <w:sz w:val="22"/>
                <w:szCs w:val="22"/>
              </w:rPr>
            </w:pPr>
            <w:r w:rsidRPr="009217FD">
              <w:rPr>
                <w:color w:val="000000"/>
                <w:sz w:val="22"/>
                <w:szCs w:val="22"/>
              </w:rPr>
              <w:t>2%</w:t>
            </w:r>
          </w:p>
        </w:tc>
        <w:tc>
          <w:tcPr>
            <w:tcW w:w="930" w:type="pct"/>
            <w:noWrap/>
            <w:vAlign w:val="center"/>
            <w:hideMark/>
          </w:tcPr>
          <w:p w14:paraId="26E321D8" w14:textId="77777777" w:rsidR="00E1435B" w:rsidRPr="009217FD" w:rsidRDefault="00E1435B" w:rsidP="001733C9">
            <w:pPr>
              <w:jc w:val="center"/>
              <w:rPr>
                <w:color w:val="000000"/>
                <w:sz w:val="22"/>
                <w:szCs w:val="22"/>
              </w:rPr>
            </w:pPr>
            <w:r w:rsidRPr="009217FD">
              <w:rPr>
                <w:color w:val="000000"/>
                <w:sz w:val="22"/>
                <w:szCs w:val="22"/>
              </w:rPr>
              <w:t>3%</w:t>
            </w:r>
          </w:p>
        </w:tc>
      </w:tr>
      <w:tr w:rsidR="00E1435B" w:rsidRPr="009217FD" w14:paraId="0F2646CB" w14:textId="77777777" w:rsidTr="00195EDA">
        <w:trPr>
          <w:trHeight w:val="18"/>
        </w:trPr>
        <w:tc>
          <w:tcPr>
            <w:tcW w:w="2209" w:type="pct"/>
            <w:vAlign w:val="center"/>
            <w:hideMark/>
          </w:tcPr>
          <w:p w14:paraId="0291628A" w14:textId="77777777" w:rsidR="00E1435B" w:rsidRPr="009217FD" w:rsidRDefault="00E1435B" w:rsidP="001733C9">
            <w:pPr>
              <w:rPr>
                <w:color w:val="000000"/>
                <w:sz w:val="22"/>
                <w:szCs w:val="22"/>
              </w:rPr>
            </w:pPr>
            <w:r w:rsidRPr="009217FD">
              <w:rPr>
                <w:color w:val="000000"/>
                <w:sz w:val="22"/>
                <w:szCs w:val="22"/>
              </w:rPr>
              <w:t>Развитие промышленности и повышение ее конкурентоспособности</w:t>
            </w:r>
          </w:p>
        </w:tc>
        <w:tc>
          <w:tcPr>
            <w:tcW w:w="930" w:type="pct"/>
            <w:noWrap/>
            <w:vAlign w:val="center"/>
            <w:hideMark/>
          </w:tcPr>
          <w:p w14:paraId="1E7DE73B" w14:textId="77777777" w:rsidR="00E1435B" w:rsidRPr="009217FD" w:rsidRDefault="00E1435B" w:rsidP="001733C9">
            <w:pPr>
              <w:jc w:val="center"/>
              <w:rPr>
                <w:color w:val="000000"/>
                <w:sz w:val="22"/>
                <w:szCs w:val="22"/>
              </w:rPr>
            </w:pPr>
            <w:r w:rsidRPr="009217FD">
              <w:rPr>
                <w:color w:val="000000"/>
                <w:sz w:val="22"/>
                <w:szCs w:val="22"/>
              </w:rPr>
              <w:t>0%</w:t>
            </w:r>
          </w:p>
        </w:tc>
        <w:tc>
          <w:tcPr>
            <w:tcW w:w="930" w:type="pct"/>
            <w:noWrap/>
            <w:vAlign w:val="center"/>
            <w:hideMark/>
          </w:tcPr>
          <w:p w14:paraId="5F1C8485" w14:textId="77777777" w:rsidR="00E1435B" w:rsidRPr="009217FD" w:rsidRDefault="00E1435B" w:rsidP="001733C9">
            <w:pPr>
              <w:jc w:val="center"/>
              <w:rPr>
                <w:color w:val="000000"/>
                <w:sz w:val="22"/>
                <w:szCs w:val="22"/>
              </w:rPr>
            </w:pPr>
            <w:r w:rsidRPr="009217FD">
              <w:rPr>
                <w:color w:val="000000"/>
                <w:sz w:val="22"/>
                <w:szCs w:val="22"/>
              </w:rPr>
              <w:t>1%</w:t>
            </w:r>
          </w:p>
        </w:tc>
        <w:tc>
          <w:tcPr>
            <w:tcW w:w="930" w:type="pct"/>
            <w:noWrap/>
            <w:vAlign w:val="center"/>
            <w:hideMark/>
          </w:tcPr>
          <w:p w14:paraId="6414DB19" w14:textId="77777777" w:rsidR="00E1435B" w:rsidRPr="009217FD" w:rsidRDefault="00E1435B" w:rsidP="001733C9">
            <w:pPr>
              <w:jc w:val="center"/>
              <w:rPr>
                <w:color w:val="000000"/>
                <w:sz w:val="22"/>
                <w:szCs w:val="22"/>
              </w:rPr>
            </w:pPr>
            <w:r w:rsidRPr="009217FD">
              <w:rPr>
                <w:color w:val="000000"/>
                <w:sz w:val="22"/>
                <w:szCs w:val="22"/>
              </w:rPr>
              <w:t>2%</w:t>
            </w:r>
          </w:p>
        </w:tc>
      </w:tr>
    </w:tbl>
    <w:p w14:paraId="4A76A520" w14:textId="77777777" w:rsidR="00E1435B" w:rsidRPr="00753A80" w:rsidRDefault="00E1435B" w:rsidP="00E1435B">
      <w:pPr>
        <w:jc w:val="center"/>
        <w:rPr>
          <w:bCs/>
          <w:i/>
          <w:sz w:val="24"/>
          <w:szCs w:val="24"/>
        </w:rPr>
      </w:pPr>
      <w:r w:rsidRPr="00753A80">
        <w:rPr>
          <w:i/>
          <w:sz w:val="24"/>
          <w:szCs w:val="24"/>
        </w:rPr>
        <w:t>Источник: Проект ФЗ «</w:t>
      </w:r>
      <w:r w:rsidRPr="00753A80">
        <w:rPr>
          <w:bCs/>
          <w:i/>
          <w:sz w:val="24"/>
          <w:szCs w:val="24"/>
        </w:rPr>
        <w:t>О федеральном бюджете на 2023 год</w:t>
      </w:r>
      <w:r w:rsidRPr="00753A80">
        <w:rPr>
          <w:i/>
          <w:sz w:val="24"/>
          <w:szCs w:val="24"/>
        </w:rPr>
        <w:t xml:space="preserve"> </w:t>
      </w:r>
      <w:r w:rsidRPr="00753A80">
        <w:rPr>
          <w:bCs/>
          <w:i/>
          <w:sz w:val="24"/>
          <w:szCs w:val="24"/>
        </w:rPr>
        <w:t>и на плановый период 2024 и 2025 годов»</w:t>
      </w:r>
    </w:p>
    <w:p w14:paraId="44A98C20" w14:textId="77777777" w:rsidR="00E1435B" w:rsidRDefault="00E1435B" w:rsidP="00E1435B">
      <w:pPr>
        <w:spacing w:line="360" w:lineRule="auto"/>
        <w:ind w:firstLine="851"/>
        <w:contextualSpacing/>
        <w:jc w:val="both"/>
        <w:rPr>
          <w:color w:val="000000"/>
          <w:sz w:val="24"/>
          <w:szCs w:val="24"/>
        </w:rPr>
      </w:pPr>
    </w:p>
    <w:p w14:paraId="377176C0" w14:textId="77777777" w:rsidR="00E1435B" w:rsidRDefault="00E1435B" w:rsidP="00E1435B">
      <w:pPr>
        <w:spacing w:line="360" w:lineRule="auto"/>
        <w:ind w:firstLine="851"/>
        <w:contextualSpacing/>
        <w:jc w:val="both"/>
        <w:rPr>
          <w:color w:val="000000"/>
          <w:sz w:val="24"/>
          <w:szCs w:val="24"/>
        </w:rPr>
      </w:pPr>
      <w:r w:rsidRPr="00753A80">
        <w:rPr>
          <w:color w:val="000000"/>
          <w:sz w:val="24"/>
          <w:szCs w:val="24"/>
        </w:rPr>
        <w:t xml:space="preserve">С учетом введенных против Российской Федерации санкций, направленных прежде всего против ввоза технологий, представляется важным увеличить расходы на </w:t>
      </w:r>
      <w:r>
        <w:rPr>
          <w:color w:val="000000"/>
          <w:sz w:val="24"/>
          <w:szCs w:val="24"/>
        </w:rPr>
        <w:t>такие гос</w:t>
      </w:r>
      <w:r w:rsidRPr="00753A80">
        <w:rPr>
          <w:color w:val="000000"/>
          <w:sz w:val="24"/>
          <w:szCs w:val="24"/>
        </w:rPr>
        <w:t>программы</w:t>
      </w:r>
      <w:r>
        <w:rPr>
          <w:color w:val="000000"/>
          <w:sz w:val="24"/>
          <w:szCs w:val="24"/>
        </w:rPr>
        <w:t xml:space="preserve">, как </w:t>
      </w:r>
      <w:r w:rsidRPr="00753A80">
        <w:rPr>
          <w:color w:val="000000"/>
          <w:sz w:val="24"/>
          <w:szCs w:val="24"/>
        </w:rPr>
        <w:t xml:space="preserve">«Экономическое развитие и инновационная экономика», «Научно-технологическое развитие Российской Федерации». Однако, субсидии в рамках этих программ </w:t>
      </w:r>
      <w:r>
        <w:rPr>
          <w:color w:val="000000"/>
          <w:sz w:val="24"/>
          <w:szCs w:val="24"/>
        </w:rPr>
        <w:t xml:space="preserve">за анализируемый период </w:t>
      </w:r>
      <w:r w:rsidRPr="00753A80">
        <w:rPr>
          <w:color w:val="000000"/>
          <w:sz w:val="24"/>
          <w:szCs w:val="24"/>
        </w:rPr>
        <w:t xml:space="preserve">не увеличиваются, а по программе «Экономическое развитие и инновационная экономика» даже сокращаются на 94% к 2025 году. </w:t>
      </w:r>
    </w:p>
    <w:p w14:paraId="16E57666" w14:textId="77777777" w:rsidR="00E1435B" w:rsidRPr="00753A80" w:rsidRDefault="00E1435B" w:rsidP="00E1435B">
      <w:pPr>
        <w:spacing w:line="360" w:lineRule="auto"/>
        <w:ind w:firstLine="709"/>
        <w:contextualSpacing/>
        <w:jc w:val="both"/>
        <w:rPr>
          <w:sz w:val="24"/>
          <w:szCs w:val="24"/>
        </w:rPr>
      </w:pPr>
      <w:r>
        <w:rPr>
          <w:color w:val="000000"/>
          <w:sz w:val="24"/>
          <w:szCs w:val="24"/>
        </w:rPr>
        <w:lastRenderedPageBreak/>
        <w:t xml:space="preserve">Отдельное внимание при оценке межбюджетных потоков из федерального бюджета бюджетам субъектов Федерации следует уделить </w:t>
      </w:r>
      <w:r w:rsidRPr="00753A80">
        <w:rPr>
          <w:color w:val="000000"/>
          <w:sz w:val="24"/>
          <w:szCs w:val="24"/>
        </w:rPr>
        <w:t>бюджетны</w:t>
      </w:r>
      <w:r>
        <w:rPr>
          <w:color w:val="000000"/>
          <w:sz w:val="24"/>
          <w:szCs w:val="24"/>
        </w:rPr>
        <w:t>м</w:t>
      </w:r>
      <w:r w:rsidRPr="00753A80">
        <w:rPr>
          <w:color w:val="000000"/>
          <w:sz w:val="24"/>
          <w:szCs w:val="24"/>
        </w:rPr>
        <w:t xml:space="preserve"> кредит</w:t>
      </w:r>
      <w:r>
        <w:rPr>
          <w:color w:val="000000"/>
          <w:sz w:val="24"/>
          <w:szCs w:val="24"/>
        </w:rPr>
        <w:t xml:space="preserve">ам и условиям их </w:t>
      </w:r>
      <w:r w:rsidRPr="00753A80">
        <w:rPr>
          <w:color w:val="000000"/>
          <w:sz w:val="24"/>
          <w:szCs w:val="24"/>
        </w:rPr>
        <w:t>предоставления</w:t>
      </w:r>
      <w:r>
        <w:rPr>
          <w:color w:val="000000"/>
          <w:sz w:val="24"/>
          <w:szCs w:val="24"/>
        </w:rPr>
        <w:t>, которые являются в</w:t>
      </w:r>
      <w:r w:rsidRPr="00753A80">
        <w:rPr>
          <w:sz w:val="24"/>
          <w:szCs w:val="24"/>
        </w:rPr>
        <w:t>ажнейшим, на наш взгляд, инструментом обеспечения сбалансированности бюджетов субъектов Российской Федерации за счет средств федерального бюджета</w:t>
      </w:r>
      <w:r>
        <w:rPr>
          <w:sz w:val="24"/>
          <w:szCs w:val="24"/>
        </w:rPr>
        <w:t xml:space="preserve">. </w:t>
      </w:r>
      <w:r>
        <w:rPr>
          <w:color w:val="000000"/>
          <w:sz w:val="24"/>
          <w:szCs w:val="24"/>
        </w:rPr>
        <w:t xml:space="preserve">Согласно тексту законопроекта, </w:t>
      </w:r>
      <w:r w:rsidRPr="00753A80">
        <w:rPr>
          <w:sz w:val="24"/>
          <w:szCs w:val="24"/>
        </w:rPr>
        <w:t>в 2023 году сохраняется возможность получения субъектами Российской Федерации бюджетных кредитов на финансовое обеспечение реализации инфраструктурных проектов в объеме до 250 млрд рублей, плата по которым установлена в размере 3 процентов годовых. Вторым доступным инструментом является получение бюджетных кредитов в целях пополнения остатка средств на едином счете под 0,1 процента годовых. Получение бюджетных кредитов дает возможность субъектам Российской Федерации проводить активную политику</w:t>
      </w:r>
      <w:r>
        <w:rPr>
          <w:sz w:val="24"/>
          <w:szCs w:val="24"/>
        </w:rPr>
        <w:t xml:space="preserve">, связанную с </w:t>
      </w:r>
      <w:r w:rsidRPr="00753A80">
        <w:rPr>
          <w:sz w:val="24"/>
          <w:szCs w:val="24"/>
        </w:rPr>
        <w:t>реализаци</w:t>
      </w:r>
      <w:r>
        <w:rPr>
          <w:sz w:val="24"/>
          <w:szCs w:val="24"/>
        </w:rPr>
        <w:t>ей</w:t>
      </w:r>
      <w:r w:rsidRPr="00753A80">
        <w:rPr>
          <w:sz w:val="24"/>
          <w:szCs w:val="24"/>
        </w:rPr>
        <w:t xml:space="preserve"> инфраструктурных проектов </w:t>
      </w:r>
      <w:r>
        <w:rPr>
          <w:sz w:val="24"/>
          <w:szCs w:val="24"/>
        </w:rPr>
        <w:t xml:space="preserve">на своей территории, способствующих </w:t>
      </w:r>
      <w:r w:rsidRPr="00753A80">
        <w:rPr>
          <w:sz w:val="24"/>
          <w:szCs w:val="24"/>
        </w:rPr>
        <w:t xml:space="preserve">ускорению экономического </w:t>
      </w:r>
      <w:r>
        <w:rPr>
          <w:sz w:val="24"/>
          <w:szCs w:val="24"/>
        </w:rPr>
        <w:t xml:space="preserve">их </w:t>
      </w:r>
      <w:r w:rsidRPr="00753A80">
        <w:rPr>
          <w:sz w:val="24"/>
          <w:szCs w:val="24"/>
        </w:rPr>
        <w:t>развития в условиях геополитической и экономической напряженности. Однако, вероятное послабление условий предоставления бюджетных кредитов в будущих периодах, с учетом существующих прецедентов, может негативно сказаться на эффективности проводимой субъектами Российской Федерации долговой политики.</w:t>
      </w:r>
    </w:p>
    <w:p w14:paraId="7BFBE7F0" w14:textId="77777777" w:rsidR="00E1435B" w:rsidRPr="00753A80" w:rsidRDefault="00E1435B" w:rsidP="00E1435B">
      <w:pPr>
        <w:spacing w:line="360" w:lineRule="auto"/>
        <w:ind w:firstLine="709"/>
        <w:jc w:val="both"/>
        <w:rPr>
          <w:sz w:val="24"/>
          <w:szCs w:val="24"/>
          <w:highlight w:val="yellow"/>
        </w:rPr>
      </w:pPr>
      <w:r w:rsidRPr="00753A80">
        <w:rPr>
          <w:sz w:val="24"/>
          <w:szCs w:val="24"/>
        </w:rPr>
        <w:t>Подводя итог</w:t>
      </w:r>
      <w:r>
        <w:rPr>
          <w:sz w:val="24"/>
          <w:szCs w:val="24"/>
        </w:rPr>
        <w:t xml:space="preserve"> проведенной оценки </w:t>
      </w:r>
      <w:r w:rsidRPr="004C30F0">
        <w:rPr>
          <w:bCs/>
          <w:noProof/>
          <w:sz w:val="24"/>
          <w:szCs w:val="24"/>
        </w:rPr>
        <w:t>форм и методов мебюджетного регулирования для обеспечения сбалансированности бюджетов субъектов Российской Федерации</w:t>
      </w:r>
      <w:r w:rsidRPr="004C30F0">
        <w:rPr>
          <w:bCs/>
          <w:sz w:val="24"/>
          <w:szCs w:val="24"/>
        </w:rPr>
        <w:t>,</w:t>
      </w:r>
      <w:r w:rsidRPr="00753A80">
        <w:rPr>
          <w:sz w:val="24"/>
          <w:szCs w:val="24"/>
        </w:rPr>
        <w:t xml:space="preserve"> необходимо отметить, что </w:t>
      </w:r>
      <w:r>
        <w:rPr>
          <w:sz w:val="24"/>
          <w:szCs w:val="24"/>
        </w:rPr>
        <w:t>у</w:t>
      </w:r>
      <w:r w:rsidRPr="00753A80">
        <w:rPr>
          <w:sz w:val="24"/>
          <w:szCs w:val="24"/>
        </w:rPr>
        <w:t xml:space="preserve">меньшение поступающих в бюджеты субъектов Российской Федерации объемов средств из федерального бюджета может создать </w:t>
      </w:r>
      <w:r>
        <w:rPr>
          <w:sz w:val="24"/>
          <w:szCs w:val="24"/>
        </w:rPr>
        <w:t xml:space="preserve">определенные </w:t>
      </w:r>
      <w:r w:rsidRPr="00753A80">
        <w:rPr>
          <w:sz w:val="24"/>
          <w:szCs w:val="24"/>
        </w:rPr>
        <w:t xml:space="preserve">трудности в дальнейшем развитии социальной и транспортной инфраструктуры в регионах, а том числе финансируемой в рамках национальных проектов, </w:t>
      </w:r>
      <w:r>
        <w:rPr>
          <w:sz w:val="24"/>
          <w:szCs w:val="24"/>
        </w:rPr>
        <w:t xml:space="preserve">а также </w:t>
      </w:r>
      <w:r w:rsidRPr="00753A80">
        <w:rPr>
          <w:sz w:val="24"/>
          <w:szCs w:val="24"/>
        </w:rPr>
        <w:t>в оказании финансовой поддержки приоритетным для региона отраслевым организациям в условиях сложной геополитической обстановки и внешнего санкционного давления.</w:t>
      </w:r>
      <w:r>
        <w:rPr>
          <w:sz w:val="24"/>
          <w:szCs w:val="24"/>
        </w:rPr>
        <w:t xml:space="preserve"> </w:t>
      </w:r>
      <w:r w:rsidRPr="00753A80">
        <w:rPr>
          <w:sz w:val="24"/>
          <w:szCs w:val="24"/>
        </w:rPr>
        <w:t xml:space="preserve">Отсутствие роста субсидий на программы, связанные с разработкой новых технологий, </w:t>
      </w:r>
      <w:r>
        <w:rPr>
          <w:sz w:val="24"/>
          <w:szCs w:val="24"/>
        </w:rPr>
        <w:t xml:space="preserve">развитием </w:t>
      </w:r>
      <w:r w:rsidRPr="00753A80">
        <w:rPr>
          <w:sz w:val="24"/>
          <w:szCs w:val="24"/>
        </w:rPr>
        <w:t>образовани</w:t>
      </w:r>
      <w:r>
        <w:rPr>
          <w:sz w:val="24"/>
          <w:szCs w:val="24"/>
        </w:rPr>
        <w:t>я и</w:t>
      </w:r>
      <w:r w:rsidRPr="00753A80">
        <w:rPr>
          <w:sz w:val="24"/>
          <w:szCs w:val="24"/>
        </w:rPr>
        <w:t xml:space="preserve"> промышленности формируют риски консервации текущего уровня развития </w:t>
      </w:r>
      <w:r>
        <w:rPr>
          <w:sz w:val="24"/>
          <w:szCs w:val="24"/>
        </w:rPr>
        <w:t xml:space="preserve">российской </w:t>
      </w:r>
      <w:r w:rsidRPr="00753A80">
        <w:rPr>
          <w:sz w:val="24"/>
          <w:szCs w:val="24"/>
        </w:rPr>
        <w:t xml:space="preserve">экономики и её </w:t>
      </w:r>
      <w:r>
        <w:rPr>
          <w:sz w:val="24"/>
          <w:szCs w:val="24"/>
        </w:rPr>
        <w:t>стагнации</w:t>
      </w:r>
      <w:r w:rsidRPr="00753A80">
        <w:rPr>
          <w:sz w:val="24"/>
          <w:szCs w:val="24"/>
        </w:rPr>
        <w:t xml:space="preserve"> в долгосрочной перспективе. Положительным трендом является рост финансирования программ на возмещение затрат по созданию, модернизации и (или) реконструкции объектов инфраструктуры индустриальных парков или промышленных технопарков; </w:t>
      </w:r>
      <w:r w:rsidRPr="00753A80">
        <w:rPr>
          <w:color w:val="000000"/>
          <w:sz w:val="24"/>
          <w:szCs w:val="24"/>
        </w:rPr>
        <w:t>на поддержку субъектов Российской Федерации для создания инженерной и транспортной инфраструктуры в целях развития туристских кластеров</w:t>
      </w:r>
      <w:r w:rsidRPr="00753A80">
        <w:rPr>
          <w:sz w:val="24"/>
          <w:szCs w:val="24"/>
        </w:rPr>
        <w:t>.</w:t>
      </w:r>
    </w:p>
    <w:p w14:paraId="35ADAD22" w14:textId="77777777" w:rsidR="008553E6" w:rsidRDefault="008553E6" w:rsidP="00B02092">
      <w:pPr>
        <w:shd w:val="clear" w:color="auto" w:fill="FFFFFF"/>
        <w:spacing w:line="360" w:lineRule="auto"/>
        <w:ind w:firstLine="708"/>
        <w:contextualSpacing/>
        <w:jc w:val="both"/>
        <w:textAlignment w:val="baseline"/>
        <w:rPr>
          <w:b/>
          <w:bCs/>
          <w:i/>
          <w:iCs/>
          <w:sz w:val="24"/>
          <w:szCs w:val="24"/>
        </w:rPr>
      </w:pPr>
    </w:p>
    <w:p w14:paraId="080311DC" w14:textId="77777777" w:rsidR="008553E6" w:rsidRDefault="008553E6" w:rsidP="00B02092">
      <w:pPr>
        <w:shd w:val="clear" w:color="auto" w:fill="FFFFFF"/>
        <w:spacing w:line="360" w:lineRule="auto"/>
        <w:ind w:firstLine="708"/>
        <w:contextualSpacing/>
        <w:jc w:val="both"/>
        <w:textAlignment w:val="baseline"/>
        <w:rPr>
          <w:b/>
          <w:bCs/>
          <w:i/>
          <w:iCs/>
          <w:sz w:val="24"/>
          <w:szCs w:val="24"/>
        </w:rPr>
      </w:pPr>
    </w:p>
    <w:p w14:paraId="2069B1F4" w14:textId="62D7B336" w:rsidR="002C308F" w:rsidRPr="002C308F" w:rsidRDefault="002C308F" w:rsidP="00B02092">
      <w:pPr>
        <w:shd w:val="clear" w:color="auto" w:fill="FFFFFF"/>
        <w:spacing w:line="360" w:lineRule="auto"/>
        <w:ind w:firstLine="708"/>
        <w:contextualSpacing/>
        <w:jc w:val="both"/>
        <w:textAlignment w:val="baseline"/>
        <w:rPr>
          <w:b/>
          <w:bCs/>
          <w:i/>
          <w:iCs/>
          <w:sz w:val="24"/>
          <w:szCs w:val="24"/>
        </w:rPr>
      </w:pPr>
      <w:r w:rsidRPr="002C308F">
        <w:rPr>
          <w:b/>
          <w:bCs/>
          <w:i/>
          <w:iCs/>
          <w:sz w:val="24"/>
          <w:szCs w:val="24"/>
        </w:rPr>
        <w:lastRenderedPageBreak/>
        <w:t>Вывод</w:t>
      </w:r>
    </w:p>
    <w:p w14:paraId="0B9809DE" w14:textId="77777777" w:rsidR="006222E1" w:rsidRDefault="0033701D" w:rsidP="0033701D">
      <w:pPr>
        <w:shd w:val="clear" w:color="auto" w:fill="FFFFFF"/>
        <w:spacing w:line="360" w:lineRule="auto"/>
        <w:ind w:firstLine="708"/>
        <w:contextualSpacing/>
        <w:jc w:val="both"/>
        <w:textAlignment w:val="baseline"/>
        <w:rPr>
          <w:sz w:val="24"/>
          <w:szCs w:val="24"/>
        </w:rPr>
      </w:pPr>
      <w:r w:rsidRPr="00387A7B">
        <w:rPr>
          <w:sz w:val="24"/>
          <w:szCs w:val="24"/>
        </w:rPr>
        <w:t xml:space="preserve">Проведенный анализ </w:t>
      </w:r>
      <w:r>
        <w:rPr>
          <w:sz w:val="24"/>
          <w:szCs w:val="24"/>
        </w:rPr>
        <w:t xml:space="preserve">законопроекта </w:t>
      </w:r>
      <w:r w:rsidRPr="00387A7B">
        <w:rPr>
          <w:sz w:val="24"/>
          <w:szCs w:val="24"/>
        </w:rPr>
        <w:t>федерального бюджета России на 2023</w:t>
      </w:r>
      <w:r>
        <w:rPr>
          <w:sz w:val="24"/>
          <w:szCs w:val="24"/>
        </w:rPr>
        <w:t xml:space="preserve"> год и плановый период 2024 и </w:t>
      </w:r>
      <w:r w:rsidRPr="00387A7B">
        <w:rPr>
          <w:sz w:val="24"/>
          <w:szCs w:val="24"/>
        </w:rPr>
        <w:t>2025</w:t>
      </w:r>
      <w:r>
        <w:rPr>
          <w:sz w:val="24"/>
          <w:szCs w:val="24"/>
        </w:rPr>
        <w:t xml:space="preserve"> </w:t>
      </w:r>
      <w:r w:rsidRPr="00387A7B">
        <w:rPr>
          <w:sz w:val="24"/>
          <w:szCs w:val="24"/>
        </w:rPr>
        <w:t>год</w:t>
      </w:r>
      <w:r>
        <w:rPr>
          <w:sz w:val="24"/>
          <w:szCs w:val="24"/>
        </w:rPr>
        <w:t>ов</w:t>
      </w:r>
      <w:r w:rsidRPr="00387A7B">
        <w:rPr>
          <w:sz w:val="24"/>
          <w:szCs w:val="24"/>
        </w:rPr>
        <w:t xml:space="preserve"> </w:t>
      </w:r>
      <w:r>
        <w:rPr>
          <w:sz w:val="24"/>
          <w:szCs w:val="24"/>
        </w:rPr>
        <w:t xml:space="preserve">и его параметров </w:t>
      </w:r>
      <w:r w:rsidRPr="00387A7B">
        <w:rPr>
          <w:sz w:val="24"/>
          <w:szCs w:val="24"/>
        </w:rPr>
        <w:t>позволяет сделать выводы</w:t>
      </w:r>
      <w:r>
        <w:rPr>
          <w:sz w:val="24"/>
          <w:szCs w:val="24"/>
        </w:rPr>
        <w:t xml:space="preserve"> </w:t>
      </w:r>
      <w:r w:rsidR="00FF303A">
        <w:rPr>
          <w:sz w:val="24"/>
          <w:szCs w:val="24"/>
        </w:rPr>
        <w:t>его</w:t>
      </w:r>
      <w:r w:rsidR="00FF303A" w:rsidRPr="00387A7B">
        <w:rPr>
          <w:sz w:val="24"/>
          <w:szCs w:val="24"/>
        </w:rPr>
        <w:t xml:space="preserve"> соответстви</w:t>
      </w:r>
      <w:r>
        <w:rPr>
          <w:sz w:val="24"/>
          <w:szCs w:val="24"/>
        </w:rPr>
        <w:t>и</w:t>
      </w:r>
      <w:r w:rsidR="00FF303A" w:rsidRPr="00387A7B">
        <w:rPr>
          <w:sz w:val="24"/>
          <w:szCs w:val="24"/>
        </w:rPr>
        <w:t xml:space="preserve"> </w:t>
      </w:r>
      <w:r w:rsidR="00FF303A">
        <w:rPr>
          <w:sz w:val="24"/>
          <w:szCs w:val="24"/>
        </w:rPr>
        <w:t xml:space="preserve">как </w:t>
      </w:r>
      <w:r w:rsidR="00FF303A" w:rsidRPr="00387A7B">
        <w:rPr>
          <w:sz w:val="24"/>
          <w:szCs w:val="24"/>
        </w:rPr>
        <w:t xml:space="preserve">требованиям бюджетного законодательства Российской Федерации, так и задачам адаптации российской экономики к новым санкционным условиям развития. </w:t>
      </w:r>
      <w:r>
        <w:rPr>
          <w:sz w:val="24"/>
          <w:szCs w:val="24"/>
        </w:rPr>
        <w:t xml:space="preserve">Оценка предусмотренных мер налоговой и долговой политики свидетельствует </w:t>
      </w:r>
      <w:r w:rsidR="00FF303A" w:rsidRPr="00387A7B">
        <w:rPr>
          <w:sz w:val="24"/>
          <w:szCs w:val="24"/>
        </w:rPr>
        <w:t xml:space="preserve">о наличии у Правительства РФ ресурсных </w:t>
      </w:r>
      <w:r w:rsidR="00FF303A" w:rsidRPr="00387A7B">
        <w:rPr>
          <w:bCs/>
          <w:sz w:val="24"/>
          <w:szCs w:val="24"/>
        </w:rPr>
        <w:t xml:space="preserve">возможностей по реализации не только </w:t>
      </w:r>
      <w:r>
        <w:rPr>
          <w:bCs/>
          <w:sz w:val="24"/>
          <w:szCs w:val="24"/>
        </w:rPr>
        <w:t>стабилизационной</w:t>
      </w:r>
      <w:r w:rsidR="00FF303A" w:rsidRPr="00387A7B">
        <w:rPr>
          <w:bCs/>
          <w:sz w:val="24"/>
          <w:szCs w:val="24"/>
        </w:rPr>
        <w:t>, но точечной стимулирующей бюджетной политики в течение всего бюджетного цикла</w:t>
      </w:r>
      <w:r>
        <w:rPr>
          <w:bCs/>
          <w:sz w:val="24"/>
          <w:szCs w:val="24"/>
        </w:rPr>
        <w:t xml:space="preserve"> 2023–2025 годов</w:t>
      </w:r>
      <w:r w:rsidR="00FF303A" w:rsidRPr="00387A7B">
        <w:rPr>
          <w:bCs/>
          <w:sz w:val="24"/>
          <w:szCs w:val="24"/>
        </w:rPr>
        <w:t xml:space="preserve">. Предусмотренные в составе расходной части </w:t>
      </w:r>
      <w:r>
        <w:rPr>
          <w:bCs/>
          <w:sz w:val="24"/>
          <w:szCs w:val="24"/>
        </w:rPr>
        <w:t xml:space="preserve">федерального бюджета </w:t>
      </w:r>
      <w:r w:rsidR="00FF303A" w:rsidRPr="00387A7B">
        <w:rPr>
          <w:bCs/>
          <w:sz w:val="24"/>
          <w:szCs w:val="24"/>
        </w:rPr>
        <w:t xml:space="preserve">меры </w:t>
      </w:r>
      <w:r w:rsidR="00FF303A" w:rsidRPr="00387A7B">
        <w:rPr>
          <w:sz w:val="24"/>
          <w:szCs w:val="24"/>
        </w:rPr>
        <w:t>в первую очередь ориентированы на поддержку наиболее уязвимых групп российских граждан, а также стимулирование приоритетных отраслей экономики</w:t>
      </w:r>
      <w:r>
        <w:rPr>
          <w:sz w:val="24"/>
          <w:szCs w:val="24"/>
        </w:rPr>
        <w:t xml:space="preserve">, что </w:t>
      </w:r>
      <w:r w:rsidR="006222E1">
        <w:rPr>
          <w:sz w:val="24"/>
          <w:szCs w:val="24"/>
        </w:rPr>
        <w:t>позволит стабилизировать внутреннюю макросреду и обеспечить дальнейшее экономическое развитие и рост</w:t>
      </w:r>
      <w:r w:rsidR="00FF303A" w:rsidRPr="00387A7B">
        <w:rPr>
          <w:sz w:val="24"/>
          <w:szCs w:val="24"/>
        </w:rPr>
        <w:t xml:space="preserve">. </w:t>
      </w:r>
    </w:p>
    <w:p w14:paraId="7181A037" w14:textId="0B244599" w:rsidR="00FF303A" w:rsidRPr="0033701D" w:rsidRDefault="006222E1" w:rsidP="0033701D">
      <w:pPr>
        <w:shd w:val="clear" w:color="auto" w:fill="FFFFFF"/>
        <w:spacing w:line="360" w:lineRule="auto"/>
        <w:ind w:firstLine="708"/>
        <w:contextualSpacing/>
        <w:jc w:val="both"/>
        <w:textAlignment w:val="baseline"/>
        <w:rPr>
          <w:bCs/>
          <w:sz w:val="24"/>
          <w:szCs w:val="24"/>
        </w:rPr>
      </w:pPr>
      <w:r>
        <w:rPr>
          <w:sz w:val="24"/>
          <w:szCs w:val="24"/>
        </w:rPr>
        <w:t xml:space="preserve">В этой связи </w:t>
      </w:r>
      <w:r w:rsidRPr="009E6A9E">
        <w:rPr>
          <w:sz w:val="24"/>
          <w:szCs w:val="24"/>
        </w:rPr>
        <w:t>временн</w:t>
      </w:r>
      <w:r>
        <w:rPr>
          <w:sz w:val="24"/>
          <w:szCs w:val="24"/>
        </w:rPr>
        <w:t xml:space="preserve">ую приостановку и модификацию </w:t>
      </w:r>
      <w:r w:rsidRPr="009E6A9E">
        <w:rPr>
          <w:sz w:val="24"/>
          <w:szCs w:val="24"/>
        </w:rPr>
        <w:t xml:space="preserve">действующих </w:t>
      </w:r>
      <w:r>
        <w:rPr>
          <w:sz w:val="24"/>
          <w:szCs w:val="24"/>
        </w:rPr>
        <w:t>«</w:t>
      </w:r>
      <w:r w:rsidRPr="009E6A9E">
        <w:rPr>
          <w:sz w:val="24"/>
          <w:szCs w:val="24"/>
        </w:rPr>
        <w:t>бюджетн</w:t>
      </w:r>
      <w:r>
        <w:rPr>
          <w:sz w:val="24"/>
          <w:szCs w:val="24"/>
        </w:rPr>
        <w:t>ых</w:t>
      </w:r>
      <w:r w:rsidRPr="009E6A9E">
        <w:rPr>
          <w:sz w:val="24"/>
          <w:szCs w:val="24"/>
        </w:rPr>
        <w:t xml:space="preserve"> правил</w:t>
      </w:r>
      <w:r>
        <w:rPr>
          <w:sz w:val="24"/>
          <w:szCs w:val="24"/>
        </w:rPr>
        <w:t>»</w:t>
      </w:r>
      <w:r w:rsidRPr="009E6A9E">
        <w:rPr>
          <w:sz w:val="24"/>
          <w:szCs w:val="24"/>
        </w:rPr>
        <w:t xml:space="preserve"> </w:t>
      </w:r>
      <w:r>
        <w:rPr>
          <w:sz w:val="24"/>
          <w:szCs w:val="24"/>
        </w:rPr>
        <w:t xml:space="preserve">с целью смягчения в них </w:t>
      </w:r>
      <w:r w:rsidRPr="009E6A9E">
        <w:rPr>
          <w:sz w:val="24"/>
          <w:szCs w:val="24"/>
        </w:rPr>
        <w:t xml:space="preserve">ограничений для расходов федерального бюджета на период реализации </w:t>
      </w:r>
      <w:r>
        <w:rPr>
          <w:sz w:val="24"/>
          <w:szCs w:val="24"/>
        </w:rPr>
        <w:t>стабилизационных мер</w:t>
      </w:r>
      <w:r w:rsidRPr="009E6A9E">
        <w:rPr>
          <w:sz w:val="24"/>
          <w:szCs w:val="24"/>
        </w:rPr>
        <w:t xml:space="preserve"> </w:t>
      </w:r>
      <w:r>
        <w:rPr>
          <w:sz w:val="24"/>
          <w:szCs w:val="24"/>
        </w:rPr>
        <w:t xml:space="preserve">считаем оправданной и необходимой мерой.  </w:t>
      </w:r>
      <w:r w:rsidR="0033701D">
        <w:rPr>
          <w:sz w:val="24"/>
          <w:szCs w:val="24"/>
        </w:rPr>
        <w:t xml:space="preserve">Полагаем, что в период </w:t>
      </w:r>
      <w:r w:rsidR="00212121" w:rsidRPr="00212121">
        <w:rPr>
          <w:sz w:val="24"/>
          <w:szCs w:val="24"/>
        </w:rPr>
        <w:t xml:space="preserve">2023–2024 </w:t>
      </w:r>
      <w:r w:rsidR="00D7749D">
        <w:rPr>
          <w:sz w:val="24"/>
          <w:szCs w:val="24"/>
        </w:rPr>
        <w:t xml:space="preserve">годов </w:t>
      </w:r>
      <w:r w:rsidR="0033701D">
        <w:rPr>
          <w:sz w:val="24"/>
          <w:szCs w:val="24"/>
        </w:rPr>
        <w:t>дополнительное финансирование расходов федерального бюджета</w:t>
      </w:r>
      <w:r>
        <w:rPr>
          <w:sz w:val="24"/>
          <w:szCs w:val="24"/>
        </w:rPr>
        <w:t xml:space="preserve"> значительно смягчит негативное воздействие санкционного давления на российскую экономику </w:t>
      </w:r>
      <w:r w:rsidRPr="00212121">
        <w:rPr>
          <w:sz w:val="24"/>
          <w:szCs w:val="24"/>
        </w:rPr>
        <w:t xml:space="preserve">и </w:t>
      </w:r>
      <w:r w:rsidR="000B4138" w:rsidRPr="00212121">
        <w:rPr>
          <w:sz w:val="24"/>
          <w:szCs w:val="24"/>
        </w:rPr>
        <w:t xml:space="preserve">сформирует базис </w:t>
      </w:r>
      <w:r w:rsidRPr="00212121">
        <w:rPr>
          <w:sz w:val="24"/>
          <w:szCs w:val="24"/>
        </w:rPr>
        <w:t>для ее структурной перестройки</w:t>
      </w:r>
      <w:r w:rsidR="000B4138" w:rsidRPr="00212121">
        <w:rPr>
          <w:sz w:val="24"/>
          <w:szCs w:val="24"/>
        </w:rPr>
        <w:t xml:space="preserve"> и вывода на устойчивую траекторию роста к 2025 году</w:t>
      </w:r>
      <w:r w:rsidR="0033701D" w:rsidRPr="00212121">
        <w:rPr>
          <w:sz w:val="24"/>
          <w:szCs w:val="24"/>
        </w:rPr>
        <w:t>.</w:t>
      </w:r>
      <w:r w:rsidR="0033701D" w:rsidRPr="009E6A9E">
        <w:rPr>
          <w:sz w:val="24"/>
          <w:szCs w:val="24"/>
        </w:rPr>
        <w:t xml:space="preserve"> </w:t>
      </w:r>
      <w:r w:rsidR="004E64FC">
        <w:rPr>
          <w:sz w:val="24"/>
          <w:szCs w:val="24"/>
        </w:rPr>
        <w:t xml:space="preserve">Это обусловит рост </w:t>
      </w:r>
      <w:r w:rsidR="004E64FC" w:rsidRPr="00387A7B">
        <w:rPr>
          <w:sz w:val="24"/>
          <w:szCs w:val="24"/>
        </w:rPr>
        <w:t>дефицита</w:t>
      </w:r>
      <w:r w:rsidR="004E64FC">
        <w:rPr>
          <w:sz w:val="24"/>
          <w:szCs w:val="24"/>
        </w:rPr>
        <w:t xml:space="preserve"> федерального </w:t>
      </w:r>
      <w:r w:rsidR="000B4138">
        <w:rPr>
          <w:sz w:val="24"/>
          <w:szCs w:val="24"/>
        </w:rPr>
        <w:t xml:space="preserve">бюджета </w:t>
      </w:r>
      <w:r w:rsidRPr="00387A7B">
        <w:rPr>
          <w:sz w:val="24"/>
          <w:szCs w:val="24"/>
        </w:rPr>
        <w:t xml:space="preserve">течение </w:t>
      </w:r>
      <w:r w:rsidR="004E64FC">
        <w:rPr>
          <w:sz w:val="24"/>
          <w:szCs w:val="24"/>
        </w:rPr>
        <w:t>первых двух лет прогнозного бюджетного цикла</w:t>
      </w:r>
      <w:r w:rsidRPr="00387A7B">
        <w:rPr>
          <w:sz w:val="24"/>
          <w:szCs w:val="24"/>
        </w:rPr>
        <w:t>, финансирование котор</w:t>
      </w:r>
      <w:r w:rsidR="004E64FC">
        <w:rPr>
          <w:sz w:val="24"/>
          <w:szCs w:val="24"/>
        </w:rPr>
        <w:t>ого</w:t>
      </w:r>
      <w:r w:rsidRPr="00387A7B">
        <w:rPr>
          <w:sz w:val="24"/>
          <w:szCs w:val="24"/>
        </w:rPr>
        <w:t xml:space="preserve"> предусмотрено за счет использования накопленных резервов и </w:t>
      </w:r>
      <w:r>
        <w:rPr>
          <w:sz w:val="24"/>
          <w:szCs w:val="24"/>
        </w:rPr>
        <w:t>умеренного увеличения</w:t>
      </w:r>
      <w:r w:rsidRPr="00387A7B">
        <w:rPr>
          <w:sz w:val="24"/>
          <w:szCs w:val="24"/>
        </w:rPr>
        <w:t xml:space="preserve"> объемов государственных займов.</w:t>
      </w:r>
      <w:r>
        <w:rPr>
          <w:sz w:val="24"/>
          <w:szCs w:val="24"/>
        </w:rPr>
        <w:t xml:space="preserve"> </w:t>
      </w:r>
      <w:r w:rsidR="004E64FC">
        <w:rPr>
          <w:sz w:val="24"/>
          <w:szCs w:val="24"/>
        </w:rPr>
        <w:t>О</w:t>
      </w:r>
      <w:r w:rsidR="0033701D" w:rsidRPr="009E6A9E">
        <w:rPr>
          <w:sz w:val="24"/>
          <w:szCs w:val="24"/>
        </w:rPr>
        <w:t xml:space="preserve">братной стороной этого решения может явиться </w:t>
      </w:r>
      <w:r w:rsidR="004E64FC">
        <w:rPr>
          <w:sz w:val="24"/>
          <w:szCs w:val="24"/>
        </w:rPr>
        <w:t xml:space="preserve">возможное исчерпание Фонда национального благосостояния и дальнейший </w:t>
      </w:r>
      <w:r w:rsidR="0033701D" w:rsidRPr="009E6A9E">
        <w:rPr>
          <w:sz w:val="24"/>
          <w:szCs w:val="24"/>
        </w:rPr>
        <w:t>переход к жесткой консолидации бюджетных расходов</w:t>
      </w:r>
      <w:r w:rsidR="00212121">
        <w:rPr>
          <w:sz w:val="24"/>
          <w:szCs w:val="24"/>
        </w:rPr>
        <w:t>.</w:t>
      </w:r>
      <w:r w:rsidR="000B4138">
        <w:rPr>
          <w:sz w:val="24"/>
          <w:szCs w:val="24"/>
        </w:rPr>
        <w:t xml:space="preserve"> В этой связи необходимо</w:t>
      </w:r>
      <w:r w:rsidR="00212121">
        <w:rPr>
          <w:sz w:val="24"/>
          <w:szCs w:val="24"/>
        </w:rPr>
        <w:t xml:space="preserve"> </w:t>
      </w:r>
      <w:r w:rsidR="000B4138">
        <w:rPr>
          <w:sz w:val="24"/>
          <w:szCs w:val="24"/>
        </w:rPr>
        <w:t xml:space="preserve">осуществление мониторинга </w:t>
      </w:r>
      <w:r w:rsidR="004E64FC">
        <w:rPr>
          <w:sz w:val="24"/>
          <w:szCs w:val="24"/>
        </w:rPr>
        <w:t xml:space="preserve">параметров расходов федерального бюджета, </w:t>
      </w:r>
      <w:r w:rsidR="00B10C8E">
        <w:rPr>
          <w:sz w:val="24"/>
          <w:szCs w:val="24"/>
        </w:rPr>
        <w:t xml:space="preserve">контроля показателей </w:t>
      </w:r>
      <w:r w:rsidR="004E64FC">
        <w:rPr>
          <w:sz w:val="24"/>
          <w:szCs w:val="24"/>
        </w:rPr>
        <w:t>сбалансированности и долговой устойчивости</w:t>
      </w:r>
      <w:r w:rsidR="00212121">
        <w:rPr>
          <w:sz w:val="24"/>
          <w:szCs w:val="24"/>
        </w:rPr>
        <w:t xml:space="preserve"> </w:t>
      </w:r>
      <w:r w:rsidR="004E64FC" w:rsidRPr="00212121">
        <w:rPr>
          <w:sz w:val="24"/>
          <w:szCs w:val="24"/>
        </w:rPr>
        <w:t>Российской Федерации</w:t>
      </w:r>
      <w:r w:rsidR="004E64FC">
        <w:rPr>
          <w:sz w:val="24"/>
          <w:szCs w:val="24"/>
        </w:rPr>
        <w:t xml:space="preserve">, а также тщательной оценки результативности расходования бюджетных средств по приоритетным направлениям национального развития.  </w:t>
      </w:r>
    </w:p>
    <w:p w14:paraId="3A5038E9" w14:textId="3230A4C2" w:rsidR="00C2774E" w:rsidRDefault="000B4138" w:rsidP="00FF303A">
      <w:pPr>
        <w:shd w:val="clear" w:color="auto" w:fill="FFFFFF"/>
        <w:spacing w:line="360" w:lineRule="auto"/>
        <w:ind w:firstLine="708"/>
        <w:contextualSpacing/>
        <w:jc w:val="both"/>
        <w:textAlignment w:val="baseline"/>
        <w:rPr>
          <w:sz w:val="24"/>
          <w:szCs w:val="24"/>
        </w:rPr>
      </w:pPr>
      <w:r w:rsidRPr="00212121">
        <w:rPr>
          <w:sz w:val="24"/>
          <w:szCs w:val="24"/>
        </w:rPr>
        <w:t>Следует выделить п</w:t>
      </w:r>
      <w:r w:rsidR="00FF303A" w:rsidRPr="00212121">
        <w:rPr>
          <w:sz w:val="24"/>
          <w:szCs w:val="24"/>
        </w:rPr>
        <w:t>родолжающиеся</w:t>
      </w:r>
      <w:r w:rsidR="00FF303A">
        <w:rPr>
          <w:sz w:val="24"/>
          <w:szCs w:val="24"/>
        </w:rPr>
        <w:t xml:space="preserve"> </w:t>
      </w:r>
      <w:r w:rsidR="00FF303A" w:rsidRPr="00790FC7">
        <w:rPr>
          <w:sz w:val="24"/>
          <w:szCs w:val="24"/>
        </w:rPr>
        <w:t>положительны</w:t>
      </w:r>
      <w:r w:rsidR="00FF303A">
        <w:rPr>
          <w:sz w:val="24"/>
          <w:szCs w:val="24"/>
        </w:rPr>
        <w:t>е</w:t>
      </w:r>
      <w:r w:rsidR="00FF303A" w:rsidRPr="00790FC7">
        <w:rPr>
          <w:sz w:val="24"/>
          <w:szCs w:val="24"/>
        </w:rPr>
        <w:t xml:space="preserve"> изменения </w:t>
      </w:r>
      <w:r w:rsidR="00C2774E">
        <w:rPr>
          <w:sz w:val="24"/>
          <w:szCs w:val="24"/>
        </w:rPr>
        <w:t>в структур</w:t>
      </w:r>
      <w:r w:rsidR="00212121">
        <w:rPr>
          <w:sz w:val="24"/>
          <w:szCs w:val="24"/>
        </w:rPr>
        <w:t>е</w:t>
      </w:r>
      <w:r w:rsidR="00FF303A" w:rsidRPr="00790FC7">
        <w:rPr>
          <w:sz w:val="24"/>
          <w:szCs w:val="24"/>
        </w:rPr>
        <w:t xml:space="preserve"> </w:t>
      </w:r>
      <w:r w:rsidR="00C2774E">
        <w:rPr>
          <w:sz w:val="24"/>
          <w:szCs w:val="24"/>
        </w:rPr>
        <w:t>и инструмент</w:t>
      </w:r>
      <w:r w:rsidR="00212121">
        <w:rPr>
          <w:sz w:val="24"/>
          <w:szCs w:val="24"/>
        </w:rPr>
        <w:t>ах</w:t>
      </w:r>
      <w:r w:rsidR="00C2774E">
        <w:rPr>
          <w:sz w:val="24"/>
          <w:szCs w:val="24"/>
        </w:rPr>
        <w:t xml:space="preserve"> федерального бюджета </w:t>
      </w:r>
      <w:r w:rsidR="00C2774E" w:rsidRPr="00790FC7">
        <w:rPr>
          <w:sz w:val="24"/>
          <w:szCs w:val="24"/>
        </w:rPr>
        <w:t xml:space="preserve">в части </w:t>
      </w:r>
      <w:proofErr w:type="spellStart"/>
      <w:r w:rsidR="004E64FC">
        <w:rPr>
          <w:sz w:val="24"/>
          <w:szCs w:val="24"/>
        </w:rPr>
        <w:t>приоритизации</w:t>
      </w:r>
      <w:proofErr w:type="spellEnd"/>
      <w:r w:rsidR="004E64FC">
        <w:rPr>
          <w:sz w:val="24"/>
          <w:szCs w:val="24"/>
        </w:rPr>
        <w:t xml:space="preserve"> его расходов на финансирование </w:t>
      </w:r>
      <w:r w:rsidR="00FF303A" w:rsidRPr="00790FC7">
        <w:rPr>
          <w:sz w:val="24"/>
          <w:szCs w:val="24"/>
        </w:rPr>
        <w:t xml:space="preserve">стратегически </w:t>
      </w:r>
      <w:r w:rsidR="004E64FC">
        <w:rPr>
          <w:sz w:val="24"/>
          <w:szCs w:val="24"/>
        </w:rPr>
        <w:t xml:space="preserve">значимых </w:t>
      </w:r>
      <w:r w:rsidR="00FF303A" w:rsidRPr="00790FC7">
        <w:rPr>
          <w:sz w:val="24"/>
          <w:szCs w:val="24"/>
        </w:rPr>
        <w:t xml:space="preserve">для российской экономики </w:t>
      </w:r>
      <w:r w:rsidR="00FF303A">
        <w:rPr>
          <w:sz w:val="24"/>
          <w:szCs w:val="24"/>
        </w:rPr>
        <w:t xml:space="preserve">и населения </w:t>
      </w:r>
      <w:r w:rsidR="00B10C8E">
        <w:rPr>
          <w:sz w:val="24"/>
          <w:szCs w:val="24"/>
        </w:rPr>
        <w:t>сфер</w:t>
      </w:r>
      <w:r w:rsidR="00FF303A">
        <w:rPr>
          <w:sz w:val="24"/>
          <w:szCs w:val="24"/>
        </w:rPr>
        <w:t>, повышени</w:t>
      </w:r>
      <w:r w:rsidR="00C2774E">
        <w:rPr>
          <w:sz w:val="24"/>
          <w:szCs w:val="24"/>
        </w:rPr>
        <w:t>я</w:t>
      </w:r>
      <w:r w:rsidR="00FF303A">
        <w:rPr>
          <w:sz w:val="24"/>
          <w:szCs w:val="24"/>
        </w:rPr>
        <w:t xml:space="preserve"> прозрачности и эффективности </w:t>
      </w:r>
      <w:r w:rsidR="00B10C8E">
        <w:rPr>
          <w:sz w:val="24"/>
          <w:szCs w:val="24"/>
        </w:rPr>
        <w:t xml:space="preserve">форм </w:t>
      </w:r>
      <w:r w:rsidR="00FF303A">
        <w:rPr>
          <w:sz w:val="24"/>
          <w:szCs w:val="24"/>
        </w:rPr>
        <w:t>финансовой поддержки субъектов Российской Федерации, использовани</w:t>
      </w:r>
      <w:r w:rsidR="00C2774E">
        <w:rPr>
          <w:sz w:val="24"/>
          <w:szCs w:val="24"/>
        </w:rPr>
        <w:t>я</w:t>
      </w:r>
      <w:r w:rsidR="00FF303A">
        <w:rPr>
          <w:sz w:val="24"/>
          <w:szCs w:val="24"/>
        </w:rPr>
        <w:t xml:space="preserve"> гибких подходов </w:t>
      </w:r>
      <w:r w:rsidR="00B10C8E">
        <w:rPr>
          <w:sz w:val="24"/>
          <w:szCs w:val="24"/>
        </w:rPr>
        <w:t xml:space="preserve">для обеспечения </w:t>
      </w:r>
      <w:r w:rsidR="00B10C8E">
        <w:rPr>
          <w:sz w:val="24"/>
          <w:szCs w:val="24"/>
        </w:rPr>
        <w:lastRenderedPageBreak/>
        <w:t xml:space="preserve">сбалансированности федерального бюджета в условиях расширения социальной помощи </w:t>
      </w:r>
      <w:r w:rsidR="00C2774E">
        <w:rPr>
          <w:sz w:val="24"/>
          <w:szCs w:val="24"/>
        </w:rPr>
        <w:t>наиболее уязвимы</w:t>
      </w:r>
      <w:r w:rsidR="00B10C8E">
        <w:rPr>
          <w:sz w:val="24"/>
          <w:szCs w:val="24"/>
        </w:rPr>
        <w:t>м</w:t>
      </w:r>
      <w:r w:rsidR="00C2774E">
        <w:rPr>
          <w:sz w:val="24"/>
          <w:szCs w:val="24"/>
        </w:rPr>
        <w:t xml:space="preserve"> групп</w:t>
      </w:r>
      <w:r w:rsidR="00B10C8E">
        <w:rPr>
          <w:sz w:val="24"/>
          <w:szCs w:val="24"/>
        </w:rPr>
        <w:t>ам</w:t>
      </w:r>
      <w:r w:rsidR="00C2774E">
        <w:rPr>
          <w:sz w:val="24"/>
          <w:szCs w:val="24"/>
        </w:rPr>
        <w:t xml:space="preserve"> населения</w:t>
      </w:r>
      <w:r w:rsidR="00212121">
        <w:rPr>
          <w:sz w:val="24"/>
          <w:szCs w:val="24"/>
        </w:rPr>
        <w:t>.</w:t>
      </w:r>
      <w:r w:rsidR="00FF303A" w:rsidRPr="00790FC7">
        <w:rPr>
          <w:sz w:val="24"/>
          <w:szCs w:val="24"/>
        </w:rPr>
        <w:t xml:space="preserve"> </w:t>
      </w:r>
    </w:p>
    <w:p w14:paraId="3FAFACD7" w14:textId="022020FD" w:rsidR="00B02092" w:rsidRPr="00387A7B" w:rsidRDefault="00FF303A" w:rsidP="00FF303A">
      <w:pPr>
        <w:shd w:val="clear" w:color="auto" w:fill="FFFFFF"/>
        <w:spacing w:line="360" w:lineRule="auto"/>
        <w:ind w:firstLine="708"/>
        <w:contextualSpacing/>
        <w:jc w:val="both"/>
        <w:textAlignment w:val="baseline"/>
        <w:rPr>
          <w:sz w:val="24"/>
          <w:szCs w:val="24"/>
        </w:rPr>
      </w:pPr>
      <w:r w:rsidRPr="00387A7B">
        <w:rPr>
          <w:sz w:val="24"/>
          <w:szCs w:val="24"/>
        </w:rPr>
        <w:t>Реализация стабилизационной бюджетной политики для обеспечения сбалансированного развития российской экономики с точечной активизацией стимулирующих механизмов, финансируемых за счет расширения государственных займов, использования накопленных резервов, безусловно, пойдет на пользу российским гражданам и</w:t>
      </w:r>
      <w:r w:rsidR="000B4138">
        <w:rPr>
          <w:sz w:val="24"/>
          <w:szCs w:val="24"/>
        </w:rPr>
        <w:t xml:space="preserve"> </w:t>
      </w:r>
      <w:r w:rsidR="00212121">
        <w:rPr>
          <w:sz w:val="24"/>
          <w:szCs w:val="24"/>
        </w:rPr>
        <w:t>бизнесу</w:t>
      </w:r>
      <w:r w:rsidR="000B4138" w:rsidRPr="00212121">
        <w:rPr>
          <w:sz w:val="24"/>
          <w:szCs w:val="24"/>
        </w:rPr>
        <w:t xml:space="preserve"> </w:t>
      </w:r>
      <w:r w:rsidRPr="00387A7B">
        <w:rPr>
          <w:sz w:val="24"/>
          <w:szCs w:val="24"/>
        </w:rPr>
        <w:t xml:space="preserve">и должна положительно отразиться на экономике </w:t>
      </w:r>
      <w:r w:rsidR="00B10C8E">
        <w:rPr>
          <w:sz w:val="24"/>
          <w:szCs w:val="24"/>
        </w:rPr>
        <w:t xml:space="preserve">России </w:t>
      </w:r>
      <w:r w:rsidRPr="00387A7B">
        <w:rPr>
          <w:sz w:val="24"/>
          <w:szCs w:val="24"/>
        </w:rPr>
        <w:t xml:space="preserve">в целом. </w:t>
      </w:r>
    </w:p>
    <w:p w14:paraId="0CDA0529" w14:textId="77777777" w:rsidR="00C52859" w:rsidRPr="00387A7B" w:rsidRDefault="00C52859" w:rsidP="00125C1C">
      <w:pPr>
        <w:autoSpaceDE w:val="0"/>
        <w:autoSpaceDN w:val="0"/>
        <w:adjustRightInd w:val="0"/>
        <w:spacing w:line="360" w:lineRule="exact"/>
        <w:ind w:firstLine="567"/>
        <w:contextualSpacing/>
        <w:jc w:val="both"/>
        <w:rPr>
          <w:sz w:val="24"/>
          <w:szCs w:val="24"/>
        </w:rPr>
      </w:pPr>
    </w:p>
    <w:p w14:paraId="39E76D11" w14:textId="2CB4166F" w:rsidR="00827043" w:rsidRDefault="00827043" w:rsidP="00125C1C">
      <w:pPr>
        <w:spacing w:line="360" w:lineRule="exact"/>
        <w:contextualSpacing/>
        <w:jc w:val="both"/>
        <w:rPr>
          <w:sz w:val="24"/>
          <w:szCs w:val="24"/>
        </w:rPr>
      </w:pPr>
    </w:p>
    <w:p w14:paraId="13CD60D7" w14:textId="5DE528B0" w:rsidR="00125C1C" w:rsidRPr="00387A7B" w:rsidRDefault="00125C1C" w:rsidP="00125C1C">
      <w:pPr>
        <w:spacing w:line="360" w:lineRule="exact"/>
        <w:contextualSpacing/>
        <w:jc w:val="both"/>
        <w:rPr>
          <w:sz w:val="24"/>
          <w:szCs w:val="24"/>
        </w:rPr>
      </w:pPr>
      <w:r>
        <w:rPr>
          <w:sz w:val="24"/>
          <w:szCs w:val="24"/>
        </w:rPr>
        <w:t xml:space="preserve">Проректор                                                                                                                      </w:t>
      </w:r>
      <w:proofErr w:type="spellStart"/>
      <w:r>
        <w:rPr>
          <w:sz w:val="24"/>
          <w:szCs w:val="24"/>
        </w:rPr>
        <w:t>К.В.Екимова</w:t>
      </w:r>
      <w:proofErr w:type="spellEnd"/>
    </w:p>
    <w:sectPr w:rsidR="00125C1C" w:rsidRPr="00387A7B" w:rsidSect="003C5D4B">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13FA0" w14:textId="77777777" w:rsidR="00BE6667" w:rsidRDefault="00BE6667" w:rsidP="005F442F">
      <w:r>
        <w:separator/>
      </w:r>
    </w:p>
  </w:endnote>
  <w:endnote w:type="continuationSeparator" w:id="0">
    <w:p w14:paraId="3BB72636" w14:textId="77777777" w:rsidR="00BE6667" w:rsidRDefault="00BE6667" w:rsidP="005F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7660" w14:textId="77777777" w:rsidR="00BE6667" w:rsidRDefault="00BE6667" w:rsidP="005F442F">
      <w:r>
        <w:separator/>
      </w:r>
    </w:p>
  </w:footnote>
  <w:footnote w:type="continuationSeparator" w:id="0">
    <w:p w14:paraId="3E8A8073" w14:textId="77777777" w:rsidR="00BE6667" w:rsidRDefault="00BE6667" w:rsidP="005F442F">
      <w:r>
        <w:continuationSeparator/>
      </w:r>
    </w:p>
  </w:footnote>
  <w:footnote w:id="1">
    <w:p w14:paraId="7B3D4A1E" w14:textId="2EC60947" w:rsidR="001733C9" w:rsidRPr="00B26F5F" w:rsidRDefault="001733C9" w:rsidP="00893030">
      <w:pPr>
        <w:spacing w:line="360" w:lineRule="auto"/>
        <w:contextualSpacing/>
        <w:jc w:val="both"/>
        <w:rPr>
          <w:sz w:val="20"/>
        </w:rPr>
      </w:pPr>
      <w:r w:rsidRPr="00B26F5F">
        <w:rPr>
          <w:rStyle w:val="af0"/>
          <w:sz w:val="20"/>
        </w:rPr>
        <w:footnoteRef/>
      </w:r>
      <w:r w:rsidRPr="00B26F5F">
        <w:rPr>
          <w:sz w:val="20"/>
        </w:rPr>
        <w:t xml:space="preserve"> </w:t>
      </w:r>
      <w:hyperlink r:id="rId1" w:history="1">
        <w:r w:rsidRPr="005042C8">
          <w:rPr>
            <w:rStyle w:val="ad"/>
            <w:sz w:val="20"/>
          </w:rPr>
          <w:t>https://sozd.duma.gov.ru/bill/201614-8</w:t>
        </w:r>
      </w:hyperlink>
      <w:r>
        <w:rPr>
          <w:sz w:val="20"/>
        </w:rPr>
        <w:t xml:space="preserve">  </w:t>
      </w:r>
    </w:p>
  </w:footnote>
  <w:footnote w:id="2">
    <w:p w14:paraId="7F8B6975" w14:textId="77777777" w:rsidR="001733C9" w:rsidRPr="00EF6B9A" w:rsidRDefault="001733C9" w:rsidP="00536F12">
      <w:pPr>
        <w:jc w:val="both"/>
      </w:pPr>
      <w:r w:rsidRPr="00B26F5F">
        <w:rPr>
          <w:rStyle w:val="af0"/>
          <w:sz w:val="20"/>
        </w:rPr>
        <w:footnoteRef/>
      </w:r>
      <w:r w:rsidRPr="00B26F5F">
        <w:rPr>
          <w:sz w:val="20"/>
        </w:rPr>
        <w:t xml:space="preserve"> Указ Президента РФ от 21 июля 2020 г. № 474 “О национальных целях развития Российской Федерации на период до 2030 года”</w:t>
      </w:r>
    </w:p>
  </w:footnote>
  <w:footnote w:id="3">
    <w:p w14:paraId="0BCBEF8F" w14:textId="77777777" w:rsidR="001733C9" w:rsidRPr="006C3726" w:rsidRDefault="001733C9" w:rsidP="004856EE">
      <w:pPr>
        <w:jc w:val="both"/>
        <w:rPr>
          <w:rFonts w:eastAsiaTheme="minorHAnsi"/>
          <w:sz w:val="20"/>
          <w:lang w:eastAsia="en-US"/>
        </w:rPr>
      </w:pPr>
      <w:r>
        <w:rPr>
          <w:rStyle w:val="af0"/>
        </w:rPr>
        <w:footnoteRef/>
      </w:r>
      <w:r>
        <w:t xml:space="preserve"> </w:t>
      </w:r>
      <w:r w:rsidRPr="006C3726">
        <w:rPr>
          <w:rFonts w:eastAsiaTheme="minorHAnsi"/>
          <w:sz w:val="20"/>
          <w:lang w:eastAsia="en-US"/>
        </w:rPr>
        <w:t>Закон №390</w:t>
      </w:r>
      <w:r>
        <w:rPr>
          <w:rFonts w:eastAsiaTheme="minorHAnsi"/>
          <w:sz w:val="20"/>
          <w:lang w:eastAsia="en-US"/>
        </w:rPr>
        <w:t>-</w:t>
      </w:r>
      <w:r w:rsidRPr="006C3726">
        <w:rPr>
          <w:rFonts w:eastAsiaTheme="minorHAnsi"/>
          <w:sz w:val="20"/>
          <w:lang w:eastAsia="en-US"/>
        </w:rPr>
        <w:t xml:space="preserve">ФЗ - Федеральный закон </w:t>
      </w:r>
      <w:r>
        <w:rPr>
          <w:rFonts w:eastAsiaTheme="minorHAnsi"/>
          <w:sz w:val="20"/>
          <w:lang w:eastAsia="en-US"/>
        </w:rPr>
        <w:t>«</w:t>
      </w:r>
      <w:r w:rsidRPr="006C3726">
        <w:rPr>
          <w:rFonts w:eastAsiaTheme="minorHAnsi"/>
          <w:sz w:val="20"/>
          <w:lang w:eastAsia="en-US"/>
        </w:rPr>
        <w:t>О федеральном бюджете на 2022 год и на плановый период 2023 и 2024 годов</w:t>
      </w:r>
      <w:r>
        <w:rPr>
          <w:rFonts w:eastAsiaTheme="minorHAnsi"/>
          <w:sz w:val="20"/>
          <w:lang w:eastAsia="en-US"/>
        </w:rPr>
        <w:t>»</w:t>
      </w:r>
      <w:r w:rsidRPr="006C3726">
        <w:rPr>
          <w:rFonts w:eastAsiaTheme="minorHAnsi"/>
          <w:sz w:val="20"/>
          <w:lang w:eastAsia="en-US"/>
        </w:rPr>
        <w:t xml:space="preserve"> от 06.12.2021 N 390-ФЗ</w:t>
      </w:r>
    </w:p>
    <w:p w14:paraId="29B1FDA5" w14:textId="77777777" w:rsidR="001733C9" w:rsidRDefault="001733C9" w:rsidP="004856EE">
      <w:pPr>
        <w:pStyle w:val="ae"/>
      </w:pPr>
    </w:p>
  </w:footnote>
  <w:footnote w:id="4">
    <w:p w14:paraId="11EC1A31" w14:textId="77777777" w:rsidR="00C02C32" w:rsidRPr="00635E67" w:rsidRDefault="00C02C32" w:rsidP="00C02C32">
      <w:pPr>
        <w:pStyle w:val="ae"/>
        <w:jc w:val="both"/>
      </w:pPr>
      <w:r>
        <w:rPr>
          <w:rStyle w:val="af0"/>
        </w:rPr>
        <w:footnoteRef/>
      </w:r>
      <w:r>
        <w:t xml:space="preserve"> </w:t>
      </w:r>
      <w:r w:rsidRPr="00635E67">
        <w:t>Бюджетный прогноз Российской Федерации на период до 2026 года - с. 47. Режим доступа: https://minfin.gov.ru/common/upload/library/2019/04/main/Budzhetnyy_prognoz_2036.pdf</w:t>
      </w:r>
    </w:p>
  </w:footnote>
  <w:footnote w:id="5">
    <w:p w14:paraId="29B57962" w14:textId="77777777" w:rsidR="00C02C32" w:rsidRPr="00635E67" w:rsidRDefault="00C02C32" w:rsidP="00C02C32">
      <w:pPr>
        <w:pStyle w:val="ae"/>
        <w:jc w:val="both"/>
      </w:pPr>
      <w:r w:rsidRPr="00635E67">
        <w:rPr>
          <w:rStyle w:val="af0"/>
        </w:rPr>
        <w:footnoteRef/>
      </w:r>
      <w:r w:rsidRPr="00635E67">
        <w:t xml:space="preserve"> Государственная программа Российской Федерации «Управление государственными финансами и регулирование финансовых рынков» - с. Режим доступа: https://minfin.gov.ru/ru/perfomance/budget/govprog/gosfin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301055"/>
      <w:docPartObj>
        <w:docPartGallery w:val="Page Numbers (Top of Page)"/>
        <w:docPartUnique/>
      </w:docPartObj>
    </w:sdtPr>
    <w:sdtEndPr>
      <w:rPr>
        <w:sz w:val="20"/>
      </w:rPr>
    </w:sdtEndPr>
    <w:sdtContent>
      <w:p w14:paraId="7D3F5E00" w14:textId="27A5E57E" w:rsidR="001733C9" w:rsidRPr="009A28A8" w:rsidRDefault="001733C9">
        <w:pPr>
          <w:pStyle w:val="af1"/>
          <w:jc w:val="center"/>
          <w:rPr>
            <w:sz w:val="20"/>
          </w:rPr>
        </w:pPr>
        <w:r w:rsidRPr="009A28A8">
          <w:rPr>
            <w:sz w:val="20"/>
          </w:rPr>
          <w:fldChar w:fldCharType="begin"/>
        </w:r>
        <w:r w:rsidRPr="009A28A8">
          <w:rPr>
            <w:sz w:val="20"/>
          </w:rPr>
          <w:instrText>PAGE   \* MERGEFORMAT</w:instrText>
        </w:r>
        <w:r w:rsidRPr="009A28A8">
          <w:rPr>
            <w:sz w:val="20"/>
          </w:rPr>
          <w:fldChar w:fldCharType="separate"/>
        </w:r>
        <w:r w:rsidR="000B4138">
          <w:rPr>
            <w:noProof/>
            <w:sz w:val="20"/>
          </w:rPr>
          <w:t>26</w:t>
        </w:r>
        <w:r w:rsidRPr="009A28A8">
          <w:rPr>
            <w:sz w:val="20"/>
          </w:rPr>
          <w:fldChar w:fldCharType="end"/>
        </w:r>
      </w:p>
    </w:sdtContent>
  </w:sdt>
  <w:p w14:paraId="3124D1AE" w14:textId="77777777" w:rsidR="001733C9" w:rsidRDefault="001733C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587477"/>
      <w:docPartObj>
        <w:docPartGallery w:val="Page Numbers (Top of Page)"/>
        <w:docPartUnique/>
      </w:docPartObj>
    </w:sdtPr>
    <w:sdtEndPr>
      <w:rPr>
        <w:sz w:val="20"/>
      </w:rPr>
    </w:sdtEndPr>
    <w:sdtContent>
      <w:p w14:paraId="39B38069" w14:textId="78BB03AC" w:rsidR="001733C9" w:rsidRPr="004F3E1E" w:rsidRDefault="001733C9">
        <w:pPr>
          <w:pStyle w:val="af1"/>
          <w:jc w:val="center"/>
          <w:rPr>
            <w:sz w:val="20"/>
          </w:rPr>
        </w:pPr>
        <w:r w:rsidRPr="004F3E1E">
          <w:rPr>
            <w:sz w:val="20"/>
          </w:rPr>
          <w:fldChar w:fldCharType="begin"/>
        </w:r>
        <w:r w:rsidRPr="004F3E1E">
          <w:rPr>
            <w:sz w:val="20"/>
          </w:rPr>
          <w:instrText>PAGE   \* MERGEFORMAT</w:instrText>
        </w:r>
        <w:r w:rsidRPr="004F3E1E">
          <w:rPr>
            <w:sz w:val="20"/>
          </w:rPr>
          <w:fldChar w:fldCharType="separate"/>
        </w:r>
        <w:r w:rsidR="000B4138">
          <w:rPr>
            <w:noProof/>
            <w:sz w:val="20"/>
          </w:rPr>
          <w:t>34</w:t>
        </w:r>
        <w:r w:rsidRPr="004F3E1E">
          <w:rPr>
            <w:sz w:val="20"/>
          </w:rPr>
          <w:fldChar w:fldCharType="end"/>
        </w:r>
      </w:p>
    </w:sdtContent>
  </w:sdt>
  <w:p w14:paraId="5C069298" w14:textId="77777777" w:rsidR="001733C9" w:rsidRDefault="001733C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AB7"/>
    <w:multiLevelType w:val="hybridMultilevel"/>
    <w:tmpl w:val="1E6E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77E8A"/>
    <w:multiLevelType w:val="hybridMultilevel"/>
    <w:tmpl w:val="A608055C"/>
    <w:lvl w:ilvl="0" w:tplc="89A04F6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30296"/>
    <w:multiLevelType w:val="hybridMultilevel"/>
    <w:tmpl w:val="23F49F88"/>
    <w:lvl w:ilvl="0" w:tplc="88D60BC0">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977"/>
    <w:multiLevelType w:val="hybridMultilevel"/>
    <w:tmpl w:val="117C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D5B57"/>
    <w:multiLevelType w:val="hybridMultilevel"/>
    <w:tmpl w:val="D28278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C423E"/>
    <w:multiLevelType w:val="hybridMultilevel"/>
    <w:tmpl w:val="1FF07A2A"/>
    <w:lvl w:ilvl="0" w:tplc="3F86728E">
      <w:start w:val="1"/>
      <w:numFmt w:val="decimal"/>
      <w:lvlText w:val="%1."/>
      <w:lvlJc w:val="left"/>
      <w:pPr>
        <w:ind w:left="1428" w:hanging="360"/>
      </w:pPr>
      <w:rPr>
        <w:i w:val="0"/>
        <w:iCs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3E7B95"/>
    <w:multiLevelType w:val="hybridMultilevel"/>
    <w:tmpl w:val="B0C617CC"/>
    <w:lvl w:ilvl="0" w:tplc="928EE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475130"/>
    <w:multiLevelType w:val="multilevel"/>
    <w:tmpl w:val="03146C96"/>
    <w:lvl w:ilvl="0">
      <w:start w:val="1"/>
      <w:numFmt w:val="decimal"/>
      <w:lvlText w:val="%1."/>
      <w:lvlJc w:val="left"/>
      <w:pPr>
        <w:ind w:left="1080" w:hanging="360"/>
      </w:pPr>
    </w:lvl>
    <w:lvl w:ilvl="1">
      <w:start w:val="2"/>
      <w:numFmt w:val="decimal"/>
      <w:isLgl/>
      <w:lvlText w:val="%1.%2"/>
      <w:lvlJc w:val="left"/>
      <w:pPr>
        <w:ind w:left="1540" w:hanging="820"/>
      </w:pPr>
    </w:lvl>
    <w:lvl w:ilvl="2">
      <w:start w:val="1"/>
      <w:numFmt w:val="decimal"/>
      <w:isLgl/>
      <w:lvlText w:val="%1.%2.%3"/>
      <w:lvlJc w:val="left"/>
      <w:pPr>
        <w:ind w:left="1540" w:hanging="8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14BD3FC0"/>
    <w:multiLevelType w:val="hybridMultilevel"/>
    <w:tmpl w:val="C39E304C"/>
    <w:lvl w:ilvl="0" w:tplc="D6EEFC0E">
      <w:start w:val="4"/>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D0BFE"/>
    <w:multiLevelType w:val="hybridMultilevel"/>
    <w:tmpl w:val="D0F6E862"/>
    <w:lvl w:ilvl="0" w:tplc="6CAC88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99B155F"/>
    <w:multiLevelType w:val="hybridMultilevel"/>
    <w:tmpl w:val="24F428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AFE2D50"/>
    <w:multiLevelType w:val="hybridMultilevel"/>
    <w:tmpl w:val="D5F82A54"/>
    <w:lvl w:ilvl="0" w:tplc="93049F5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E6771F"/>
    <w:multiLevelType w:val="hybridMultilevel"/>
    <w:tmpl w:val="50286682"/>
    <w:lvl w:ilvl="0" w:tplc="5C8A6CA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52C29"/>
    <w:multiLevelType w:val="hybridMultilevel"/>
    <w:tmpl w:val="D4E6FDE6"/>
    <w:lvl w:ilvl="0" w:tplc="667ADF88">
      <w:start w:val="3"/>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54CAE"/>
    <w:multiLevelType w:val="hybridMultilevel"/>
    <w:tmpl w:val="E266E7C0"/>
    <w:lvl w:ilvl="0" w:tplc="04190001">
      <w:start w:val="1"/>
      <w:numFmt w:val="bullet"/>
      <w:lvlText w:val=""/>
      <w:lvlJc w:val="left"/>
      <w:pPr>
        <w:ind w:left="360" w:hanging="360"/>
      </w:pPr>
      <w:rPr>
        <w:rFonts w:ascii="Symbol" w:hAnsi="Symbol" w:hint="default"/>
        <w:b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8452361"/>
    <w:multiLevelType w:val="hybridMultilevel"/>
    <w:tmpl w:val="43F6A2B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831BD4"/>
    <w:multiLevelType w:val="hybridMultilevel"/>
    <w:tmpl w:val="E9980222"/>
    <w:lvl w:ilvl="0" w:tplc="15EC63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11638B"/>
    <w:multiLevelType w:val="hybridMultilevel"/>
    <w:tmpl w:val="F3106EC6"/>
    <w:lvl w:ilvl="0" w:tplc="440629B4">
      <w:start w:val="2"/>
      <w:numFmt w:val="decimal"/>
      <w:lvlText w:val="%1."/>
      <w:lvlJc w:val="left"/>
      <w:pPr>
        <w:ind w:left="720" w:hanging="360"/>
      </w:pPr>
      <w:rPr>
        <w:rFonts w:ascii="Times New Roman" w:hAnsi="Times New Roman" w:cs="Times New Roman"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DE152E"/>
    <w:multiLevelType w:val="hybridMultilevel"/>
    <w:tmpl w:val="2E725B36"/>
    <w:lvl w:ilvl="0" w:tplc="969C4746">
      <w:start w:val="1"/>
      <w:numFmt w:val="decimal"/>
      <w:lvlText w:val="%1."/>
      <w:lvlJc w:val="left"/>
      <w:pPr>
        <w:ind w:left="135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874C1A"/>
    <w:multiLevelType w:val="hybridMultilevel"/>
    <w:tmpl w:val="887698AA"/>
    <w:lvl w:ilvl="0" w:tplc="3D8817E0">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C2A19"/>
    <w:multiLevelType w:val="hybridMultilevel"/>
    <w:tmpl w:val="2780A082"/>
    <w:lvl w:ilvl="0" w:tplc="71C4063A">
      <w:start w:val="1"/>
      <w:numFmt w:val="decimal"/>
      <w:lvlText w:val="%1."/>
      <w:lvlJc w:val="left"/>
      <w:pPr>
        <w:ind w:left="1279" w:hanging="555"/>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21" w15:restartNumberingAfterBreak="0">
    <w:nsid w:val="3A645E89"/>
    <w:multiLevelType w:val="hybridMultilevel"/>
    <w:tmpl w:val="8F649D18"/>
    <w:lvl w:ilvl="0" w:tplc="ED1E5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A917D6"/>
    <w:multiLevelType w:val="hybridMultilevel"/>
    <w:tmpl w:val="4D26043A"/>
    <w:lvl w:ilvl="0" w:tplc="5C8A6CA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EC13A73"/>
    <w:multiLevelType w:val="hybridMultilevel"/>
    <w:tmpl w:val="23F49F88"/>
    <w:lvl w:ilvl="0" w:tplc="88D60BC0">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77AA8"/>
    <w:multiLevelType w:val="hybridMultilevel"/>
    <w:tmpl w:val="8F24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97448"/>
    <w:multiLevelType w:val="hybridMultilevel"/>
    <w:tmpl w:val="7E0C0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26714D"/>
    <w:multiLevelType w:val="hybridMultilevel"/>
    <w:tmpl w:val="AF169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1DE03E1"/>
    <w:multiLevelType w:val="hybridMultilevel"/>
    <w:tmpl w:val="0010DB60"/>
    <w:lvl w:ilvl="0" w:tplc="502E5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37679D"/>
    <w:multiLevelType w:val="hybridMultilevel"/>
    <w:tmpl w:val="BC047C6E"/>
    <w:lvl w:ilvl="0" w:tplc="E68AC1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15:restartNumberingAfterBreak="0">
    <w:nsid w:val="568E5C93"/>
    <w:multiLevelType w:val="hybridMultilevel"/>
    <w:tmpl w:val="44D4D656"/>
    <w:lvl w:ilvl="0" w:tplc="7C042B5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854C1"/>
    <w:multiLevelType w:val="hybridMultilevel"/>
    <w:tmpl w:val="647425C0"/>
    <w:lvl w:ilvl="0" w:tplc="87542C6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E757D"/>
    <w:multiLevelType w:val="hybridMultilevel"/>
    <w:tmpl w:val="16BA4E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AC74A8C"/>
    <w:multiLevelType w:val="hybridMultilevel"/>
    <w:tmpl w:val="4FA85554"/>
    <w:lvl w:ilvl="0" w:tplc="368C210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C02E37"/>
    <w:multiLevelType w:val="hybridMultilevel"/>
    <w:tmpl w:val="946C7F86"/>
    <w:lvl w:ilvl="0" w:tplc="3AC27D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372944"/>
    <w:multiLevelType w:val="hybridMultilevel"/>
    <w:tmpl w:val="8E143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A74127"/>
    <w:multiLevelType w:val="hybridMultilevel"/>
    <w:tmpl w:val="6E18F15E"/>
    <w:lvl w:ilvl="0" w:tplc="172443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9593CCE"/>
    <w:multiLevelType w:val="hybridMultilevel"/>
    <w:tmpl w:val="5232CF78"/>
    <w:lvl w:ilvl="0" w:tplc="EE0265A4">
      <w:start w:val="7"/>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44293E"/>
    <w:multiLevelType w:val="hybridMultilevel"/>
    <w:tmpl w:val="E040A416"/>
    <w:lvl w:ilvl="0" w:tplc="7C042B56">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E5B662F"/>
    <w:multiLevelType w:val="hybridMultilevel"/>
    <w:tmpl w:val="DBE4448C"/>
    <w:lvl w:ilvl="0" w:tplc="11A41654">
      <w:start w:val="2"/>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10E7212"/>
    <w:multiLevelType w:val="hybridMultilevel"/>
    <w:tmpl w:val="C8EE0924"/>
    <w:lvl w:ilvl="0" w:tplc="FC30659C">
      <w:start w:val="4"/>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7D71B3"/>
    <w:multiLevelType w:val="hybridMultilevel"/>
    <w:tmpl w:val="7A2C59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E73595B"/>
    <w:multiLevelType w:val="hybridMultilevel"/>
    <w:tmpl w:val="8A8EF0E4"/>
    <w:lvl w:ilvl="0" w:tplc="969C47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E91652"/>
    <w:multiLevelType w:val="hybridMultilevel"/>
    <w:tmpl w:val="EEC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5"/>
  </w:num>
  <w:num w:numId="4">
    <w:abstractNumId w:val="5"/>
  </w:num>
  <w:num w:numId="5">
    <w:abstractNumId w:val="31"/>
  </w:num>
  <w:num w:numId="6">
    <w:abstractNumId w:val="29"/>
  </w:num>
  <w:num w:numId="7">
    <w:abstractNumId w:val="10"/>
  </w:num>
  <w:num w:numId="8">
    <w:abstractNumId w:val="3"/>
  </w:num>
  <w:num w:numId="9">
    <w:abstractNumId w:val="16"/>
  </w:num>
  <w:num w:numId="10">
    <w:abstractNumId w:val="30"/>
  </w:num>
  <w:num w:numId="11">
    <w:abstractNumId w:val="37"/>
  </w:num>
  <w:num w:numId="12">
    <w:abstractNumId w:val="8"/>
  </w:num>
  <w:num w:numId="13">
    <w:abstractNumId w:val="2"/>
  </w:num>
  <w:num w:numId="14">
    <w:abstractNumId w:val="6"/>
  </w:num>
  <w:num w:numId="15">
    <w:abstractNumId w:val="23"/>
  </w:num>
  <w:num w:numId="16">
    <w:abstractNumId w:val="32"/>
  </w:num>
  <w:num w:numId="17">
    <w:abstractNumId w:val="19"/>
  </w:num>
  <w:num w:numId="1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
  </w:num>
  <w:num w:numId="22">
    <w:abstractNumId w:val="33"/>
  </w:num>
  <w:num w:numId="23">
    <w:abstractNumId w:val="17"/>
  </w:num>
  <w:num w:numId="24">
    <w:abstractNumId w:val="38"/>
  </w:num>
  <w:num w:numId="25">
    <w:abstractNumId w:val="27"/>
  </w:num>
  <w:num w:numId="26">
    <w:abstractNumId w:val="34"/>
  </w:num>
  <w:num w:numId="27">
    <w:abstractNumId w:val="40"/>
  </w:num>
  <w:num w:numId="28">
    <w:abstractNumId w:val="25"/>
  </w:num>
  <w:num w:numId="29">
    <w:abstractNumId w:val="15"/>
  </w:num>
  <w:num w:numId="30">
    <w:abstractNumId w:val="18"/>
  </w:num>
  <w:num w:numId="31">
    <w:abstractNumId w:val="42"/>
  </w:num>
  <w:num w:numId="32">
    <w:abstractNumId w:val="24"/>
  </w:num>
  <w:num w:numId="33">
    <w:abstractNumId w:val="22"/>
  </w:num>
  <w:num w:numId="34">
    <w:abstractNumId w:val="12"/>
  </w:num>
  <w:num w:numId="35">
    <w:abstractNumId w:val="21"/>
  </w:num>
  <w:num w:numId="36">
    <w:abstractNumId w:val="41"/>
  </w:num>
  <w:num w:numId="37">
    <w:abstractNumId w:val="1"/>
  </w:num>
  <w:num w:numId="38">
    <w:abstractNumId w:val="39"/>
  </w:num>
  <w:num w:numId="39">
    <w:abstractNumId w:val="13"/>
  </w:num>
  <w:num w:numId="40">
    <w:abstractNumId w:val="36"/>
  </w:num>
  <w:num w:numId="41">
    <w:abstractNumId w:val="11"/>
  </w:num>
  <w:num w:numId="42">
    <w:abstractNumId w:val="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4B"/>
    <w:rsid w:val="000036BD"/>
    <w:rsid w:val="00006E5E"/>
    <w:rsid w:val="00007438"/>
    <w:rsid w:val="00012DB8"/>
    <w:rsid w:val="000209DD"/>
    <w:rsid w:val="00022493"/>
    <w:rsid w:val="0002404F"/>
    <w:rsid w:val="0003282D"/>
    <w:rsid w:val="00033CE7"/>
    <w:rsid w:val="000422AA"/>
    <w:rsid w:val="00044CC8"/>
    <w:rsid w:val="00053D4C"/>
    <w:rsid w:val="0007714C"/>
    <w:rsid w:val="0008182A"/>
    <w:rsid w:val="000906DF"/>
    <w:rsid w:val="000B31BA"/>
    <w:rsid w:val="000B4138"/>
    <w:rsid w:val="000B6F59"/>
    <w:rsid w:val="000C6239"/>
    <w:rsid w:val="000E63F8"/>
    <w:rsid w:val="000F1815"/>
    <w:rsid w:val="00106B1D"/>
    <w:rsid w:val="001130B9"/>
    <w:rsid w:val="00116579"/>
    <w:rsid w:val="001211D8"/>
    <w:rsid w:val="00121218"/>
    <w:rsid w:val="001254E0"/>
    <w:rsid w:val="001254E3"/>
    <w:rsid w:val="00125C1C"/>
    <w:rsid w:val="00135DC3"/>
    <w:rsid w:val="0015351B"/>
    <w:rsid w:val="001628B9"/>
    <w:rsid w:val="001733C9"/>
    <w:rsid w:val="00177E13"/>
    <w:rsid w:val="00180E45"/>
    <w:rsid w:val="00184B8B"/>
    <w:rsid w:val="001932B3"/>
    <w:rsid w:val="00195EDA"/>
    <w:rsid w:val="001A257D"/>
    <w:rsid w:val="001A5642"/>
    <w:rsid w:val="001A5C27"/>
    <w:rsid w:val="001A6221"/>
    <w:rsid w:val="001A646E"/>
    <w:rsid w:val="001A73F2"/>
    <w:rsid w:val="001B1545"/>
    <w:rsid w:val="001B30BC"/>
    <w:rsid w:val="001C64C9"/>
    <w:rsid w:val="001D6633"/>
    <w:rsid w:val="001E0545"/>
    <w:rsid w:val="001E102F"/>
    <w:rsid w:val="001E26A1"/>
    <w:rsid w:val="001F5FCF"/>
    <w:rsid w:val="001F6EDB"/>
    <w:rsid w:val="001F7183"/>
    <w:rsid w:val="00202012"/>
    <w:rsid w:val="00205940"/>
    <w:rsid w:val="00212121"/>
    <w:rsid w:val="00212892"/>
    <w:rsid w:val="00213434"/>
    <w:rsid w:val="00223EAA"/>
    <w:rsid w:val="0022729D"/>
    <w:rsid w:val="00240286"/>
    <w:rsid w:val="002440A2"/>
    <w:rsid w:val="00246978"/>
    <w:rsid w:val="002525DB"/>
    <w:rsid w:val="00254F0D"/>
    <w:rsid w:val="00261000"/>
    <w:rsid w:val="00273B73"/>
    <w:rsid w:val="0027467D"/>
    <w:rsid w:val="002749E3"/>
    <w:rsid w:val="00284EFC"/>
    <w:rsid w:val="00293AE0"/>
    <w:rsid w:val="00297C15"/>
    <w:rsid w:val="002A2C88"/>
    <w:rsid w:val="002B44DD"/>
    <w:rsid w:val="002B4D4D"/>
    <w:rsid w:val="002B6F90"/>
    <w:rsid w:val="002C308F"/>
    <w:rsid w:val="002C4EF4"/>
    <w:rsid w:val="002D0FBA"/>
    <w:rsid w:val="002D5878"/>
    <w:rsid w:val="002F3112"/>
    <w:rsid w:val="002F6A16"/>
    <w:rsid w:val="003235F1"/>
    <w:rsid w:val="00323D14"/>
    <w:rsid w:val="00332283"/>
    <w:rsid w:val="00332CF5"/>
    <w:rsid w:val="0033329D"/>
    <w:rsid w:val="0033701D"/>
    <w:rsid w:val="00341B7C"/>
    <w:rsid w:val="00345ADA"/>
    <w:rsid w:val="00351D50"/>
    <w:rsid w:val="00352CD7"/>
    <w:rsid w:val="00362ABF"/>
    <w:rsid w:val="00365E81"/>
    <w:rsid w:val="00366A1A"/>
    <w:rsid w:val="00387A7B"/>
    <w:rsid w:val="00395905"/>
    <w:rsid w:val="003B2637"/>
    <w:rsid w:val="003B7BC1"/>
    <w:rsid w:val="003C0A3E"/>
    <w:rsid w:val="003C4610"/>
    <w:rsid w:val="003C5D4B"/>
    <w:rsid w:val="003D624C"/>
    <w:rsid w:val="003E2AC7"/>
    <w:rsid w:val="003E6CAF"/>
    <w:rsid w:val="0040271C"/>
    <w:rsid w:val="00404515"/>
    <w:rsid w:val="00405CA7"/>
    <w:rsid w:val="00410CB4"/>
    <w:rsid w:val="00426D78"/>
    <w:rsid w:val="00434D6D"/>
    <w:rsid w:val="00447246"/>
    <w:rsid w:val="0045573B"/>
    <w:rsid w:val="0045645F"/>
    <w:rsid w:val="00472AC6"/>
    <w:rsid w:val="00473BB3"/>
    <w:rsid w:val="004775E0"/>
    <w:rsid w:val="00481F4F"/>
    <w:rsid w:val="004856EE"/>
    <w:rsid w:val="004859E1"/>
    <w:rsid w:val="00497922"/>
    <w:rsid w:val="00497F96"/>
    <w:rsid w:val="004A2508"/>
    <w:rsid w:val="004B43C7"/>
    <w:rsid w:val="004C0587"/>
    <w:rsid w:val="004C05B2"/>
    <w:rsid w:val="004C2F4D"/>
    <w:rsid w:val="004C43A6"/>
    <w:rsid w:val="004D0910"/>
    <w:rsid w:val="004D2099"/>
    <w:rsid w:val="004D711E"/>
    <w:rsid w:val="004E53A4"/>
    <w:rsid w:val="004E64FC"/>
    <w:rsid w:val="004F3E1E"/>
    <w:rsid w:val="0050276A"/>
    <w:rsid w:val="00526464"/>
    <w:rsid w:val="00536F12"/>
    <w:rsid w:val="00540498"/>
    <w:rsid w:val="00544425"/>
    <w:rsid w:val="00551628"/>
    <w:rsid w:val="00553D04"/>
    <w:rsid w:val="00564048"/>
    <w:rsid w:val="005708ED"/>
    <w:rsid w:val="0057534D"/>
    <w:rsid w:val="00581277"/>
    <w:rsid w:val="00592CC5"/>
    <w:rsid w:val="005A11C3"/>
    <w:rsid w:val="005A5E0E"/>
    <w:rsid w:val="005B21E3"/>
    <w:rsid w:val="005C1019"/>
    <w:rsid w:val="005C76A9"/>
    <w:rsid w:val="005D209D"/>
    <w:rsid w:val="005E3524"/>
    <w:rsid w:val="005F0394"/>
    <w:rsid w:val="005F318C"/>
    <w:rsid w:val="005F442F"/>
    <w:rsid w:val="005F7A50"/>
    <w:rsid w:val="00616D52"/>
    <w:rsid w:val="006222E1"/>
    <w:rsid w:val="00637FF6"/>
    <w:rsid w:val="0064256F"/>
    <w:rsid w:val="0065320E"/>
    <w:rsid w:val="006557E2"/>
    <w:rsid w:val="00672516"/>
    <w:rsid w:val="006810A8"/>
    <w:rsid w:val="006952B8"/>
    <w:rsid w:val="006C1C7A"/>
    <w:rsid w:val="006C2083"/>
    <w:rsid w:val="006E3563"/>
    <w:rsid w:val="006E3E8A"/>
    <w:rsid w:val="006F0D94"/>
    <w:rsid w:val="006F37F1"/>
    <w:rsid w:val="007057B8"/>
    <w:rsid w:val="00705A90"/>
    <w:rsid w:val="007104B5"/>
    <w:rsid w:val="00715756"/>
    <w:rsid w:val="007206ED"/>
    <w:rsid w:val="00720DE9"/>
    <w:rsid w:val="00732057"/>
    <w:rsid w:val="00735771"/>
    <w:rsid w:val="00735A54"/>
    <w:rsid w:val="007562B6"/>
    <w:rsid w:val="0076335E"/>
    <w:rsid w:val="007807C8"/>
    <w:rsid w:val="007850F2"/>
    <w:rsid w:val="007906CE"/>
    <w:rsid w:val="00791AC1"/>
    <w:rsid w:val="00797B46"/>
    <w:rsid w:val="007A2401"/>
    <w:rsid w:val="007A5044"/>
    <w:rsid w:val="007A6B9C"/>
    <w:rsid w:val="007B1464"/>
    <w:rsid w:val="007B54B7"/>
    <w:rsid w:val="007D39FB"/>
    <w:rsid w:val="008055FA"/>
    <w:rsid w:val="0081504D"/>
    <w:rsid w:val="00815A12"/>
    <w:rsid w:val="008262A1"/>
    <w:rsid w:val="00826A5E"/>
    <w:rsid w:val="00827043"/>
    <w:rsid w:val="008343C5"/>
    <w:rsid w:val="00835C96"/>
    <w:rsid w:val="00835E91"/>
    <w:rsid w:val="00841AAF"/>
    <w:rsid w:val="0084432D"/>
    <w:rsid w:val="00853A6D"/>
    <w:rsid w:val="008553E6"/>
    <w:rsid w:val="008641B0"/>
    <w:rsid w:val="00866CCC"/>
    <w:rsid w:val="008714AD"/>
    <w:rsid w:val="008737A0"/>
    <w:rsid w:val="00886521"/>
    <w:rsid w:val="00893030"/>
    <w:rsid w:val="008A4D97"/>
    <w:rsid w:val="008B2AE3"/>
    <w:rsid w:val="008B51F7"/>
    <w:rsid w:val="008B5FC9"/>
    <w:rsid w:val="008D7291"/>
    <w:rsid w:val="008E2B96"/>
    <w:rsid w:val="008E4D1B"/>
    <w:rsid w:val="008F6714"/>
    <w:rsid w:val="009061C4"/>
    <w:rsid w:val="009109BE"/>
    <w:rsid w:val="009217FD"/>
    <w:rsid w:val="0092246E"/>
    <w:rsid w:val="009236B5"/>
    <w:rsid w:val="009329DA"/>
    <w:rsid w:val="009375EE"/>
    <w:rsid w:val="00947CF7"/>
    <w:rsid w:val="00954F3A"/>
    <w:rsid w:val="00964370"/>
    <w:rsid w:val="00964E25"/>
    <w:rsid w:val="00965868"/>
    <w:rsid w:val="00965B19"/>
    <w:rsid w:val="009875F9"/>
    <w:rsid w:val="00990F16"/>
    <w:rsid w:val="00992B96"/>
    <w:rsid w:val="00994420"/>
    <w:rsid w:val="00994AE2"/>
    <w:rsid w:val="00996783"/>
    <w:rsid w:val="009A106F"/>
    <w:rsid w:val="009A28A8"/>
    <w:rsid w:val="009B2901"/>
    <w:rsid w:val="009B5A66"/>
    <w:rsid w:val="009D302D"/>
    <w:rsid w:val="00A11416"/>
    <w:rsid w:val="00A153A6"/>
    <w:rsid w:val="00A1773B"/>
    <w:rsid w:val="00A24E67"/>
    <w:rsid w:val="00A25DBA"/>
    <w:rsid w:val="00A271F7"/>
    <w:rsid w:val="00A360C0"/>
    <w:rsid w:val="00A471DD"/>
    <w:rsid w:val="00A51AA0"/>
    <w:rsid w:val="00A62CEA"/>
    <w:rsid w:val="00A902A3"/>
    <w:rsid w:val="00A9037A"/>
    <w:rsid w:val="00A941FA"/>
    <w:rsid w:val="00A9691E"/>
    <w:rsid w:val="00AA2CD2"/>
    <w:rsid w:val="00AA67DD"/>
    <w:rsid w:val="00AC1212"/>
    <w:rsid w:val="00AD0E59"/>
    <w:rsid w:val="00AD48BD"/>
    <w:rsid w:val="00AE1FFD"/>
    <w:rsid w:val="00AF3225"/>
    <w:rsid w:val="00B01C26"/>
    <w:rsid w:val="00B02092"/>
    <w:rsid w:val="00B024D5"/>
    <w:rsid w:val="00B053CA"/>
    <w:rsid w:val="00B064AD"/>
    <w:rsid w:val="00B10C8E"/>
    <w:rsid w:val="00B11D92"/>
    <w:rsid w:val="00B157CB"/>
    <w:rsid w:val="00B27A85"/>
    <w:rsid w:val="00B41B3E"/>
    <w:rsid w:val="00B50CF8"/>
    <w:rsid w:val="00B54991"/>
    <w:rsid w:val="00B61F82"/>
    <w:rsid w:val="00B621B5"/>
    <w:rsid w:val="00B713CE"/>
    <w:rsid w:val="00B80F1D"/>
    <w:rsid w:val="00B920C9"/>
    <w:rsid w:val="00B96800"/>
    <w:rsid w:val="00BB705D"/>
    <w:rsid w:val="00BC0818"/>
    <w:rsid w:val="00BC3C02"/>
    <w:rsid w:val="00BC7670"/>
    <w:rsid w:val="00BD008E"/>
    <w:rsid w:val="00BE079D"/>
    <w:rsid w:val="00BE6667"/>
    <w:rsid w:val="00C02C32"/>
    <w:rsid w:val="00C05A5D"/>
    <w:rsid w:val="00C0778C"/>
    <w:rsid w:val="00C17A93"/>
    <w:rsid w:val="00C264BF"/>
    <w:rsid w:val="00C2774E"/>
    <w:rsid w:val="00C304C5"/>
    <w:rsid w:val="00C32587"/>
    <w:rsid w:val="00C34544"/>
    <w:rsid w:val="00C375C9"/>
    <w:rsid w:val="00C40F78"/>
    <w:rsid w:val="00C43853"/>
    <w:rsid w:val="00C44BFD"/>
    <w:rsid w:val="00C47B3D"/>
    <w:rsid w:val="00C5067C"/>
    <w:rsid w:val="00C52859"/>
    <w:rsid w:val="00C57FE7"/>
    <w:rsid w:val="00C61D8E"/>
    <w:rsid w:val="00C70753"/>
    <w:rsid w:val="00C7505E"/>
    <w:rsid w:val="00C93D5C"/>
    <w:rsid w:val="00C957C1"/>
    <w:rsid w:val="00CA4A6D"/>
    <w:rsid w:val="00CA5614"/>
    <w:rsid w:val="00CB7FEF"/>
    <w:rsid w:val="00CC0703"/>
    <w:rsid w:val="00CC66E2"/>
    <w:rsid w:val="00CC7A8C"/>
    <w:rsid w:val="00CD0A26"/>
    <w:rsid w:val="00CE2F93"/>
    <w:rsid w:val="00CE43E9"/>
    <w:rsid w:val="00CE49FD"/>
    <w:rsid w:val="00CF4C7F"/>
    <w:rsid w:val="00CF75F7"/>
    <w:rsid w:val="00D11333"/>
    <w:rsid w:val="00D14308"/>
    <w:rsid w:val="00D17D6E"/>
    <w:rsid w:val="00D21AFD"/>
    <w:rsid w:val="00D22835"/>
    <w:rsid w:val="00D23A05"/>
    <w:rsid w:val="00D24FF9"/>
    <w:rsid w:val="00D451D7"/>
    <w:rsid w:val="00D475CC"/>
    <w:rsid w:val="00D47879"/>
    <w:rsid w:val="00D50CF7"/>
    <w:rsid w:val="00D55E47"/>
    <w:rsid w:val="00D7749D"/>
    <w:rsid w:val="00D8067E"/>
    <w:rsid w:val="00D80E71"/>
    <w:rsid w:val="00D855AF"/>
    <w:rsid w:val="00D902DC"/>
    <w:rsid w:val="00DA6B23"/>
    <w:rsid w:val="00DB1574"/>
    <w:rsid w:val="00DC55DE"/>
    <w:rsid w:val="00DC78A5"/>
    <w:rsid w:val="00DE1689"/>
    <w:rsid w:val="00E0270A"/>
    <w:rsid w:val="00E134A1"/>
    <w:rsid w:val="00E1435B"/>
    <w:rsid w:val="00E2276F"/>
    <w:rsid w:val="00E454EB"/>
    <w:rsid w:val="00E54A69"/>
    <w:rsid w:val="00E56BC6"/>
    <w:rsid w:val="00E604F7"/>
    <w:rsid w:val="00E71472"/>
    <w:rsid w:val="00E722EC"/>
    <w:rsid w:val="00E8104F"/>
    <w:rsid w:val="00E814A1"/>
    <w:rsid w:val="00E852A5"/>
    <w:rsid w:val="00E85F19"/>
    <w:rsid w:val="00E87EE7"/>
    <w:rsid w:val="00E921AA"/>
    <w:rsid w:val="00EA5B7E"/>
    <w:rsid w:val="00EA6649"/>
    <w:rsid w:val="00EB231F"/>
    <w:rsid w:val="00EB5DF5"/>
    <w:rsid w:val="00EF1BAE"/>
    <w:rsid w:val="00F008CC"/>
    <w:rsid w:val="00F01653"/>
    <w:rsid w:val="00F020EC"/>
    <w:rsid w:val="00F02B71"/>
    <w:rsid w:val="00F03C04"/>
    <w:rsid w:val="00F042DA"/>
    <w:rsid w:val="00F1073A"/>
    <w:rsid w:val="00F10A15"/>
    <w:rsid w:val="00F14E9C"/>
    <w:rsid w:val="00F14F3F"/>
    <w:rsid w:val="00F1554E"/>
    <w:rsid w:val="00F2621D"/>
    <w:rsid w:val="00F34F51"/>
    <w:rsid w:val="00F35563"/>
    <w:rsid w:val="00F408CC"/>
    <w:rsid w:val="00F447AC"/>
    <w:rsid w:val="00F54815"/>
    <w:rsid w:val="00F75A63"/>
    <w:rsid w:val="00F75E0E"/>
    <w:rsid w:val="00F76489"/>
    <w:rsid w:val="00F7781B"/>
    <w:rsid w:val="00F77A6F"/>
    <w:rsid w:val="00F83427"/>
    <w:rsid w:val="00F85C6B"/>
    <w:rsid w:val="00F91F31"/>
    <w:rsid w:val="00F9555C"/>
    <w:rsid w:val="00FB187C"/>
    <w:rsid w:val="00FB7249"/>
    <w:rsid w:val="00FC656A"/>
    <w:rsid w:val="00FD288A"/>
    <w:rsid w:val="00FF303A"/>
    <w:rsid w:val="00FF36C7"/>
    <w:rsid w:val="00FF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9831"/>
  <w15:chartTrackingRefBased/>
  <w15:docId w15:val="{C131335F-4BC1-488D-8A61-FB7C26C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D4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930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7A6B9C"/>
    <w:pPr>
      <w:keepNext/>
      <w:keepLines/>
      <w:spacing w:before="240" w:after="240" w:line="276" w:lineRule="auto"/>
      <w:ind w:left="720" w:hanging="720"/>
      <w:outlineLvl w:val="1"/>
    </w:pPr>
    <w:rPr>
      <w:b/>
      <w:bCs/>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D4B"/>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6C2083"/>
    <w:rPr>
      <w:sz w:val="16"/>
      <w:szCs w:val="16"/>
    </w:rPr>
  </w:style>
  <w:style w:type="paragraph" w:styleId="a4">
    <w:name w:val="annotation text"/>
    <w:basedOn w:val="a"/>
    <w:link w:val="a5"/>
    <w:uiPriority w:val="99"/>
    <w:unhideWhenUsed/>
    <w:rsid w:val="006C2083"/>
    <w:rPr>
      <w:sz w:val="20"/>
    </w:rPr>
  </w:style>
  <w:style w:type="character" w:customStyle="1" w:styleId="a5">
    <w:name w:val="Текст примечания Знак"/>
    <w:basedOn w:val="a0"/>
    <w:link w:val="a4"/>
    <w:uiPriority w:val="99"/>
    <w:rsid w:val="006C2083"/>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6C2083"/>
    <w:rPr>
      <w:b/>
      <w:bCs/>
    </w:rPr>
  </w:style>
  <w:style w:type="character" w:customStyle="1" w:styleId="a7">
    <w:name w:val="Тема примечания Знак"/>
    <w:basedOn w:val="a5"/>
    <w:link w:val="a6"/>
    <w:uiPriority w:val="99"/>
    <w:semiHidden/>
    <w:rsid w:val="006C2083"/>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CC66E2"/>
    <w:rPr>
      <w:rFonts w:ascii="Segoe UI" w:hAnsi="Segoe UI" w:cs="Segoe UI"/>
      <w:sz w:val="18"/>
      <w:szCs w:val="18"/>
    </w:rPr>
  </w:style>
  <w:style w:type="character" w:customStyle="1" w:styleId="a9">
    <w:name w:val="Текст выноски Знак"/>
    <w:basedOn w:val="a0"/>
    <w:link w:val="a8"/>
    <w:uiPriority w:val="99"/>
    <w:semiHidden/>
    <w:rsid w:val="00CC66E2"/>
    <w:rPr>
      <w:rFonts w:ascii="Segoe UI" w:eastAsia="Times New Roman" w:hAnsi="Segoe UI" w:cs="Segoe UI"/>
      <w:sz w:val="18"/>
      <w:szCs w:val="18"/>
      <w:lang w:eastAsia="ru-RU"/>
    </w:rPr>
  </w:style>
  <w:style w:type="paragraph" w:styleId="aa">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lp1"/>
    <w:basedOn w:val="a"/>
    <w:link w:val="ab"/>
    <w:uiPriority w:val="34"/>
    <w:qFormat/>
    <w:rsid w:val="00012DB8"/>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qFormat/>
    <w:rsid w:val="00526464"/>
    <w:pPr>
      <w:spacing w:before="100" w:beforeAutospacing="1" w:after="100" w:afterAutospacing="1"/>
    </w:pPr>
    <w:rPr>
      <w:sz w:val="24"/>
      <w:szCs w:val="24"/>
    </w:rPr>
  </w:style>
  <w:style w:type="character" w:styleId="ad">
    <w:name w:val="Hyperlink"/>
    <w:basedOn w:val="a0"/>
    <w:uiPriority w:val="99"/>
    <w:unhideWhenUsed/>
    <w:rsid w:val="00526464"/>
    <w:rPr>
      <w:color w:val="0000FF"/>
      <w:u w:val="single"/>
    </w:rPr>
  </w:style>
  <w:style w:type="paragraph" w:customStyle="1" w:styleId="Default">
    <w:name w:val="Default"/>
    <w:rsid w:val="00E852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9"/>
    <w:rsid w:val="007A6B9C"/>
    <w:rPr>
      <w:rFonts w:ascii="Times New Roman" w:eastAsia="Times New Roman" w:hAnsi="Times New Roman" w:cs="Times New Roman"/>
      <w:b/>
      <w:bCs/>
      <w:sz w:val="28"/>
      <w:szCs w:val="26"/>
    </w:rPr>
  </w:style>
  <w:style w:type="paragraph" w:styleId="ae">
    <w:name w:val="footnote text"/>
    <w:aliases w:val="Текст сноски-FN,Footnote Text Char Знак Знак,Footnote Text Char Знак,Текст сноски Знак1 Знак1,Текст сноски Знак Знак Знак1,Текст сноски Знак1 Знак Знак,Текст сноски Знак Знак Знак Знак,Знак,-++,Table_Footnote_last,Текст сноски Знак Знак,fn"/>
    <w:basedOn w:val="a"/>
    <w:link w:val="af"/>
    <w:uiPriority w:val="99"/>
    <w:unhideWhenUsed/>
    <w:rsid w:val="005F442F"/>
    <w:rPr>
      <w:sz w:val="20"/>
    </w:rPr>
  </w:style>
  <w:style w:type="character" w:customStyle="1" w:styleId="af">
    <w:name w:val="Текст сноски Знак"/>
    <w:aliases w:val="Текст сноски-FN Знак,Footnote Text Char Знак Знак Знак,Footnote Text Char Знак Знак1,Текст сноски Знак1 Знак1 Знак,Текст сноски Знак Знак Знак1 Знак,Текст сноски Знак1 Знак Знак Знак,Текст сноски Знак Знак Знак Знак Знак,Знак Знак"/>
    <w:basedOn w:val="a0"/>
    <w:link w:val="ae"/>
    <w:uiPriority w:val="99"/>
    <w:rsid w:val="005F442F"/>
    <w:rPr>
      <w:rFonts w:ascii="Times New Roman" w:eastAsia="Times New Roman" w:hAnsi="Times New Roman" w:cs="Times New Roman"/>
      <w:sz w:val="20"/>
      <w:szCs w:val="20"/>
      <w:lang w:eastAsia="ru-RU"/>
    </w:rPr>
  </w:style>
  <w:style w:type="character" w:styleId="af0">
    <w:name w:val="footnote reference"/>
    <w:aliases w:val="Знак сноски-FN,Ciae niinee-FN,Знак сноски 1,SUPERS,ftref,16 Point,Superscript 6 Point,Referencia nota al pie,fr,Used by Word for Help footnote symbols,Ciae niinee 1,Ссылка на сноску 45,Footnote Reference Number,анкета сноска,текст сноски,FZ"/>
    <w:basedOn w:val="a0"/>
    <w:uiPriority w:val="99"/>
    <w:unhideWhenUsed/>
    <w:qFormat/>
    <w:rsid w:val="005F442F"/>
    <w:rPr>
      <w:vertAlign w:val="superscript"/>
    </w:rPr>
  </w:style>
  <w:style w:type="character" w:customStyle="1" w:styleId="ab">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Нумерация Знак"/>
    <w:link w:val="aa"/>
    <w:uiPriority w:val="34"/>
    <w:qFormat/>
    <w:locked/>
    <w:rsid w:val="003C4610"/>
    <w:rPr>
      <w:rFonts w:ascii="Calibri" w:eastAsia="Calibri" w:hAnsi="Calibri" w:cs="Times New Roman"/>
    </w:rPr>
  </w:style>
  <w:style w:type="paragraph" w:styleId="af1">
    <w:name w:val="header"/>
    <w:basedOn w:val="a"/>
    <w:link w:val="af2"/>
    <w:uiPriority w:val="99"/>
    <w:unhideWhenUsed/>
    <w:rsid w:val="00B920C9"/>
    <w:pPr>
      <w:tabs>
        <w:tab w:val="center" w:pos="4677"/>
        <w:tab w:val="right" w:pos="9355"/>
      </w:tabs>
    </w:pPr>
  </w:style>
  <w:style w:type="character" w:customStyle="1" w:styleId="af2">
    <w:name w:val="Верхний колонтитул Знак"/>
    <w:basedOn w:val="a0"/>
    <w:link w:val="af1"/>
    <w:uiPriority w:val="99"/>
    <w:rsid w:val="00B920C9"/>
    <w:rPr>
      <w:rFonts w:ascii="Times New Roman" w:eastAsia="Times New Roman" w:hAnsi="Times New Roman" w:cs="Times New Roman"/>
      <w:sz w:val="28"/>
      <w:szCs w:val="20"/>
      <w:lang w:eastAsia="ru-RU"/>
    </w:rPr>
  </w:style>
  <w:style w:type="paragraph" w:styleId="af3">
    <w:name w:val="footer"/>
    <w:basedOn w:val="a"/>
    <w:link w:val="af4"/>
    <w:uiPriority w:val="99"/>
    <w:unhideWhenUsed/>
    <w:rsid w:val="00B920C9"/>
    <w:pPr>
      <w:tabs>
        <w:tab w:val="center" w:pos="4677"/>
        <w:tab w:val="right" w:pos="9355"/>
      </w:tabs>
    </w:pPr>
  </w:style>
  <w:style w:type="character" w:customStyle="1" w:styleId="af4">
    <w:name w:val="Нижний колонтитул Знак"/>
    <w:basedOn w:val="a0"/>
    <w:link w:val="af3"/>
    <w:uiPriority w:val="99"/>
    <w:rsid w:val="00B920C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893030"/>
    <w:rPr>
      <w:rFonts w:asciiTheme="majorHAnsi" w:eastAsiaTheme="majorEastAsia" w:hAnsiTheme="majorHAnsi" w:cstheme="majorBidi"/>
      <w:color w:val="2E74B5" w:themeColor="accent1" w:themeShade="BF"/>
      <w:sz w:val="32"/>
      <w:szCs w:val="32"/>
      <w:lang w:eastAsia="ru-RU"/>
    </w:rPr>
  </w:style>
  <w:style w:type="character" w:customStyle="1" w:styleId="11">
    <w:name w:val="Неразрешенное упоминание1"/>
    <w:basedOn w:val="a0"/>
    <w:uiPriority w:val="99"/>
    <w:semiHidden/>
    <w:unhideWhenUsed/>
    <w:rsid w:val="00893030"/>
    <w:rPr>
      <w:color w:val="605E5C"/>
      <w:shd w:val="clear" w:color="auto" w:fill="E1DFDD"/>
    </w:rPr>
  </w:style>
  <w:style w:type="character" w:styleId="af5">
    <w:name w:val="Emphasis"/>
    <w:basedOn w:val="a0"/>
    <w:uiPriority w:val="20"/>
    <w:qFormat/>
    <w:rsid w:val="005708ED"/>
    <w:rPr>
      <w:i/>
      <w:iCs/>
    </w:rPr>
  </w:style>
  <w:style w:type="paragraph" w:styleId="af6">
    <w:name w:val="Body Text Indent"/>
    <w:basedOn w:val="a"/>
    <w:link w:val="af7"/>
    <w:uiPriority w:val="99"/>
    <w:semiHidden/>
    <w:unhideWhenUsed/>
    <w:rsid w:val="005E3524"/>
    <w:pPr>
      <w:spacing w:after="120"/>
      <w:ind w:left="283"/>
    </w:pPr>
  </w:style>
  <w:style w:type="character" w:customStyle="1" w:styleId="af7">
    <w:name w:val="Основной текст с отступом Знак"/>
    <w:basedOn w:val="a0"/>
    <w:link w:val="af6"/>
    <w:uiPriority w:val="99"/>
    <w:semiHidden/>
    <w:rsid w:val="005E3524"/>
    <w:rPr>
      <w:rFonts w:ascii="Times New Roman" w:eastAsia="Times New Roman" w:hAnsi="Times New Roman" w:cs="Times New Roman"/>
      <w:sz w:val="28"/>
      <w:szCs w:val="20"/>
      <w:lang w:eastAsia="ru-RU"/>
    </w:rPr>
  </w:style>
  <w:style w:type="paragraph" w:styleId="21">
    <w:name w:val="Body Text First Indent 2"/>
    <w:basedOn w:val="af6"/>
    <w:link w:val="22"/>
    <w:rsid w:val="005E3524"/>
    <w:pPr>
      <w:ind w:firstLine="210"/>
    </w:pPr>
  </w:style>
  <w:style w:type="character" w:customStyle="1" w:styleId="22">
    <w:name w:val="Красная строка 2 Знак"/>
    <w:basedOn w:val="af7"/>
    <w:link w:val="21"/>
    <w:rsid w:val="005E3524"/>
    <w:rPr>
      <w:rFonts w:ascii="Times New Roman" w:eastAsia="Times New Roman" w:hAnsi="Times New Roman" w:cs="Times New Roman"/>
      <w:sz w:val="28"/>
      <w:szCs w:val="20"/>
      <w:lang w:eastAsia="ru-RU"/>
    </w:rPr>
  </w:style>
  <w:style w:type="paragraph" w:styleId="af8">
    <w:name w:val="caption"/>
    <w:basedOn w:val="a"/>
    <w:next w:val="a"/>
    <w:uiPriority w:val="35"/>
    <w:unhideWhenUsed/>
    <w:qFormat/>
    <w:rsid w:val="00835C96"/>
    <w:pPr>
      <w:spacing w:after="200"/>
    </w:pPr>
    <w:rPr>
      <w:rFonts w:asciiTheme="minorHAnsi" w:eastAsiaTheme="minorHAnsi" w:hAnsiTheme="minorHAnsi" w:cstheme="minorBidi"/>
      <w:i/>
      <w:iCs/>
      <w:color w:val="44546A" w:themeColor="text2"/>
      <w:sz w:val="18"/>
      <w:szCs w:val="18"/>
      <w:lang w:eastAsia="en-US"/>
    </w:rPr>
  </w:style>
  <w:style w:type="paragraph" w:styleId="af9">
    <w:name w:val="No Spacing"/>
    <w:uiPriority w:val="1"/>
    <w:qFormat/>
    <w:rsid w:val="004856EE"/>
    <w:pPr>
      <w:spacing w:after="0" w:line="240" w:lineRule="auto"/>
    </w:pPr>
  </w:style>
  <w:style w:type="character" w:customStyle="1" w:styleId="cf01">
    <w:name w:val="cf01"/>
    <w:basedOn w:val="a0"/>
    <w:rsid w:val="006C1C7A"/>
    <w:rPr>
      <w:rFonts w:ascii="Segoe UI" w:hAnsi="Segoe UI" w:cs="Segoe UI" w:hint="default"/>
      <w:sz w:val="18"/>
      <w:szCs w:val="18"/>
    </w:rPr>
  </w:style>
  <w:style w:type="table" w:styleId="afa">
    <w:name w:val="Table Grid"/>
    <w:basedOn w:val="a1"/>
    <w:uiPriority w:val="39"/>
    <w:rsid w:val="0029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4220">
      <w:bodyDiv w:val="1"/>
      <w:marLeft w:val="0"/>
      <w:marRight w:val="0"/>
      <w:marTop w:val="0"/>
      <w:marBottom w:val="0"/>
      <w:divBdr>
        <w:top w:val="none" w:sz="0" w:space="0" w:color="auto"/>
        <w:left w:val="none" w:sz="0" w:space="0" w:color="auto"/>
        <w:bottom w:val="none" w:sz="0" w:space="0" w:color="auto"/>
        <w:right w:val="none" w:sz="0" w:space="0" w:color="auto"/>
      </w:divBdr>
    </w:div>
    <w:div w:id="774398987">
      <w:bodyDiv w:val="1"/>
      <w:marLeft w:val="0"/>
      <w:marRight w:val="0"/>
      <w:marTop w:val="0"/>
      <w:marBottom w:val="0"/>
      <w:divBdr>
        <w:top w:val="none" w:sz="0" w:space="0" w:color="auto"/>
        <w:left w:val="none" w:sz="0" w:space="0" w:color="auto"/>
        <w:bottom w:val="none" w:sz="0" w:space="0" w:color="auto"/>
        <w:right w:val="none" w:sz="0" w:space="0" w:color="auto"/>
      </w:divBdr>
    </w:div>
    <w:div w:id="916401443">
      <w:bodyDiv w:val="1"/>
      <w:marLeft w:val="0"/>
      <w:marRight w:val="0"/>
      <w:marTop w:val="0"/>
      <w:marBottom w:val="0"/>
      <w:divBdr>
        <w:top w:val="none" w:sz="0" w:space="0" w:color="auto"/>
        <w:left w:val="none" w:sz="0" w:space="0" w:color="auto"/>
        <w:bottom w:val="none" w:sz="0" w:space="0" w:color="auto"/>
        <w:right w:val="none" w:sz="0" w:space="0" w:color="auto"/>
      </w:divBdr>
    </w:div>
    <w:div w:id="1004741408">
      <w:bodyDiv w:val="1"/>
      <w:marLeft w:val="0"/>
      <w:marRight w:val="0"/>
      <w:marTop w:val="0"/>
      <w:marBottom w:val="0"/>
      <w:divBdr>
        <w:top w:val="none" w:sz="0" w:space="0" w:color="auto"/>
        <w:left w:val="none" w:sz="0" w:space="0" w:color="auto"/>
        <w:bottom w:val="none" w:sz="0" w:space="0" w:color="auto"/>
        <w:right w:val="none" w:sz="0" w:space="0" w:color="auto"/>
      </w:divBdr>
    </w:div>
    <w:div w:id="1020283652">
      <w:bodyDiv w:val="1"/>
      <w:marLeft w:val="0"/>
      <w:marRight w:val="0"/>
      <w:marTop w:val="0"/>
      <w:marBottom w:val="0"/>
      <w:divBdr>
        <w:top w:val="none" w:sz="0" w:space="0" w:color="auto"/>
        <w:left w:val="none" w:sz="0" w:space="0" w:color="auto"/>
        <w:bottom w:val="none" w:sz="0" w:space="0" w:color="auto"/>
        <w:right w:val="none" w:sz="0" w:space="0" w:color="auto"/>
      </w:divBdr>
    </w:div>
    <w:div w:id="1242912824">
      <w:bodyDiv w:val="1"/>
      <w:marLeft w:val="0"/>
      <w:marRight w:val="0"/>
      <w:marTop w:val="0"/>
      <w:marBottom w:val="0"/>
      <w:divBdr>
        <w:top w:val="none" w:sz="0" w:space="0" w:color="auto"/>
        <w:left w:val="none" w:sz="0" w:space="0" w:color="auto"/>
        <w:bottom w:val="none" w:sz="0" w:space="0" w:color="auto"/>
        <w:right w:val="none" w:sz="0" w:space="0" w:color="auto"/>
      </w:divBdr>
    </w:div>
    <w:div w:id="1345403709">
      <w:bodyDiv w:val="1"/>
      <w:marLeft w:val="0"/>
      <w:marRight w:val="0"/>
      <w:marTop w:val="0"/>
      <w:marBottom w:val="0"/>
      <w:divBdr>
        <w:top w:val="none" w:sz="0" w:space="0" w:color="auto"/>
        <w:left w:val="none" w:sz="0" w:space="0" w:color="auto"/>
        <w:bottom w:val="none" w:sz="0" w:space="0" w:color="auto"/>
        <w:right w:val="none" w:sz="0" w:space="0" w:color="auto"/>
      </w:divBdr>
    </w:div>
    <w:div w:id="1362706935">
      <w:bodyDiv w:val="1"/>
      <w:marLeft w:val="0"/>
      <w:marRight w:val="0"/>
      <w:marTop w:val="0"/>
      <w:marBottom w:val="0"/>
      <w:divBdr>
        <w:top w:val="none" w:sz="0" w:space="0" w:color="auto"/>
        <w:left w:val="none" w:sz="0" w:space="0" w:color="auto"/>
        <w:bottom w:val="none" w:sz="0" w:space="0" w:color="auto"/>
        <w:right w:val="none" w:sz="0" w:space="0" w:color="auto"/>
      </w:divBdr>
    </w:div>
    <w:div w:id="1430346058">
      <w:bodyDiv w:val="1"/>
      <w:marLeft w:val="0"/>
      <w:marRight w:val="0"/>
      <w:marTop w:val="0"/>
      <w:marBottom w:val="0"/>
      <w:divBdr>
        <w:top w:val="none" w:sz="0" w:space="0" w:color="auto"/>
        <w:left w:val="none" w:sz="0" w:space="0" w:color="auto"/>
        <w:bottom w:val="none" w:sz="0" w:space="0" w:color="auto"/>
        <w:right w:val="none" w:sz="0" w:space="0" w:color="auto"/>
      </w:divBdr>
    </w:div>
    <w:div w:id="1445540448">
      <w:bodyDiv w:val="1"/>
      <w:marLeft w:val="0"/>
      <w:marRight w:val="0"/>
      <w:marTop w:val="0"/>
      <w:marBottom w:val="0"/>
      <w:divBdr>
        <w:top w:val="none" w:sz="0" w:space="0" w:color="auto"/>
        <w:left w:val="none" w:sz="0" w:space="0" w:color="auto"/>
        <w:bottom w:val="none" w:sz="0" w:space="0" w:color="auto"/>
        <w:right w:val="none" w:sz="0" w:space="0" w:color="auto"/>
      </w:divBdr>
    </w:div>
    <w:div w:id="1510410122">
      <w:bodyDiv w:val="1"/>
      <w:marLeft w:val="0"/>
      <w:marRight w:val="0"/>
      <w:marTop w:val="0"/>
      <w:marBottom w:val="0"/>
      <w:divBdr>
        <w:top w:val="none" w:sz="0" w:space="0" w:color="auto"/>
        <w:left w:val="none" w:sz="0" w:space="0" w:color="auto"/>
        <w:bottom w:val="none" w:sz="0" w:space="0" w:color="auto"/>
        <w:right w:val="none" w:sz="0" w:space="0" w:color="auto"/>
      </w:divBdr>
    </w:div>
    <w:div w:id="1633824165">
      <w:bodyDiv w:val="1"/>
      <w:marLeft w:val="0"/>
      <w:marRight w:val="0"/>
      <w:marTop w:val="0"/>
      <w:marBottom w:val="0"/>
      <w:divBdr>
        <w:top w:val="none" w:sz="0" w:space="0" w:color="auto"/>
        <w:left w:val="none" w:sz="0" w:space="0" w:color="auto"/>
        <w:bottom w:val="none" w:sz="0" w:space="0" w:color="auto"/>
        <w:right w:val="none" w:sz="0" w:space="0" w:color="auto"/>
      </w:divBdr>
    </w:div>
    <w:div w:id="1687292789">
      <w:bodyDiv w:val="1"/>
      <w:marLeft w:val="0"/>
      <w:marRight w:val="0"/>
      <w:marTop w:val="0"/>
      <w:marBottom w:val="0"/>
      <w:divBdr>
        <w:top w:val="none" w:sz="0" w:space="0" w:color="auto"/>
        <w:left w:val="none" w:sz="0" w:space="0" w:color="auto"/>
        <w:bottom w:val="none" w:sz="0" w:space="0" w:color="auto"/>
        <w:right w:val="none" w:sz="0" w:space="0" w:color="auto"/>
      </w:divBdr>
    </w:div>
    <w:div w:id="1719553431">
      <w:bodyDiv w:val="1"/>
      <w:marLeft w:val="0"/>
      <w:marRight w:val="0"/>
      <w:marTop w:val="0"/>
      <w:marBottom w:val="0"/>
      <w:divBdr>
        <w:top w:val="none" w:sz="0" w:space="0" w:color="auto"/>
        <w:left w:val="none" w:sz="0" w:space="0" w:color="auto"/>
        <w:bottom w:val="none" w:sz="0" w:space="0" w:color="auto"/>
        <w:right w:val="none" w:sz="0" w:space="0" w:color="auto"/>
      </w:divBdr>
    </w:div>
    <w:div w:id="1771780620">
      <w:bodyDiv w:val="1"/>
      <w:marLeft w:val="0"/>
      <w:marRight w:val="0"/>
      <w:marTop w:val="0"/>
      <w:marBottom w:val="0"/>
      <w:divBdr>
        <w:top w:val="none" w:sz="0" w:space="0" w:color="auto"/>
        <w:left w:val="none" w:sz="0" w:space="0" w:color="auto"/>
        <w:bottom w:val="none" w:sz="0" w:space="0" w:color="auto"/>
        <w:right w:val="none" w:sz="0" w:space="0" w:color="auto"/>
      </w:divBdr>
    </w:div>
    <w:div w:id="1814906696">
      <w:bodyDiv w:val="1"/>
      <w:marLeft w:val="0"/>
      <w:marRight w:val="0"/>
      <w:marTop w:val="0"/>
      <w:marBottom w:val="0"/>
      <w:divBdr>
        <w:top w:val="none" w:sz="0" w:space="0" w:color="auto"/>
        <w:left w:val="none" w:sz="0" w:space="0" w:color="auto"/>
        <w:bottom w:val="none" w:sz="0" w:space="0" w:color="auto"/>
        <w:right w:val="none" w:sz="0" w:space="0" w:color="auto"/>
      </w:divBdr>
    </w:div>
    <w:div w:id="19163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5.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2.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ozd.duma.gov.ru/bill/201614-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chal\Desktop\&#1041;&#1070;&#1044;&#1046;&#1045;&#1058;%202023-2025\&#1055;&#1040;&#1056;&#1040;&#1052;&#1045;&#1058;&#1056;&#1067;%20&#1041;&#1070;&#1044;&#1046;&#1045;&#1058;&#1040;%202023_202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chal\Desktop\&#1041;&#1070;&#1044;&#1046;&#1045;&#1058;%202023-2025\&#1055;&#1040;&#1056;&#1040;&#1052;&#1045;&#1058;&#1056;&#1067;%20&#1041;&#1070;&#1044;&#1046;&#1045;&#1058;&#1040;%202023_2025.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JOB\&#1060;&#1077;&#1076;&#1077;&#1088;&#1072;&#1083;&#1100;&#1085;&#1099;&#1081;%20&#1073;&#1102;&#1076;&#1078;&#1077;&#1090;%202023-2025\&#1056;&#1072;&#1089;&#1095;&#1077;&#1090;&#109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JOB\&#1060;&#1077;&#1076;&#1077;&#1088;&#1072;&#1083;&#1100;&#1085;&#1099;&#1081;%20&#1073;&#1102;&#1076;&#1078;&#1077;&#1090;%202023-2025\&#1056;&#1072;&#1089;&#1095;&#1077;&#1090;&#109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JOB\&#1060;&#1077;&#1076;&#1077;&#1088;&#1072;&#1083;&#1100;&#1085;&#1099;&#1081;%20&#1073;&#1102;&#1076;&#1078;&#1077;&#1090;%202023-2025\&#1056;&#1072;&#1089;&#1095;&#1077;&#1090;&#109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hal\Desktop\&#1041;&#1070;&#1044;&#1046;&#1045;&#1058;%202023-2025\&#1055;&#1040;&#1056;&#1040;&#1052;&#1045;&#1058;&#1056;&#1067;%20&#1041;&#1070;&#1044;&#1046;&#1045;&#1058;&#1040;%202023_202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076;&#1083;&#1103;%20&#1058;&#1055;&#1055;\&#1047;&#1072;&#1082;&#1083;&#1102;&#1095;&#1077;&#1085;&#1080;&#1077;%20&#1087;&#1086;%20&#1087;&#1088;&#1086;&#1077;&#1082;&#1090;&#1091;%20&#1060;&#1041;\&#1053;&#1077;&#1092;&#1090;&#1077;&#1075;&#1072;&#1079;&#1086;&#1074;&#1099;&#1077;%20&#1076;&#1086;&#1093;&#1086;&#1076;&#109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1076;&#1083;&#1103;%20&#1058;&#1055;&#1055;\&#1047;&#1072;&#1082;&#1083;&#1102;&#1095;&#1077;&#1085;&#1080;&#1077;%20&#1087;&#1086;%20&#1087;&#1088;&#1086;&#1077;&#1082;&#1090;&#1091;%20&#1060;&#1041;\&#1053;&#1077;&#1092;&#1090;&#1077;&#1075;&#1072;&#1079;&#1086;&#1074;&#1099;&#1077;%20&#1076;&#1086;&#1093;&#1086;&#1076;&#109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chal\Desktop\&#1041;&#1070;&#1044;&#1046;&#1045;&#1058;%202023-2025\&#1055;&#1040;&#1056;&#1040;&#1052;&#1045;&#1058;&#1056;&#1067;%20&#1041;&#1070;&#1044;&#1046;&#1045;&#1058;&#1040;%202023_202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1076;&#1083;&#1103;%20&#1058;&#1055;&#1055;\&#1047;&#1072;&#1082;&#1083;&#1102;&#1095;&#1077;&#1085;&#1080;&#1077;%20&#1087;&#1086;%20&#1087;&#1088;&#1086;&#1077;&#1082;&#1090;&#1091;%20&#1060;&#1041;\&#1053;&#1077;&#1092;&#1090;&#1077;&#1075;&#1072;&#1079;&#1086;&#1074;&#1099;&#1077;%20&#1076;&#1086;&#1093;&#1086;&#1076;&#109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1076;&#1083;&#1103;%20&#1058;&#1055;&#1055;\&#1047;&#1072;&#1082;&#1083;&#1102;&#1095;&#1077;&#1085;&#1080;&#1077;%20&#1087;&#1086;%20&#1087;&#1088;&#1086;&#1077;&#1082;&#1090;&#1091;%20&#1060;&#1041;\&#1053;&#1077;&#1092;&#1090;&#1077;&#1075;&#1072;&#1079;&#1086;&#1074;&#1099;&#1077;%20&#1076;&#1086;&#1093;&#1086;&#1076;&#109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1076;&#1083;&#1103;%20&#1058;&#1055;&#1055;\&#1047;&#1072;&#1082;&#1083;&#1102;&#1095;&#1077;&#1085;&#1080;&#1077;%20&#1087;&#1086;%20&#1087;&#1088;&#1086;&#1077;&#1082;&#1090;&#1091;%20&#1060;&#1041;\&#1053;&#1077;&#1092;&#1090;&#1077;&#1075;&#1072;&#1079;&#1086;&#1074;&#1099;&#1077;%20&#1076;&#1086;&#1093;&#1086;&#1076;&#109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1056;&#1072;&#1073;&#1086;&#1095;&#1080;&#1081;%20&#1089;&#1090;&#1086;&#1083;\&#1056;&#1069;&#1040;\2022\&#1041;&#1102;&#1076;&#1078;&#1077;&#1090;\&#1088;&#1072;&#1089;&#1095;&#1077;&#1090;&#109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Лист1!$A$4</c:f>
              <c:strCache>
                <c:ptCount val="1"/>
                <c:pt idx="0">
                  <c:v>Доходы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Лист1!$B$1:$F$3</c:f>
              <c:strCache>
                <c:ptCount val="5"/>
                <c:pt idx="0">
                  <c:v>2021 год (отчет)</c:v>
                </c:pt>
                <c:pt idx="1">
                  <c:v>2022 год (оценка*)</c:v>
                </c:pt>
                <c:pt idx="2">
                  <c:v>2023 год (проект)</c:v>
                </c:pt>
                <c:pt idx="3">
                  <c:v>2024 год (проект)</c:v>
                </c:pt>
                <c:pt idx="4">
                  <c:v>2025 год (проект)</c:v>
                </c:pt>
              </c:strCache>
            </c:strRef>
          </c:cat>
          <c:val>
            <c:numRef>
              <c:f>Лист1!$B$4:$F$4</c:f>
              <c:numCache>
                <c:formatCode>#\ ##0.0</c:formatCode>
                <c:ptCount val="5"/>
                <c:pt idx="0" formatCode="0.0">
                  <c:v>19.3</c:v>
                </c:pt>
                <c:pt idx="1">
                  <c:v>19</c:v>
                </c:pt>
                <c:pt idx="2">
                  <c:v>17.399999999999999</c:v>
                </c:pt>
                <c:pt idx="3">
                  <c:v>17.100000000000001</c:v>
                </c:pt>
                <c:pt idx="4">
                  <c:v>16.399999999999999</c:v>
                </c:pt>
              </c:numCache>
            </c:numRef>
          </c:val>
          <c:extLst>
            <c:ext xmlns:c16="http://schemas.microsoft.com/office/drawing/2014/chart" uri="{C3380CC4-5D6E-409C-BE32-E72D297353CC}">
              <c16:uniqueId val="{00000000-D157-4595-B6F3-39063E3F3898}"/>
            </c:ext>
          </c:extLst>
        </c:ser>
        <c:ser>
          <c:idx val="1"/>
          <c:order val="1"/>
          <c:tx>
            <c:strRef>
              <c:f>Лист1!$A$5</c:f>
              <c:strCache>
                <c:ptCount val="1"/>
                <c:pt idx="0">
                  <c:v>Расходы</c:v>
                </c:pt>
              </c:strCache>
            </c:strRef>
          </c:tx>
          <c:spPr>
            <a:solidFill>
              <a:schemeClr val="accent2"/>
            </a:solidFill>
            <a:ln>
              <a:noFill/>
            </a:ln>
            <a:effectLst/>
            <a:sp3d/>
          </c:spPr>
          <c:invertIfNegative val="0"/>
          <c:dLbls>
            <c:dLbl>
              <c:idx val="0"/>
              <c:layout>
                <c:manualLayout>
                  <c:x val="2.04359673024522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57-4595-B6F3-39063E3F3898}"/>
                </c:ext>
              </c:extLst>
            </c:dLbl>
            <c:dLbl>
              <c:idx val="1"/>
              <c:layout>
                <c:manualLayout>
                  <c:x val="2.043596730245235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57-4595-B6F3-39063E3F3898}"/>
                </c:ext>
              </c:extLst>
            </c:dLbl>
            <c:dLbl>
              <c:idx val="4"/>
              <c:layout>
                <c:manualLayout>
                  <c:x val="2.27066303360579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57-4595-B6F3-39063E3F3898}"/>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Лист1!$B$1:$F$3</c:f>
              <c:strCache>
                <c:ptCount val="5"/>
                <c:pt idx="0">
                  <c:v>2021 год (отчет)</c:v>
                </c:pt>
                <c:pt idx="1">
                  <c:v>2022 год (оценка*)</c:v>
                </c:pt>
                <c:pt idx="2">
                  <c:v>2023 год (проект)</c:v>
                </c:pt>
                <c:pt idx="3">
                  <c:v>2024 год (проект)</c:v>
                </c:pt>
                <c:pt idx="4">
                  <c:v>2025 год (проект)</c:v>
                </c:pt>
              </c:strCache>
            </c:strRef>
          </c:cat>
          <c:val>
            <c:numRef>
              <c:f>Лист1!$B$5:$F$5</c:f>
              <c:numCache>
                <c:formatCode>#\ ##0.0</c:formatCode>
                <c:ptCount val="5"/>
                <c:pt idx="0" formatCode="0.0">
                  <c:v>18.899999999999999</c:v>
                </c:pt>
                <c:pt idx="1">
                  <c:v>19.899999999999999</c:v>
                </c:pt>
                <c:pt idx="2">
                  <c:v>19.399999999999999</c:v>
                </c:pt>
                <c:pt idx="3">
                  <c:v>18.399999999999999</c:v>
                </c:pt>
                <c:pt idx="4">
                  <c:v>17.100000000000001</c:v>
                </c:pt>
              </c:numCache>
            </c:numRef>
          </c:val>
          <c:extLst>
            <c:ext xmlns:c16="http://schemas.microsoft.com/office/drawing/2014/chart" uri="{C3380CC4-5D6E-409C-BE32-E72D297353CC}">
              <c16:uniqueId val="{00000004-D157-4595-B6F3-39063E3F3898}"/>
            </c:ext>
          </c:extLst>
        </c:ser>
        <c:ser>
          <c:idx val="2"/>
          <c:order val="2"/>
          <c:tx>
            <c:strRef>
              <c:f>Лист1!$A$6</c:f>
              <c:strCache>
                <c:ptCount val="1"/>
                <c:pt idx="0">
                  <c:v>Дефицит</c:v>
                </c:pt>
              </c:strCache>
            </c:strRef>
          </c:tx>
          <c:spPr>
            <a:solidFill>
              <a:schemeClr val="accent3"/>
            </a:solidFill>
            <a:ln>
              <a:noFill/>
            </a:ln>
            <a:effectLst/>
            <a:sp3d/>
          </c:spPr>
          <c:invertIfNegative val="0"/>
          <c:dLbls>
            <c:dLbl>
              <c:idx val="0"/>
              <c:layout>
                <c:manualLayout>
                  <c:x val="1.5894641235240689E-2"/>
                  <c:y val="-1.252262400788851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157-4595-B6F3-39063E3F3898}"/>
                </c:ext>
              </c:extLst>
            </c:dLbl>
            <c:dLbl>
              <c:idx val="1"/>
              <c:layout>
                <c:manualLayout>
                  <c:x val="1.3623978201634836E-2"/>
                  <c:y val="3.4153274385783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57-4595-B6F3-39063E3F3898}"/>
                </c:ext>
              </c:extLst>
            </c:dLbl>
            <c:dLbl>
              <c:idx val="2"/>
              <c:layout>
                <c:manualLayout>
                  <c:x val="4.5413260672116255E-2"/>
                  <c:y val="4.4399444946430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57-4595-B6F3-39063E3F3898}"/>
                </c:ext>
              </c:extLst>
            </c:dLbl>
            <c:dLbl>
              <c:idx val="3"/>
              <c:layout>
                <c:manualLayout>
                  <c:x val="4.314259763851036E-2"/>
                  <c:y val="4.0984144399982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157-4595-B6F3-39063E3F3898}"/>
                </c:ext>
              </c:extLst>
            </c:dLbl>
            <c:dLbl>
              <c:idx val="4"/>
              <c:layout>
                <c:manualLayout>
                  <c:x val="4.0871934604904632E-2"/>
                  <c:y val="3.0737973839335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157-4595-B6F3-39063E3F3898}"/>
                </c:ext>
              </c:extLst>
            </c:dLbl>
            <c:spPr>
              <a:noFill/>
              <a:ln>
                <a:noFill/>
              </a:ln>
              <a:effectLst/>
            </c:spPr>
            <c:txPr>
              <a:bodyPr rot="0" spcFirstLastPara="1" vertOverflow="ellipsis" vert="horz" wrap="square" lIns="38100" tIns="19050" rIns="38100" bIns="19050" anchor="t" anchorCtr="0">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Лист1!$B$1:$F$3</c:f>
              <c:strCache>
                <c:ptCount val="5"/>
                <c:pt idx="0">
                  <c:v>2021 год (отчет)</c:v>
                </c:pt>
                <c:pt idx="1">
                  <c:v>2022 год (оценка*)</c:v>
                </c:pt>
                <c:pt idx="2">
                  <c:v>2023 год (проект)</c:v>
                </c:pt>
                <c:pt idx="3">
                  <c:v>2024 год (проект)</c:v>
                </c:pt>
                <c:pt idx="4">
                  <c:v>2025 год (проект)</c:v>
                </c:pt>
              </c:strCache>
            </c:strRef>
          </c:cat>
          <c:val>
            <c:numRef>
              <c:f>Лист1!$B$6:$F$6</c:f>
              <c:numCache>
                <c:formatCode>#\ ##0.0</c:formatCode>
                <c:ptCount val="5"/>
                <c:pt idx="0" formatCode="0.0">
                  <c:v>0.4</c:v>
                </c:pt>
                <c:pt idx="1">
                  <c:v>-0.9</c:v>
                </c:pt>
                <c:pt idx="2">
                  <c:v>-2</c:v>
                </c:pt>
                <c:pt idx="3">
                  <c:v>-1.4</c:v>
                </c:pt>
                <c:pt idx="4">
                  <c:v>-0.7</c:v>
                </c:pt>
              </c:numCache>
            </c:numRef>
          </c:val>
          <c:extLst>
            <c:ext xmlns:c16="http://schemas.microsoft.com/office/drawing/2014/chart" uri="{C3380CC4-5D6E-409C-BE32-E72D297353CC}">
              <c16:uniqueId val="{00000005-D157-4595-B6F3-39063E3F3898}"/>
            </c:ext>
          </c:extLst>
        </c:ser>
        <c:dLbls>
          <c:showLegendKey val="0"/>
          <c:showVal val="0"/>
          <c:showCatName val="0"/>
          <c:showSerName val="0"/>
          <c:showPercent val="0"/>
          <c:showBubbleSize val="0"/>
        </c:dLbls>
        <c:gapWidth val="150"/>
        <c:shape val="box"/>
        <c:axId val="1198260063"/>
        <c:axId val="1198261727"/>
        <c:axId val="0"/>
      </c:bar3DChart>
      <c:catAx>
        <c:axId val="11982600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1198261727"/>
        <c:crosses val="autoZero"/>
        <c:auto val="1"/>
        <c:lblAlgn val="ctr"/>
        <c:lblOffset val="100"/>
        <c:noMultiLvlLbl val="0"/>
      </c:catAx>
      <c:valAx>
        <c:axId val="119826172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98260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'расходы ФБ'!$A$108</c:f>
              <c:strCache>
                <c:ptCount val="1"/>
                <c:pt idx="0">
                  <c:v>Образование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'расходы ФБ'!$B$107:$E$107</c:f>
              <c:numCache>
                <c:formatCode>General</c:formatCode>
                <c:ptCount val="4"/>
                <c:pt idx="0">
                  <c:v>2022</c:v>
                </c:pt>
                <c:pt idx="1">
                  <c:v>2023</c:v>
                </c:pt>
                <c:pt idx="2">
                  <c:v>2024</c:v>
                </c:pt>
                <c:pt idx="3">
                  <c:v>2025</c:v>
                </c:pt>
              </c:numCache>
            </c:numRef>
          </c:cat>
          <c:val>
            <c:numRef>
              <c:f>'расходы ФБ'!$B$108:$E$108</c:f>
              <c:numCache>
                <c:formatCode>0.00%</c:formatCode>
                <c:ptCount val="4"/>
                <c:pt idx="0">
                  <c:v>4.4999999999999998E-2</c:v>
                </c:pt>
                <c:pt idx="1">
                  <c:v>4.7E-2</c:v>
                </c:pt>
                <c:pt idx="2">
                  <c:v>4.8000000000000001E-2</c:v>
                </c:pt>
                <c:pt idx="3">
                  <c:v>4.1000000000000002E-2</c:v>
                </c:pt>
              </c:numCache>
            </c:numRef>
          </c:val>
          <c:extLst>
            <c:ext xmlns:c16="http://schemas.microsoft.com/office/drawing/2014/chart" uri="{C3380CC4-5D6E-409C-BE32-E72D297353CC}">
              <c16:uniqueId val="{00000000-A7A1-4CD8-A66A-4CECAC9EB58B}"/>
            </c:ext>
          </c:extLst>
        </c:ser>
        <c:ser>
          <c:idx val="1"/>
          <c:order val="1"/>
          <c:tx>
            <c:strRef>
              <c:f>'расходы ФБ'!$A$109</c:f>
              <c:strCache>
                <c:ptCount val="1"/>
                <c:pt idx="0">
                  <c:v>Культура, кинематография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'расходы ФБ'!$B$107:$E$107</c:f>
              <c:numCache>
                <c:formatCode>General</c:formatCode>
                <c:ptCount val="4"/>
                <c:pt idx="0">
                  <c:v>2022</c:v>
                </c:pt>
                <c:pt idx="1">
                  <c:v>2023</c:v>
                </c:pt>
                <c:pt idx="2">
                  <c:v>2024</c:v>
                </c:pt>
                <c:pt idx="3">
                  <c:v>2025</c:v>
                </c:pt>
              </c:numCache>
            </c:numRef>
          </c:cat>
          <c:val>
            <c:numRef>
              <c:f>'расходы ФБ'!$B$109:$E$109</c:f>
              <c:numCache>
                <c:formatCode>0.00%</c:formatCode>
                <c:ptCount val="4"/>
                <c:pt idx="0">
                  <c:v>6.0000000000000001E-3</c:v>
                </c:pt>
                <c:pt idx="1">
                  <c:v>7.0000000000000001E-3</c:v>
                </c:pt>
                <c:pt idx="2">
                  <c:v>7.0000000000000001E-3</c:v>
                </c:pt>
                <c:pt idx="3">
                  <c:v>6.0000000000000001E-3</c:v>
                </c:pt>
              </c:numCache>
            </c:numRef>
          </c:val>
          <c:extLst>
            <c:ext xmlns:c16="http://schemas.microsoft.com/office/drawing/2014/chart" uri="{C3380CC4-5D6E-409C-BE32-E72D297353CC}">
              <c16:uniqueId val="{00000001-A7A1-4CD8-A66A-4CECAC9EB58B}"/>
            </c:ext>
          </c:extLst>
        </c:ser>
        <c:ser>
          <c:idx val="2"/>
          <c:order val="2"/>
          <c:tx>
            <c:strRef>
              <c:f>'расходы ФБ'!$A$110</c:f>
              <c:strCache>
                <c:ptCount val="1"/>
                <c:pt idx="0">
                  <c:v>Здравоохранение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'расходы ФБ'!$B$107:$E$107</c:f>
              <c:numCache>
                <c:formatCode>General</c:formatCode>
                <c:ptCount val="4"/>
                <c:pt idx="0">
                  <c:v>2022</c:v>
                </c:pt>
                <c:pt idx="1">
                  <c:v>2023</c:v>
                </c:pt>
                <c:pt idx="2">
                  <c:v>2024</c:v>
                </c:pt>
                <c:pt idx="3">
                  <c:v>2025</c:v>
                </c:pt>
              </c:numCache>
            </c:numRef>
          </c:cat>
          <c:val>
            <c:numRef>
              <c:f>'расходы ФБ'!$B$110:$E$110</c:f>
              <c:numCache>
                <c:formatCode>0.00%</c:formatCode>
                <c:ptCount val="4"/>
                <c:pt idx="0">
                  <c:v>4.4999999999999998E-2</c:v>
                </c:pt>
                <c:pt idx="1">
                  <c:v>4.9000000000000002E-2</c:v>
                </c:pt>
                <c:pt idx="2">
                  <c:v>4.9000000000000002E-2</c:v>
                </c:pt>
                <c:pt idx="3">
                  <c:v>0.05</c:v>
                </c:pt>
              </c:numCache>
            </c:numRef>
          </c:val>
          <c:extLst>
            <c:ext xmlns:c16="http://schemas.microsoft.com/office/drawing/2014/chart" uri="{C3380CC4-5D6E-409C-BE32-E72D297353CC}">
              <c16:uniqueId val="{00000002-A7A1-4CD8-A66A-4CECAC9EB58B}"/>
            </c:ext>
          </c:extLst>
        </c:ser>
        <c:ser>
          <c:idx val="3"/>
          <c:order val="3"/>
          <c:tx>
            <c:strRef>
              <c:f>'расходы ФБ'!$A$111</c:f>
              <c:strCache>
                <c:ptCount val="1"/>
                <c:pt idx="0">
                  <c:v>Социальная политика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'расходы ФБ'!$B$107:$E$107</c:f>
              <c:numCache>
                <c:formatCode>General</c:formatCode>
                <c:ptCount val="4"/>
                <c:pt idx="0">
                  <c:v>2022</c:v>
                </c:pt>
                <c:pt idx="1">
                  <c:v>2023</c:v>
                </c:pt>
                <c:pt idx="2">
                  <c:v>2024</c:v>
                </c:pt>
                <c:pt idx="3">
                  <c:v>2025</c:v>
                </c:pt>
              </c:numCache>
            </c:numRef>
          </c:cat>
          <c:val>
            <c:numRef>
              <c:f>'расходы ФБ'!$B$111:$E$111</c:f>
              <c:numCache>
                <c:formatCode>0.00%</c:formatCode>
                <c:ptCount val="4"/>
                <c:pt idx="0">
                  <c:v>0.21099999999999999</c:v>
                </c:pt>
                <c:pt idx="1">
                  <c:v>0.252</c:v>
                </c:pt>
                <c:pt idx="2">
                  <c:v>0.247</c:v>
                </c:pt>
                <c:pt idx="3">
                  <c:v>0.24399999999999999</c:v>
                </c:pt>
              </c:numCache>
            </c:numRef>
          </c:val>
          <c:extLst>
            <c:ext xmlns:c16="http://schemas.microsoft.com/office/drawing/2014/chart" uri="{C3380CC4-5D6E-409C-BE32-E72D297353CC}">
              <c16:uniqueId val="{00000003-A7A1-4CD8-A66A-4CECAC9EB58B}"/>
            </c:ext>
          </c:extLst>
        </c:ser>
        <c:ser>
          <c:idx val="4"/>
          <c:order val="4"/>
          <c:tx>
            <c:strRef>
              <c:f>'расходы ФБ'!$A$112</c:f>
              <c:strCache>
                <c:ptCount val="1"/>
                <c:pt idx="0">
                  <c:v>Физическая культура и спорт</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'расходы ФБ'!$B$107:$E$107</c:f>
              <c:numCache>
                <c:formatCode>General</c:formatCode>
                <c:ptCount val="4"/>
                <c:pt idx="0">
                  <c:v>2022</c:v>
                </c:pt>
                <c:pt idx="1">
                  <c:v>2023</c:v>
                </c:pt>
                <c:pt idx="2">
                  <c:v>2024</c:v>
                </c:pt>
                <c:pt idx="3">
                  <c:v>2025</c:v>
                </c:pt>
              </c:numCache>
            </c:numRef>
          </c:cat>
          <c:val>
            <c:numRef>
              <c:f>'расходы ФБ'!$B$112:$E$112</c:f>
              <c:numCache>
                <c:formatCode>0.00%</c:formatCode>
                <c:ptCount val="4"/>
                <c:pt idx="0">
                  <c:v>3.0000000000000001E-3</c:v>
                </c:pt>
                <c:pt idx="1">
                  <c:v>2E-3</c:v>
                </c:pt>
                <c:pt idx="2">
                  <c:v>2E-3</c:v>
                </c:pt>
                <c:pt idx="3">
                  <c:v>2E-3</c:v>
                </c:pt>
              </c:numCache>
            </c:numRef>
          </c:val>
          <c:extLst>
            <c:ext xmlns:c16="http://schemas.microsoft.com/office/drawing/2014/chart" uri="{C3380CC4-5D6E-409C-BE32-E72D297353CC}">
              <c16:uniqueId val="{00000004-A7A1-4CD8-A66A-4CECAC9EB58B}"/>
            </c:ext>
          </c:extLst>
        </c:ser>
        <c:dLbls>
          <c:showLegendKey val="0"/>
          <c:showVal val="0"/>
          <c:showCatName val="0"/>
          <c:showSerName val="0"/>
          <c:showPercent val="0"/>
          <c:showBubbleSize val="0"/>
        </c:dLbls>
        <c:gapWidth val="150"/>
        <c:overlap val="100"/>
        <c:axId val="1340890095"/>
        <c:axId val="1340889679"/>
      </c:barChart>
      <c:catAx>
        <c:axId val="1340890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340889679"/>
        <c:crosses val="autoZero"/>
        <c:auto val="1"/>
        <c:lblAlgn val="ctr"/>
        <c:lblOffset val="100"/>
        <c:noMultiLvlLbl val="0"/>
      </c:catAx>
      <c:valAx>
        <c:axId val="13408896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0890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'Основные характеристики'!$B$24</c:f>
              <c:strCache>
                <c:ptCount val="1"/>
                <c:pt idx="0">
                  <c:v>Расходы на нацпроекты, млрд руб.</c:v>
                </c:pt>
              </c:strCache>
            </c:strRef>
          </c:tx>
          <c:spPr>
            <a:pattFill prst="wdUpDiag">
              <a:fgClr>
                <a:schemeClr val="accent1"/>
              </a:fgClr>
              <a:bgClr>
                <a:schemeClr val="bg1"/>
              </a:bgClr>
            </a:pattFill>
            <a:ln>
              <a:solidFill>
                <a:schemeClr val="tx1"/>
              </a:solidFill>
            </a:ln>
            <a:effectLst/>
          </c:spPr>
          <c:invertIfNegative val="0"/>
          <c:cat>
            <c:numRef>
              <c:f>'Основные характеристики'!$C$21:$G$21</c:f>
              <c:numCache>
                <c:formatCode>General</c:formatCode>
                <c:ptCount val="5"/>
                <c:pt idx="0">
                  <c:v>2021</c:v>
                </c:pt>
                <c:pt idx="1">
                  <c:v>2022</c:v>
                </c:pt>
                <c:pt idx="2">
                  <c:v>2023</c:v>
                </c:pt>
                <c:pt idx="3">
                  <c:v>2024</c:v>
                </c:pt>
              </c:numCache>
            </c:numRef>
          </c:cat>
          <c:val>
            <c:numRef>
              <c:f>'Основные характеристики'!$C$24:$F$24</c:f>
              <c:numCache>
                <c:formatCode>#,##0.00</c:formatCode>
                <c:ptCount val="4"/>
                <c:pt idx="0">
                  <c:v>2549</c:v>
                </c:pt>
                <c:pt idx="1">
                  <c:v>3180.1</c:v>
                </c:pt>
                <c:pt idx="2">
                  <c:v>2869.0343999999996</c:v>
                </c:pt>
                <c:pt idx="3">
                  <c:v>2969.6697999999997</c:v>
                </c:pt>
              </c:numCache>
            </c:numRef>
          </c:val>
          <c:extLst>
            <c:ext xmlns:c16="http://schemas.microsoft.com/office/drawing/2014/chart" uri="{C3380CC4-5D6E-409C-BE32-E72D297353CC}">
              <c16:uniqueId val="{00000000-0D9B-4E39-87D3-321A3327B16A}"/>
            </c:ext>
          </c:extLst>
        </c:ser>
        <c:dLbls>
          <c:showLegendKey val="0"/>
          <c:showVal val="0"/>
          <c:showCatName val="0"/>
          <c:showSerName val="0"/>
          <c:showPercent val="0"/>
          <c:showBubbleSize val="0"/>
        </c:dLbls>
        <c:gapWidth val="219"/>
        <c:overlap val="-27"/>
        <c:axId val="429621600"/>
        <c:axId val="429614056"/>
      </c:barChart>
      <c:lineChart>
        <c:grouping val="stacked"/>
        <c:varyColors val="0"/>
        <c:ser>
          <c:idx val="2"/>
          <c:order val="1"/>
          <c:tx>
            <c:strRef>
              <c:f>'Основные характеристики'!$B$25</c:f>
              <c:strCache>
                <c:ptCount val="1"/>
                <c:pt idx="0">
                  <c:v>Расходы на нацпроекты, % к расходам ФБ</c:v>
                </c:pt>
              </c:strCache>
            </c:strRef>
          </c:tx>
          <c:spPr>
            <a:ln w="28575" cap="rnd">
              <a:solidFill>
                <a:schemeClr val="tx2"/>
              </a:solidFill>
              <a:round/>
            </a:ln>
            <a:effectLst/>
          </c:spPr>
          <c:marker>
            <c:symbol val="circle"/>
            <c:size val="5"/>
            <c:spPr>
              <a:solidFill>
                <a:schemeClr val="tx2"/>
              </a:solidFill>
              <a:ln w="9525">
                <a:solidFill>
                  <a:schemeClr val="tx2"/>
                </a:solidFill>
              </a:ln>
              <a:effectLst/>
            </c:spPr>
          </c:marker>
          <c:dLbls>
            <c:dLbl>
              <c:idx val="0"/>
              <c:layout>
                <c:manualLayout>
                  <c:x val="2.5881594152266804E-2"/>
                  <c:y val="-6.856840263388183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9B-4E39-87D3-321A3327B16A}"/>
                </c:ext>
              </c:extLst>
            </c:dLbl>
            <c:dLbl>
              <c:idx val="1"/>
              <c:layout>
                <c:manualLayout>
                  <c:x val="2.5881594152266804E-2"/>
                  <c:y val="-5.3640465994382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9B-4E39-87D3-321A3327B16A}"/>
                </c:ext>
              </c:extLst>
            </c:dLbl>
            <c:dLbl>
              <c:idx val="2"/>
              <c:layout>
                <c:manualLayout>
                  <c:x val="3.100104807718148E-2"/>
                  <c:y val="2.8230879034857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9B-4E39-87D3-321A3327B16A}"/>
                </c:ext>
              </c:extLst>
            </c:dLbl>
            <c:dLbl>
              <c:idx val="3"/>
              <c:layout>
                <c:manualLayout>
                  <c:x val="2.5881594152266638E-2"/>
                  <c:y val="2.23829258184832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9B-4E39-87D3-321A3327B1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'Основные характеристики'!$C$21:$G$21</c:f>
              <c:numCache>
                <c:formatCode>General</c:formatCode>
                <c:ptCount val="5"/>
                <c:pt idx="0">
                  <c:v>2021</c:v>
                </c:pt>
                <c:pt idx="1">
                  <c:v>2022</c:v>
                </c:pt>
                <c:pt idx="2">
                  <c:v>2023</c:v>
                </c:pt>
                <c:pt idx="3">
                  <c:v>2024</c:v>
                </c:pt>
              </c:numCache>
            </c:numRef>
          </c:cat>
          <c:val>
            <c:numRef>
              <c:f>'Основные характеристики'!$C$25:$F$25</c:f>
              <c:numCache>
                <c:formatCode>#,##0.00</c:formatCode>
                <c:ptCount val="4"/>
                <c:pt idx="0">
                  <c:v>10.293957297644384</c:v>
                </c:pt>
                <c:pt idx="1">
                  <c:v>10.963518144396714</c:v>
                </c:pt>
                <c:pt idx="2">
                  <c:v>9.8742906703010771</c:v>
                </c:pt>
                <c:pt idx="3">
                  <c:v>10.089764036354369</c:v>
                </c:pt>
              </c:numCache>
            </c:numRef>
          </c:val>
          <c:smooth val="0"/>
          <c:extLst>
            <c:ext xmlns:c16="http://schemas.microsoft.com/office/drawing/2014/chart" uri="{C3380CC4-5D6E-409C-BE32-E72D297353CC}">
              <c16:uniqueId val="{00000005-0D9B-4E39-87D3-321A3327B16A}"/>
            </c:ext>
          </c:extLst>
        </c:ser>
        <c:dLbls>
          <c:showLegendKey val="0"/>
          <c:showVal val="0"/>
          <c:showCatName val="0"/>
          <c:showSerName val="0"/>
          <c:showPercent val="0"/>
          <c:showBubbleSize val="0"/>
        </c:dLbls>
        <c:marker val="1"/>
        <c:smooth val="0"/>
        <c:axId val="530348560"/>
        <c:axId val="525844104"/>
      </c:lineChart>
      <c:catAx>
        <c:axId val="42962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9614056"/>
        <c:crosses val="autoZero"/>
        <c:auto val="1"/>
        <c:lblAlgn val="ctr"/>
        <c:lblOffset val="100"/>
        <c:noMultiLvlLbl val="0"/>
      </c:catAx>
      <c:valAx>
        <c:axId val="429614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9621600"/>
        <c:crosses val="autoZero"/>
        <c:crossBetween val="between"/>
      </c:valAx>
      <c:valAx>
        <c:axId val="52584410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0348560"/>
        <c:crosses val="max"/>
        <c:crossBetween val="between"/>
      </c:valAx>
      <c:catAx>
        <c:axId val="530348560"/>
        <c:scaling>
          <c:orientation val="minMax"/>
        </c:scaling>
        <c:delete val="1"/>
        <c:axPos val="b"/>
        <c:numFmt formatCode="General" sourceLinked="1"/>
        <c:majorTickMark val="out"/>
        <c:minorTickMark val="none"/>
        <c:tickLblPos val="nextTo"/>
        <c:crossAx val="525844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'Основные характеристики'!$B$40</c:f>
              <c:strCache>
                <c:ptCount val="1"/>
                <c:pt idx="0">
                  <c:v>Расходы на реализацию государственных программ, млн руб.</c:v>
                </c:pt>
              </c:strCache>
            </c:strRef>
          </c:tx>
          <c:spPr>
            <a:pattFill prst="wdDnDiag">
              <a:fgClr>
                <a:schemeClr val="tx2"/>
              </a:fgClr>
              <a:bgClr>
                <a:schemeClr val="bg1"/>
              </a:bgClr>
            </a:pattFill>
            <a:ln>
              <a:solidFill>
                <a:schemeClr val="tx1"/>
              </a:solidFill>
            </a:ln>
            <a:effectLst/>
          </c:spPr>
          <c:invertIfNegative val="0"/>
          <c:dLbls>
            <c:dLbl>
              <c:idx val="0"/>
              <c:layout>
                <c:manualLayout>
                  <c:x val="8.7888531618435156E-2"/>
                  <c:y val="0.349726775956284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BD-4B27-A5FC-28B4B11F1A09}"/>
                </c:ext>
              </c:extLst>
            </c:dLbl>
            <c:dLbl>
              <c:idx val="1"/>
              <c:layout>
                <c:manualLayout>
                  <c:x val="-9.2175777063236916E-2"/>
                  <c:y val="0.2622950819672131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BD-4B27-A5FC-28B4B11F1A09}"/>
                </c:ext>
              </c:extLst>
            </c:dLbl>
            <c:dLbl>
              <c:idx val="2"/>
              <c:layout>
                <c:manualLayout>
                  <c:x val="-9.2175777063236944E-2"/>
                  <c:y val="0.2021857923497267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BD-4B27-A5FC-28B4B11F1A09}"/>
                </c:ext>
              </c:extLst>
            </c:dLbl>
            <c:dLbl>
              <c:idx val="3"/>
              <c:layout>
                <c:manualLayout>
                  <c:x val="-8.3601286173633438E-2"/>
                  <c:y val="0.2076502732240437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BD-4B27-A5FC-28B4B11F1A0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'Основные характеристики'!$C$38:$F$38</c:f>
              <c:numCache>
                <c:formatCode>General</c:formatCode>
                <c:ptCount val="4"/>
                <c:pt idx="0">
                  <c:v>2022</c:v>
                </c:pt>
                <c:pt idx="1">
                  <c:v>2023</c:v>
                </c:pt>
                <c:pt idx="2">
                  <c:v>2024</c:v>
                </c:pt>
                <c:pt idx="3">
                  <c:v>2025</c:v>
                </c:pt>
              </c:numCache>
            </c:numRef>
          </c:cat>
          <c:val>
            <c:numRef>
              <c:f>'Основные характеристики'!$C$40:$F$40</c:f>
              <c:numCache>
                <c:formatCode>#,##0.00</c:formatCode>
                <c:ptCount val="4"/>
                <c:pt idx="0">
                  <c:v>22705362</c:v>
                </c:pt>
                <c:pt idx="1">
                  <c:v>20644323.600000001</c:v>
                </c:pt>
                <c:pt idx="2">
                  <c:v>20874223</c:v>
                </c:pt>
                <c:pt idx="3">
                  <c:v>20301201</c:v>
                </c:pt>
              </c:numCache>
            </c:numRef>
          </c:val>
          <c:extLst>
            <c:ext xmlns:c16="http://schemas.microsoft.com/office/drawing/2014/chart" uri="{C3380CC4-5D6E-409C-BE32-E72D297353CC}">
              <c16:uniqueId val="{00000004-C0BD-4B27-A5FC-28B4B11F1A09}"/>
            </c:ext>
          </c:extLst>
        </c:ser>
        <c:dLbls>
          <c:showLegendKey val="0"/>
          <c:showVal val="0"/>
          <c:showCatName val="0"/>
          <c:showSerName val="0"/>
          <c:showPercent val="0"/>
          <c:showBubbleSize val="0"/>
        </c:dLbls>
        <c:gapWidth val="219"/>
        <c:overlap val="-27"/>
        <c:axId val="497054024"/>
        <c:axId val="497055336"/>
      </c:barChart>
      <c:lineChart>
        <c:grouping val="standard"/>
        <c:varyColors val="0"/>
        <c:ser>
          <c:idx val="1"/>
          <c:order val="1"/>
          <c:tx>
            <c:strRef>
              <c:f>'Основные характеристики'!$B$41</c:f>
              <c:strCache>
                <c:ptCount val="1"/>
                <c:pt idx="0">
                  <c:v>Програмные расходы, в совокупных расходах, %</c:v>
                </c:pt>
              </c:strCache>
            </c:strRef>
          </c:tx>
          <c:spPr>
            <a:ln w="28575" cap="rnd">
              <a:solidFill>
                <a:schemeClr val="tx2"/>
              </a:solidFill>
              <a:round/>
            </a:ln>
            <a:effectLst/>
          </c:spPr>
          <c:marker>
            <c:symbol val="none"/>
          </c:marker>
          <c:dLbls>
            <c:dLbl>
              <c:idx val="0"/>
              <c:layout>
                <c:manualLayout>
                  <c:x val="2.7068553729819141E-2"/>
                  <c:y val="-3.9194096639559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BD-4B27-A5FC-28B4B11F1A09}"/>
                </c:ext>
              </c:extLst>
            </c:dLbl>
            <c:dLbl>
              <c:idx val="1"/>
              <c:layout>
                <c:manualLayout>
                  <c:x val="-2.6522014330202293E-2"/>
                  <c:y val="-0.1375547523772643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BD-4B27-A5FC-28B4B11F1A09}"/>
                </c:ext>
              </c:extLst>
            </c:dLbl>
            <c:dLbl>
              <c:idx val="2"/>
              <c:layout>
                <c:manualLayout>
                  <c:x val="-4.795824155421087E-2"/>
                  <c:y val="-0.2085930037433845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BD-4B27-A5FC-28B4B11F1A09}"/>
                </c:ext>
              </c:extLst>
            </c:dLbl>
            <c:dLbl>
              <c:idx val="3"/>
              <c:layout>
                <c:manualLayout>
                  <c:x val="-2.9421643837928618E-3"/>
                  <c:y val="-6.65165010111441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0BD-4B27-A5FC-28B4B11F1A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'Основные характеристики'!$C$38:$F$38</c:f>
              <c:numCache>
                <c:formatCode>General</c:formatCode>
                <c:ptCount val="4"/>
                <c:pt idx="0">
                  <c:v>2022</c:v>
                </c:pt>
                <c:pt idx="1">
                  <c:v>2023</c:v>
                </c:pt>
                <c:pt idx="2">
                  <c:v>2024</c:v>
                </c:pt>
                <c:pt idx="3">
                  <c:v>2025</c:v>
                </c:pt>
              </c:numCache>
            </c:numRef>
          </c:cat>
          <c:val>
            <c:numRef>
              <c:f>'Основные характеристики'!$C$41:$F$41</c:f>
              <c:numCache>
                <c:formatCode>0.00%</c:formatCode>
                <c:ptCount val="4"/>
                <c:pt idx="0">
                  <c:v>0.82199999999999995</c:v>
                </c:pt>
                <c:pt idx="1">
                  <c:v>0.71099999999999997</c:v>
                </c:pt>
                <c:pt idx="2">
                  <c:v>0.70899999999999996</c:v>
                </c:pt>
                <c:pt idx="3">
                  <c:v>0.69399999999999995</c:v>
                </c:pt>
              </c:numCache>
            </c:numRef>
          </c:val>
          <c:smooth val="0"/>
          <c:extLst>
            <c:ext xmlns:c16="http://schemas.microsoft.com/office/drawing/2014/chart" uri="{C3380CC4-5D6E-409C-BE32-E72D297353CC}">
              <c16:uniqueId val="{00000009-C0BD-4B27-A5FC-28B4B11F1A09}"/>
            </c:ext>
          </c:extLst>
        </c:ser>
        <c:dLbls>
          <c:showLegendKey val="0"/>
          <c:showVal val="0"/>
          <c:showCatName val="0"/>
          <c:showSerName val="0"/>
          <c:showPercent val="0"/>
          <c:showBubbleSize val="0"/>
        </c:dLbls>
        <c:marker val="1"/>
        <c:smooth val="0"/>
        <c:axId val="497048120"/>
        <c:axId val="497049104"/>
      </c:lineChart>
      <c:catAx>
        <c:axId val="49705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7055336"/>
        <c:crosses val="autoZero"/>
        <c:auto val="1"/>
        <c:lblAlgn val="ctr"/>
        <c:lblOffset val="100"/>
        <c:noMultiLvlLbl val="0"/>
      </c:catAx>
      <c:valAx>
        <c:axId val="497055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7054024"/>
        <c:crosses val="autoZero"/>
        <c:crossBetween val="between"/>
      </c:valAx>
      <c:valAx>
        <c:axId val="497049104"/>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7048120"/>
        <c:crosses val="max"/>
        <c:crossBetween val="between"/>
      </c:valAx>
      <c:catAx>
        <c:axId val="497048120"/>
        <c:scaling>
          <c:orientation val="minMax"/>
        </c:scaling>
        <c:delete val="1"/>
        <c:axPos val="b"/>
        <c:numFmt formatCode="General" sourceLinked="1"/>
        <c:majorTickMark val="none"/>
        <c:minorTickMark val="none"/>
        <c:tickLblPos val="nextTo"/>
        <c:crossAx val="497049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Лист20!$C$2</c:f>
              <c:strCache>
                <c:ptCount val="1"/>
                <c:pt idx="0">
                  <c:v>2023</c:v>
                </c:pt>
              </c:strCache>
            </c:strRef>
          </c:tx>
          <c:spPr>
            <a:solidFill>
              <a:schemeClr val="accent1">
                <a:shade val="6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Лист20!$B$3:$B$11</c:f>
              <c:strCache>
                <c:ptCount val="9"/>
                <c:pt idx="0">
                  <c:v>Сохранение населения, здоровье и благополучие людей</c:v>
                </c:pt>
                <c:pt idx="1">
                  <c:v>Комфортная и безопасная среда для жизни</c:v>
                </c:pt>
                <c:pt idx="2">
                  <c:v>Расходы на реализацию государственных программ (закрытая часть)</c:v>
                </c:pt>
                <c:pt idx="3">
                  <c:v>Достойный, эффективный труд и успешное предпринимательство</c:v>
                </c:pt>
                <c:pt idx="4">
                  <c:v>Обеспечение национальной безопасности и международного сотрудничества</c:v>
                </c:pt>
                <c:pt idx="5">
                  <c:v>Развитие науки, промышленности и технологий</c:v>
                </c:pt>
                <c:pt idx="6">
                  <c:v>Сбалансированное региональное развитие</c:v>
                </c:pt>
                <c:pt idx="7">
                  <c:v>Возможности для самореализации и развития талантов</c:v>
                </c:pt>
                <c:pt idx="8">
                  <c:v>Цифровая трансформация</c:v>
                </c:pt>
              </c:strCache>
            </c:strRef>
          </c:cat>
          <c:val>
            <c:numRef>
              <c:f>Лист20!$C$3:$C$11</c:f>
              <c:numCache>
                <c:formatCode>0.0</c:formatCode>
                <c:ptCount val="9"/>
                <c:pt idx="0">
                  <c:v>22.083106176460053</c:v>
                </c:pt>
                <c:pt idx="1">
                  <c:v>16.459226593406044</c:v>
                </c:pt>
                <c:pt idx="2">
                  <c:v>14.543537769384704</c:v>
                </c:pt>
                <c:pt idx="3">
                  <c:v>13.395846497969059</c:v>
                </c:pt>
                <c:pt idx="4">
                  <c:v>11.602011993262883</c:v>
                </c:pt>
                <c:pt idx="5">
                  <c:v>10.370727767510871</c:v>
                </c:pt>
                <c:pt idx="6">
                  <c:v>6.1515093669622569</c:v>
                </c:pt>
                <c:pt idx="7">
                  <c:v>3.795293152641726</c:v>
                </c:pt>
                <c:pt idx="8">
                  <c:v>1.5987411667970557</c:v>
                </c:pt>
              </c:numCache>
            </c:numRef>
          </c:val>
          <c:extLst>
            <c:ext xmlns:c16="http://schemas.microsoft.com/office/drawing/2014/chart" uri="{C3380CC4-5D6E-409C-BE32-E72D297353CC}">
              <c16:uniqueId val="{00000000-7C00-4CEF-876F-6ECD339F0C40}"/>
            </c:ext>
          </c:extLst>
        </c:ser>
        <c:ser>
          <c:idx val="1"/>
          <c:order val="1"/>
          <c:tx>
            <c:strRef>
              <c:f>Лист20!$D$2</c:f>
              <c:strCache>
                <c:ptCount val="1"/>
                <c:pt idx="0">
                  <c:v>2024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Лист20!$B$3:$B$11</c:f>
              <c:strCache>
                <c:ptCount val="9"/>
                <c:pt idx="0">
                  <c:v>Сохранение населения, здоровье и благополучие людей</c:v>
                </c:pt>
                <c:pt idx="1">
                  <c:v>Комфортная и безопасная среда для жизни</c:v>
                </c:pt>
                <c:pt idx="2">
                  <c:v>Расходы на реализацию государственных программ (закрытая часть)</c:v>
                </c:pt>
                <c:pt idx="3">
                  <c:v>Достойный, эффективный труд и успешное предпринимательство</c:v>
                </c:pt>
                <c:pt idx="4">
                  <c:v>Обеспечение национальной безопасности и международного сотрудничества</c:v>
                </c:pt>
                <c:pt idx="5">
                  <c:v>Развитие науки, промышленности и технологий</c:v>
                </c:pt>
                <c:pt idx="6">
                  <c:v>Сбалансированное региональное развитие</c:v>
                </c:pt>
                <c:pt idx="7">
                  <c:v>Возможности для самореализации и развития талантов</c:v>
                </c:pt>
                <c:pt idx="8">
                  <c:v>Цифровая трансформация</c:v>
                </c:pt>
              </c:strCache>
            </c:strRef>
          </c:cat>
          <c:val>
            <c:numRef>
              <c:f>Лист20!$D$3:$D$11</c:f>
              <c:numCache>
                <c:formatCode>0.0</c:formatCode>
                <c:ptCount val="9"/>
                <c:pt idx="0">
                  <c:v>22.210809954459144</c:v>
                </c:pt>
                <c:pt idx="1">
                  <c:v>16.471478243765052</c:v>
                </c:pt>
                <c:pt idx="2">
                  <c:v>14.064296908201088</c:v>
                </c:pt>
                <c:pt idx="3">
                  <c:v>13.625985503747854</c:v>
                </c:pt>
                <c:pt idx="4">
                  <c:v>11.60334782281477</c:v>
                </c:pt>
                <c:pt idx="5">
                  <c:v>10.75553806242273</c:v>
                </c:pt>
                <c:pt idx="6">
                  <c:v>6.005491078637994</c:v>
                </c:pt>
                <c:pt idx="7">
                  <c:v>3.7895269203553115</c:v>
                </c:pt>
                <c:pt idx="8">
                  <c:v>1.4735255055960645</c:v>
                </c:pt>
              </c:numCache>
            </c:numRef>
          </c:val>
          <c:extLst>
            <c:ext xmlns:c16="http://schemas.microsoft.com/office/drawing/2014/chart" uri="{C3380CC4-5D6E-409C-BE32-E72D297353CC}">
              <c16:uniqueId val="{00000001-7C00-4CEF-876F-6ECD339F0C40}"/>
            </c:ext>
          </c:extLst>
        </c:ser>
        <c:ser>
          <c:idx val="2"/>
          <c:order val="2"/>
          <c:tx>
            <c:strRef>
              <c:f>Лист20!$E$2</c:f>
              <c:strCache>
                <c:ptCount val="1"/>
                <c:pt idx="0">
                  <c:v>2025</c:v>
                </c:pt>
              </c:strCache>
            </c:strRef>
          </c:tx>
          <c:spPr>
            <a:solidFill>
              <a:schemeClr val="accent1">
                <a:tint val="6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Лист20!$B$3:$B$11</c:f>
              <c:strCache>
                <c:ptCount val="9"/>
                <c:pt idx="0">
                  <c:v>Сохранение населения, здоровье и благополучие людей</c:v>
                </c:pt>
                <c:pt idx="1">
                  <c:v>Комфортная и безопасная среда для жизни</c:v>
                </c:pt>
                <c:pt idx="2">
                  <c:v>Расходы на реализацию государственных программ (закрытая часть)</c:v>
                </c:pt>
                <c:pt idx="3">
                  <c:v>Достойный, эффективный труд и успешное предпринимательство</c:v>
                </c:pt>
                <c:pt idx="4">
                  <c:v>Обеспечение национальной безопасности и международного сотрудничества</c:v>
                </c:pt>
                <c:pt idx="5">
                  <c:v>Развитие науки, промышленности и технологий</c:v>
                </c:pt>
                <c:pt idx="6">
                  <c:v>Сбалансированное региональное развитие</c:v>
                </c:pt>
                <c:pt idx="7">
                  <c:v>Возможности для самореализации и развития талантов</c:v>
                </c:pt>
                <c:pt idx="8">
                  <c:v>Цифровая трансформация</c:v>
                </c:pt>
              </c:strCache>
            </c:strRef>
          </c:cat>
          <c:val>
            <c:numRef>
              <c:f>Лист20!$E$3:$E$11</c:f>
              <c:numCache>
                <c:formatCode>0.0</c:formatCode>
                <c:ptCount val="9"/>
                <c:pt idx="0">
                  <c:v>23.250041709355031</c:v>
                </c:pt>
                <c:pt idx="1">
                  <c:v>16.144482289496072</c:v>
                </c:pt>
                <c:pt idx="2">
                  <c:v>14.483627840540075</c:v>
                </c:pt>
                <c:pt idx="3">
                  <c:v>14.39123281425567</c:v>
                </c:pt>
                <c:pt idx="4">
                  <c:v>12.280154262794598</c:v>
                </c:pt>
                <c:pt idx="5">
                  <c:v>9.267520675254632</c:v>
                </c:pt>
                <c:pt idx="6">
                  <c:v>6.3152470634619107</c:v>
                </c:pt>
                <c:pt idx="7">
                  <c:v>2.691843206714716</c:v>
                </c:pt>
                <c:pt idx="8">
                  <c:v>1.1758501381272961</c:v>
                </c:pt>
              </c:numCache>
            </c:numRef>
          </c:val>
          <c:extLst>
            <c:ext xmlns:c16="http://schemas.microsoft.com/office/drawing/2014/chart" uri="{C3380CC4-5D6E-409C-BE32-E72D297353CC}">
              <c16:uniqueId val="{00000002-7C00-4CEF-876F-6ECD339F0C40}"/>
            </c:ext>
          </c:extLst>
        </c:ser>
        <c:dLbls>
          <c:dLblPos val="outEnd"/>
          <c:showLegendKey val="0"/>
          <c:showVal val="1"/>
          <c:showCatName val="0"/>
          <c:showSerName val="0"/>
          <c:showPercent val="0"/>
          <c:showBubbleSize val="0"/>
        </c:dLbls>
        <c:gapWidth val="444"/>
        <c:overlap val="-90"/>
        <c:axId val="529114320"/>
        <c:axId val="529115960"/>
      </c:barChart>
      <c:catAx>
        <c:axId val="529114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t" anchorCtr="0"/>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9115960"/>
        <c:crosses val="autoZero"/>
        <c:auto val="1"/>
        <c:lblAlgn val="ctr"/>
        <c:lblOffset val="100"/>
        <c:noMultiLvlLbl val="0"/>
      </c:catAx>
      <c:valAx>
        <c:axId val="529115960"/>
        <c:scaling>
          <c:orientation val="minMax"/>
        </c:scaling>
        <c:delete val="1"/>
        <c:axPos val="l"/>
        <c:numFmt formatCode="0.0" sourceLinked="1"/>
        <c:majorTickMark val="none"/>
        <c:minorTickMark val="none"/>
        <c:tickLblPos val="nextTo"/>
        <c:crossAx val="529114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Лист1!$B$3</c:f>
              <c:strCache>
                <c:ptCount val="1"/>
                <c:pt idx="0">
                  <c:v>Всего источников</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Лист1!$C$2:$F$2</c:f>
              <c:strCache>
                <c:ptCount val="3"/>
                <c:pt idx="0">
                  <c:v>2023 г.</c:v>
                </c:pt>
                <c:pt idx="1">
                  <c:v>2024 г.</c:v>
                </c:pt>
                <c:pt idx="2">
                  <c:v>2025 г.</c:v>
                </c:pt>
              </c:strCache>
            </c:strRef>
          </c:cat>
          <c:val>
            <c:numRef>
              <c:f>Лист1!$C$3:$F$3</c:f>
              <c:numCache>
                <c:formatCode>General</c:formatCode>
                <c:ptCount val="4"/>
                <c:pt idx="0">
                  <c:v>2925.3</c:v>
                </c:pt>
                <c:pt idx="1">
                  <c:v>2192.6</c:v>
                </c:pt>
                <c:pt idx="2" formatCode="#,##0.00">
                  <c:v>1264.3</c:v>
                </c:pt>
              </c:numCache>
            </c:numRef>
          </c:val>
          <c:extLst>
            <c:ext xmlns:c16="http://schemas.microsoft.com/office/drawing/2014/chart" uri="{C3380CC4-5D6E-409C-BE32-E72D297353CC}">
              <c16:uniqueId val="{00000000-DF9F-408E-874E-7B9BE7E951B7}"/>
            </c:ext>
          </c:extLst>
        </c:ser>
        <c:ser>
          <c:idx val="1"/>
          <c:order val="1"/>
          <c:tx>
            <c:strRef>
              <c:f>Лист1!$B$4</c:f>
              <c:strCache>
                <c:ptCount val="1"/>
                <c:pt idx="0">
                  <c:v>всего источников, в % к ВВП</c:v>
                </c:pt>
              </c:strCache>
            </c:strRef>
          </c:tx>
          <c:spPr>
            <a:solidFill>
              <a:schemeClr val="accent2"/>
            </a:solidFill>
            <a:ln>
              <a:noFill/>
            </a:ln>
            <a:effectLst/>
            <a:sp3d/>
          </c:spPr>
          <c:invertIfNegative val="0"/>
          <c:cat>
            <c:strRef>
              <c:f>Лист1!$C$2:$F$2</c:f>
              <c:strCache>
                <c:ptCount val="3"/>
                <c:pt idx="0">
                  <c:v>2023 г.</c:v>
                </c:pt>
                <c:pt idx="1">
                  <c:v>2024 г.</c:v>
                </c:pt>
                <c:pt idx="2">
                  <c:v>2025 г.</c:v>
                </c:pt>
              </c:strCache>
            </c:strRef>
          </c:cat>
          <c:val>
            <c:numRef>
              <c:f>Лист1!$C$4:$F$4</c:f>
              <c:numCache>
                <c:formatCode>General</c:formatCode>
                <c:ptCount val="4"/>
                <c:pt idx="0">
                  <c:v>2</c:v>
                </c:pt>
                <c:pt idx="1">
                  <c:v>1.4</c:v>
                </c:pt>
                <c:pt idx="2">
                  <c:v>0.7</c:v>
                </c:pt>
              </c:numCache>
            </c:numRef>
          </c:val>
          <c:extLst>
            <c:ext xmlns:c16="http://schemas.microsoft.com/office/drawing/2014/chart" uri="{C3380CC4-5D6E-409C-BE32-E72D297353CC}">
              <c16:uniqueId val="{00000001-DF9F-408E-874E-7B9BE7E951B7}"/>
            </c:ext>
          </c:extLst>
        </c:ser>
        <c:ser>
          <c:idx val="2"/>
          <c:order val="2"/>
          <c:tx>
            <c:strRef>
              <c:f>Лист1!$B$5</c:f>
              <c:strCache>
                <c:ptCount val="1"/>
                <c:pt idx="0">
                  <c:v>в том числе:</c:v>
                </c:pt>
              </c:strCache>
            </c:strRef>
          </c:tx>
          <c:spPr>
            <a:solidFill>
              <a:schemeClr val="accent3"/>
            </a:solidFill>
            <a:ln>
              <a:noFill/>
            </a:ln>
            <a:effectLst/>
            <a:sp3d/>
          </c:spPr>
          <c:invertIfNegative val="0"/>
          <c:cat>
            <c:strRef>
              <c:f>Лист1!$C$2:$F$2</c:f>
              <c:strCache>
                <c:ptCount val="3"/>
                <c:pt idx="0">
                  <c:v>2023 г.</c:v>
                </c:pt>
                <c:pt idx="1">
                  <c:v>2024 г.</c:v>
                </c:pt>
                <c:pt idx="2">
                  <c:v>2025 г.</c:v>
                </c:pt>
              </c:strCache>
            </c:strRef>
          </c:cat>
          <c:val>
            <c:numRef>
              <c:f>Лист1!$C$5:$F$5</c:f>
              <c:numCache>
                <c:formatCode>General</c:formatCode>
                <c:ptCount val="4"/>
              </c:numCache>
            </c:numRef>
          </c:val>
          <c:extLst>
            <c:ext xmlns:c16="http://schemas.microsoft.com/office/drawing/2014/chart" uri="{C3380CC4-5D6E-409C-BE32-E72D297353CC}">
              <c16:uniqueId val="{00000002-DF9F-408E-874E-7B9BE7E951B7}"/>
            </c:ext>
          </c:extLst>
        </c:ser>
        <c:ser>
          <c:idx val="3"/>
          <c:order val="3"/>
          <c:tx>
            <c:strRef>
              <c:f>Лист1!$B$6</c:f>
              <c:strCache>
                <c:ptCount val="1"/>
                <c:pt idx="0">
                  <c:v>Государственные заимствования</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Лист1!$C$2:$F$2</c:f>
              <c:strCache>
                <c:ptCount val="3"/>
                <c:pt idx="0">
                  <c:v>2023 г.</c:v>
                </c:pt>
                <c:pt idx="1">
                  <c:v>2024 г.</c:v>
                </c:pt>
                <c:pt idx="2">
                  <c:v>2025 г.</c:v>
                </c:pt>
              </c:strCache>
            </c:strRef>
          </c:cat>
          <c:val>
            <c:numRef>
              <c:f>Лист1!$C$6:$F$6</c:f>
              <c:numCache>
                <c:formatCode>General</c:formatCode>
                <c:ptCount val="4"/>
                <c:pt idx="0">
                  <c:v>1597.8</c:v>
                </c:pt>
                <c:pt idx="1">
                  <c:v>1989.4</c:v>
                </c:pt>
                <c:pt idx="2">
                  <c:v>1932.2</c:v>
                </c:pt>
              </c:numCache>
            </c:numRef>
          </c:val>
          <c:extLst>
            <c:ext xmlns:c16="http://schemas.microsoft.com/office/drawing/2014/chart" uri="{C3380CC4-5D6E-409C-BE32-E72D297353CC}">
              <c16:uniqueId val="{00000003-DF9F-408E-874E-7B9BE7E951B7}"/>
            </c:ext>
          </c:extLst>
        </c:ser>
        <c:ser>
          <c:idx val="4"/>
          <c:order val="4"/>
          <c:tx>
            <c:strRef>
              <c:f>Лист1!$B$7</c:f>
              <c:strCache>
                <c:ptCount val="1"/>
                <c:pt idx="0">
                  <c:v>Средства ФНБ</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Лист1!$C$2:$F$2</c:f>
              <c:strCache>
                <c:ptCount val="3"/>
                <c:pt idx="0">
                  <c:v>2023 г.</c:v>
                </c:pt>
                <c:pt idx="1">
                  <c:v>2024 г.</c:v>
                </c:pt>
                <c:pt idx="2">
                  <c:v>2025 г.</c:v>
                </c:pt>
              </c:strCache>
            </c:strRef>
          </c:cat>
          <c:val>
            <c:numRef>
              <c:f>Лист1!$C$7:$F$7</c:f>
              <c:numCache>
                <c:formatCode>General</c:formatCode>
                <c:ptCount val="4"/>
                <c:pt idx="0">
                  <c:v>2902.6</c:v>
                </c:pt>
                <c:pt idx="1">
                  <c:v>1302.5</c:v>
                </c:pt>
                <c:pt idx="2">
                  <c:v>2.4</c:v>
                </c:pt>
              </c:numCache>
            </c:numRef>
          </c:val>
          <c:extLst>
            <c:ext xmlns:c16="http://schemas.microsoft.com/office/drawing/2014/chart" uri="{C3380CC4-5D6E-409C-BE32-E72D297353CC}">
              <c16:uniqueId val="{00000004-DF9F-408E-874E-7B9BE7E951B7}"/>
            </c:ext>
          </c:extLst>
        </c:ser>
        <c:ser>
          <c:idx val="5"/>
          <c:order val="5"/>
          <c:tx>
            <c:strRef>
              <c:f>Лист1!$B$8</c:f>
              <c:strCache>
                <c:ptCount val="1"/>
                <c:pt idx="0">
                  <c:v>Иные источники</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Лист1!$C$2:$F$2</c:f>
              <c:strCache>
                <c:ptCount val="3"/>
                <c:pt idx="0">
                  <c:v>2023 г.</c:v>
                </c:pt>
                <c:pt idx="1">
                  <c:v>2024 г.</c:v>
                </c:pt>
                <c:pt idx="2">
                  <c:v>2025 г.</c:v>
                </c:pt>
              </c:strCache>
            </c:strRef>
          </c:cat>
          <c:val>
            <c:numRef>
              <c:f>Лист1!$C$8:$F$8</c:f>
              <c:numCache>
                <c:formatCode>General</c:formatCode>
                <c:ptCount val="4"/>
                <c:pt idx="0">
                  <c:v>-1575.2</c:v>
                </c:pt>
                <c:pt idx="1">
                  <c:v>-1099.3</c:v>
                </c:pt>
                <c:pt idx="2">
                  <c:v>-670.3</c:v>
                </c:pt>
              </c:numCache>
            </c:numRef>
          </c:val>
          <c:extLst>
            <c:ext xmlns:c16="http://schemas.microsoft.com/office/drawing/2014/chart" uri="{C3380CC4-5D6E-409C-BE32-E72D297353CC}">
              <c16:uniqueId val="{00000005-DF9F-408E-874E-7B9BE7E951B7}"/>
            </c:ext>
          </c:extLst>
        </c:ser>
        <c:dLbls>
          <c:showLegendKey val="0"/>
          <c:showVal val="0"/>
          <c:showCatName val="0"/>
          <c:showSerName val="0"/>
          <c:showPercent val="0"/>
          <c:showBubbleSize val="0"/>
        </c:dLbls>
        <c:gapWidth val="150"/>
        <c:shape val="box"/>
        <c:axId val="482490920"/>
        <c:axId val="482492560"/>
        <c:axId val="0"/>
      </c:bar3DChart>
      <c:catAx>
        <c:axId val="482490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2492560"/>
        <c:crosses val="autoZero"/>
        <c:auto val="1"/>
        <c:lblAlgn val="ctr"/>
        <c:lblOffset val="100"/>
        <c:noMultiLvlLbl val="0"/>
      </c:catAx>
      <c:valAx>
        <c:axId val="48249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249092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Дефицит</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2023</c:v>
                </c:pt>
                <c:pt idx="1">
                  <c:v>2024</c:v>
                </c:pt>
                <c:pt idx="2">
                  <c:v>2025</c:v>
                </c:pt>
              </c:numCache>
            </c:numRef>
          </c:cat>
          <c:val>
            <c:numRef>
              <c:f>Лист1!$B$2:$D$2</c:f>
              <c:numCache>
                <c:formatCode>#,##0.0</c:formatCode>
                <c:ptCount val="3"/>
                <c:pt idx="0">
                  <c:v>-2925.3</c:v>
                </c:pt>
                <c:pt idx="1">
                  <c:v>-2192.6</c:v>
                </c:pt>
                <c:pt idx="2">
                  <c:v>-1264.3</c:v>
                </c:pt>
              </c:numCache>
            </c:numRef>
          </c:val>
          <c:extLst>
            <c:ext xmlns:c16="http://schemas.microsoft.com/office/drawing/2014/chart" uri="{C3380CC4-5D6E-409C-BE32-E72D297353CC}">
              <c16:uniqueId val="{00000000-25C3-41A4-951C-1F7A7E3EE580}"/>
            </c:ext>
          </c:extLst>
        </c:ser>
        <c:ser>
          <c:idx val="1"/>
          <c:order val="1"/>
          <c:tx>
            <c:strRef>
              <c:f>Лист1!$A$3</c:f>
              <c:strCache>
                <c:ptCount val="1"/>
                <c:pt idx="0">
                  <c:v>Расходы на обслуживание государственного долга</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2023</c:v>
                </c:pt>
                <c:pt idx="1">
                  <c:v>2024</c:v>
                </c:pt>
                <c:pt idx="2">
                  <c:v>2025</c:v>
                </c:pt>
              </c:numCache>
            </c:numRef>
          </c:cat>
          <c:val>
            <c:numRef>
              <c:f>Лист1!$B$3:$D$3</c:f>
              <c:numCache>
                <c:formatCode>#,##0.0</c:formatCode>
                <c:ptCount val="3"/>
                <c:pt idx="0">
                  <c:v>1519.3248000000001</c:v>
                </c:pt>
                <c:pt idx="1">
                  <c:v>1625.1587999999999</c:v>
                </c:pt>
                <c:pt idx="2">
                  <c:v>1878.2801999999999</c:v>
                </c:pt>
              </c:numCache>
            </c:numRef>
          </c:val>
          <c:extLst>
            <c:ext xmlns:c16="http://schemas.microsoft.com/office/drawing/2014/chart" uri="{C3380CC4-5D6E-409C-BE32-E72D297353CC}">
              <c16:uniqueId val="{00000001-25C3-41A4-951C-1F7A7E3EE580}"/>
            </c:ext>
          </c:extLst>
        </c:ser>
        <c:ser>
          <c:idx val="2"/>
          <c:order val="2"/>
          <c:tx>
            <c:strRef>
              <c:f>Лист1!$A$4</c:f>
              <c:strCache>
                <c:ptCount val="1"/>
                <c:pt idx="0">
                  <c:v>Первичный дефицит (–), профицит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2023</c:v>
                </c:pt>
                <c:pt idx="1">
                  <c:v>2024</c:v>
                </c:pt>
                <c:pt idx="2">
                  <c:v>2025</c:v>
                </c:pt>
              </c:numCache>
            </c:numRef>
          </c:cat>
          <c:val>
            <c:numRef>
              <c:f>Лист1!$B$4:$D$4</c:f>
              <c:numCache>
                <c:formatCode>#,##0.0</c:formatCode>
                <c:ptCount val="3"/>
                <c:pt idx="0">
                  <c:v>-1405.9752000000001</c:v>
                </c:pt>
                <c:pt idx="1">
                  <c:v>-567.44119999999998</c:v>
                </c:pt>
                <c:pt idx="2">
                  <c:v>613.98019999999997</c:v>
                </c:pt>
              </c:numCache>
            </c:numRef>
          </c:val>
          <c:extLst>
            <c:ext xmlns:c16="http://schemas.microsoft.com/office/drawing/2014/chart" uri="{C3380CC4-5D6E-409C-BE32-E72D297353CC}">
              <c16:uniqueId val="{00000002-25C3-41A4-951C-1F7A7E3EE580}"/>
            </c:ext>
          </c:extLst>
        </c:ser>
        <c:dLbls>
          <c:dLblPos val="outEnd"/>
          <c:showLegendKey val="0"/>
          <c:showVal val="1"/>
          <c:showCatName val="0"/>
          <c:showSerName val="0"/>
          <c:showPercent val="0"/>
          <c:showBubbleSize val="0"/>
        </c:dLbls>
        <c:gapWidth val="219"/>
        <c:overlap val="-27"/>
        <c:axId val="2026666175"/>
        <c:axId val="2026083071"/>
      </c:barChart>
      <c:catAx>
        <c:axId val="2026666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6083071"/>
        <c:crosses val="autoZero"/>
        <c:auto val="1"/>
        <c:lblAlgn val="ctr"/>
        <c:lblOffset val="100"/>
        <c:noMultiLvlLbl val="0"/>
      </c:catAx>
      <c:valAx>
        <c:axId val="20260830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26666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Дотации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2021</c:v>
                </c:pt>
                <c:pt idx="1">
                  <c:v>2022</c:v>
                </c:pt>
                <c:pt idx="2">
                  <c:v>2023</c:v>
                </c:pt>
                <c:pt idx="3">
                  <c:v>2024</c:v>
                </c:pt>
                <c:pt idx="4">
                  <c:v>2025</c:v>
                </c:pt>
              </c:numCache>
            </c:numRef>
          </c:cat>
          <c:val>
            <c:numRef>
              <c:f>Лист1!$B$2:$B$6</c:f>
              <c:numCache>
                <c:formatCode>0%</c:formatCode>
                <c:ptCount val="5"/>
                <c:pt idx="0">
                  <c:v>0.28173246581385092</c:v>
                </c:pt>
                <c:pt idx="1">
                  <c:v>0.26561472715318868</c:v>
                </c:pt>
                <c:pt idx="2">
                  <c:v>0.31308698203300578</c:v>
                </c:pt>
                <c:pt idx="3">
                  <c:v>0.34933766535375638</c:v>
                </c:pt>
                <c:pt idx="4">
                  <c:v>0.42013007850363943</c:v>
                </c:pt>
              </c:numCache>
            </c:numRef>
          </c:val>
          <c:extLst>
            <c:ext xmlns:c16="http://schemas.microsoft.com/office/drawing/2014/chart" uri="{C3380CC4-5D6E-409C-BE32-E72D297353CC}">
              <c16:uniqueId val="{00000000-17BB-4386-B7A6-782FBC8B2232}"/>
            </c:ext>
          </c:extLst>
        </c:ser>
        <c:ser>
          <c:idx val="1"/>
          <c:order val="1"/>
          <c:tx>
            <c:strRef>
              <c:f>Лист1!$C$1</c:f>
              <c:strCache>
                <c:ptCount val="1"/>
                <c:pt idx="0">
                  <c:v>Субсидии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2021</c:v>
                </c:pt>
                <c:pt idx="1">
                  <c:v>2022</c:v>
                </c:pt>
                <c:pt idx="2">
                  <c:v>2023</c:v>
                </c:pt>
                <c:pt idx="3">
                  <c:v>2024</c:v>
                </c:pt>
                <c:pt idx="4">
                  <c:v>2025</c:v>
                </c:pt>
              </c:numCache>
            </c:numRef>
          </c:cat>
          <c:val>
            <c:numRef>
              <c:f>Лист1!$C$2:$C$6</c:f>
              <c:numCache>
                <c:formatCode>0%</c:formatCode>
                <c:ptCount val="5"/>
                <c:pt idx="0">
                  <c:v>0.32890383767093079</c:v>
                </c:pt>
                <c:pt idx="1">
                  <c:v>0.43608919570458032</c:v>
                </c:pt>
                <c:pt idx="2">
                  <c:v>0.47705210890243954</c:v>
                </c:pt>
                <c:pt idx="3">
                  <c:v>0.50273437969893475</c:v>
                </c:pt>
                <c:pt idx="4">
                  <c:v>0.40385357400500294</c:v>
                </c:pt>
              </c:numCache>
            </c:numRef>
          </c:val>
          <c:extLst>
            <c:ext xmlns:c16="http://schemas.microsoft.com/office/drawing/2014/chart" uri="{C3380CC4-5D6E-409C-BE32-E72D297353CC}">
              <c16:uniqueId val="{00000001-17BB-4386-B7A6-782FBC8B2232}"/>
            </c:ext>
          </c:extLst>
        </c:ser>
        <c:ser>
          <c:idx val="2"/>
          <c:order val="2"/>
          <c:tx>
            <c:strRef>
              <c:f>Лист1!$D$1</c:f>
              <c:strCache>
                <c:ptCount val="1"/>
                <c:pt idx="0">
                  <c:v>Субвенции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2021</c:v>
                </c:pt>
                <c:pt idx="1">
                  <c:v>2022</c:v>
                </c:pt>
                <c:pt idx="2">
                  <c:v>2023</c:v>
                </c:pt>
                <c:pt idx="3">
                  <c:v>2024</c:v>
                </c:pt>
                <c:pt idx="4">
                  <c:v>2025</c:v>
                </c:pt>
              </c:numCache>
            </c:numRef>
          </c:cat>
          <c:val>
            <c:numRef>
              <c:f>Лист1!$D$2:$D$6</c:f>
              <c:numCache>
                <c:formatCode>0%</c:formatCode>
                <c:ptCount val="5"/>
                <c:pt idx="0">
                  <c:v>0.14325099250110279</c:v>
                </c:pt>
                <c:pt idx="1">
                  <c:v>0.12390422967346044</c:v>
                </c:pt>
                <c:pt idx="2">
                  <c:v>9.3670425297875448E-2</c:v>
                </c:pt>
                <c:pt idx="3">
                  <c:v>0.11118522677009095</c:v>
                </c:pt>
                <c:pt idx="4">
                  <c:v>0.13310496501274355</c:v>
                </c:pt>
              </c:numCache>
            </c:numRef>
          </c:val>
          <c:extLst>
            <c:ext xmlns:c16="http://schemas.microsoft.com/office/drawing/2014/chart" uri="{C3380CC4-5D6E-409C-BE32-E72D297353CC}">
              <c16:uniqueId val="{00000002-17BB-4386-B7A6-782FBC8B2232}"/>
            </c:ext>
          </c:extLst>
        </c:ser>
        <c:ser>
          <c:idx val="3"/>
          <c:order val="3"/>
          <c:tx>
            <c:strRef>
              <c:f>Лист1!$E$1</c:f>
              <c:strCache>
                <c:ptCount val="1"/>
                <c:pt idx="0">
                  <c:v>Иные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2021</c:v>
                </c:pt>
                <c:pt idx="1">
                  <c:v>2022</c:v>
                </c:pt>
                <c:pt idx="2">
                  <c:v>2023</c:v>
                </c:pt>
                <c:pt idx="3">
                  <c:v>2024</c:v>
                </c:pt>
                <c:pt idx="4">
                  <c:v>2025</c:v>
                </c:pt>
              </c:numCache>
            </c:numRef>
          </c:cat>
          <c:val>
            <c:numRef>
              <c:f>Лист1!$E$2:$E$6</c:f>
              <c:numCache>
                <c:formatCode>0%</c:formatCode>
                <c:ptCount val="5"/>
                <c:pt idx="0">
                  <c:v>0.24614027348919276</c:v>
                </c:pt>
                <c:pt idx="1">
                  <c:v>0.17436445321060706</c:v>
                </c:pt>
                <c:pt idx="2">
                  <c:v>0.11619048376667923</c:v>
                </c:pt>
                <c:pt idx="3">
                  <c:v>3.6742728177217826E-2</c:v>
                </c:pt>
                <c:pt idx="4">
                  <c:v>4.2911382478614181E-2</c:v>
                </c:pt>
              </c:numCache>
            </c:numRef>
          </c:val>
          <c:extLst>
            <c:ext xmlns:c16="http://schemas.microsoft.com/office/drawing/2014/chart" uri="{C3380CC4-5D6E-409C-BE32-E72D297353CC}">
              <c16:uniqueId val="{00000003-17BB-4386-B7A6-782FBC8B2232}"/>
            </c:ext>
          </c:extLst>
        </c:ser>
        <c:dLbls>
          <c:showLegendKey val="0"/>
          <c:showVal val="0"/>
          <c:showCatName val="0"/>
          <c:showSerName val="0"/>
          <c:showPercent val="0"/>
          <c:showBubbleSize val="0"/>
        </c:dLbls>
        <c:gapWidth val="219"/>
        <c:overlap val="100"/>
        <c:axId val="565479800"/>
        <c:axId val="565480128"/>
      </c:barChart>
      <c:catAx>
        <c:axId val="56547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5480128"/>
        <c:crosses val="autoZero"/>
        <c:auto val="1"/>
        <c:lblAlgn val="ctr"/>
        <c:lblOffset val="100"/>
        <c:noMultiLvlLbl val="0"/>
      </c:catAx>
      <c:valAx>
        <c:axId val="565480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65479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Лист3!$N$4</c:f>
              <c:strCache>
                <c:ptCount val="1"/>
                <c:pt idx="0">
                  <c:v>Доходы, всего </c:v>
                </c:pt>
              </c:strCache>
            </c:strRef>
          </c:tx>
          <c:spPr>
            <a:solidFill>
              <a:schemeClr val="accent2"/>
            </a:solidFill>
            <a:ln>
              <a:noFill/>
            </a:ln>
            <a:effectLst/>
          </c:spPr>
          <c:invertIfNegative val="0"/>
          <c:cat>
            <c:multiLvlStrRef>
              <c:f>Лист3!$O$1:$T$2</c:f>
              <c:multiLvlStrCache>
                <c:ptCount val="6"/>
                <c:lvl>
                  <c:pt idx="0">
                    <c:v>Закон № 390-ФЗ</c:v>
                  </c:pt>
                  <c:pt idx="1">
                    <c:v>Законо-проект</c:v>
                  </c:pt>
                  <c:pt idx="2">
                    <c:v>Закон № 390-ФЗ</c:v>
                  </c:pt>
                  <c:pt idx="3">
                    <c:v>Законо-проект</c:v>
                  </c:pt>
                  <c:pt idx="4">
                    <c:v>Бюджетный прогноз</c:v>
                  </c:pt>
                  <c:pt idx="5">
                    <c:v>Законо-проект</c:v>
                  </c:pt>
                </c:lvl>
                <c:lvl>
                  <c:pt idx="0">
                    <c:v>2023 год</c:v>
                  </c:pt>
                  <c:pt idx="2">
                    <c:v>2024 год</c:v>
                  </c:pt>
                  <c:pt idx="4">
                    <c:v>2025 год</c:v>
                  </c:pt>
                </c:lvl>
              </c:multiLvlStrCache>
            </c:multiLvlStrRef>
          </c:cat>
          <c:val>
            <c:numRef>
              <c:f>Лист3!$O$4:$T$4</c:f>
              <c:numCache>
                <c:formatCode>#,##0.00</c:formatCode>
                <c:ptCount val="6"/>
                <c:pt idx="0">
                  <c:v>25540.2</c:v>
                </c:pt>
                <c:pt idx="1">
                  <c:v>26130.3</c:v>
                </c:pt>
                <c:pt idx="2">
                  <c:v>25831.8</c:v>
                </c:pt>
                <c:pt idx="3">
                  <c:v>27239.8</c:v>
                </c:pt>
                <c:pt idx="4">
                  <c:v>26732.799999999999</c:v>
                </c:pt>
                <c:pt idx="5" formatCode="General">
                  <c:v>27979.4</c:v>
                </c:pt>
              </c:numCache>
            </c:numRef>
          </c:val>
          <c:extLst>
            <c:ext xmlns:c16="http://schemas.microsoft.com/office/drawing/2014/chart" uri="{C3380CC4-5D6E-409C-BE32-E72D297353CC}">
              <c16:uniqueId val="{00000000-A8EA-4EC5-8E26-F36CC4736719}"/>
            </c:ext>
          </c:extLst>
        </c:ser>
        <c:ser>
          <c:idx val="2"/>
          <c:order val="2"/>
          <c:tx>
            <c:strRef>
              <c:f>Лист3!$N$5</c:f>
              <c:strCache>
                <c:ptCount val="1"/>
                <c:pt idx="0">
                  <c:v>Расходы, всего </c:v>
                </c:pt>
              </c:strCache>
            </c:strRef>
          </c:tx>
          <c:spPr>
            <a:solidFill>
              <a:schemeClr val="accent3"/>
            </a:solidFill>
            <a:ln>
              <a:noFill/>
            </a:ln>
            <a:effectLst/>
          </c:spPr>
          <c:invertIfNegative val="0"/>
          <c:cat>
            <c:multiLvlStrRef>
              <c:f>Лист3!$O$1:$T$2</c:f>
              <c:multiLvlStrCache>
                <c:ptCount val="6"/>
                <c:lvl>
                  <c:pt idx="0">
                    <c:v>Закон № 390-ФЗ</c:v>
                  </c:pt>
                  <c:pt idx="1">
                    <c:v>Законо-проект</c:v>
                  </c:pt>
                  <c:pt idx="2">
                    <c:v>Закон № 390-ФЗ</c:v>
                  </c:pt>
                  <c:pt idx="3">
                    <c:v>Законо-проект</c:v>
                  </c:pt>
                  <c:pt idx="4">
                    <c:v>Бюджетный прогноз</c:v>
                  </c:pt>
                  <c:pt idx="5">
                    <c:v>Законо-проект</c:v>
                  </c:pt>
                </c:lvl>
                <c:lvl>
                  <c:pt idx="0">
                    <c:v>2023 год</c:v>
                  </c:pt>
                  <c:pt idx="2">
                    <c:v>2024 год</c:v>
                  </c:pt>
                  <c:pt idx="4">
                    <c:v>2025 год</c:v>
                  </c:pt>
                </c:lvl>
              </c:multiLvlStrCache>
            </c:multiLvlStrRef>
          </c:cat>
          <c:val>
            <c:numRef>
              <c:f>Лист3!$O$5:$T$5</c:f>
              <c:numCache>
                <c:formatCode>General</c:formatCode>
                <c:ptCount val="6"/>
                <c:pt idx="0" formatCode="#,##0.00">
                  <c:v>25241.1</c:v>
                </c:pt>
                <c:pt idx="1">
                  <c:v>29055.599999999999</c:v>
                </c:pt>
                <c:pt idx="2" formatCode="#,##0.00">
                  <c:v>26354.400000000001</c:v>
                </c:pt>
                <c:pt idx="3">
                  <c:v>29432.5</c:v>
                </c:pt>
                <c:pt idx="4" formatCode="#,##0.00">
                  <c:v>27906.5</c:v>
                </c:pt>
                <c:pt idx="5">
                  <c:v>29243.7</c:v>
                </c:pt>
              </c:numCache>
            </c:numRef>
          </c:val>
          <c:extLst>
            <c:ext xmlns:c16="http://schemas.microsoft.com/office/drawing/2014/chart" uri="{C3380CC4-5D6E-409C-BE32-E72D297353CC}">
              <c16:uniqueId val="{00000001-A8EA-4EC5-8E26-F36CC4736719}"/>
            </c:ext>
          </c:extLst>
        </c:ser>
        <c:ser>
          <c:idx val="3"/>
          <c:order val="3"/>
          <c:tx>
            <c:strRef>
              <c:f>Лист3!$N$6</c:f>
              <c:strCache>
                <c:ptCount val="1"/>
                <c:pt idx="0">
                  <c:v>Дефицит (–) / Профицит (+)</c:v>
                </c:pt>
              </c:strCache>
            </c:strRef>
          </c:tx>
          <c:spPr>
            <a:solidFill>
              <a:schemeClr val="accent4"/>
            </a:solidFill>
            <a:ln>
              <a:noFill/>
            </a:ln>
            <a:effectLst/>
          </c:spPr>
          <c:invertIfNegative val="0"/>
          <c:cat>
            <c:multiLvlStrRef>
              <c:f>Лист3!$O$1:$T$2</c:f>
              <c:multiLvlStrCache>
                <c:ptCount val="6"/>
                <c:lvl>
                  <c:pt idx="0">
                    <c:v>Закон № 390-ФЗ</c:v>
                  </c:pt>
                  <c:pt idx="1">
                    <c:v>Законо-проект</c:v>
                  </c:pt>
                  <c:pt idx="2">
                    <c:v>Закон № 390-ФЗ</c:v>
                  </c:pt>
                  <c:pt idx="3">
                    <c:v>Законо-проект</c:v>
                  </c:pt>
                  <c:pt idx="4">
                    <c:v>Бюджетный прогноз</c:v>
                  </c:pt>
                  <c:pt idx="5">
                    <c:v>Законо-проект</c:v>
                  </c:pt>
                </c:lvl>
                <c:lvl>
                  <c:pt idx="0">
                    <c:v>2023 год</c:v>
                  </c:pt>
                  <c:pt idx="2">
                    <c:v>2024 год</c:v>
                  </c:pt>
                  <c:pt idx="4">
                    <c:v>2025 год</c:v>
                  </c:pt>
                </c:lvl>
              </c:multiLvlStrCache>
            </c:multiLvlStrRef>
          </c:cat>
          <c:val>
            <c:numRef>
              <c:f>Лист3!$O$6:$T$6</c:f>
              <c:numCache>
                <c:formatCode>General</c:formatCode>
                <c:ptCount val="6"/>
                <c:pt idx="0">
                  <c:v>299.10000000000002</c:v>
                </c:pt>
                <c:pt idx="1">
                  <c:v>-2925.3</c:v>
                </c:pt>
                <c:pt idx="2">
                  <c:v>-522.6</c:v>
                </c:pt>
                <c:pt idx="3">
                  <c:v>-2192.6</c:v>
                </c:pt>
                <c:pt idx="4" formatCode="#,##0.00">
                  <c:v>-1173.7</c:v>
                </c:pt>
                <c:pt idx="5">
                  <c:v>-1264.3</c:v>
                </c:pt>
              </c:numCache>
            </c:numRef>
          </c:val>
          <c:extLst>
            <c:ext xmlns:c16="http://schemas.microsoft.com/office/drawing/2014/chart" uri="{C3380CC4-5D6E-409C-BE32-E72D297353CC}">
              <c16:uniqueId val="{00000002-A8EA-4EC5-8E26-F36CC4736719}"/>
            </c:ext>
          </c:extLst>
        </c:ser>
        <c:dLbls>
          <c:showLegendKey val="0"/>
          <c:showVal val="0"/>
          <c:showCatName val="0"/>
          <c:showSerName val="0"/>
          <c:showPercent val="0"/>
          <c:showBubbleSize val="0"/>
        </c:dLbls>
        <c:gapWidth val="219"/>
        <c:overlap val="-27"/>
        <c:axId val="1209339295"/>
        <c:axId val="1209334719"/>
        <c:extLst>
          <c:ext xmlns:c15="http://schemas.microsoft.com/office/drawing/2012/chart" uri="{02D57815-91ED-43cb-92C2-25804820EDAC}">
            <c15:filteredBarSeries>
              <c15:ser>
                <c:idx val="0"/>
                <c:order val="0"/>
                <c:tx>
                  <c:strRef>
                    <c:extLst>
                      <c:ext uri="{02D57815-91ED-43cb-92C2-25804820EDAC}">
                        <c15:formulaRef>
                          <c15:sqref>Лист3!$N$3</c15:sqref>
                        </c15:formulaRef>
                      </c:ext>
                    </c:extLst>
                    <c:strCache>
                      <c:ptCount val="1"/>
                    </c:strCache>
                  </c:strRef>
                </c:tx>
                <c:spPr>
                  <a:solidFill>
                    <a:schemeClr val="accent1"/>
                  </a:solidFill>
                  <a:ln>
                    <a:noFill/>
                  </a:ln>
                  <a:effectLst/>
                </c:spPr>
                <c:invertIfNegative val="0"/>
                <c:cat>
                  <c:multiLvlStrRef>
                    <c:extLst>
                      <c:ext uri="{02D57815-91ED-43cb-92C2-25804820EDAC}">
                        <c15:formulaRef>
                          <c15:sqref>Лист3!$O$1:$T$2</c15:sqref>
                        </c15:formulaRef>
                      </c:ext>
                    </c:extLst>
                    <c:multiLvlStrCache>
                      <c:ptCount val="6"/>
                      <c:lvl>
                        <c:pt idx="0">
                          <c:v>Закон № 390-ФЗ</c:v>
                        </c:pt>
                        <c:pt idx="1">
                          <c:v>Законо-проект</c:v>
                        </c:pt>
                        <c:pt idx="2">
                          <c:v>Закон № 390-ФЗ</c:v>
                        </c:pt>
                        <c:pt idx="3">
                          <c:v>Законо-проект</c:v>
                        </c:pt>
                        <c:pt idx="4">
                          <c:v>Бюджетный прогноз</c:v>
                        </c:pt>
                        <c:pt idx="5">
                          <c:v>Законо-проект</c:v>
                        </c:pt>
                      </c:lvl>
                      <c:lvl>
                        <c:pt idx="0">
                          <c:v>2023 год</c:v>
                        </c:pt>
                        <c:pt idx="2">
                          <c:v>2024 год</c:v>
                        </c:pt>
                        <c:pt idx="4">
                          <c:v>2025 год</c:v>
                        </c:pt>
                      </c:lvl>
                    </c:multiLvlStrCache>
                  </c:multiLvlStrRef>
                </c:cat>
                <c:val>
                  <c:numRef>
                    <c:extLst>
                      <c:ext uri="{02D57815-91ED-43cb-92C2-25804820EDAC}">
                        <c15:formulaRef>
                          <c15:sqref>Лист3!$O$3:$T$3</c15:sqref>
                        </c15:formulaRef>
                      </c:ext>
                    </c:extLst>
                    <c:numCache>
                      <c:formatCode>General</c:formatCode>
                      <c:ptCount val="6"/>
                    </c:numCache>
                  </c:numRef>
                </c:val>
                <c:extLst>
                  <c:ext xmlns:c16="http://schemas.microsoft.com/office/drawing/2014/chart" uri="{C3380CC4-5D6E-409C-BE32-E72D297353CC}">
                    <c16:uniqueId val="{00000003-A8EA-4EC5-8E26-F36CC4736719}"/>
                  </c:ext>
                </c:extLst>
              </c15:ser>
            </c15:filteredBarSeries>
          </c:ext>
        </c:extLst>
      </c:barChart>
      <c:catAx>
        <c:axId val="120933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9334719"/>
        <c:crosses val="autoZero"/>
        <c:auto val="1"/>
        <c:lblAlgn val="ctr"/>
        <c:lblOffset val="100"/>
        <c:noMultiLvlLbl val="0"/>
      </c:catAx>
      <c:valAx>
        <c:axId val="12093347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9339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Лист3!$B$1</c:f>
              <c:strCache>
                <c:ptCount val="1"/>
                <c:pt idx="0">
                  <c:v>2023 год</c:v>
                </c:pt>
              </c:strCache>
            </c:strRef>
          </c:tx>
          <c:spPr>
            <a:solidFill>
              <a:schemeClr val="accent1"/>
            </a:solidFill>
            <a:ln>
              <a:noFill/>
            </a:ln>
            <a:effectLst/>
          </c:spPr>
          <c:invertIfNegative val="0"/>
          <c:cat>
            <c:strRef>
              <c:f>Лист3!$A$2:$A$7</c:f>
              <c:strCache>
                <c:ptCount val="6"/>
                <c:pt idx="0">
                  <c:v>Поэтапное повышение НДПИ на нефть и газовый конденсат</c:v>
                </c:pt>
                <c:pt idx="1">
                  <c:v>Поэтапное повышение отрицательного акциза на нефтяное сырье, направленное на переработку</c:v>
                </c:pt>
                <c:pt idx="2">
                  <c:v>Поэтапное снижение вывозной таможенной пошлины на нефть и нефтепродукты</c:v>
                </c:pt>
                <c:pt idx="3">
                  <c:v>Проектируемые изменения законодательствав части НДПИ на нефть и НДД </c:v>
                </c:pt>
                <c:pt idx="4">
                  <c:v>Проектируемые изменения законодательствав части НДПИ на газ</c:v>
                </c:pt>
                <c:pt idx="5">
                  <c:v>Изменения мировой цены на нефть марки "Юралс"</c:v>
                </c:pt>
              </c:strCache>
            </c:strRef>
          </c:cat>
          <c:val>
            <c:numRef>
              <c:f>Лист3!$B$2:$B$7</c:f>
              <c:numCache>
                <c:formatCode>#,##0.00</c:formatCode>
                <c:ptCount val="6"/>
                <c:pt idx="0">
                  <c:v>627971</c:v>
                </c:pt>
                <c:pt idx="1">
                  <c:v>-208400.3</c:v>
                </c:pt>
                <c:pt idx="2">
                  <c:v>-348978.5</c:v>
                </c:pt>
                <c:pt idx="3">
                  <c:v>187506.8</c:v>
                </c:pt>
                <c:pt idx="4">
                  <c:v>30544.1</c:v>
                </c:pt>
                <c:pt idx="5">
                  <c:v>-1246700.1000000001</c:v>
                </c:pt>
              </c:numCache>
            </c:numRef>
          </c:val>
          <c:extLst>
            <c:ext xmlns:c16="http://schemas.microsoft.com/office/drawing/2014/chart" uri="{C3380CC4-5D6E-409C-BE32-E72D297353CC}">
              <c16:uniqueId val="{00000000-11D8-47D6-B4AF-0C59F956426C}"/>
            </c:ext>
          </c:extLst>
        </c:ser>
        <c:ser>
          <c:idx val="1"/>
          <c:order val="1"/>
          <c:tx>
            <c:strRef>
              <c:f>Лист3!$C$1</c:f>
              <c:strCache>
                <c:ptCount val="1"/>
                <c:pt idx="0">
                  <c:v>2024 год</c:v>
                </c:pt>
              </c:strCache>
            </c:strRef>
          </c:tx>
          <c:spPr>
            <a:solidFill>
              <a:schemeClr val="accent2"/>
            </a:solidFill>
            <a:ln>
              <a:noFill/>
            </a:ln>
            <a:effectLst/>
          </c:spPr>
          <c:invertIfNegative val="0"/>
          <c:cat>
            <c:strRef>
              <c:f>Лист3!$A$2:$A$7</c:f>
              <c:strCache>
                <c:ptCount val="6"/>
                <c:pt idx="0">
                  <c:v>Поэтапное повышение НДПИ на нефть и газовый конденсат</c:v>
                </c:pt>
                <c:pt idx="1">
                  <c:v>Поэтапное повышение отрицательного акциза на нефтяное сырье, направленное на переработку</c:v>
                </c:pt>
                <c:pt idx="2">
                  <c:v>Поэтапное снижение вывозной таможенной пошлины на нефть и нефтепродукты</c:v>
                </c:pt>
                <c:pt idx="3">
                  <c:v>Проектируемые изменения законодательствав части НДПИ на нефть и НДД </c:v>
                </c:pt>
                <c:pt idx="4">
                  <c:v>Проектируемые изменения законодательствав части НДПИ на газ</c:v>
                </c:pt>
                <c:pt idx="5">
                  <c:v>Изменения мировой цены на нефть марки "Юралс"</c:v>
                </c:pt>
              </c:strCache>
            </c:strRef>
          </c:cat>
          <c:val>
            <c:numRef>
              <c:f>Лист3!$C$2:$C$7</c:f>
              <c:numCache>
                <c:formatCode>#,##0.00</c:formatCode>
                <c:ptCount val="6"/>
                <c:pt idx="0">
                  <c:v>610669.5</c:v>
                </c:pt>
                <c:pt idx="1">
                  <c:v>-213313.5</c:v>
                </c:pt>
                <c:pt idx="2">
                  <c:v>-350488.7</c:v>
                </c:pt>
                <c:pt idx="3" formatCode="General">
                  <c:v>0</c:v>
                </c:pt>
                <c:pt idx="4">
                  <c:v>82143.399999999994</c:v>
                </c:pt>
                <c:pt idx="5">
                  <c:v>-580918</c:v>
                </c:pt>
              </c:numCache>
            </c:numRef>
          </c:val>
          <c:extLst>
            <c:ext xmlns:c16="http://schemas.microsoft.com/office/drawing/2014/chart" uri="{C3380CC4-5D6E-409C-BE32-E72D297353CC}">
              <c16:uniqueId val="{00000001-11D8-47D6-B4AF-0C59F956426C}"/>
            </c:ext>
          </c:extLst>
        </c:ser>
        <c:ser>
          <c:idx val="2"/>
          <c:order val="2"/>
          <c:tx>
            <c:strRef>
              <c:f>Лист3!$D$1</c:f>
              <c:strCache>
                <c:ptCount val="1"/>
                <c:pt idx="0">
                  <c:v>2025 год</c:v>
                </c:pt>
              </c:strCache>
            </c:strRef>
          </c:tx>
          <c:spPr>
            <a:solidFill>
              <a:schemeClr val="accent3"/>
            </a:solidFill>
            <a:ln>
              <a:noFill/>
            </a:ln>
            <a:effectLst/>
          </c:spPr>
          <c:invertIfNegative val="0"/>
          <c:cat>
            <c:strRef>
              <c:f>Лист3!$A$2:$A$7</c:f>
              <c:strCache>
                <c:ptCount val="6"/>
                <c:pt idx="0">
                  <c:v>Поэтапное повышение НДПИ на нефть и газовый конденсат</c:v>
                </c:pt>
                <c:pt idx="1">
                  <c:v>Поэтапное повышение отрицательного акциза на нефтяное сырье, направленное на переработку</c:v>
                </c:pt>
                <c:pt idx="2">
                  <c:v>Поэтапное снижение вывозной таможенной пошлины на нефть и нефтепродукты</c:v>
                </c:pt>
                <c:pt idx="3">
                  <c:v>Проектируемые изменения законодательствав части НДПИ на нефть и НДД </c:v>
                </c:pt>
                <c:pt idx="4">
                  <c:v>Проектируемые изменения законодательствав части НДПИ на газ</c:v>
                </c:pt>
                <c:pt idx="5">
                  <c:v>Изменения мировой цены на нефть марки "Юралс"</c:v>
                </c:pt>
              </c:strCache>
            </c:strRef>
          </c:cat>
          <c:val>
            <c:numRef>
              <c:f>Лист3!$D$2:$D$7</c:f>
              <c:numCache>
                <c:formatCode>#,##0.00</c:formatCode>
                <c:ptCount val="6"/>
                <c:pt idx="0">
                  <c:v>50970.3</c:v>
                </c:pt>
                <c:pt idx="1">
                  <c:v>-17696.7</c:v>
                </c:pt>
                <c:pt idx="2" formatCode="General">
                  <c:v>0</c:v>
                </c:pt>
                <c:pt idx="3" formatCode="General">
                  <c:v>0</c:v>
                </c:pt>
                <c:pt idx="4">
                  <c:v>57861.9</c:v>
                </c:pt>
                <c:pt idx="5">
                  <c:v>-382727.6</c:v>
                </c:pt>
              </c:numCache>
            </c:numRef>
          </c:val>
          <c:extLst>
            <c:ext xmlns:c16="http://schemas.microsoft.com/office/drawing/2014/chart" uri="{C3380CC4-5D6E-409C-BE32-E72D297353CC}">
              <c16:uniqueId val="{00000002-11D8-47D6-B4AF-0C59F956426C}"/>
            </c:ext>
          </c:extLst>
        </c:ser>
        <c:dLbls>
          <c:showLegendKey val="0"/>
          <c:showVal val="0"/>
          <c:showCatName val="0"/>
          <c:showSerName val="0"/>
          <c:showPercent val="0"/>
          <c:showBubbleSize val="0"/>
        </c:dLbls>
        <c:gapWidth val="182"/>
        <c:axId val="568263272"/>
        <c:axId val="568261960"/>
      </c:barChart>
      <c:catAx>
        <c:axId val="56826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568261960"/>
        <c:crosses val="autoZero"/>
        <c:auto val="1"/>
        <c:lblAlgn val="ctr"/>
        <c:lblOffset val="100"/>
        <c:noMultiLvlLbl val="0"/>
      </c:catAx>
      <c:valAx>
        <c:axId val="568261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Изменение</a:t>
                </a:r>
                <a:r>
                  <a:rPr lang="ru-RU" baseline="0"/>
                  <a:t> (год к году)</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826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Лист4!$A$2</c:f>
              <c:strCache>
                <c:ptCount val="1"/>
                <c:pt idx="0">
                  <c:v>Нефтегазовые доходы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Лист4!$B$1:$E$1</c:f>
              <c:strCache>
                <c:ptCount val="4"/>
                <c:pt idx="0">
                  <c:v>2023 год (оценка)</c:v>
                </c:pt>
                <c:pt idx="1">
                  <c:v>2023 год (прогноз)</c:v>
                </c:pt>
                <c:pt idx="2">
                  <c:v>2024 год (прогноз)</c:v>
                </c:pt>
                <c:pt idx="3">
                  <c:v>2025 год (прогноз)</c:v>
                </c:pt>
              </c:strCache>
            </c:strRef>
          </c:cat>
          <c:val>
            <c:numRef>
              <c:f>Лист4!$B$2:$E$2</c:f>
              <c:numCache>
                <c:formatCode>#,##0.00</c:formatCode>
                <c:ptCount val="4"/>
                <c:pt idx="0">
                  <c:v>11666.2</c:v>
                </c:pt>
                <c:pt idx="1">
                  <c:v>8939</c:v>
                </c:pt>
                <c:pt idx="2">
                  <c:v>8656.2999999999993</c:v>
                </c:pt>
                <c:pt idx="3">
                  <c:v>8488.5</c:v>
                </c:pt>
              </c:numCache>
            </c:numRef>
          </c:val>
          <c:extLst>
            <c:ext xmlns:c16="http://schemas.microsoft.com/office/drawing/2014/chart" uri="{C3380CC4-5D6E-409C-BE32-E72D297353CC}">
              <c16:uniqueId val="{00000000-B9D8-4AF5-8D9C-E2F6AF84E0BC}"/>
            </c:ext>
          </c:extLst>
        </c:ser>
        <c:ser>
          <c:idx val="1"/>
          <c:order val="1"/>
          <c:tx>
            <c:strRef>
              <c:f>Лист4!$A$3</c:f>
              <c:strCache>
                <c:ptCount val="1"/>
                <c:pt idx="0">
                  <c:v>из них базовые нефтегазовые доходы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Лист4!$B$1:$E$1</c:f>
              <c:strCache>
                <c:ptCount val="4"/>
                <c:pt idx="0">
                  <c:v>2023 год (оценка)</c:v>
                </c:pt>
                <c:pt idx="1">
                  <c:v>2023 год (прогноз)</c:v>
                </c:pt>
                <c:pt idx="2">
                  <c:v>2024 год (прогноз)</c:v>
                </c:pt>
                <c:pt idx="3">
                  <c:v>2025 год (прогноз)</c:v>
                </c:pt>
              </c:strCache>
            </c:strRef>
          </c:cat>
          <c:val>
            <c:numRef>
              <c:f>Лист4!$B$3:$E$3</c:f>
              <c:numCache>
                <c:formatCode>#,##0.00</c:formatCode>
                <c:ptCount val="4"/>
                <c:pt idx="0">
                  <c:v>6145</c:v>
                </c:pt>
                <c:pt idx="1">
                  <c:v>8000</c:v>
                </c:pt>
                <c:pt idx="2">
                  <c:v>8000</c:v>
                </c:pt>
                <c:pt idx="3">
                  <c:v>8000</c:v>
                </c:pt>
              </c:numCache>
            </c:numRef>
          </c:val>
          <c:extLst>
            <c:ext xmlns:c16="http://schemas.microsoft.com/office/drawing/2014/chart" uri="{C3380CC4-5D6E-409C-BE32-E72D297353CC}">
              <c16:uniqueId val="{00000001-B9D8-4AF5-8D9C-E2F6AF84E0BC}"/>
            </c:ext>
          </c:extLst>
        </c:ser>
        <c:dLbls>
          <c:showLegendKey val="0"/>
          <c:showVal val="0"/>
          <c:showCatName val="0"/>
          <c:showSerName val="0"/>
          <c:showPercent val="0"/>
          <c:showBubbleSize val="0"/>
        </c:dLbls>
        <c:gapWidth val="219"/>
        <c:overlap val="-27"/>
        <c:axId val="568264256"/>
        <c:axId val="568261632"/>
      </c:barChart>
      <c:catAx>
        <c:axId val="56826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8261632"/>
        <c:crosses val="autoZero"/>
        <c:auto val="1"/>
        <c:lblAlgn val="ctr"/>
        <c:lblOffset val="100"/>
        <c:noMultiLvlLbl val="0"/>
      </c:catAx>
      <c:valAx>
        <c:axId val="56826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826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ННГД!$C$16</c:f>
              <c:strCache>
                <c:ptCount val="1"/>
                <c:pt idx="0">
                  <c:v>2023 год</c:v>
                </c:pt>
              </c:strCache>
            </c:strRef>
          </c:tx>
          <c:spPr>
            <a:solidFill>
              <a:schemeClr val="accent1"/>
            </a:solidFill>
            <a:ln>
              <a:noFill/>
            </a:ln>
            <a:effectLst/>
          </c:spPr>
          <c:invertIfNegative val="0"/>
          <c:cat>
            <c:strRef>
              <c:f>ННГД!$B$17:$B$26</c:f>
              <c:strCache>
                <c:ptCount val="10"/>
                <c:pt idx="0">
                  <c:v>Введение повышенной налоговой ставки по налогу на прибыль организаций для  организаций, производящих газ природный в сжиженном состоянии </c:v>
                </c:pt>
                <c:pt idx="1">
                  <c:v>Начало обложения НДФЛ доходов по вкладам в 2023 году </c:v>
                </c:pt>
                <c:pt idx="2">
                  <c:v>Повышение собираемости и улучшение администрирования акциза на табак</c:v>
                </c:pt>
                <c:pt idx="3">
                  <c:v>Увеличение поступления внутренних и ввозных акцизов за счет индексации ставок</c:v>
                </c:pt>
                <c:pt idx="4">
                  <c:v>Изменение налогового законодательства в части акциза на природный газ</c:v>
                </c:pt>
                <c:pt idx="5">
                  <c:v>Завершение действия нулевых ставок ввозных таможенных пошлин на ввоз товаров критического импорта </c:v>
                </c:pt>
                <c:pt idx="6">
                  <c:v>Изменение ставок ввозных таможенных пошлин (в т.ч. завершения действия повышенных ставок)</c:v>
                </c:pt>
                <c:pt idx="7">
                  <c:v>Установление повышенной вывозной таможенной пошлины на уголь и удобрения с 2023 года</c:v>
                </c:pt>
                <c:pt idx="8">
                  <c:v>Повышение ставки НДПИ на уголь </c:v>
                </c:pt>
                <c:pt idx="9">
                  <c:v>Увеличение ставки возвратного акциза на сжиженные углеводородные газы для переработчиковУВГ</c:v>
                </c:pt>
              </c:strCache>
            </c:strRef>
          </c:cat>
          <c:val>
            <c:numRef>
              <c:f>ННГД!$C$17:$C$26</c:f>
              <c:numCache>
                <c:formatCode>General</c:formatCode>
                <c:ptCount val="10"/>
                <c:pt idx="0" formatCode="#,##0.00">
                  <c:v>150000</c:v>
                </c:pt>
                <c:pt idx="1">
                  <c:v>0</c:v>
                </c:pt>
                <c:pt idx="2" formatCode="#,##0.00">
                  <c:v>100000</c:v>
                </c:pt>
                <c:pt idx="3" formatCode="#,##0.00">
                  <c:v>37477.599999999999</c:v>
                </c:pt>
                <c:pt idx="4" formatCode="#,##0.00">
                  <c:v>117677.1</c:v>
                </c:pt>
                <c:pt idx="5" formatCode="#,##0.00">
                  <c:v>125804.5</c:v>
                </c:pt>
                <c:pt idx="6" formatCode="#,##0.00">
                  <c:v>-55074.8</c:v>
                </c:pt>
                <c:pt idx="7" formatCode="#,##0.00">
                  <c:v>135591.29999999999</c:v>
                </c:pt>
                <c:pt idx="8" formatCode="#,##0.00">
                  <c:v>14408.7</c:v>
                </c:pt>
                <c:pt idx="9">
                  <c:v>0</c:v>
                </c:pt>
              </c:numCache>
            </c:numRef>
          </c:val>
          <c:extLst>
            <c:ext xmlns:c16="http://schemas.microsoft.com/office/drawing/2014/chart" uri="{C3380CC4-5D6E-409C-BE32-E72D297353CC}">
              <c16:uniqueId val="{00000000-BF63-4321-91F1-217363C24B5A}"/>
            </c:ext>
          </c:extLst>
        </c:ser>
        <c:ser>
          <c:idx val="1"/>
          <c:order val="1"/>
          <c:tx>
            <c:strRef>
              <c:f>ННГД!$D$16</c:f>
              <c:strCache>
                <c:ptCount val="1"/>
                <c:pt idx="0">
                  <c:v>2024 год</c:v>
                </c:pt>
              </c:strCache>
            </c:strRef>
          </c:tx>
          <c:spPr>
            <a:solidFill>
              <a:schemeClr val="accent2"/>
            </a:solidFill>
            <a:ln>
              <a:noFill/>
            </a:ln>
            <a:effectLst/>
          </c:spPr>
          <c:invertIfNegative val="0"/>
          <c:cat>
            <c:strRef>
              <c:f>ННГД!$B$17:$B$26</c:f>
              <c:strCache>
                <c:ptCount val="10"/>
                <c:pt idx="0">
                  <c:v>Введение повышенной налоговой ставки по налогу на прибыль организаций для  организаций, производящих газ природный в сжиженном состоянии </c:v>
                </c:pt>
                <c:pt idx="1">
                  <c:v>Начало обложения НДФЛ доходов по вкладам в 2023 году </c:v>
                </c:pt>
                <c:pt idx="2">
                  <c:v>Повышение собираемости и улучшение администрирования акциза на табак</c:v>
                </c:pt>
                <c:pt idx="3">
                  <c:v>Увеличение поступления внутренних и ввозных акцизов за счет индексации ставок</c:v>
                </c:pt>
                <c:pt idx="4">
                  <c:v>Изменение налогового законодательства в части акциза на природный газ</c:v>
                </c:pt>
                <c:pt idx="5">
                  <c:v>Завершение действия нулевых ставок ввозных таможенных пошлин на ввоз товаров критического импорта </c:v>
                </c:pt>
                <c:pt idx="6">
                  <c:v>Изменение ставок ввозных таможенных пошлин (в т.ч. завершения действия повышенных ставок)</c:v>
                </c:pt>
                <c:pt idx="7">
                  <c:v>Установление повышенной вывозной таможенной пошлины на уголь и удобрения с 2023 года</c:v>
                </c:pt>
                <c:pt idx="8">
                  <c:v>Повышение ставки НДПИ на уголь </c:v>
                </c:pt>
                <c:pt idx="9">
                  <c:v>Увеличение ставки возвратного акциза на сжиженные углеводородные газы для переработчиковУВГ</c:v>
                </c:pt>
              </c:strCache>
            </c:strRef>
          </c:cat>
          <c:val>
            <c:numRef>
              <c:f>ННГД!$D$17:$D$26</c:f>
              <c:numCache>
                <c:formatCode>#,##0.00</c:formatCode>
                <c:ptCount val="10"/>
                <c:pt idx="0" formatCode="General">
                  <c:v>0</c:v>
                </c:pt>
                <c:pt idx="1">
                  <c:v>101577.5</c:v>
                </c:pt>
                <c:pt idx="2" formatCode="General">
                  <c:v>0</c:v>
                </c:pt>
                <c:pt idx="3">
                  <c:v>32344.5</c:v>
                </c:pt>
                <c:pt idx="4" formatCode="General">
                  <c:v>0</c:v>
                </c:pt>
                <c:pt idx="5">
                  <c:v>22939.9</c:v>
                </c:pt>
                <c:pt idx="6">
                  <c:v>-67035</c:v>
                </c:pt>
                <c:pt idx="7" formatCode="General">
                  <c:v>0</c:v>
                </c:pt>
                <c:pt idx="8">
                  <c:v>-14408.7</c:v>
                </c:pt>
                <c:pt idx="9">
                  <c:v>-6114.7</c:v>
                </c:pt>
              </c:numCache>
            </c:numRef>
          </c:val>
          <c:extLst>
            <c:ext xmlns:c16="http://schemas.microsoft.com/office/drawing/2014/chart" uri="{C3380CC4-5D6E-409C-BE32-E72D297353CC}">
              <c16:uniqueId val="{00000001-BF63-4321-91F1-217363C24B5A}"/>
            </c:ext>
          </c:extLst>
        </c:ser>
        <c:ser>
          <c:idx val="2"/>
          <c:order val="2"/>
          <c:tx>
            <c:strRef>
              <c:f>ННГД!$E$16</c:f>
              <c:strCache>
                <c:ptCount val="1"/>
                <c:pt idx="0">
                  <c:v>2025 год</c:v>
                </c:pt>
              </c:strCache>
            </c:strRef>
          </c:tx>
          <c:spPr>
            <a:solidFill>
              <a:schemeClr val="accent3"/>
            </a:solidFill>
            <a:ln>
              <a:noFill/>
            </a:ln>
            <a:effectLst/>
          </c:spPr>
          <c:invertIfNegative val="0"/>
          <c:cat>
            <c:strRef>
              <c:f>ННГД!$B$17:$B$26</c:f>
              <c:strCache>
                <c:ptCount val="10"/>
                <c:pt idx="0">
                  <c:v>Введение повышенной налоговой ставки по налогу на прибыль организаций для  организаций, производящих газ природный в сжиженном состоянии </c:v>
                </c:pt>
                <c:pt idx="1">
                  <c:v>Начало обложения НДФЛ доходов по вкладам в 2023 году </c:v>
                </c:pt>
                <c:pt idx="2">
                  <c:v>Повышение собираемости и улучшение администрирования акциза на табак</c:v>
                </c:pt>
                <c:pt idx="3">
                  <c:v>Увеличение поступления внутренних и ввозных акцизов за счет индексации ставок</c:v>
                </c:pt>
                <c:pt idx="4">
                  <c:v>Изменение налогового законодательства в части акциза на природный газ</c:v>
                </c:pt>
                <c:pt idx="5">
                  <c:v>Завершение действия нулевых ставок ввозных таможенных пошлин на ввоз товаров критического импорта </c:v>
                </c:pt>
                <c:pt idx="6">
                  <c:v>Изменение ставок ввозных таможенных пошлин (в т.ч. завершения действия повышенных ставок)</c:v>
                </c:pt>
                <c:pt idx="7">
                  <c:v>Установление повышенной вывозной таможенной пошлины на уголь и удобрения с 2023 года</c:v>
                </c:pt>
                <c:pt idx="8">
                  <c:v>Повышение ставки НДПИ на уголь </c:v>
                </c:pt>
                <c:pt idx="9">
                  <c:v>Увеличение ставки возвратного акциза на сжиженные углеводородные газы для переработчиковУВГ</c:v>
                </c:pt>
              </c:strCache>
            </c:strRef>
          </c:cat>
          <c:val>
            <c:numRef>
              <c:f>ННГД!$E$17:$E$26</c:f>
              <c:numCache>
                <c:formatCode>General</c:formatCode>
                <c:ptCount val="10"/>
                <c:pt idx="0">
                  <c:v>0</c:v>
                </c:pt>
                <c:pt idx="1">
                  <c:v>0</c:v>
                </c:pt>
                <c:pt idx="2">
                  <c:v>0</c:v>
                </c:pt>
                <c:pt idx="3" formatCode="#,##0.00">
                  <c:v>35517.199999999997</c:v>
                </c:pt>
                <c:pt idx="4">
                  <c:v>0</c:v>
                </c:pt>
                <c:pt idx="5">
                  <c:v>0</c:v>
                </c:pt>
                <c:pt idx="6" formatCode="#,##0.00">
                  <c:v>-31070.5</c:v>
                </c:pt>
                <c:pt idx="7">
                  <c:v>0</c:v>
                </c:pt>
                <c:pt idx="8">
                  <c:v>0</c:v>
                </c:pt>
                <c:pt idx="9" formatCode="#,##0.00">
                  <c:v>-8757.5</c:v>
                </c:pt>
              </c:numCache>
            </c:numRef>
          </c:val>
          <c:extLst>
            <c:ext xmlns:c16="http://schemas.microsoft.com/office/drawing/2014/chart" uri="{C3380CC4-5D6E-409C-BE32-E72D297353CC}">
              <c16:uniqueId val="{00000002-BF63-4321-91F1-217363C24B5A}"/>
            </c:ext>
          </c:extLst>
        </c:ser>
        <c:dLbls>
          <c:showLegendKey val="0"/>
          <c:showVal val="0"/>
          <c:showCatName val="0"/>
          <c:showSerName val="0"/>
          <c:showPercent val="0"/>
          <c:showBubbleSize val="0"/>
        </c:dLbls>
        <c:gapWidth val="182"/>
        <c:axId val="1279397295"/>
        <c:axId val="1279402287"/>
      </c:barChart>
      <c:catAx>
        <c:axId val="12793972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279402287"/>
        <c:crosses val="autoZero"/>
        <c:auto val="1"/>
        <c:lblAlgn val="ctr"/>
        <c:lblOffset val="100"/>
        <c:noMultiLvlLbl val="0"/>
      </c:catAx>
      <c:valAx>
        <c:axId val="12794022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9397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Лист2!$A$2</c:f>
              <c:strCache>
                <c:ptCount val="1"/>
                <c:pt idx="0">
                  <c:v>Нефтегазовые доходы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Лист2!$B$1:$E$1</c:f>
              <c:strCache>
                <c:ptCount val="4"/>
                <c:pt idx="0">
                  <c:v>2022 год (оценка)</c:v>
                </c:pt>
                <c:pt idx="1">
                  <c:v>2023 год (прогноз)</c:v>
                </c:pt>
                <c:pt idx="2">
                  <c:v>2024 год (прогноз)</c:v>
                </c:pt>
                <c:pt idx="3">
                  <c:v>2025 год (прогноз)</c:v>
                </c:pt>
              </c:strCache>
            </c:strRef>
          </c:cat>
          <c:val>
            <c:numRef>
              <c:f>Лист2!$B$2:$E$2</c:f>
              <c:numCache>
                <c:formatCode>General</c:formatCode>
                <c:ptCount val="4"/>
                <c:pt idx="0">
                  <c:v>42.1</c:v>
                </c:pt>
                <c:pt idx="1">
                  <c:v>34.200000000000003</c:v>
                </c:pt>
                <c:pt idx="2">
                  <c:v>31.8</c:v>
                </c:pt>
                <c:pt idx="3">
                  <c:v>30.3</c:v>
                </c:pt>
              </c:numCache>
            </c:numRef>
          </c:val>
          <c:extLst>
            <c:ext xmlns:c16="http://schemas.microsoft.com/office/drawing/2014/chart" uri="{C3380CC4-5D6E-409C-BE32-E72D297353CC}">
              <c16:uniqueId val="{00000000-1231-413B-A015-A84E020A4CB1}"/>
            </c:ext>
          </c:extLst>
        </c:ser>
        <c:ser>
          <c:idx val="1"/>
          <c:order val="1"/>
          <c:tx>
            <c:strRef>
              <c:f>Лист2!$A$3</c:f>
              <c:strCache>
                <c:ptCount val="1"/>
                <c:pt idx="0">
                  <c:v>Ненефтегазовые доходы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Лист2!$B$1:$E$1</c:f>
              <c:strCache>
                <c:ptCount val="4"/>
                <c:pt idx="0">
                  <c:v>2022 год (оценка)</c:v>
                </c:pt>
                <c:pt idx="1">
                  <c:v>2023 год (прогноз)</c:v>
                </c:pt>
                <c:pt idx="2">
                  <c:v>2024 год (прогноз)</c:v>
                </c:pt>
                <c:pt idx="3">
                  <c:v>2025 год (прогноз)</c:v>
                </c:pt>
              </c:strCache>
            </c:strRef>
          </c:cat>
          <c:val>
            <c:numRef>
              <c:f>Лист2!$B$3:$E$3</c:f>
              <c:numCache>
                <c:formatCode>General</c:formatCode>
                <c:ptCount val="4"/>
                <c:pt idx="0">
                  <c:v>57.9</c:v>
                </c:pt>
                <c:pt idx="1">
                  <c:v>65.8</c:v>
                </c:pt>
                <c:pt idx="2">
                  <c:v>68.2</c:v>
                </c:pt>
                <c:pt idx="3">
                  <c:v>69.7</c:v>
                </c:pt>
              </c:numCache>
            </c:numRef>
          </c:val>
          <c:extLst>
            <c:ext xmlns:c16="http://schemas.microsoft.com/office/drawing/2014/chart" uri="{C3380CC4-5D6E-409C-BE32-E72D297353CC}">
              <c16:uniqueId val="{00000001-1231-413B-A015-A84E020A4CB1}"/>
            </c:ext>
          </c:extLst>
        </c:ser>
        <c:dLbls>
          <c:showLegendKey val="0"/>
          <c:showVal val="0"/>
          <c:showCatName val="0"/>
          <c:showSerName val="0"/>
          <c:showPercent val="0"/>
          <c:showBubbleSize val="0"/>
        </c:dLbls>
        <c:gapWidth val="150"/>
        <c:overlap val="100"/>
        <c:axId val="463949976"/>
        <c:axId val="463950960"/>
      </c:barChart>
      <c:catAx>
        <c:axId val="463949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950960"/>
        <c:crosses val="autoZero"/>
        <c:auto val="1"/>
        <c:lblAlgn val="ctr"/>
        <c:lblOffset val="100"/>
        <c:noMultiLvlLbl val="0"/>
      </c:catAx>
      <c:valAx>
        <c:axId val="463950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доля в общем объеме в %</a:t>
                </a:r>
              </a:p>
            </c:rich>
          </c:tx>
          <c:layout>
            <c:manualLayout>
              <c:xMode val="edge"/>
              <c:yMode val="edge"/>
              <c:x val="0.38843130504314605"/>
              <c:y val="0.843063028292173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949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2023 год</c:v>
                </c:pt>
              </c:strCache>
            </c:strRef>
          </c:tx>
          <c:spPr>
            <a:solidFill>
              <a:schemeClr val="accent1"/>
            </a:solidFill>
            <a:ln>
              <a:noFill/>
            </a:ln>
            <a:effectLst/>
          </c:spPr>
          <c:invertIfNegative val="0"/>
          <c:cat>
            <c:strRef>
              <c:f>Лист1!$A$2:$A$6</c:f>
              <c:strCache>
                <c:ptCount val="5"/>
                <c:pt idx="0">
                  <c:v>НДПИ</c:v>
                </c:pt>
                <c:pt idx="1">
                  <c:v>Вывозные таможенные пошлины:</c:v>
                </c:pt>
                <c:pt idx="2">
                  <c:v>Акциз на нефтяное сырье</c:v>
                </c:pt>
                <c:pt idx="3">
                  <c:v>НДД</c:v>
                </c:pt>
                <c:pt idx="4">
                  <c:v>Нефтегазовые доходы, всего</c:v>
                </c:pt>
              </c:strCache>
            </c:strRef>
          </c:cat>
          <c:val>
            <c:numRef>
              <c:f>Лист1!$B$2:$B$6</c:f>
              <c:numCache>
                <c:formatCode>#,##0.00</c:formatCode>
                <c:ptCount val="5"/>
                <c:pt idx="0">
                  <c:v>7945606.0999999996</c:v>
                </c:pt>
                <c:pt idx="1">
                  <c:v>2054670.8</c:v>
                </c:pt>
                <c:pt idx="2">
                  <c:v>-2142908.4</c:v>
                </c:pt>
                <c:pt idx="3">
                  <c:v>1081601</c:v>
                </c:pt>
                <c:pt idx="4">
                  <c:v>8938969.4000000004</c:v>
                </c:pt>
              </c:numCache>
            </c:numRef>
          </c:val>
          <c:extLst>
            <c:ext xmlns:c16="http://schemas.microsoft.com/office/drawing/2014/chart" uri="{C3380CC4-5D6E-409C-BE32-E72D297353CC}">
              <c16:uniqueId val="{00000000-90AA-468B-AAC9-7C81C9A252F5}"/>
            </c:ext>
          </c:extLst>
        </c:ser>
        <c:ser>
          <c:idx val="1"/>
          <c:order val="1"/>
          <c:tx>
            <c:strRef>
              <c:f>Лист1!$C$1</c:f>
              <c:strCache>
                <c:ptCount val="1"/>
                <c:pt idx="0">
                  <c:v>2024 год</c:v>
                </c:pt>
              </c:strCache>
            </c:strRef>
          </c:tx>
          <c:spPr>
            <a:solidFill>
              <a:schemeClr val="accent2"/>
            </a:solidFill>
            <a:ln>
              <a:noFill/>
            </a:ln>
            <a:effectLst/>
          </c:spPr>
          <c:invertIfNegative val="0"/>
          <c:cat>
            <c:strRef>
              <c:f>Лист1!$A$2:$A$6</c:f>
              <c:strCache>
                <c:ptCount val="5"/>
                <c:pt idx="0">
                  <c:v>НДПИ</c:v>
                </c:pt>
                <c:pt idx="1">
                  <c:v>Вывозные таможенные пошлины:</c:v>
                </c:pt>
                <c:pt idx="2">
                  <c:v>Акциз на нефтяное сырье</c:v>
                </c:pt>
                <c:pt idx="3">
                  <c:v>НДД</c:v>
                </c:pt>
                <c:pt idx="4">
                  <c:v>Нефтегазовые доходы, всего</c:v>
                </c:pt>
              </c:strCache>
            </c:strRef>
          </c:cat>
          <c:val>
            <c:numRef>
              <c:f>Лист1!$C$2:$C$6</c:f>
              <c:numCache>
                <c:formatCode>#,##0.00</c:formatCode>
                <c:ptCount val="5"/>
                <c:pt idx="0">
                  <c:v>8102176.7999999998</c:v>
                </c:pt>
                <c:pt idx="1">
                  <c:v>1318459</c:v>
                </c:pt>
                <c:pt idx="2">
                  <c:v>-2073655.2</c:v>
                </c:pt>
                <c:pt idx="3">
                  <c:v>1309330.7</c:v>
                </c:pt>
                <c:pt idx="4">
                  <c:v>8656311.1999999993</c:v>
                </c:pt>
              </c:numCache>
            </c:numRef>
          </c:val>
          <c:extLst>
            <c:ext xmlns:c16="http://schemas.microsoft.com/office/drawing/2014/chart" uri="{C3380CC4-5D6E-409C-BE32-E72D297353CC}">
              <c16:uniqueId val="{00000001-90AA-468B-AAC9-7C81C9A252F5}"/>
            </c:ext>
          </c:extLst>
        </c:ser>
        <c:ser>
          <c:idx val="2"/>
          <c:order val="2"/>
          <c:tx>
            <c:strRef>
              <c:f>Лист1!$D$1</c:f>
              <c:strCache>
                <c:ptCount val="1"/>
                <c:pt idx="0">
                  <c:v>2025 год</c:v>
                </c:pt>
              </c:strCache>
            </c:strRef>
          </c:tx>
          <c:spPr>
            <a:solidFill>
              <a:schemeClr val="accent3"/>
            </a:solidFill>
            <a:ln>
              <a:noFill/>
            </a:ln>
            <a:effectLst/>
          </c:spPr>
          <c:invertIfNegative val="0"/>
          <c:cat>
            <c:strRef>
              <c:f>Лист1!$A$2:$A$6</c:f>
              <c:strCache>
                <c:ptCount val="5"/>
                <c:pt idx="0">
                  <c:v>НДПИ</c:v>
                </c:pt>
                <c:pt idx="1">
                  <c:v>Вывозные таможенные пошлины:</c:v>
                </c:pt>
                <c:pt idx="2">
                  <c:v>Акциз на нефтяное сырье</c:v>
                </c:pt>
                <c:pt idx="3">
                  <c:v>НДД</c:v>
                </c:pt>
                <c:pt idx="4">
                  <c:v>Нефтегазовые доходы, всего</c:v>
                </c:pt>
              </c:strCache>
            </c:strRef>
          </c:cat>
          <c:val>
            <c:numRef>
              <c:f>Лист1!$D$2:$D$6</c:f>
              <c:numCache>
                <c:formatCode>#,##0.00</c:formatCode>
                <c:ptCount val="5"/>
                <c:pt idx="0">
                  <c:v>8187916.0999999996</c:v>
                </c:pt>
                <c:pt idx="1">
                  <c:v>1047549.1</c:v>
                </c:pt>
                <c:pt idx="2">
                  <c:v>-1970624.4</c:v>
                </c:pt>
                <c:pt idx="3">
                  <c:v>1223677.3</c:v>
                </c:pt>
                <c:pt idx="4">
                  <c:v>8488518.0999999996</c:v>
                </c:pt>
              </c:numCache>
            </c:numRef>
          </c:val>
          <c:extLst>
            <c:ext xmlns:c16="http://schemas.microsoft.com/office/drawing/2014/chart" uri="{C3380CC4-5D6E-409C-BE32-E72D297353CC}">
              <c16:uniqueId val="{00000002-90AA-468B-AAC9-7C81C9A252F5}"/>
            </c:ext>
          </c:extLst>
        </c:ser>
        <c:dLbls>
          <c:showLegendKey val="0"/>
          <c:showVal val="0"/>
          <c:showCatName val="0"/>
          <c:showSerName val="0"/>
          <c:showPercent val="0"/>
          <c:showBubbleSize val="0"/>
        </c:dLbls>
        <c:gapWidth val="182"/>
        <c:axId val="530628016"/>
        <c:axId val="530628344"/>
      </c:barChart>
      <c:catAx>
        <c:axId val="53062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530628344"/>
        <c:crosses val="autoZero"/>
        <c:auto val="1"/>
        <c:lblAlgn val="ctr"/>
        <c:lblOffset val="100"/>
        <c:noMultiLvlLbl val="0"/>
      </c:catAx>
      <c:valAx>
        <c:axId val="5306283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ru-RU" sz="1200">
                    <a:solidFill>
                      <a:sysClr val="windowText" lastClr="000000"/>
                    </a:solidFill>
                  </a:rPr>
                  <a:t>нефтегазовые</a:t>
                </a:r>
                <a:r>
                  <a:rPr lang="ru-RU" sz="1200" baseline="0">
                    <a:solidFill>
                      <a:sysClr val="windowText" lastClr="000000"/>
                    </a:solidFill>
                  </a:rPr>
                  <a:t> доходы в млн. руб.</a:t>
                </a:r>
                <a:endParaRPr lang="ru-RU"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062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Лист5!$B$1</c:f>
              <c:strCache>
                <c:ptCount val="1"/>
                <c:pt idx="0">
                  <c:v>2023 год</c:v>
                </c:pt>
              </c:strCache>
            </c:strRef>
          </c:tx>
          <c:spPr>
            <a:solidFill>
              <a:schemeClr val="accent1"/>
            </a:solidFill>
            <a:ln>
              <a:noFill/>
            </a:ln>
            <a:effectLst/>
          </c:spPr>
          <c:invertIfNegative val="0"/>
          <c:cat>
            <c:strRef>
              <c:f>Лист5!$A$2:$A$7</c:f>
              <c:strCache>
                <c:ptCount val="6"/>
                <c:pt idx="0">
                  <c:v>Налог на прибыль </c:v>
                </c:pt>
                <c:pt idx="1">
                  <c:v>НДФЛ</c:v>
                </c:pt>
                <c:pt idx="2">
                  <c:v>НДС</c:v>
                </c:pt>
                <c:pt idx="3">
                  <c:v>Акцизы</c:v>
                </c:pt>
                <c:pt idx="4">
                  <c:v>НДПИ за исключением углеводородов</c:v>
                </c:pt>
                <c:pt idx="5">
                  <c:v>Ненефтегазовые доходы, всего</c:v>
                </c:pt>
              </c:strCache>
            </c:strRef>
          </c:cat>
          <c:val>
            <c:numRef>
              <c:f>Лист5!$B$2:$B$7</c:f>
              <c:numCache>
                <c:formatCode>#,##0.00</c:formatCode>
                <c:ptCount val="6"/>
                <c:pt idx="0">
                  <c:v>1632607.1</c:v>
                </c:pt>
                <c:pt idx="1">
                  <c:v>153388.9</c:v>
                </c:pt>
                <c:pt idx="2" formatCode="General">
                  <c:v>10417031.800000001</c:v>
                </c:pt>
                <c:pt idx="3">
                  <c:v>1488922.8</c:v>
                </c:pt>
                <c:pt idx="4">
                  <c:v>194004.6</c:v>
                </c:pt>
                <c:pt idx="5">
                  <c:v>17191300</c:v>
                </c:pt>
              </c:numCache>
            </c:numRef>
          </c:val>
          <c:extLst>
            <c:ext xmlns:c16="http://schemas.microsoft.com/office/drawing/2014/chart" uri="{C3380CC4-5D6E-409C-BE32-E72D297353CC}">
              <c16:uniqueId val="{00000000-5922-4106-8244-31FEF5FE50A4}"/>
            </c:ext>
          </c:extLst>
        </c:ser>
        <c:ser>
          <c:idx val="1"/>
          <c:order val="1"/>
          <c:tx>
            <c:strRef>
              <c:f>Лист5!$C$1</c:f>
              <c:strCache>
                <c:ptCount val="1"/>
                <c:pt idx="0">
                  <c:v>2024 год</c:v>
                </c:pt>
              </c:strCache>
            </c:strRef>
          </c:tx>
          <c:spPr>
            <a:solidFill>
              <a:schemeClr val="accent2"/>
            </a:solidFill>
            <a:ln>
              <a:noFill/>
            </a:ln>
            <a:effectLst/>
          </c:spPr>
          <c:invertIfNegative val="0"/>
          <c:cat>
            <c:strRef>
              <c:f>Лист5!$A$2:$A$7</c:f>
              <c:strCache>
                <c:ptCount val="6"/>
                <c:pt idx="0">
                  <c:v>Налог на прибыль </c:v>
                </c:pt>
                <c:pt idx="1">
                  <c:v>НДФЛ</c:v>
                </c:pt>
                <c:pt idx="2">
                  <c:v>НДС</c:v>
                </c:pt>
                <c:pt idx="3">
                  <c:v>Акцизы</c:v>
                </c:pt>
                <c:pt idx="4">
                  <c:v>НДПИ за исключением углеводородов</c:v>
                </c:pt>
                <c:pt idx="5">
                  <c:v>Ненефтегазовые доходы, всего</c:v>
                </c:pt>
              </c:strCache>
            </c:strRef>
          </c:cat>
          <c:val>
            <c:numRef>
              <c:f>Лист5!$C$2:$C$7</c:f>
              <c:numCache>
                <c:formatCode>#,##0.00</c:formatCode>
                <c:ptCount val="6"/>
                <c:pt idx="0">
                  <c:v>1822701.7</c:v>
                </c:pt>
                <c:pt idx="1">
                  <c:v>267193.7</c:v>
                </c:pt>
                <c:pt idx="2" formatCode="General">
                  <c:v>11208006.5</c:v>
                </c:pt>
                <c:pt idx="3">
                  <c:v>1474100.9</c:v>
                </c:pt>
                <c:pt idx="4">
                  <c:v>188134.39999999999</c:v>
                </c:pt>
                <c:pt idx="5">
                  <c:v>18583500</c:v>
                </c:pt>
              </c:numCache>
            </c:numRef>
          </c:val>
          <c:extLst>
            <c:ext xmlns:c16="http://schemas.microsoft.com/office/drawing/2014/chart" uri="{C3380CC4-5D6E-409C-BE32-E72D297353CC}">
              <c16:uniqueId val="{00000001-5922-4106-8244-31FEF5FE50A4}"/>
            </c:ext>
          </c:extLst>
        </c:ser>
        <c:ser>
          <c:idx val="2"/>
          <c:order val="2"/>
          <c:tx>
            <c:strRef>
              <c:f>Лист5!$D$1</c:f>
              <c:strCache>
                <c:ptCount val="1"/>
                <c:pt idx="0">
                  <c:v>2025 год</c:v>
                </c:pt>
              </c:strCache>
            </c:strRef>
          </c:tx>
          <c:spPr>
            <a:solidFill>
              <a:schemeClr val="accent3"/>
            </a:solidFill>
            <a:ln>
              <a:noFill/>
            </a:ln>
            <a:effectLst/>
          </c:spPr>
          <c:invertIfNegative val="0"/>
          <c:cat>
            <c:strRef>
              <c:f>Лист5!$A$2:$A$7</c:f>
              <c:strCache>
                <c:ptCount val="6"/>
                <c:pt idx="0">
                  <c:v>Налог на прибыль </c:v>
                </c:pt>
                <c:pt idx="1">
                  <c:v>НДФЛ</c:v>
                </c:pt>
                <c:pt idx="2">
                  <c:v>НДС</c:v>
                </c:pt>
                <c:pt idx="3">
                  <c:v>Акцизы</c:v>
                </c:pt>
                <c:pt idx="4">
                  <c:v>НДПИ за исключением углеводородов</c:v>
                </c:pt>
                <c:pt idx="5">
                  <c:v>Ненефтегазовые доходы, всего</c:v>
                </c:pt>
              </c:strCache>
            </c:strRef>
          </c:cat>
          <c:val>
            <c:numRef>
              <c:f>Лист5!$D$2:$D$7</c:f>
              <c:numCache>
                <c:formatCode>#,##0.00</c:formatCode>
                <c:ptCount val="6"/>
                <c:pt idx="0">
                  <c:v>1968785</c:v>
                </c:pt>
                <c:pt idx="1">
                  <c:v>282056.5</c:v>
                </c:pt>
                <c:pt idx="2" formatCode="General">
                  <c:v>12048338.6</c:v>
                </c:pt>
                <c:pt idx="3">
                  <c:v>1429281.4</c:v>
                </c:pt>
                <c:pt idx="4">
                  <c:v>194456.1</c:v>
                </c:pt>
                <c:pt idx="5">
                  <c:v>19490009</c:v>
                </c:pt>
              </c:numCache>
            </c:numRef>
          </c:val>
          <c:extLst>
            <c:ext xmlns:c16="http://schemas.microsoft.com/office/drawing/2014/chart" uri="{C3380CC4-5D6E-409C-BE32-E72D297353CC}">
              <c16:uniqueId val="{00000002-5922-4106-8244-31FEF5FE50A4}"/>
            </c:ext>
          </c:extLst>
        </c:ser>
        <c:dLbls>
          <c:showLegendKey val="0"/>
          <c:showVal val="0"/>
          <c:showCatName val="0"/>
          <c:showSerName val="0"/>
          <c:showPercent val="0"/>
          <c:showBubbleSize val="0"/>
        </c:dLbls>
        <c:gapWidth val="182"/>
        <c:axId val="532028840"/>
        <c:axId val="398243216"/>
      </c:barChart>
      <c:catAx>
        <c:axId val="532028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398243216"/>
        <c:crosses val="autoZero"/>
        <c:auto val="1"/>
        <c:lblAlgn val="ctr"/>
        <c:lblOffset val="100"/>
        <c:noMultiLvlLbl val="0"/>
      </c:catAx>
      <c:valAx>
        <c:axId val="398243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a:t>ненефтегазовые</a:t>
                </a:r>
                <a:r>
                  <a:rPr lang="ru-RU" sz="1200" baseline="0"/>
                  <a:t> доходы, млн. руб</a:t>
                </a:r>
                <a:r>
                  <a:rPr lang="ru-RU" baseline="0"/>
                  <a:t>.</a:t>
                </a:r>
                <a:endParaRPr lang="ru-RU"/>
              </a:p>
            </c:rich>
          </c:tx>
          <c:layout>
            <c:manualLayout>
              <c:xMode val="edge"/>
              <c:yMode val="edge"/>
              <c:x val="0.26857662664980869"/>
              <c:y val="0.843323295636204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2028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Лист1!$C$6</c:f>
              <c:strCache>
                <c:ptCount val="1"/>
                <c:pt idx="0">
                  <c:v>Исполнение
2021</c:v>
                </c:pt>
              </c:strCache>
            </c:strRef>
          </c:tx>
          <c:spPr>
            <a:gradFill rotWithShape="1">
              <a:gsLst>
                <a:gs pos="0">
                  <a:schemeClr val="accent5">
                    <a:tint val="54000"/>
                    <a:lumMod val="110000"/>
                    <a:satMod val="105000"/>
                    <a:tint val="67000"/>
                  </a:schemeClr>
                </a:gs>
                <a:gs pos="50000">
                  <a:schemeClr val="accent5">
                    <a:tint val="54000"/>
                    <a:lumMod val="105000"/>
                    <a:satMod val="103000"/>
                    <a:tint val="73000"/>
                  </a:schemeClr>
                </a:gs>
                <a:gs pos="100000">
                  <a:schemeClr val="accent5">
                    <a:tint val="54000"/>
                    <a:lumMod val="105000"/>
                    <a:satMod val="109000"/>
                    <a:tint val="81000"/>
                  </a:schemeClr>
                </a:gs>
              </a:gsLst>
              <a:lin ang="5400000" scaled="0"/>
            </a:gradFill>
            <a:ln w="9525" cap="flat" cmpd="sng" algn="ctr">
              <a:solidFill>
                <a:schemeClr val="accent5">
                  <a:tint val="54000"/>
                  <a:shade val="95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Лист1!$B$7:$B$9</c:f>
              <c:strCache>
                <c:ptCount val="3"/>
                <c:pt idx="0">
                  <c:v>НАЛОГИ НА ПРИБЫЛЬ, ДОХОДЫ</c:v>
                </c:pt>
                <c:pt idx="1">
                  <c:v>НАЛОГИ НА ТОВАРЫ (РАБОТЫ, УСЛУГИ), РЕАЛИЗУЕМЫЕ И ВВОЗИМЫЕ НА ТЕРРИТОРИЮ РФ</c:v>
                </c:pt>
                <c:pt idx="2">
                  <c:v>НАЛОГИ, СБОРЫ И РЕГУЛЯРНЫЕ ПЛАТЕЖИ ЗА ПОЛЬЗОВАНИЕ ПРИРОДНЫМИ РЕСУРСАМИ</c:v>
                </c:pt>
              </c:strCache>
            </c:strRef>
          </c:cat>
          <c:val>
            <c:numRef>
              <c:f>Лист1!$C$7:$C$9</c:f>
              <c:numCache>
                <c:formatCode>#\ ##0.0</c:formatCode>
                <c:ptCount val="3"/>
                <c:pt idx="0">
                  <c:v>1643105284.0957804</c:v>
                </c:pt>
                <c:pt idx="1">
                  <c:v>9069982512.04916</c:v>
                </c:pt>
                <c:pt idx="2">
                  <c:v>8297748420.3850307</c:v>
                </c:pt>
              </c:numCache>
            </c:numRef>
          </c:val>
          <c:extLst>
            <c:ext xmlns:c16="http://schemas.microsoft.com/office/drawing/2014/chart" uri="{C3380CC4-5D6E-409C-BE32-E72D297353CC}">
              <c16:uniqueId val="{00000000-10B1-4760-BF76-C6A5B3155412}"/>
            </c:ext>
          </c:extLst>
        </c:ser>
        <c:ser>
          <c:idx val="1"/>
          <c:order val="1"/>
          <c:tx>
            <c:strRef>
              <c:f>Лист1!$D$6</c:f>
              <c:strCache>
                <c:ptCount val="1"/>
                <c:pt idx="0">
                  <c:v>Оценка
2022</c:v>
                </c:pt>
              </c:strCache>
            </c:strRef>
          </c:tx>
          <c:spPr>
            <a:gradFill rotWithShape="1">
              <a:gsLst>
                <a:gs pos="0">
                  <a:schemeClr val="accent5">
                    <a:tint val="77000"/>
                    <a:lumMod val="110000"/>
                    <a:satMod val="105000"/>
                    <a:tint val="67000"/>
                  </a:schemeClr>
                </a:gs>
                <a:gs pos="50000">
                  <a:schemeClr val="accent5">
                    <a:tint val="77000"/>
                    <a:lumMod val="105000"/>
                    <a:satMod val="103000"/>
                    <a:tint val="73000"/>
                  </a:schemeClr>
                </a:gs>
                <a:gs pos="100000">
                  <a:schemeClr val="accent5">
                    <a:tint val="77000"/>
                    <a:lumMod val="105000"/>
                    <a:satMod val="109000"/>
                    <a:tint val="81000"/>
                  </a:schemeClr>
                </a:gs>
              </a:gsLst>
              <a:lin ang="5400000" scaled="0"/>
            </a:gradFill>
            <a:ln w="9525" cap="flat" cmpd="sng" algn="ctr">
              <a:solidFill>
                <a:schemeClr val="accent5">
                  <a:tint val="77000"/>
                  <a:shade val="95000"/>
                </a:schemeClr>
              </a:solidFill>
              <a:round/>
            </a:ln>
            <a:effectLst/>
          </c:spPr>
          <c:invertIfNegative val="0"/>
          <c:dLbls>
            <c:dLbl>
              <c:idx val="0"/>
              <c:layout>
                <c:manualLayout>
                  <c:x val="0"/>
                  <c:y val="5.08332130880999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B1-4760-BF76-C6A5B315541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Лист1!$B$7:$B$9</c:f>
              <c:strCache>
                <c:ptCount val="3"/>
                <c:pt idx="0">
                  <c:v>НАЛОГИ НА ПРИБЫЛЬ, ДОХОДЫ</c:v>
                </c:pt>
                <c:pt idx="1">
                  <c:v>НАЛОГИ НА ТОВАРЫ (РАБОТЫ, УСЛУГИ), РЕАЛИЗУЕМЫЕ И ВВОЗИМЫЕ НА ТЕРРИТОРИЮ РФ</c:v>
                </c:pt>
                <c:pt idx="2">
                  <c:v>НАЛОГИ, СБОРЫ И РЕГУЛЯРНЫЕ ПЛАТЕЖИ ЗА ПОЛЬЗОВАНИЕ ПРИРОДНЫМИ РЕСУРСАМИ</c:v>
                </c:pt>
              </c:strCache>
            </c:strRef>
          </c:cat>
          <c:val>
            <c:numRef>
              <c:f>Лист1!$D$7:$D$9</c:f>
              <c:numCache>
                <c:formatCode>#\ ##0.0</c:formatCode>
                <c:ptCount val="3"/>
                <c:pt idx="0">
                  <c:v>1704983018.3000002</c:v>
                </c:pt>
                <c:pt idx="1">
                  <c:v>7456751156.3999996</c:v>
                </c:pt>
                <c:pt idx="2">
                  <c:v>12551795551.800001</c:v>
                </c:pt>
              </c:numCache>
            </c:numRef>
          </c:val>
          <c:extLst>
            <c:ext xmlns:c16="http://schemas.microsoft.com/office/drawing/2014/chart" uri="{C3380CC4-5D6E-409C-BE32-E72D297353CC}">
              <c16:uniqueId val="{00000002-10B1-4760-BF76-C6A5B3155412}"/>
            </c:ext>
          </c:extLst>
        </c:ser>
        <c:ser>
          <c:idx val="2"/>
          <c:order val="2"/>
          <c:tx>
            <c:strRef>
              <c:f>Лист1!$E$6</c:f>
              <c:strCache>
                <c:ptCount val="1"/>
                <c:pt idx="0">
                  <c:v>Законопроект 
2023</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dLbl>
              <c:idx val="0"/>
              <c:layout>
                <c:manualLayout>
                  <c:x val="-2.5040361907552313E-17"/>
                  <c:y val="8.04135404962635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B1-4760-BF76-C6A5B315541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Лист1!$B$7:$B$9</c:f>
              <c:strCache>
                <c:ptCount val="3"/>
                <c:pt idx="0">
                  <c:v>НАЛОГИ НА ПРИБЫЛЬ, ДОХОДЫ</c:v>
                </c:pt>
                <c:pt idx="1">
                  <c:v>НАЛОГИ НА ТОВАРЫ (РАБОТЫ, УСЛУГИ), РЕАЛИЗУЕМЫЕ И ВВОЗИМЫЕ НА ТЕРРИТОРИЮ РФ</c:v>
                </c:pt>
                <c:pt idx="2">
                  <c:v>НАЛОГИ, СБОРЫ И РЕГУЛЯРНЫЕ ПЛАТЕЖИ ЗА ПОЛЬЗОВАНИЕ ПРИРОДНЫМИ РЕСУРСАМИ</c:v>
                </c:pt>
              </c:strCache>
            </c:strRef>
          </c:cat>
          <c:val>
            <c:numRef>
              <c:f>Лист1!$E$7:$E$9</c:f>
              <c:numCache>
                <c:formatCode>#\ ##0.0</c:formatCode>
                <c:ptCount val="3"/>
                <c:pt idx="0">
                  <c:v>1785996009.9000001</c:v>
                </c:pt>
                <c:pt idx="1">
                  <c:v>9763046139.7000008</c:v>
                </c:pt>
                <c:pt idx="2">
                  <c:v>9262650497.0999985</c:v>
                </c:pt>
              </c:numCache>
            </c:numRef>
          </c:val>
          <c:extLst>
            <c:ext xmlns:c16="http://schemas.microsoft.com/office/drawing/2014/chart" uri="{C3380CC4-5D6E-409C-BE32-E72D297353CC}">
              <c16:uniqueId val="{00000004-10B1-4760-BF76-C6A5B3155412}"/>
            </c:ext>
          </c:extLst>
        </c:ser>
        <c:ser>
          <c:idx val="3"/>
          <c:order val="3"/>
          <c:tx>
            <c:strRef>
              <c:f>Лист1!$F$6</c:f>
              <c:strCache>
                <c:ptCount val="1"/>
                <c:pt idx="0">
                  <c:v>Законопроект 
2024</c:v>
                </c:pt>
              </c:strCache>
            </c:strRef>
          </c:tx>
          <c:spPr>
            <a:gradFill rotWithShape="1">
              <a:gsLst>
                <a:gs pos="0">
                  <a:schemeClr val="accent5">
                    <a:shade val="76000"/>
                    <a:lumMod val="110000"/>
                    <a:satMod val="105000"/>
                    <a:tint val="67000"/>
                  </a:schemeClr>
                </a:gs>
                <a:gs pos="50000">
                  <a:schemeClr val="accent5">
                    <a:shade val="76000"/>
                    <a:lumMod val="105000"/>
                    <a:satMod val="103000"/>
                    <a:tint val="73000"/>
                  </a:schemeClr>
                </a:gs>
                <a:gs pos="100000">
                  <a:schemeClr val="accent5">
                    <a:shade val="76000"/>
                    <a:lumMod val="105000"/>
                    <a:satMod val="109000"/>
                    <a:tint val="81000"/>
                  </a:schemeClr>
                </a:gs>
              </a:gsLst>
              <a:lin ang="5400000" scaled="0"/>
            </a:gradFill>
            <a:ln w="9525" cap="flat" cmpd="sng" algn="ctr">
              <a:solidFill>
                <a:schemeClr val="accent5">
                  <a:shade val="76000"/>
                  <a:shade val="95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Лист1!$B$7:$B$9</c:f>
              <c:strCache>
                <c:ptCount val="3"/>
                <c:pt idx="0">
                  <c:v>НАЛОГИ НА ПРИБЫЛЬ, ДОХОДЫ</c:v>
                </c:pt>
                <c:pt idx="1">
                  <c:v>НАЛОГИ НА ТОВАРЫ (РАБОТЫ, УСЛУГИ), РЕАЛИЗУЕМЫЕ И ВВОЗИМЫЕ НА ТЕРРИТОРИЮ РФ</c:v>
                </c:pt>
                <c:pt idx="2">
                  <c:v>НАЛОГИ, СБОРЫ И РЕГУЛЯРНЫЕ ПЛАТЕЖИ ЗА ПОЛЬЗОВАНИЕ ПРИРОДНЫМИ РЕСУРСАМИ</c:v>
                </c:pt>
              </c:strCache>
            </c:strRef>
          </c:cat>
          <c:val>
            <c:numRef>
              <c:f>Лист1!$F$7:$F$9</c:f>
              <c:numCache>
                <c:formatCode>#\ ##0.0</c:formatCode>
                <c:ptCount val="3"/>
                <c:pt idx="0">
                  <c:v>2089895392.8000004</c:v>
                </c:pt>
                <c:pt idx="1">
                  <c:v>10608452178.799999</c:v>
                </c:pt>
                <c:pt idx="2">
                  <c:v>9641727479.2999992</c:v>
                </c:pt>
              </c:numCache>
            </c:numRef>
          </c:val>
          <c:extLst>
            <c:ext xmlns:c16="http://schemas.microsoft.com/office/drawing/2014/chart" uri="{C3380CC4-5D6E-409C-BE32-E72D297353CC}">
              <c16:uniqueId val="{00000005-10B1-4760-BF76-C6A5B3155412}"/>
            </c:ext>
          </c:extLst>
        </c:ser>
        <c:ser>
          <c:idx val="4"/>
          <c:order val="4"/>
          <c:tx>
            <c:strRef>
              <c:f>Лист1!$G$6</c:f>
              <c:strCache>
                <c:ptCount val="1"/>
                <c:pt idx="0">
                  <c:v>Законопроект 
2025</c:v>
                </c:pt>
              </c:strCache>
            </c:strRef>
          </c:tx>
          <c:spPr>
            <a:gradFill rotWithShape="1">
              <a:gsLst>
                <a:gs pos="0">
                  <a:schemeClr val="accent5">
                    <a:shade val="53000"/>
                    <a:lumMod val="110000"/>
                    <a:satMod val="105000"/>
                    <a:tint val="67000"/>
                  </a:schemeClr>
                </a:gs>
                <a:gs pos="50000">
                  <a:schemeClr val="accent5">
                    <a:shade val="53000"/>
                    <a:lumMod val="105000"/>
                    <a:satMod val="103000"/>
                    <a:tint val="73000"/>
                  </a:schemeClr>
                </a:gs>
                <a:gs pos="100000">
                  <a:schemeClr val="accent5">
                    <a:shade val="53000"/>
                    <a:lumMod val="105000"/>
                    <a:satMod val="109000"/>
                    <a:tint val="81000"/>
                  </a:schemeClr>
                </a:gs>
              </a:gsLst>
              <a:lin ang="5400000" scaled="0"/>
            </a:gradFill>
            <a:ln w="9525" cap="flat" cmpd="sng" algn="ctr">
              <a:solidFill>
                <a:schemeClr val="accent5">
                  <a:shade val="53000"/>
                  <a:shade val="95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Лист1!$B$7:$B$9</c:f>
              <c:strCache>
                <c:ptCount val="3"/>
                <c:pt idx="0">
                  <c:v>НАЛОГИ НА ПРИБЫЛЬ, ДОХОДЫ</c:v>
                </c:pt>
                <c:pt idx="1">
                  <c:v>НАЛОГИ НА ТОВАРЫ (РАБОТЫ, УСЛУГИ), РЕАЛИЗУЕМЫЕ И ВВОЗИМЫЕ НА ТЕРРИТОРИЮ РФ</c:v>
                </c:pt>
                <c:pt idx="2">
                  <c:v>НАЛОГИ, СБОРЫ И РЕГУЛЯРНЫЕ ПЛАТЕЖИ ЗА ПОЛЬЗОВАНИЕ ПРИРОДНЫМИ РЕСУРСАМИ</c:v>
                </c:pt>
              </c:strCache>
            </c:strRef>
          </c:cat>
          <c:val>
            <c:numRef>
              <c:f>Лист1!$G$7:$G$9</c:f>
              <c:numCache>
                <c:formatCode>#\ ##0.0</c:formatCode>
                <c:ptCount val="3"/>
                <c:pt idx="0">
                  <c:v>2250841489.5999999</c:v>
                </c:pt>
                <c:pt idx="1">
                  <c:v>11506995532.200001</c:v>
                </c:pt>
                <c:pt idx="2">
                  <c:v>9644976470.6999989</c:v>
                </c:pt>
              </c:numCache>
            </c:numRef>
          </c:val>
          <c:extLst>
            <c:ext xmlns:c16="http://schemas.microsoft.com/office/drawing/2014/chart" uri="{C3380CC4-5D6E-409C-BE32-E72D297353CC}">
              <c16:uniqueId val="{00000006-10B1-4760-BF76-C6A5B3155412}"/>
            </c:ext>
          </c:extLst>
        </c:ser>
        <c:dLbls>
          <c:dLblPos val="inEnd"/>
          <c:showLegendKey val="0"/>
          <c:showVal val="1"/>
          <c:showCatName val="0"/>
          <c:showSerName val="0"/>
          <c:showPercent val="0"/>
          <c:showBubbleSize val="0"/>
        </c:dLbls>
        <c:gapWidth val="100"/>
        <c:overlap val="-24"/>
        <c:axId val="209519360"/>
        <c:axId val="209516864"/>
      </c:barChart>
      <c:catAx>
        <c:axId val="20951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09516864"/>
        <c:crosses val="autoZero"/>
        <c:auto val="1"/>
        <c:lblAlgn val="ctr"/>
        <c:lblOffset val="100"/>
        <c:noMultiLvlLbl val="0"/>
      </c:catAx>
      <c:valAx>
        <c:axId val="209516864"/>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0951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51</Pages>
  <Words>15815</Words>
  <Characters>90148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Равиль</dc:creator>
  <cp:keywords/>
  <dc:description/>
  <cp:lastModifiedBy>Лебедева Елена Дмитриевна</cp:lastModifiedBy>
  <cp:revision>4</cp:revision>
  <dcterms:created xsi:type="dcterms:W3CDTF">2022-10-12T10:21:00Z</dcterms:created>
  <dcterms:modified xsi:type="dcterms:W3CDTF">2022-10-14T09:35:00Z</dcterms:modified>
</cp:coreProperties>
</file>