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65" w:type="dxa"/>
        <w:tblInd w:w="-1310" w:type="dxa"/>
        <w:tblBorders>
          <w:bottom w:val="thickThinLargeGap" w:sz="24" w:space="0" w:color="auto"/>
        </w:tblBorders>
        <w:tblLook w:val="04A0" w:firstRow="1" w:lastRow="0" w:firstColumn="1" w:lastColumn="0" w:noHBand="0" w:noVBand="1"/>
      </w:tblPr>
      <w:tblGrid>
        <w:gridCol w:w="5346"/>
        <w:gridCol w:w="1073"/>
        <w:gridCol w:w="5046"/>
      </w:tblGrid>
      <w:tr w:rsidR="00BA319E" w:rsidRPr="008E6B24" w14:paraId="6D132E6D" w14:textId="77777777" w:rsidTr="00006A49">
        <w:trPr>
          <w:trHeight w:val="2263"/>
        </w:trPr>
        <w:tc>
          <w:tcPr>
            <w:tcW w:w="4566" w:type="dxa"/>
            <w:vAlign w:val="center"/>
          </w:tcPr>
          <w:p w14:paraId="4F686BA8" w14:textId="77777777" w:rsidR="000F1A97" w:rsidRPr="008E6B24" w:rsidRDefault="000F1A97" w:rsidP="002E7591">
            <w:pPr>
              <w:rPr>
                <w:rFonts w:ascii="Cambria" w:hAnsi="Cambria"/>
                <w:b/>
                <w:sz w:val="28"/>
                <w:szCs w:val="28"/>
              </w:rPr>
            </w:pPr>
            <w:bookmarkStart w:id="0" w:name="_GoBack"/>
            <w:bookmarkEnd w:id="0"/>
            <w:r w:rsidRPr="008E6B24">
              <w:rPr>
                <w:noProof/>
              </w:rPr>
              <w:drawing>
                <wp:inline distT="0" distB="0" distL="0" distR="0" wp14:anchorId="0657520C" wp14:editId="5EF33E85">
                  <wp:extent cx="3255645" cy="1199990"/>
                  <wp:effectExtent l="0" t="0" r="190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357257" cy="1237443"/>
                          </a:xfrm>
                          <a:prstGeom prst="rect">
                            <a:avLst/>
                          </a:prstGeom>
                        </pic:spPr>
                      </pic:pic>
                    </a:graphicData>
                  </a:graphic>
                </wp:inline>
              </w:drawing>
            </w:r>
          </w:p>
        </w:tc>
        <w:tc>
          <w:tcPr>
            <w:tcW w:w="4223" w:type="dxa"/>
            <w:vAlign w:val="center"/>
          </w:tcPr>
          <w:p w14:paraId="73F6E9C4" w14:textId="77777777" w:rsidR="000F1A97" w:rsidRPr="008E6B24" w:rsidRDefault="000F1A97" w:rsidP="002E7591">
            <w:pPr>
              <w:jc w:val="center"/>
              <w:rPr>
                <w:rFonts w:ascii="Cambria" w:hAnsi="Cambria"/>
                <w:b/>
                <w:sz w:val="28"/>
                <w:szCs w:val="28"/>
              </w:rPr>
            </w:pPr>
          </w:p>
        </w:tc>
        <w:tc>
          <w:tcPr>
            <w:tcW w:w="2676" w:type="dxa"/>
            <w:vAlign w:val="center"/>
          </w:tcPr>
          <w:p w14:paraId="6272E6F5" w14:textId="77777777" w:rsidR="000F1A97" w:rsidRPr="008E6B24" w:rsidRDefault="00BA319E" w:rsidP="002E7591">
            <w:pPr>
              <w:jc w:val="center"/>
              <w:rPr>
                <w:rFonts w:ascii="Cambria" w:hAnsi="Cambria"/>
                <w:b/>
                <w:sz w:val="28"/>
                <w:szCs w:val="28"/>
              </w:rPr>
            </w:pPr>
            <w:r w:rsidRPr="008E6B24">
              <w:rPr>
                <w:rFonts w:ascii="Cambria" w:hAnsi="Cambria"/>
                <w:b/>
                <w:noProof/>
                <w:sz w:val="28"/>
                <w:szCs w:val="28"/>
              </w:rPr>
              <w:drawing>
                <wp:inline distT="0" distB="0" distL="0" distR="0" wp14:anchorId="34B25BF1" wp14:editId="397E0E68">
                  <wp:extent cx="3057525" cy="1019175"/>
                  <wp:effectExtent l="0" t="0" r="9525" b="9525"/>
                  <wp:docPr id="6" name="Рисунок 6" descr="T:\IEP_Logo\IEP_logo-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EP_Logo\IEP_logo-tx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7525" cy="1019175"/>
                          </a:xfrm>
                          <a:prstGeom prst="rect">
                            <a:avLst/>
                          </a:prstGeom>
                          <a:noFill/>
                          <a:ln>
                            <a:noFill/>
                          </a:ln>
                        </pic:spPr>
                      </pic:pic>
                    </a:graphicData>
                  </a:graphic>
                </wp:inline>
              </w:drawing>
            </w:r>
          </w:p>
        </w:tc>
      </w:tr>
    </w:tbl>
    <w:p w14:paraId="13E8FB3E" w14:textId="77777777" w:rsidR="009A2911" w:rsidRPr="008E6B24" w:rsidRDefault="009A2911" w:rsidP="002E7591">
      <w:pPr>
        <w:jc w:val="center"/>
        <w:rPr>
          <w:b/>
          <w:sz w:val="36"/>
        </w:rPr>
      </w:pPr>
    </w:p>
    <w:p w14:paraId="6BFB45DF" w14:textId="77777777" w:rsidR="009A2911" w:rsidRPr="008E6B24" w:rsidRDefault="009A2911" w:rsidP="002E7591">
      <w:pPr>
        <w:jc w:val="center"/>
        <w:rPr>
          <w:b/>
          <w:sz w:val="36"/>
        </w:rPr>
      </w:pPr>
    </w:p>
    <w:p w14:paraId="21B47FBD" w14:textId="77777777" w:rsidR="009A2911" w:rsidRPr="008E6B24" w:rsidRDefault="009A2911" w:rsidP="002E7591">
      <w:pPr>
        <w:jc w:val="center"/>
        <w:rPr>
          <w:b/>
          <w:sz w:val="36"/>
        </w:rPr>
      </w:pPr>
    </w:p>
    <w:p w14:paraId="249535BA" w14:textId="77777777" w:rsidR="002E7591" w:rsidRPr="008E6B24" w:rsidRDefault="002E7591" w:rsidP="002E7591">
      <w:pPr>
        <w:jc w:val="center"/>
        <w:rPr>
          <w:b/>
          <w:sz w:val="36"/>
        </w:rPr>
      </w:pPr>
    </w:p>
    <w:p w14:paraId="0B3ADFAA" w14:textId="77777777" w:rsidR="009A2911" w:rsidRPr="008E6B24" w:rsidRDefault="009A2911" w:rsidP="002E7591">
      <w:pPr>
        <w:jc w:val="center"/>
        <w:rPr>
          <w:b/>
          <w:sz w:val="36"/>
        </w:rPr>
      </w:pPr>
    </w:p>
    <w:p w14:paraId="6CA32DFC" w14:textId="77777777" w:rsidR="009A2911" w:rsidRPr="008E6B24" w:rsidRDefault="009A2911" w:rsidP="002E7591">
      <w:pPr>
        <w:jc w:val="center"/>
        <w:rPr>
          <w:b/>
          <w:sz w:val="36"/>
        </w:rPr>
      </w:pPr>
    </w:p>
    <w:p w14:paraId="4B280359" w14:textId="77777777" w:rsidR="00994D48" w:rsidRPr="008E6B24" w:rsidRDefault="00F86CDB" w:rsidP="002E7591">
      <w:pPr>
        <w:spacing w:line="360" w:lineRule="auto"/>
        <w:jc w:val="center"/>
        <w:rPr>
          <w:b/>
          <w:sz w:val="44"/>
        </w:rPr>
      </w:pPr>
      <w:r w:rsidRPr="008E6B24">
        <w:rPr>
          <w:b/>
          <w:sz w:val="44"/>
        </w:rPr>
        <w:t>Заключение</w:t>
      </w:r>
    </w:p>
    <w:p w14:paraId="59154F43" w14:textId="77777777" w:rsidR="009A2911" w:rsidRPr="008E6B24" w:rsidRDefault="009A2911" w:rsidP="002E7591">
      <w:pPr>
        <w:spacing w:line="360" w:lineRule="auto"/>
        <w:jc w:val="center"/>
        <w:rPr>
          <w:sz w:val="36"/>
        </w:rPr>
      </w:pPr>
      <w:r w:rsidRPr="008E6B24">
        <w:rPr>
          <w:sz w:val="36"/>
        </w:rPr>
        <w:t>на проект</w:t>
      </w:r>
      <w:r w:rsidR="00994D48" w:rsidRPr="008E6B24">
        <w:rPr>
          <w:sz w:val="36"/>
        </w:rPr>
        <w:t xml:space="preserve"> </w:t>
      </w:r>
      <w:r w:rsidRPr="008E6B24">
        <w:rPr>
          <w:sz w:val="36"/>
        </w:rPr>
        <w:t>Федерального закона</w:t>
      </w:r>
    </w:p>
    <w:p w14:paraId="218EA6B1" w14:textId="488B92F5" w:rsidR="009A2911" w:rsidRPr="008E6B24" w:rsidRDefault="009A2911" w:rsidP="002E7591">
      <w:pPr>
        <w:spacing w:line="360" w:lineRule="auto"/>
        <w:jc w:val="center"/>
        <w:rPr>
          <w:sz w:val="36"/>
        </w:rPr>
      </w:pPr>
      <w:r w:rsidRPr="008E6B24">
        <w:rPr>
          <w:sz w:val="36"/>
        </w:rPr>
        <w:t>«О федеральном бюджете на 20</w:t>
      </w:r>
      <w:r w:rsidR="00DA4B64">
        <w:rPr>
          <w:sz w:val="36"/>
        </w:rPr>
        <w:t>20</w:t>
      </w:r>
      <w:r w:rsidRPr="008E6B24">
        <w:rPr>
          <w:sz w:val="36"/>
        </w:rPr>
        <w:t xml:space="preserve"> год и </w:t>
      </w:r>
    </w:p>
    <w:p w14:paraId="789D969C" w14:textId="6C38C5D3" w:rsidR="002E7591" w:rsidRPr="008E6B24" w:rsidRDefault="00FE435D" w:rsidP="002E7591">
      <w:pPr>
        <w:spacing w:line="360" w:lineRule="auto"/>
        <w:jc w:val="center"/>
        <w:rPr>
          <w:sz w:val="36"/>
        </w:rPr>
      </w:pPr>
      <w:r>
        <w:rPr>
          <w:sz w:val="36"/>
        </w:rPr>
        <w:t>плановый период 202</w:t>
      </w:r>
      <w:r w:rsidR="00DA4B64">
        <w:rPr>
          <w:sz w:val="36"/>
        </w:rPr>
        <w:t>1</w:t>
      </w:r>
      <w:r w:rsidR="009A2911" w:rsidRPr="008E6B24">
        <w:rPr>
          <w:sz w:val="36"/>
        </w:rPr>
        <w:t xml:space="preserve"> и 20</w:t>
      </w:r>
      <w:r w:rsidR="00DB55F4" w:rsidRPr="008E6B24">
        <w:rPr>
          <w:sz w:val="36"/>
        </w:rPr>
        <w:t>2</w:t>
      </w:r>
      <w:r w:rsidR="00DA4B64">
        <w:rPr>
          <w:sz w:val="36"/>
        </w:rPr>
        <w:t>2</w:t>
      </w:r>
      <w:r w:rsidR="009A2911" w:rsidRPr="008E6B24">
        <w:rPr>
          <w:sz w:val="36"/>
        </w:rPr>
        <w:t xml:space="preserve"> годов»</w:t>
      </w:r>
    </w:p>
    <w:p w14:paraId="50A7D55C" w14:textId="77777777" w:rsidR="009A2911" w:rsidRPr="008E6B24" w:rsidRDefault="002E7591" w:rsidP="002E7591">
      <w:pPr>
        <w:spacing w:line="360" w:lineRule="auto"/>
        <w:jc w:val="center"/>
        <w:rPr>
          <w:sz w:val="36"/>
        </w:rPr>
      </w:pPr>
      <w:r w:rsidRPr="008E6B24">
        <w:rPr>
          <w:sz w:val="36"/>
        </w:rPr>
        <w:t xml:space="preserve"> и проекты федеральных законов</w:t>
      </w:r>
    </w:p>
    <w:p w14:paraId="51B0F978" w14:textId="77777777" w:rsidR="002E7591" w:rsidRPr="008E6B24" w:rsidRDefault="002E7591" w:rsidP="002E7591">
      <w:pPr>
        <w:spacing w:line="360" w:lineRule="auto"/>
        <w:jc w:val="center"/>
        <w:rPr>
          <w:sz w:val="36"/>
        </w:rPr>
      </w:pPr>
      <w:r w:rsidRPr="008E6B24">
        <w:rPr>
          <w:sz w:val="36"/>
        </w:rPr>
        <w:t>о бюджетах государственных</w:t>
      </w:r>
    </w:p>
    <w:p w14:paraId="0D5F62A3" w14:textId="77777777" w:rsidR="002E7591" w:rsidRPr="008E6B24" w:rsidRDefault="002E7591" w:rsidP="002E7591">
      <w:pPr>
        <w:spacing w:line="360" w:lineRule="auto"/>
        <w:jc w:val="center"/>
        <w:rPr>
          <w:sz w:val="36"/>
        </w:rPr>
      </w:pPr>
      <w:r w:rsidRPr="008E6B24">
        <w:rPr>
          <w:sz w:val="36"/>
        </w:rPr>
        <w:t>внебюджетных фондов</w:t>
      </w:r>
    </w:p>
    <w:p w14:paraId="1F57CC3A" w14:textId="77777777" w:rsidR="009A2911" w:rsidRPr="008E6B24" w:rsidRDefault="009A2911" w:rsidP="00172042">
      <w:pPr>
        <w:jc w:val="center"/>
        <w:rPr>
          <w:sz w:val="28"/>
          <w:szCs w:val="28"/>
        </w:rPr>
      </w:pPr>
    </w:p>
    <w:p w14:paraId="06428BB7" w14:textId="77777777" w:rsidR="009A2911" w:rsidRPr="008E6B24" w:rsidRDefault="009A2911" w:rsidP="00172042">
      <w:pPr>
        <w:jc w:val="center"/>
        <w:rPr>
          <w:sz w:val="28"/>
          <w:szCs w:val="28"/>
        </w:rPr>
      </w:pPr>
    </w:p>
    <w:p w14:paraId="41F69943" w14:textId="77777777" w:rsidR="009A2911" w:rsidRPr="008E6B24" w:rsidRDefault="009A2911" w:rsidP="00172042">
      <w:pPr>
        <w:jc w:val="center"/>
        <w:rPr>
          <w:sz w:val="28"/>
          <w:szCs w:val="28"/>
        </w:rPr>
      </w:pPr>
    </w:p>
    <w:p w14:paraId="2C627882" w14:textId="77777777" w:rsidR="002E7591" w:rsidRPr="008E6B24" w:rsidRDefault="002E7591" w:rsidP="00172042">
      <w:pPr>
        <w:jc w:val="center"/>
        <w:rPr>
          <w:sz w:val="28"/>
          <w:szCs w:val="28"/>
        </w:rPr>
      </w:pPr>
    </w:p>
    <w:p w14:paraId="58B5CC8C" w14:textId="77777777" w:rsidR="002E7591" w:rsidRPr="008E6B24" w:rsidRDefault="002E7591" w:rsidP="00172042">
      <w:pPr>
        <w:jc w:val="center"/>
        <w:rPr>
          <w:sz w:val="28"/>
          <w:szCs w:val="28"/>
        </w:rPr>
      </w:pPr>
    </w:p>
    <w:p w14:paraId="5174EEF9" w14:textId="77777777" w:rsidR="002E7591" w:rsidRPr="008E6B24" w:rsidRDefault="002E7591" w:rsidP="00172042">
      <w:pPr>
        <w:jc w:val="center"/>
        <w:rPr>
          <w:sz w:val="28"/>
          <w:szCs w:val="28"/>
        </w:rPr>
      </w:pPr>
    </w:p>
    <w:p w14:paraId="0E00B7AD" w14:textId="77777777" w:rsidR="002E7591" w:rsidRPr="008E6B24" w:rsidRDefault="002E7591" w:rsidP="00172042">
      <w:pPr>
        <w:jc w:val="center"/>
        <w:rPr>
          <w:sz w:val="28"/>
          <w:szCs w:val="28"/>
        </w:rPr>
      </w:pPr>
    </w:p>
    <w:p w14:paraId="4C932CEE" w14:textId="77777777" w:rsidR="009A2911" w:rsidRPr="008E6B24" w:rsidRDefault="009A2911" w:rsidP="00172042">
      <w:pPr>
        <w:jc w:val="center"/>
        <w:rPr>
          <w:sz w:val="28"/>
          <w:szCs w:val="28"/>
        </w:rPr>
      </w:pPr>
    </w:p>
    <w:p w14:paraId="452F926F" w14:textId="45A46366" w:rsidR="00172042" w:rsidRDefault="00172042" w:rsidP="002E7591">
      <w:pPr>
        <w:jc w:val="center"/>
        <w:rPr>
          <w:sz w:val="28"/>
        </w:rPr>
      </w:pPr>
    </w:p>
    <w:p w14:paraId="4E860B5B" w14:textId="076E90F5" w:rsidR="00FE435D" w:rsidRDefault="00FE435D" w:rsidP="002E7591">
      <w:pPr>
        <w:jc w:val="center"/>
        <w:rPr>
          <w:sz w:val="28"/>
        </w:rPr>
      </w:pPr>
    </w:p>
    <w:p w14:paraId="37BBB3E3" w14:textId="36F0DDBD" w:rsidR="00FE435D" w:rsidRDefault="00FE435D" w:rsidP="002E7591">
      <w:pPr>
        <w:jc w:val="center"/>
        <w:rPr>
          <w:sz w:val="28"/>
        </w:rPr>
      </w:pPr>
    </w:p>
    <w:p w14:paraId="51776012" w14:textId="0E5E3D50" w:rsidR="00FE435D" w:rsidRDefault="00FE435D" w:rsidP="002E7591">
      <w:pPr>
        <w:jc w:val="center"/>
        <w:rPr>
          <w:sz w:val="28"/>
        </w:rPr>
      </w:pPr>
    </w:p>
    <w:p w14:paraId="5062D20B" w14:textId="77777777" w:rsidR="00C04D8F" w:rsidRDefault="00C04D8F" w:rsidP="002E7591">
      <w:pPr>
        <w:jc w:val="center"/>
        <w:rPr>
          <w:sz w:val="28"/>
        </w:rPr>
      </w:pPr>
    </w:p>
    <w:p w14:paraId="32DC3BDF" w14:textId="12713E10" w:rsidR="00995E45" w:rsidRPr="008E6B24" w:rsidRDefault="009A2911" w:rsidP="002E7591">
      <w:pPr>
        <w:jc w:val="center"/>
        <w:rPr>
          <w:sz w:val="28"/>
        </w:rPr>
      </w:pPr>
      <w:r w:rsidRPr="008E6B24">
        <w:rPr>
          <w:sz w:val="28"/>
        </w:rPr>
        <w:t>Москва, 201</w:t>
      </w:r>
      <w:r w:rsidR="00DA4B64">
        <w:rPr>
          <w:sz w:val="28"/>
        </w:rPr>
        <w:t>9</w:t>
      </w:r>
    </w:p>
    <w:p w14:paraId="45F1B62C" w14:textId="77777777" w:rsidR="002E7591" w:rsidRPr="008E6B24" w:rsidRDefault="002E7591">
      <w:r w:rsidRPr="008E6B24">
        <w:br w:type="page"/>
      </w:r>
    </w:p>
    <w:p w14:paraId="64E69FDB" w14:textId="77777777" w:rsidR="00711A86" w:rsidRPr="008E6B24" w:rsidRDefault="00711A86" w:rsidP="002E7591">
      <w:pPr>
        <w:keepNext/>
        <w:keepLines/>
        <w:spacing w:before="240"/>
        <w:jc w:val="center"/>
      </w:pPr>
    </w:p>
    <w:sdt>
      <w:sdtPr>
        <w:rPr>
          <w:szCs w:val="20"/>
        </w:rPr>
        <w:id w:val="-2014452089"/>
        <w:docPartObj>
          <w:docPartGallery w:val="Table of Contents"/>
          <w:docPartUnique/>
        </w:docPartObj>
      </w:sdtPr>
      <w:sdtEndPr>
        <w:rPr>
          <w:b/>
          <w:bCs/>
        </w:rPr>
      </w:sdtEndPr>
      <w:sdtContent>
        <w:p w14:paraId="7E8F87A5" w14:textId="77777777" w:rsidR="00995E45" w:rsidRPr="005B61E3" w:rsidRDefault="00995E45" w:rsidP="002E7591">
          <w:pPr>
            <w:jc w:val="center"/>
            <w:rPr>
              <w:rFonts w:eastAsiaTheme="majorEastAsia"/>
              <w:sz w:val="32"/>
              <w:szCs w:val="32"/>
            </w:rPr>
          </w:pPr>
          <w:r w:rsidRPr="005B61E3">
            <w:rPr>
              <w:rFonts w:eastAsiaTheme="majorEastAsia"/>
              <w:sz w:val="32"/>
              <w:szCs w:val="32"/>
            </w:rPr>
            <w:t>Оглавление</w:t>
          </w:r>
        </w:p>
        <w:p w14:paraId="6353C524" w14:textId="77777777" w:rsidR="00C77359" w:rsidRPr="008E6B24" w:rsidRDefault="00C77359" w:rsidP="002E7591">
          <w:pPr>
            <w:rPr>
              <w:rFonts w:asciiTheme="majorHAnsi" w:eastAsiaTheme="majorEastAsia" w:hAnsiTheme="majorHAnsi" w:cstheme="majorBidi"/>
              <w:color w:val="365F91" w:themeColor="accent1" w:themeShade="BF"/>
              <w:sz w:val="32"/>
              <w:szCs w:val="32"/>
            </w:rPr>
          </w:pPr>
        </w:p>
        <w:p w14:paraId="2F5BD571" w14:textId="5D8FAD7C" w:rsidR="00DF409C" w:rsidRDefault="00DF409C">
          <w:pPr>
            <w:pStyle w:val="16"/>
            <w:tabs>
              <w:tab w:val="right" w:leader="dot" w:pos="9061"/>
            </w:tabs>
            <w:rPr>
              <w:rFonts w:asciiTheme="minorHAnsi" w:eastAsiaTheme="minorEastAsia" w:hAnsiTheme="minorHAnsi" w:cstheme="minorBidi"/>
              <w:noProof/>
              <w:sz w:val="22"/>
              <w:szCs w:val="22"/>
            </w:rPr>
          </w:pPr>
          <w:r w:rsidRPr="003C1A24">
            <w:rPr>
              <w:b/>
              <w:noProof/>
              <w:kern w:val="28"/>
            </w:rPr>
            <w:t>1 Характеристика прогноза социально-экономического развития РФ</w:t>
          </w:r>
          <w:r>
            <w:rPr>
              <w:noProof/>
              <w:webHidden/>
            </w:rPr>
            <w:tab/>
          </w:r>
          <w:r w:rsidR="009E5D7F">
            <w:rPr>
              <w:noProof/>
              <w:webHidden/>
            </w:rPr>
            <w:t>3</w:t>
          </w:r>
        </w:p>
        <w:p w14:paraId="7118241E" w14:textId="0B1C28B3" w:rsidR="00DF409C" w:rsidRDefault="00DF409C">
          <w:pPr>
            <w:pStyle w:val="16"/>
            <w:tabs>
              <w:tab w:val="right" w:leader="dot" w:pos="9061"/>
            </w:tabs>
            <w:rPr>
              <w:rFonts w:asciiTheme="minorHAnsi" w:eastAsiaTheme="minorEastAsia" w:hAnsiTheme="minorHAnsi" w:cstheme="minorBidi"/>
              <w:noProof/>
              <w:sz w:val="22"/>
              <w:szCs w:val="22"/>
            </w:rPr>
          </w:pPr>
          <w:r w:rsidRPr="003C1A24">
            <w:rPr>
              <w:b/>
              <w:noProof/>
              <w:kern w:val="28"/>
            </w:rPr>
            <w:t>2 Характеристика долгосрочного бюджетного прогноза</w:t>
          </w:r>
          <w:r>
            <w:rPr>
              <w:noProof/>
              <w:webHidden/>
            </w:rPr>
            <w:tab/>
          </w:r>
          <w:r w:rsidR="009E5D7F">
            <w:rPr>
              <w:noProof/>
              <w:webHidden/>
            </w:rPr>
            <w:t>6</w:t>
          </w:r>
        </w:p>
        <w:p w14:paraId="462E8B75" w14:textId="55335B8A" w:rsidR="00DF409C" w:rsidRDefault="00DF409C">
          <w:pPr>
            <w:pStyle w:val="16"/>
            <w:tabs>
              <w:tab w:val="right" w:leader="dot" w:pos="9061"/>
            </w:tabs>
            <w:rPr>
              <w:rFonts w:asciiTheme="minorHAnsi" w:eastAsiaTheme="minorEastAsia" w:hAnsiTheme="minorHAnsi" w:cstheme="minorBidi"/>
              <w:noProof/>
              <w:sz w:val="22"/>
              <w:szCs w:val="22"/>
            </w:rPr>
          </w:pPr>
          <w:r w:rsidRPr="003C1A24">
            <w:rPr>
              <w:b/>
              <w:noProof/>
              <w:kern w:val="28"/>
            </w:rPr>
            <w:t>3 Основные налоговые новации в 2020-2022 гг.</w:t>
          </w:r>
          <w:r>
            <w:rPr>
              <w:noProof/>
              <w:webHidden/>
            </w:rPr>
            <w:tab/>
          </w:r>
          <w:r w:rsidR="009E5D7F">
            <w:rPr>
              <w:noProof/>
              <w:webHidden/>
            </w:rPr>
            <w:t>10</w:t>
          </w:r>
        </w:p>
        <w:p w14:paraId="02A8EB63" w14:textId="43BBA059" w:rsidR="00DF409C" w:rsidRDefault="00DF409C">
          <w:pPr>
            <w:pStyle w:val="16"/>
            <w:tabs>
              <w:tab w:val="right" w:leader="dot" w:pos="9061"/>
            </w:tabs>
            <w:rPr>
              <w:rFonts w:asciiTheme="minorHAnsi" w:eastAsiaTheme="minorEastAsia" w:hAnsiTheme="minorHAnsi" w:cstheme="minorBidi"/>
              <w:noProof/>
              <w:sz w:val="22"/>
              <w:szCs w:val="22"/>
            </w:rPr>
          </w:pPr>
          <w:r w:rsidRPr="003C1A24">
            <w:rPr>
              <w:b/>
              <w:noProof/>
              <w:kern w:val="28"/>
            </w:rPr>
            <w:t>4 Анализ основных параметров федерального бюджета</w:t>
          </w:r>
          <w:r>
            <w:rPr>
              <w:noProof/>
              <w:webHidden/>
            </w:rPr>
            <w:tab/>
          </w:r>
          <w:r w:rsidR="009E5D7F">
            <w:rPr>
              <w:noProof/>
              <w:webHidden/>
            </w:rPr>
            <w:t>15</w:t>
          </w:r>
        </w:p>
        <w:p w14:paraId="255AED50" w14:textId="6C10D2AF" w:rsidR="00DF409C" w:rsidRDefault="00DF409C">
          <w:pPr>
            <w:pStyle w:val="16"/>
            <w:tabs>
              <w:tab w:val="right" w:leader="dot" w:pos="9061"/>
            </w:tabs>
            <w:rPr>
              <w:rFonts w:asciiTheme="minorHAnsi" w:eastAsiaTheme="minorEastAsia" w:hAnsiTheme="minorHAnsi" w:cstheme="minorBidi"/>
              <w:noProof/>
              <w:sz w:val="22"/>
              <w:szCs w:val="22"/>
            </w:rPr>
          </w:pPr>
          <w:r w:rsidRPr="003C1A24">
            <w:rPr>
              <w:b/>
              <w:noProof/>
              <w:kern w:val="28"/>
            </w:rPr>
            <w:t>5 Анализ структуры и динамики доходов</w:t>
          </w:r>
          <w:r>
            <w:rPr>
              <w:noProof/>
              <w:webHidden/>
            </w:rPr>
            <w:tab/>
          </w:r>
          <w:r w:rsidR="009E5D7F">
            <w:rPr>
              <w:noProof/>
              <w:webHidden/>
            </w:rPr>
            <w:t>18</w:t>
          </w:r>
        </w:p>
        <w:p w14:paraId="2C4EE052" w14:textId="6CA5C86B" w:rsidR="00DF409C" w:rsidRDefault="00DF409C">
          <w:pPr>
            <w:pStyle w:val="22"/>
            <w:rPr>
              <w:rFonts w:asciiTheme="minorHAnsi" w:eastAsiaTheme="minorEastAsia" w:hAnsiTheme="minorHAnsi" w:cstheme="minorBidi"/>
              <w:noProof/>
              <w:sz w:val="22"/>
              <w:szCs w:val="22"/>
            </w:rPr>
          </w:pPr>
          <w:r w:rsidRPr="003C1A24">
            <w:rPr>
              <w:b/>
              <w:noProof/>
            </w:rPr>
            <w:t>5.1 Основные параметры доходов. Налоговые доходы и доходы от внешнеэкономической деятельности</w:t>
          </w:r>
          <w:r>
            <w:rPr>
              <w:noProof/>
              <w:webHidden/>
            </w:rPr>
            <w:tab/>
          </w:r>
          <w:r w:rsidR="009E5D7F">
            <w:rPr>
              <w:noProof/>
              <w:webHidden/>
            </w:rPr>
            <w:t>18</w:t>
          </w:r>
        </w:p>
        <w:p w14:paraId="6900747E" w14:textId="4E94D4D4" w:rsidR="00DF409C" w:rsidRDefault="00DF409C">
          <w:pPr>
            <w:pStyle w:val="22"/>
            <w:rPr>
              <w:rFonts w:asciiTheme="minorHAnsi" w:eastAsiaTheme="minorEastAsia" w:hAnsiTheme="minorHAnsi" w:cstheme="minorBidi"/>
              <w:noProof/>
              <w:sz w:val="22"/>
              <w:szCs w:val="22"/>
            </w:rPr>
          </w:pPr>
          <w:r w:rsidRPr="003C1A24">
            <w:rPr>
              <w:b/>
              <w:noProof/>
            </w:rPr>
            <w:t>5.2 Нефтегазовые доходы</w:t>
          </w:r>
          <w:r>
            <w:rPr>
              <w:noProof/>
              <w:webHidden/>
            </w:rPr>
            <w:tab/>
          </w:r>
          <w:r w:rsidR="009E5D7F">
            <w:rPr>
              <w:noProof/>
              <w:webHidden/>
            </w:rPr>
            <w:t>22</w:t>
          </w:r>
        </w:p>
        <w:p w14:paraId="5181E348" w14:textId="75A806C6" w:rsidR="00DF409C" w:rsidRDefault="00DF409C">
          <w:pPr>
            <w:pStyle w:val="22"/>
            <w:rPr>
              <w:rFonts w:asciiTheme="minorHAnsi" w:eastAsiaTheme="minorEastAsia" w:hAnsiTheme="minorHAnsi" w:cstheme="minorBidi"/>
              <w:noProof/>
              <w:sz w:val="22"/>
              <w:szCs w:val="22"/>
            </w:rPr>
          </w:pPr>
          <w:r w:rsidRPr="003C1A24">
            <w:rPr>
              <w:b/>
              <w:noProof/>
            </w:rPr>
            <w:t>5.3 Доходы от приватизации и использования государственного имущества</w:t>
          </w:r>
          <w:r>
            <w:rPr>
              <w:noProof/>
              <w:webHidden/>
            </w:rPr>
            <w:tab/>
          </w:r>
          <w:r w:rsidR="009E5D7F">
            <w:rPr>
              <w:noProof/>
              <w:webHidden/>
            </w:rPr>
            <w:t>25</w:t>
          </w:r>
        </w:p>
        <w:p w14:paraId="7EF9355E" w14:textId="15312258" w:rsidR="00DF409C" w:rsidRDefault="00DF409C">
          <w:pPr>
            <w:pStyle w:val="16"/>
            <w:tabs>
              <w:tab w:val="right" w:leader="dot" w:pos="9061"/>
            </w:tabs>
            <w:rPr>
              <w:rFonts w:asciiTheme="minorHAnsi" w:eastAsiaTheme="minorEastAsia" w:hAnsiTheme="minorHAnsi" w:cstheme="minorBidi"/>
              <w:noProof/>
              <w:sz w:val="22"/>
              <w:szCs w:val="22"/>
            </w:rPr>
          </w:pPr>
          <w:r w:rsidRPr="003C1A24">
            <w:rPr>
              <w:b/>
              <w:noProof/>
              <w:kern w:val="28"/>
            </w:rPr>
            <w:t>6 Анализ структуры и динамики расходов</w:t>
          </w:r>
          <w:r>
            <w:rPr>
              <w:noProof/>
              <w:webHidden/>
            </w:rPr>
            <w:tab/>
          </w:r>
          <w:r w:rsidR="009E5D7F">
            <w:rPr>
              <w:noProof/>
              <w:webHidden/>
            </w:rPr>
            <w:t>29</w:t>
          </w:r>
        </w:p>
        <w:p w14:paraId="39814CC9" w14:textId="1D1D68D7" w:rsidR="00DF409C" w:rsidRDefault="00DF409C">
          <w:pPr>
            <w:pStyle w:val="22"/>
            <w:rPr>
              <w:rFonts w:asciiTheme="minorHAnsi" w:eastAsiaTheme="minorEastAsia" w:hAnsiTheme="minorHAnsi" w:cstheme="minorBidi"/>
              <w:noProof/>
              <w:sz w:val="22"/>
              <w:szCs w:val="22"/>
            </w:rPr>
          </w:pPr>
          <w:r w:rsidRPr="003C1A24">
            <w:rPr>
              <w:b/>
              <w:noProof/>
            </w:rPr>
            <w:t>6.1 Реализация национальных проектов: первые итоги</w:t>
          </w:r>
          <w:r>
            <w:rPr>
              <w:noProof/>
              <w:webHidden/>
            </w:rPr>
            <w:tab/>
          </w:r>
          <w:r w:rsidR="009E5D7F">
            <w:rPr>
              <w:noProof/>
              <w:webHidden/>
            </w:rPr>
            <w:t>29</w:t>
          </w:r>
        </w:p>
        <w:p w14:paraId="306B9BC1" w14:textId="04A1B81D" w:rsidR="00DF409C" w:rsidRDefault="00DF409C">
          <w:pPr>
            <w:pStyle w:val="22"/>
            <w:rPr>
              <w:rFonts w:asciiTheme="minorHAnsi" w:eastAsiaTheme="minorEastAsia" w:hAnsiTheme="minorHAnsi" w:cstheme="minorBidi"/>
              <w:noProof/>
              <w:sz w:val="22"/>
              <w:szCs w:val="22"/>
            </w:rPr>
          </w:pPr>
          <w:r w:rsidRPr="003C1A24">
            <w:rPr>
              <w:b/>
              <w:noProof/>
            </w:rPr>
            <w:t>6.2 Общие тенденции расходов по функциональным разделам</w:t>
          </w:r>
          <w:r>
            <w:rPr>
              <w:noProof/>
              <w:webHidden/>
            </w:rPr>
            <w:tab/>
          </w:r>
          <w:r w:rsidR="009E5D7F">
            <w:rPr>
              <w:noProof/>
              <w:webHidden/>
            </w:rPr>
            <w:t>37</w:t>
          </w:r>
        </w:p>
        <w:p w14:paraId="2B4301B3" w14:textId="7A299F10" w:rsidR="00DF409C" w:rsidRDefault="00DF409C">
          <w:pPr>
            <w:pStyle w:val="32"/>
            <w:tabs>
              <w:tab w:val="right" w:leader="dot" w:pos="9061"/>
            </w:tabs>
            <w:rPr>
              <w:rFonts w:asciiTheme="minorHAnsi" w:eastAsiaTheme="minorEastAsia" w:hAnsiTheme="minorHAnsi" w:cstheme="minorBidi"/>
              <w:noProof/>
              <w:sz w:val="22"/>
              <w:szCs w:val="22"/>
            </w:rPr>
          </w:pPr>
          <w:r w:rsidRPr="003C1A24">
            <w:rPr>
              <w:b/>
              <w:noProof/>
            </w:rPr>
            <w:t>Расходы на общегосударственные вопросы</w:t>
          </w:r>
          <w:r>
            <w:rPr>
              <w:noProof/>
              <w:webHidden/>
            </w:rPr>
            <w:tab/>
          </w:r>
          <w:r w:rsidR="009E5D7F">
            <w:rPr>
              <w:noProof/>
              <w:webHidden/>
            </w:rPr>
            <w:t>40</w:t>
          </w:r>
        </w:p>
        <w:p w14:paraId="44A4E78D" w14:textId="76DE62F9" w:rsidR="00DF409C" w:rsidRDefault="00DF409C">
          <w:pPr>
            <w:pStyle w:val="32"/>
            <w:tabs>
              <w:tab w:val="right" w:leader="dot" w:pos="9061"/>
            </w:tabs>
            <w:rPr>
              <w:rFonts w:asciiTheme="minorHAnsi" w:eastAsiaTheme="minorEastAsia" w:hAnsiTheme="minorHAnsi" w:cstheme="minorBidi"/>
              <w:noProof/>
              <w:sz w:val="22"/>
              <w:szCs w:val="22"/>
            </w:rPr>
          </w:pPr>
          <w:r w:rsidRPr="003C1A24">
            <w:rPr>
              <w:b/>
              <w:noProof/>
            </w:rPr>
            <w:t>Расходы на национальную оборону и правоохранительную деятельность</w:t>
          </w:r>
          <w:r>
            <w:rPr>
              <w:noProof/>
              <w:webHidden/>
            </w:rPr>
            <w:tab/>
          </w:r>
          <w:r w:rsidR="009E5D7F">
            <w:rPr>
              <w:noProof/>
              <w:webHidden/>
            </w:rPr>
            <w:t>42</w:t>
          </w:r>
        </w:p>
        <w:p w14:paraId="0553D68E" w14:textId="1DE1E177" w:rsidR="00DF409C" w:rsidRDefault="00DF409C">
          <w:pPr>
            <w:pStyle w:val="32"/>
            <w:tabs>
              <w:tab w:val="right" w:leader="dot" w:pos="9061"/>
            </w:tabs>
            <w:rPr>
              <w:rFonts w:asciiTheme="minorHAnsi" w:eastAsiaTheme="minorEastAsia" w:hAnsiTheme="minorHAnsi" w:cstheme="minorBidi"/>
              <w:noProof/>
              <w:sz w:val="22"/>
              <w:szCs w:val="22"/>
            </w:rPr>
          </w:pPr>
          <w:r w:rsidRPr="003C1A24">
            <w:rPr>
              <w:b/>
              <w:noProof/>
            </w:rPr>
            <w:t>Прозрачность и открытость проекта федерального бюджета</w:t>
          </w:r>
          <w:r>
            <w:rPr>
              <w:noProof/>
              <w:webHidden/>
            </w:rPr>
            <w:tab/>
          </w:r>
          <w:r w:rsidR="009E5D7F">
            <w:rPr>
              <w:noProof/>
              <w:webHidden/>
            </w:rPr>
            <w:t>43</w:t>
          </w:r>
        </w:p>
        <w:p w14:paraId="7C5AC040" w14:textId="26B69462" w:rsidR="00DF409C" w:rsidRDefault="00DF409C">
          <w:pPr>
            <w:pStyle w:val="32"/>
            <w:tabs>
              <w:tab w:val="right" w:leader="dot" w:pos="9061"/>
            </w:tabs>
            <w:rPr>
              <w:rFonts w:asciiTheme="minorHAnsi" w:eastAsiaTheme="minorEastAsia" w:hAnsiTheme="minorHAnsi" w:cstheme="minorBidi"/>
              <w:noProof/>
              <w:sz w:val="22"/>
              <w:szCs w:val="22"/>
            </w:rPr>
          </w:pPr>
          <w:r w:rsidRPr="003C1A24">
            <w:rPr>
              <w:b/>
              <w:noProof/>
            </w:rPr>
            <w:t>Расходы на инфраструктуру</w:t>
          </w:r>
          <w:r>
            <w:rPr>
              <w:noProof/>
              <w:webHidden/>
            </w:rPr>
            <w:tab/>
          </w:r>
          <w:r w:rsidR="009E5D7F">
            <w:rPr>
              <w:noProof/>
              <w:webHidden/>
            </w:rPr>
            <w:t>46</w:t>
          </w:r>
        </w:p>
        <w:p w14:paraId="408E6012" w14:textId="46193119" w:rsidR="00DF409C" w:rsidRDefault="00DF409C">
          <w:pPr>
            <w:pStyle w:val="32"/>
            <w:tabs>
              <w:tab w:val="right" w:leader="dot" w:pos="9061"/>
            </w:tabs>
            <w:rPr>
              <w:rFonts w:asciiTheme="minorHAnsi" w:eastAsiaTheme="minorEastAsia" w:hAnsiTheme="minorHAnsi" w:cstheme="minorBidi"/>
              <w:noProof/>
              <w:sz w:val="22"/>
              <w:szCs w:val="22"/>
            </w:rPr>
          </w:pPr>
          <w:r w:rsidRPr="003C1A24">
            <w:rPr>
              <w:b/>
              <w:noProof/>
            </w:rPr>
            <w:t>Расходы на поддержку сельского хозяйства</w:t>
          </w:r>
          <w:r>
            <w:rPr>
              <w:noProof/>
              <w:webHidden/>
            </w:rPr>
            <w:tab/>
          </w:r>
          <w:r w:rsidR="009E5D7F">
            <w:rPr>
              <w:noProof/>
              <w:webHidden/>
            </w:rPr>
            <w:t>49</w:t>
          </w:r>
        </w:p>
        <w:p w14:paraId="31086017" w14:textId="47A52C9C" w:rsidR="00DF409C" w:rsidRDefault="00DF409C">
          <w:pPr>
            <w:pStyle w:val="32"/>
            <w:tabs>
              <w:tab w:val="right" w:leader="dot" w:pos="9061"/>
            </w:tabs>
            <w:rPr>
              <w:rFonts w:asciiTheme="minorHAnsi" w:eastAsiaTheme="minorEastAsia" w:hAnsiTheme="minorHAnsi" w:cstheme="minorBidi"/>
              <w:noProof/>
              <w:sz w:val="22"/>
              <w:szCs w:val="22"/>
            </w:rPr>
          </w:pPr>
          <w:r w:rsidRPr="003C1A24">
            <w:rPr>
              <w:b/>
              <w:noProof/>
            </w:rPr>
            <w:t>Расходы на образование</w:t>
          </w:r>
          <w:r>
            <w:rPr>
              <w:noProof/>
              <w:webHidden/>
            </w:rPr>
            <w:tab/>
          </w:r>
          <w:r w:rsidR="009E5D7F">
            <w:rPr>
              <w:noProof/>
              <w:webHidden/>
            </w:rPr>
            <w:t>60</w:t>
          </w:r>
        </w:p>
        <w:p w14:paraId="295B2C1F" w14:textId="311A4987" w:rsidR="00DF409C" w:rsidRDefault="00DF409C">
          <w:pPr>
            <w:pStyle w:val="32"/>
            <w:tabs>
              <w:tab w:val="right" w:leader="dot" w:pos="9061"/>
            </w:tabs>
            <w:rPr>
              <w:rFonts w:asciiTheme="minorHAnsi" w:eastAsiaTheme="minorEastAsia" w:hAnsiTheme="minorHAnsi" w:cstheme="minorBidi"/>
              <w:noProof/>
              <w:sz w:val="22"/>
              <w:szCs w:val="22"/>
            </w:rPr>
          </w:pPr>
          <w:r w:rsidRPr="003C1A24">
            <w:rPr>
              <w:b/>
              <w:noProof/>
            </w:rPr>
            <w:t>Расходы на НИОКР</w:t>
          </w:r>
          <w:r>
            <w:rPr>
              <w:noProof/>
              <w:webHidden/>
            </w:rPr>
            <w:tab/>
          </w:r>
          <w:r w:rsidR="009E5D7F">
            <w:rPr>
              <w:noProof/>
              <w:webHidden/>
            </w:rPr>
            <w:t>67</w:t>
          </w:r>
        </w:p>
        <w:p w14:paraId="29B86BF8" w14:textId="02B79FA7" w:rsidR="00DF409C" w:rsidRDefault="00DF409C">
          <w:pPr>
            <w:pStyle w:val="32"/>
            <w:tabs>
              <w:tab w:val="right" w:leader="dot" w:pos="9061"/>
            </w:tabs>
            <w:rPr>
              <w:rFonts w:asciiTheme="minorHAnsi" w:eastAsiaTheme="minorEastAsia" w:hAnsiTheme="minorHAnsi" w:cstheme="minorBidi"/>
              <w:noProof/>
              <w:sz w:val="22"/>
              <w:szCs w:val="22"/>
            </w:rPr>
          </w:pPr>
          <w:r w:rsidRPr="003C1A24">
            <w:rPr>
              <w:b/>
              <w:noProof/>
            </w:rPr>
            <w:t>Расходы на здравоохранение и бюджет ФФОМС</w:t>
          </w:r>
          <w:r>
            <w:rPr>
              <w:noProof/>
              <w:webHidden/>
            </w:rPr>
            <w:tab/>
          </w:r>
          <w:r w:rsidR="009E5D7F">
            <w:rPr>
              <w:noProof/>
              <w:webHidden/>
            </w:rPr>
            <w:t>71</w:t>
          </w:r>
        </w:p>
        <w:p w14:paraId="2312C03E" w14:textId="1EFBED20" w:rsidR="00DF409C" w:rsidRDefault="00DF409C">
          <w:pPr>
            <w:pStyle w:val="32"/>
            <w:tabs>
              <w:tab w:val="right" w:leader="dot" w:pos="9061"/>
            </w:tabs>
            <w:rPr>
              <w:rFonts w:asciiTheme="minorHAnsi" w:eastAsiaTheme="minorEastAsia" w:hAnsiTheme="minorHAnsi" w:cstheme="minorBidi"/>
              <w:noProof/>
              <w:sz w:val="22"/>
              <w:szCs w:val="22"/>
            </w:rPr>
          </w:pPr>
          <w:r w:rsidRPr="003C1A24">
            <w:rPr>
              <w:b/>
              <w:noProof/>
            </w:rPr>
            <w:t>Расходы на социальное обеспечение и бюджет ФСС</w:t>
          </w:r>
          <w:r>
            <w:rPr>
              <w:noProof/>
              <w:webHidden/>
            </w:rPr>
            <w:tab/>
          </w:r>
          <w:r w:rsidR="009E5D7F">
            <w:rPr>
              <w:noProof/>
              <w:webHidden/>
            </w:rPr>
            <w:t>75</w:t>
          </w:r>
        </w:p>
        <w:p w14:paraId="2165D860" w14:textId="244C0D05" w:rsidR="00DF409C" w:rsidRDefault="00DF409C">
          <w:pPr>
            <w:pStyle w:val="32"/>
            <w:tabs>
              <w:tab w:val="right" w:leader="dot" w:pos="9061"/>
            </w:tabs>
            <w:rPr>
              <w:rFonts w:asciiTheme="minorHAnsi" w:eastAsiaTheme="minorEastAsia" w:hAnsiTheme="minorHAnsi" w:cstheme="minorBidi"/>
              <w:noProof/>
              <w:sz w:val="22"/>
              <w:szCs w:val="22"/>
            </w:rPr>
          </w:pPr>
          <w:r w:rsidRPr="003C1A24">
            <w:rPr>
              <w:b/>
              <w:noProof/>
            </w:rPr>
            <w:t>Расходы на пенсионное обеспечение и бюджет ПФР</w:t>
          </w:r>
          <w:r>
            <w:rPr>
              <w:noProof/>
              <w:webHidden/>
            </w:rPr>
            <w:tab/>
          </w:r>
          <w:r w:rsidR="009E5D7F">
            <w:rPr>
              <w:noProof/>
              <w:webHidden/>
            </w:rPr>
            <w:t>78</w:t>
          </w:r>
        </w:p>
        <w:p w14:paraId="5B2AAA26" w14:textId="0659B256" w:rsidR="00DF409C" w:rsidRDefault="00DF409C">
          <w:pPr>
            <w:pStyle w:val="16"/>
            <w:tabs>
              <w:tab w:val="right" w:leader="dot" w:pos="9061"/>
            </w:tabs>
            <w:rPr>
              <w:rFonts w:asciiTheme="minorHAnsi" w:eastAsiaTheme="minorEastAsia" w:hAnsiTheme="minorHAnsi" w:cstheme="minorBidi"/>
              <w:noProof/>
              <w:sz w:val="22"/>
              <w:szCs w:val="22"/>
            </w:rPr>
          </w:pPr>
          <w:r w:rsidRPr="003C1A24">
            <w:rPr>
              <w:b/>
              <w:noProof/>
              <w:kern w:val="28"/>
            </w:rPr>
            <w:t>7 Финансовые взаимоотношения с регионами</w:t>
          </w:r>
          <w:r>
            <w:rPr>
              <w:noProof/>
              <w:webHidden/>
            </w:rPr>
            <w:tab/>
          </w:r>
          <w:r w:rsidR="009E5D7F">
            <w:rPr>
              <w:noProof/>
              <w:webHidden/>
            </w:rPr>
            <w:t>85</w:t>
          </w:r>
        </w:p>
        <w:p w14:paraId="240F6B20" w14:textId="0285AECD" w:rsidR="00995E45" w:rsidRPr="008E6B24" w:rsidRDefault="00757725" w:rsidP="004D3F1C">
          <w:pPr>
            <w:spacing w:before="120" w:after="120"/>
            <w:ind w:firstLine="567"/>
            <w:jc w:val="both"/>
            <w:rPr>
              <w:szCs w:val="20"/>
            </w:rPr>
          </w:pPr>
        </w:p>
      </w:sdtContent>
    </w:sdt>
    <w:p w14:paraId="7E8D7F37" w14:textId="77777777" w:rsidR="00995E45" w:rsidRPr="008E6B24" w:rsidRDefault="00995E45" w:rsidP="002E7591">
      <w:pPr>
        <w:rPr>
          <w:b/>
        </w:rPr>
      </w:pPr>
      <w:r w:rsidRPr="008E6B24">
        <w:rPr>
          <w:b/>
        </w:rPr>
        <w:br w:type="page"/>
      </w:r>
    </w:p>
    <w:p w14:paraId="155663F5" w14:textId="53D6F8E7" w:rsidR="00995E45" w:rsidRPr="008E6B24" w:rsidRDefault="0010335D" w:rsidP="00163D81">
      <w:pPr>
        <w:keepNext/>
        <w:spacing w:before="240" w:after="360"/>
        <w:jc w:val="center"/>
        <w:outlineLvl w:val="0"/>
        <w:rPr>
          <w:b/>
          <w:kern w:val="28"/>
          <w:sz w:val="28"/>
          <w:szCs w:val="20"/>
        </w:rPr>
      </w:pPr>
      <w:bookmarkStart w:id="1" w:name="_Toc21436737"/>
      <w:r w:rsidRPr="008432A6">
        <w:rPr>
          <w:b/>
          <w:kern w:val="28"/>
          <w:sz w:val="28"/>
          <w:szCs w:val="20"/>
        </w:rPr>
        <w:lastRenderedPageBreak/>
        <w:t>1</w:t>
      </w:r>
      <w:r w:rsidR="00995E45" w:rsidRPr="008432A6">
        <w:rPr>
          <w:b/>
          <w:kern w:val="28"/>
          <w:sz w:val="28"/>
          <w:szCs w:val="20"/>
        </w:rPr>
        <w:t xml:space="preserve"> Характеристика прогноза социально-экономического развития РФ</w:t>
      </w:r>
      <w:bookmarkEnd w:id="1"/>
    </w:p>
    <w:p w14:paraId="14621C37" w14:textId="3320076F" w:rsidR="00DA4B64" w:rsidRPr="00DA4B64" w:rsidRDefault="00C82885" w:rsidP="00DA4B64">
      <w:pPr>
        <w:spacing w:after="60"/>
        <w:ind w:firstLine="709"/>
        <w:contextualSpacing/>
        <w:jc w:val="both"/>
        <w:rPr>
          <w:color w:val="000000" w:themeColor="text1"/>
          <w:shd w:val="clear" w:color="auto" w:fill="FDFDFD"/>
        </w:rPr>
      </w:pPr>
      <w:r>
        <w:rPr>
          <w:color w:val="000000" w:themeColor="text1"/>
          <w:shd w:val="clear" w:color="auto" w:fill="FDFDFD"/>
        </w:rPr>
        <w:t xml:space="preserve">В представленном </w:t>
      </w:r>
      <w:r w:rsidR="008A699D">
        <w:rPr>
          <w:color w:val="000000" w:themeColor="text1"/>
          <w:shd w:val="clear" w:color="auto" w:fill="FDFDFD"/>
        </w:rPr>
        <w:t xml:space="preserve">вместе с Законопроектом № </w:t>
      </w:r>
      <w:r w:rsidR="008A699D" w:rsidRPr="008A699D">
        <w:rPr>
          <w:color w:val="000000" w:themeColor="text1"/>
          <w:shd w:val="clear" w:color="auto" w:fill="FDFDFD"/>
        </w:rPr>
        <w:t xml:space="preserve">802503-7 </w:t>
      </w:r>
      <w:r w:rsidR="008A699D">
        <w:rPr>
          <w:color w:val="000000" w:themeColor="text1"/>
          <w:shd w:val="clear" w:color="auto" w:fill="FDFDFD"/>
        </w:rPr>
        <w:t xml:space="preserve">«О федеральном бюджете на 2020 год и на плановый период 2021 и 2022 годов» (далее – законопроект, проект бюджета) </w:t>
      </w:r>
      <w:r w:rsidR="008A699D" w:rsidRPr="00E42CA4">
        <w:rPr>
          <w:color w:val="000000" w:themeColor="text1"/>
          <w:shd w:val="clear" w:color="auto" w:fill="FDFDFD"/>
        </w:rPr>
        <w:t>Прогноз</w:t>
      </w:r>
      <w:r w:rsidR="008A699D">
        <w:rPr>
          <w:color w:val="000000" w:themeColor="text1"/>
          <w:shd w:val="clear" w:color="auto" w:fill="FDFDFD"/>
        </w:rPr>
        <w:t xml:space="preserve">е социально-экономического развития Российской Федерации на 2020 год и на плановый период 2021 и 2022 годов (далее – Прогноз) </w:t>
      </w:r>
      <w:r w:rsidR="00DA4B64" w:rsidRPr="00DA4B64">
        <w:rPr>
          <w:color w:val="000000" w:themeColor="text1"/>
          <w:shd w:val="clear" w:color="auto" w:fill="FDFDFD"/>
        </w:rPr>
        <w:t>Минэконо</w:t>
      </w:r>
      <w:r w:rsidR="00AD6903">
        <w:rPr>
          <w:color w:val="000000" w:themeColor="text1"/>
          <w:shd w:val="clear" w:color="auto" w:fill="FDFDFD"/>
        </w:rPr>
        <w:t>м</w:t>
      </w:r>
      <w:r w:rsidR="00DA4B64" w:rsidRPr="00DA4B64">
        <w:rPr>
          <w:color w:val="000000" w:themeColor="text1"/>
          <w:shd w:val="clear" w:color="auto" w:fill="FDFDFD"/>
        </w:rPr>
        <w:t>развития</w:t>
      </w:r>
      <w:r w:rsidR="00684DCB">
        <w:rPr>
          <w:color w:val="000000" w:themeColor="text1"/>
          <w:shd w:val="clear" w:color="auto" w:fill="FDFDFD"/>
        </w:rPr>
        <w:t xml:space="preserve"> России</w:t>
      </w:r>
      <w:r w:rsidR="00DA4B64" w:rsidRPr="00DA4B64">
        <w:rPr>
          <w:color w:val="000000" w:themeColor="text1"/>
          <w:shd w:val="clear" w:color="auto" w:fill="FDFDFD"/>
        </w:rPr>
        <w:t xml:space="preserve"> вновь вернулось к трем сценариям прогноза социально-экономического развития </w:t>
      </w:r>
      <w:r w:rsidR="00356D48" w:rsidRPr="00EF7F49">
        <w:t>Российской Федерации</w:t>
      </w:r>
      <w:r w:rsidR="00DA4B64" w:rsidRPr="00DA4B64">
        <w:rPr>
          <w:color w:val="000000" w:themeColor="text1"/>
          <w:shd w:val="clear" w:color="auto" w:fill="FDFDFD"/>
        </w:rPr>
        <w:t xml:space="preserve">, тогда как в 2017-2019 гг. рассматривалось лишь два варианта – базовый и консервативный. В последней версии </w:t>
      </w:r>
      <w:r w:rsidR="008A699D">
        <w:rPr>
          <w:color w:val="000000" w:themeColor="text1"/>
          <w:shd w:val="clear" w:color="auto" w:fill="FDFDFD"/>
        </w:rPr>
        <w:t>П</w:t>
      </w:r>
      <w:r w:rsidR="00DA4B64" w:rsidRPr="00DA4B64">
        <w:rPr>
          <w:color w:val="000000" w:themeColor="text1"/>
          <w:shd w:val="clear" w:color="auto" w:fill="FDFDFD"/>
        </w:rPr>
        <w:t>рогноза МЭР рассматриваются уже три сценария: базовый, консервативный и целевой.</w:t>
      </w:r>
    </w:p>
    <w:p w14:paraId="12E132E4" w14:textId="587BBCAD" w:rsidR="00DA4B64" w:rsidRPr="00DA4B64" w:rsidRDefault="00DA4B64" w:rsidP="00DA4B64">
      <w:pPr>
        <w:spacing w:after="60"/>
        <w:ind w:firstLine="709"/>
        <w:contextualSpacing/>
        <w:jc w:val="both"/>
        <w:rPr>
          <w:color w:val="000000" w:themeColor="text1"/>
          <w:shd w:val="clear" w:color="auto" w:fill="FDFDFD"/>
        </w:rPr>
      </w:pPr>
      <w:r w:rsidRPr="00DA4B64">
        <w:rPr>
          <w:color w:val="000000" w:themeColor="text1"/>
          <w:shd w:val="clear" w:color="auto" w:fill="FDFDFD"/>
        </w:rPr>
        <w:t xml:space="preserve">Базовый сценарий </w:t>
      </w:r>
      <w:r w:rsidR="008A699D">
        <w:rPr>
          <w:color w:val="000000" w:themeColor="text1"/>
          <w:shd w:val="clear" w:color="auto" w:fill="FDFDFD"/>
        </w:rPr>
        <w:t>П</w:t>
      </w:r>
      <w:r w:rsidRPr="00DA4B64">
        <w:rPr>
          <w:color w:val="000000" w:themeColor="text1"/>
          <w:shd w:val="clear" w:color="auto" w:fill="FDFDFD"/>
        </w:rPr>
        <w:t>рогноза предполагает стабильное развитие экономики</w:t>
      </w:r>
      <w:r w:rsidR="00684DCB">
        <w:rPr>
          <w:color w:val="000000" w:themeColor="text1"/>
          <w:shd w:val="clear" w:color="auto" w:fill="FDFDFD"/>
        </w:rPr>
        <w:t xml:space="preserve"> темпами</w:t>
      </w:r>
      <w:r w:rsidRPr="00DA4B64">
        <w:rPr>
          <w:color w:val="000000" w:themeColor="text1"/>
          <w:shd w:val="clear" w:color="auto" w:fill="FDFDFD"/>
        </w:rPr>
        <w:t>, в 2021-2024 гг. превышающими 3% роста реального ВВП. При этом рост инвестиций в основной капитал в реальном выражении превысит 5% уже в 2020 г. В результате</w:t>
      </w:r>
      <w:r w:rsidR="00684DCB">
        <w:rPr>
          <w:color w:val="000000" w:themeColor="text1"/>
          <w:shd w:val="clear" w:color="auto" w:fill="FDFDFD"/>
        </w:rPr>
        <w:t>,</w:t>
      </w:r>
      <w:r w:rsidRPr="00DA4B64">
        <w:rPr>
          <w:color w:val="000000" w:themeColor="text1"/>
          <w:shd w:val="clear" w:color="auto" w:fill="FDFDFD"/>
        </w:rPr>
        <w:t xml:space="preserve"> рост реального ВВП в 2019-2024 гг. составит 2</w:t>
      </w:r>
      <w:r w:rsidR="00684DCB">
        <w:rPr>
          <w:color w:val="000000" w:themeColor="text1"/>
          <w:shd w:val="clear" w:color="auto" w:fill="FDFDFD"/>
        </w:rPr>
        <w:t>,</w:t>
      </w:r>
      <w:r w:rsidRPr="00DA4B64">
        <w:rPr>
          <w:color w:val="000000" w:themeColor="text1"/>
          <w:shd w:val="clear" w:color="auto" w:fill="FDFDFD"/>
        </w:rPr>
        <w:t>6% в год. Ключевыми рисками реализации базового сценария являются глобальная рецессия, неконтролируемое развитие кредитного цикла, пробуксовка структурных реформ.</w:t>
      </w:r>
    </w:p>
    <w:p w14:paraId="6469FE30" w14:textId="72407BF3" w:rsidR="00DA4B64" w:rsidRPr="00DA4B64" w:rsidRDefault="00DA4B64" w:rsidP="00DA4B64">
      <w:pPr>
        <w:spacing w:after="60"/>
        <w:ind w:firstLine="709"/>
        <w:contextualSpacing/>
        <w:jc w:val="both"/>
        <w:rPr>
          <w:color w:val="000000" w:themeColor="text1"/>
          <w:shd w:val="clear" w:color="auto" w:fill="FDFDFD"/>
        </w:rPr>
      </w:pPr>
      <w:r w:rsidRPr="00DA4B64">
        <w:rPr>
          <w:color w:val="000000" w:themeColor="text1"/>
          <w:shd w:val="clear" w:color="auto" w:fill="FDFDFD"/>
        </w:rPr>
        <w:t xml:space="preserve">Консервативный сценарий разработан Минэкономразвития </w:t>
      </w:r>
      <w:r w:rsidR="00356D48">
        <w:rPr>
          <w:color w:val="000000" w:themeColor="text1"/>
          <w:shd w:val="clear" w:color="auto" w:fill="FDFDFD"/>
        </w:rPr>
        <w:t xml:space="preserve">России </w:t>
      </w:r>
      <w:r w:rsidRPr="00DA4B64">
        <w:rPr>
          <w:color w:val="000000" w:themeColor="text1"/>
          <w:shd w:val="clear" w:color="auto" w:fill="FDFDFD"/>
        </w:rPr>
        <w:t>на основании предположения о большем замедлении мировой экономики (до 2</w:t>
      </w:r>
      <w:r w:rsidR="00684DCB">
        <w:rPr>
          <w:color w:val="000000" w:themeColor="text1"/>
          <w:shd w:val="clear" w:color="auto" w:fill="FDFDFD"/>
        </w:rPr>
        <w:t>,</w:t>
      </w:r>
      <w:r w:rsidRPr="00DA4B64">
        <w:rPr>
          <w:color w:val="000000" w:themeColor="text1"/>
          <w:shd w:val="clear" w:color="auto" w:fill="FDFDFD"/>
        </w:rPr>
        <w:t>5% в 2020 г. и 2% в 2021 г.). Отметим, что данный вариант с трудом можно назвать консервативным, поскольку темп роста реального ВВП в среднем в год составит 2</w:t>
      </w:r>
      <w:r w:rsidR="00AD6903">
        <w:rPr>
          <w:color w:val="000000" w:themeColor="text1"/>
          <w:shd w:val="clear" w:color="auto" w:fill="FDFDFD"/>
        </w:rPr>
        <w:t>,</w:t>
      </w:r>
      <w:r w:rsidRPr="00DA4B64">
        <w:rPr>
          <w:color w:val="000000" w:themeColor="text1"/>
          <w:shd w:val="clear" w:color="auto" w:fill="FDFDFD"/>
        </w:rPr>
        <w:t>1% в 2020-2024 гг. Напомним, что средние темпы роста реального ВВП в 2009-2018 гг. составили 0</w:t>
      </w:r>
      <w:r w:rsidR="00684DCB">
        <w:rPr>
          <w:color w:val="000000" w:themeColor="text1"/>
          <w:shd w:val="clear" w:color="auto" w:fill="FDFDFD"/>
        </w:rPr>
        <w:t>,</w:t>
      </w:r>
      <w:r w:rsidRPr="00DA4B64">
        <w:rPr>
          <w:color w:val="000000" w:themeColor="text1"/>
          <w:shd w:val="clear" w:color="auto" w:fill="FDFDFD"/>
        </w:rPr>
        <w:t>9%. Представляется рациональным рассмотрение более пессимистичного сценария.</w:t>
      </w:r>
    </w:p>
    <w:p w14:paraId="51495B77" w14:textId="77777777" w:rsidR="00DA4B64" w:rsidRPr="00DA4B64" w:rsidRDefault="00DA4B64" w:rsidP="00DA4B64">
      <w:pPr>
        <w:spacing w:after="60"/>
        <w:ind w:firstLine="709"/>
        <w:contextualSpacing/>
        <w:jc w:val="both"/>
        <w:rPr>
          <w:color w:val="000000" w:themeColor="text1"/>
          <w:shd w:val="clear" w:color="auto" w:fill="FDFDFD"/>
        </w:rPr>
      </w:pPr>
      <w:r w:rsidRPr="00DA4B64">
        <w:rPr>
          <w:color w:val="000000" w:themeColor="text1"/>
          <w:shd w:val="clear" w:color="auto" w:fill="FDFDFD"/>
        </w:rPr>
        <w:t>Целевой сценарий предполагает, в отличие от базового, быструю и эффективную реализацию структурных мер государственной политики, быстрый рост частных инвестиций. Среднегодовой темп роста реального ВВП в 2020-2024 гг. составит 3%.</w:t>
      </w:r>
    </w:p>
    <w:p w14:paraId="65C809C0" w14:textId="105FA3A3" w:rsidR="00DA4B64" w:rsidRPr="00DA4B64" w:rsidRDefault="00DA4B64" w:rsidP="00DA4B64">
      <w:pPr>
        <w:spacing w:after="60"/>
        <w:ind w:firstLine="709"/>
        <w:contextualSpacing/>
        <w:jc w:val="both"/>
        <w:rPr>
          <w:color w:val="000000" w:themeColor="text1"/>
          <w:shd w:val="clear" w:color="auto" w:fill="FDFDFD"/>
        </w:rPr>
      </w:pPr>
      <w:r w:rsidRPr="00DA4B64">
        <w:rPr>
          <w:color w:val="000000" w:themeColor="text1"/>
          <w:shd w:val="clear" w:color="auto" w:fill="FDFDFD"/>
        </w:rPr>
        <w:t>Во всех вариантах благоприятное развитие событий предполагается</w:t>
      </w:r>
      <w:r w:rsidR="00684DCB">
        <w:rPr>
          <w:color w:val="000000" w:themeColor="text1"/>
          <w:shd w:val="clear" w:color="auto" w:fill="FDFDFD"/>
        </w:rPr>
        <w:t>,</w:t>
      </w:r>
      <w:r w:rsidRPr="00DA4B64">
        <w:rPr>
          <w:color w:val="000000" w:themeColor="text1"/>
          <w:shd w:val="clear" w:color="auto" w:fill="FDFDFD"/>
        </w:rPr>
        <w:t xml:space="preserve"> начиная с 2021 года. Слабый рост показателей по итогам 1 полугодия 2019 г. и января-июля 2019 г. обусловил пересмотр оценок текущего года и</w:t>
      </w:r>
      <w:r w:rsidR="00684DCB">
        <w:rPr>
          <w:color w:val="000000" w:themeColor="text1"/>
          <w:shd w:val="clear" w:color="auto" w:fill="FDFDFD"/>
        </w:rPr>
        <w:t xml:space="preserve"> оценок</w:t>
      </w:r>
      <w:r w:rsidRPr="00DA4B64">
        <w:rPr>
          <w:color w:val="000000" w:themeColor="text1"/>
          <w:shd w:val="clear" w:color="auto" w:fill="FDFDFD"/>
        </w:rPr>
        <w:t xml:space="preserve"> на 2020 г. Ухудшен ряд социальных показателей на 2019 г.</w:t>
      </w:r>
      <w:r w:rsidR="008A699D">
        <w:rPr>
          <w:color w:val="000000" w:themeColor="text1"/>
          <w:shd w:val="clear" w:color="auto" w:fill="FDFDFD"/>
        </w:rPr>
        <w:t>:</w:t>
      </w:r>
      <w:r w:rsidRPr="00DA4B64">
        <w:rPr>
          <w:color w:val="000000" w:themeColor="text1"/>
          <w:shd w:val="clear" w:color="auto" w:fill="FDFDFD"/>
        </w:rPr>
        <w:t xml:space="preserve"> прежде всего</w:t>
      </w:r>
      <w:r w:rsidR="00684DCB">
        <w:rPr>
          <w:color w:val="000000" w:themeColor="text1"/>
          <w:shd w:val="clear" w:color="auto" w:fill="FDFDFD"/>
        </w:rPr>
        <w:t>,</w:t>
      </w:r>
      <w:r w:rsidRPr="00DA4B64">
        <w:rPr>
          <w:color w:val="000000" w:themeColor="text1"/>
          <w:shd w:val="clear" w:color="auto" w:fill="FDFDFD"/>
        </w:rPr>
        <w:t xml:space="preserve"> снижен рост реальных располагаемых доходов населения с 1</w:t>
      </w:r>
      <w:r w:rsidR="00684DCB">
        <w:rPr>
          <w:color w:val="000000" w:themeColor="text1"/>
          <w:shd w:val="clear" w:color="auto" w:fill="FDFDFD"/>
        </w:rPr>
        <w:t>,</w:t>
      </w:r>
      <w:r w:rsidRPr="00DA4B64">
        <w:rPr>
          <w:color w:val="000000" w:themeColor="text1"/>
          <w:shd w:val="clear" w:color="auto" w:fill="FDFDFD"/>
        </w:rPr>
        <w:t>0 до символических 0</w:t>
      </w:r>
      <w:r w:rsidR="00684DCB">
        <w:rPr>
          <w:color w:val="000000" w:themeColor="text1"/>
          <w:shd w:val="clear" w:color="auto" w:fill="FDFDFD"/>
        </w:rPr>
        <w:t>,</w:t>
      </w:r>
      <w:r w:rsidRPr="00DA4B64">
        <w:rPr>
          <w:color w:val="000000" w:themeColor="text1"/>
          <w:shd w:val="clear" w:color="auto" w:fill="FDFDFD"/>
        </w:rPr>
        <w:t>1%. Крайне слабый внутренний спрос обусловил снижение роста оборота розничной торговли с 1</w:t>
      </w:r>
      <w:r w:rsidR="00684DCB">
        <w:rPr>
          <w:color w:val="000000" w:themeColor="text1"/>
          <w:shd w:val="clear" w:color="auto" w:fill="FDFDFD"/>
        </w:rPr>
        <w:t>,</w:t>
      </w:r>
      <w:r w:rsidRPr="00DA4B64">
        <w:rPr>
          <w:color w:val="000000" w:themeColor="text1"/>
          <w:shd w:val="clear" w:color="auto" w:fill="FDFDFD"/>
        </w:rPr>
        <w:t>6 до 1</w:t>
      </w:r>
      <w:r w:rsidR="00684DCB">
        <w:rPr>
          <w:color w:val="000000" w:themeColor="text1"/>
          <w:shd w:val="clear" w:color="auto" w:fill="FDFDFD"/>
        </w:rPr>
        <w:t>,</w:t>
      </w:r>
      <w:r w:rsidRPr="00DA4B64">
        <w:rPr>
          <w:color w:val="000000" w:themeColor="text1"/>
          <w:shd w:val="clear" w:color="auto" w:fill="FDFDFD"/>
        </w:rPr>
        <w:t>3% в 2019 г. и существенное снижение с 2</w:t>
      </w:r>
      <w:r w:rsidR="00684DCB">
        <w:rPr>
          <w:color w:val="000000" w:themeColor="text1"/>
          <w:shd w:val="clear" w:color="auto" w:fill="FDFDFD"/>
        </w:rPr>
        <w:t>,</w:t>
      </w:r>
      <w:r w:rsidRPr="00DA4B64">
        <w:rPr>
          <w:color w:val="000000" w:themeColor="text1"/>
          <w:shd w:val="clear" w:color="auto" w:fill="FDFDFD"/>
        </w:rPr>
        <w:t>1 до 0</w:t>
      </w:r>
      <w:r w:rsidR="00684DCB">
        <w:rPr>
          <w:color w:val="000000" w:themeColor="text1"/>
          <w:shd w:val="clear" w:color="auto" w:fill="FDFDFD"/>
        </w:rPr>
        <w:t>,</w:t>
      </w:r>
      <w:r w:rsidRPr="00DA4B64">
        <w:rPr>
          <w:color w:val="000000" w:themeColor="text1"/>
          <w:shd w:val="clear" w:color="auto" w:fill="FDFDFD"/>
        </w:rPr>
        <w:t xml:space="preserve">6% в 2020 г. Совсем недавно Минэкономразвития </w:t>
      </w:r>
      <w:r w:rsidR="00356D48">
        <w:rPr>
          <w:color w:val="000000" w:themeColor="text1"/>
          <w:shd w:val="clear" w:color="auto" w:fill="FDFDFD"/>
        </w:rPr>
        <w:t xml:space="preserve">России </w:t>
      </w:r>
      <w:r w:rsidRPr="00DA4B64">
        <w:rPr>
          <w:color w:val="000000" w:themeColor="text1"/>
          <w:shd w:val="clear" w:color="auto" w:fill="FDFDFD"/>
        </w:rPr>
        <w:t>называло текущий год адаптационным, однако вместо адаптации большинство макропоказателей резко ухудшилось.</w:t>
      </w:r>
    </w:p>
    <w:p w14:paraId="462AE590" w14:textId="75350336" w:rsidR="00DA4B64" w:rsidRPr="00DA4B64" w:rsidRDefault="00DA4B64" w:rsidP="00DA4B64">
      <w:pPr>
        <w:spacing w:after="60"/>
        <w:ind w:firstLine="709"/>
        <w:contextualSpacing/>
        <w:jc w:val="both"/>
        <w:rPr>
          <w:color w:val="000000" w:themeColor="text1"/>
          <w:shd w:val="clear" w:color="auto" w:fill="FDFDFD"/>
        </w:rPr>
      </w:pPr>
      <w:r w:rsidRPr="00DA4B64">
        <w:rPr>
          <w:color w:val="000000" w:themeColor="text1"/>
          <w:shd w:val="clear" w:color="auto" w:fill="FDFDFD"/>
        </w:rPr>
        <w:t>Слабость совокупного спроса, по мнению Минэкономразвития</w:t>
      </w:r>
      <w:r w:rsidR="00356D48">
        <w:rPr>
          <w:color w:val="000000" w:themeColor="text1"/>
          <w:shd w:val="clear" w:color="auto" w:fill="FDFDFD"/>
        </w:rPr>
        <w:t xml:space="preserve"> России</w:t>
      </w:r>
      <w:r w:rsidRPr="00DA4B64">
        <w:rPr>
          <w:color w:val="000000" w:themeColor="text1"/>
          <w:shd w:val="clear" w:color="auto" w:fill="FDFDFD"/>
        </w:rPr>
        <w:t>, стала следствием синхронного ужесточения бюджетной и денежно-кредитной политики. В части расходов бюджета по состояни</w:t>
      </w:r>
      <w:r w:rsidR="00D25248">
        <w:rPr>
          <w:color w:val="000000" w:themeColor="text1"/>
          <w:shd w:val="clear" w:color="auto" w:fill="FDFDFD"/>
        </w:rPr>
        <w:t>ю на 1 июля было исполнено 42,6</w:t>
      </w:r>
      <w:r w:rsidRPr="00DA4B64">
        <w:rPr>
          <w:color w:val="000000" w:themeColor="text1"/>
          <w:shd w:val="clear" w:color="auto" w:fill="FDFDFD"/>
        </w:rPr>
        <w:t xml:space="preserve">% бюджетной росписи – худший результат с 2012 г. Ужесточение бюджетной политики не только не </w:t>
      </w:r>
      <w:r w:rsidR="0043171B" w:rsidRPr="00DA4B64">
        <w:rPr>
          <w:color w:val="000000" w:themeColor="text1"/>
          <w:shd w:val="clear" w:color="auto" w:fill="FDFDFD"/>
        </w:rPr>
        <w:t>был</w:t>
      </w:r>
      <w:r w:rsidR="0043171B">
        <w:rPr>
          <w:color w:val="000000" w:themeColor="text1"/>
          <w:shd w:val="clear" w:color="auto" w:fill="FDFDFD"/>
        </w:rPr>
        <w:t>о</w:t>
      </w:r>
      <w:r w:rsidR="0043171B" w:rsidRPr="00DA4B64">
        <w:rPr>
          <w:color w:val="000000" w:themeColor="text1"/>
          <w:shd w:val="clear" w:color="auto" w:fill="FDFDFD"/>
        </w:rPr>
        <w:t xml:space="preserve"> компенсирован</w:t>
      </w:r>
      <w:r w:rsidR="0043171B">
        <w:rPr>
          <w:color w:val="000000" w:themeColor="text1"/>
          <w:shd w:val="clear" w:color="auto" w:fill="FDFDFD"/>
        </w:rPr>
        <w:t>о</w:t>
      </w:r>
      <w:r w:rsidR="0043171B" w:rsidRPr="00DA4B64">
        <w:rPr>
          <w:color w:val="000000" w:themeColor="text1"/>
          <w:shd w:val="clear" w:color="auto" w:fill="FDFDFD"/>
        </w:rPr>
        <w:t xml:space="preserve"> </w:t>
      </w:r>
      <w:r w:rsidRPr="00DA4B64">
        <w:rPr>
          <w:color w:val="000000" w:themeColor="text1"/>
          <w:shd w:val="clear" w:color="auto" w:fill="FDFDFD"/>
        </w:rPr>
        <w:t>денежно-кредитной политикой, более того, её изменение усилило негативный эффект на совокупный спрос. В сентябре и декабре 2018 года Банк России дважды повысил ключевую ставку до 7,75% и еще более серьезно повысил среднесрочные рыночные ожидания дальнейшей динамики ставки. Одним из объяснений действий стало повышение базовой ставки НДС с 1 января 2019 года и ответное увеличение ключевой ставки как «упреждающей» меры, однако опасения относительно вторичного эффекта от повышения НДС на инфляцию не оправдались.</w:t>
      </w:r>
    </w:p>
    <w:p w14:paraId="76B5A4D8" w14:textId="023880B0" w:rsidR="00DA4B64" w:rsidRPr="00DA4B64" w:rsidRDefault="00DA4B64" w:rsidP="00DA4B64">
      <w:pPr>
        <w:spacing w:after="60"/>
        <w:ind w:firstLine="709"/>
        <w:contextualSpacing/>
        <w:jc w:val="both"/>
        <w:rPr>
          <w:color w:val="000000" w:themeColor="text1"/>
          <w:shd w:val="clear" w:color="auto" w:fill="FDFDFD"/>
        </w:rPr>
      </w:pPr>
      <w:r w:rsidRPr="00DA4B64">
        <w:rPr>
          <w:color w:val="000000" w:themeColor="text1"/>
          <w:shd w:val="clear" w:color="auto" w:fill="FDFDFD"/>
        </w:rPr>
        <w:t>Оценка темпа роста расходов на конечное потребление в 2019 году также был</w:t>
      </w:r>
      <w:r w:rsidR="00D25248">
        <w:rPr>
          <w:color w:val="000000" w:themeColor="text1"/>
          <w:shd w:val="clear" w:color="auto" w:fill="FDFDFD"/>
        </w:rPr>
        <w:t>а скорректирована вниз – до 1,0% по сравнению с 1,4</w:t>
      </w:r>
      <w:r w:rsidRPr="00DA4B64">
        <w:rPr>
          <w:color w:val="000000" w:themeColor="text1"/>
          <w:shd w:val="clear" w:color="auto" w:fill="FDFDFD"/>
        </w:rPr>
        <w:t>%, ожидаемыми в апреле 2019 года. Но положительные темпы роста поддерживаются потребительскими кредитами.</w:t>
      </w:r>
    </w:p>
    <w:p w14:paraId="3181E303" w14:textId="5FE6607F" w:rsidR="00DA4B64" w:rsidRPr="00DA4B64" w:rsidRDefault="00DA4B64" w:rsidP="00DA4B64">
      <w:pPr>
        <w:spacing w:after="60"/>
        <w:ind w:firstLine="709"/>
        <w:contextualSpacing/>
        <w:jc w:val="both"/>
        <w:rPr>
          <w:color w:val="000000" w:themeColor="text1"/>
          <w:shd w:val="clear" w:color="auto" w:fill="FDFDFD"/>
        </w:rPr>
      </w:pPr>
      <w:r w:rsidRPr="00DA4B64">
        <w:rPr>
          <w:color w:val="000000" w:themeColor="text1"/>
          <w:shd w:val="clear" w:color="auto" w:fill="FDFDFD"/>
        </w:rPr>
        <w:t xml:space="preserve">МЭР подчеркивает, что «ключевым внутренним риском для развития российской экономики является динамика потребительского кредитования». Темпы </w:t>
      </w:r>
      <w:r w:rsidRPr="00DA4B64">
        <w:rPr>
          <w:color w:val="000000" w:themeColor="text1"/>
          <w:shd w:val="clear" w:color="auto" w:fill="FDFDFD"/>
        </w:rPr>
        <w:lastRenderedPageBreak/>
        <w:t xml:space="preserve">роста потребительского кредитования (22-24% г/г) значительно превосходят темпы роста номинальных доходов населения (4-5%). Это означает, что доля расходов населения, связанная с обслуживанием кредитов, заметно увеличивается. Данный показатель крайне важен, поскольку может спровоцировать резкий рост неплатежей по кредитам (плохих долгов). Это привносит существенные риски финансового кризиса со стороны банковской системы. МЭР разделяет эти риски и ожидает резкого сокращения темпов роста потребительского кредитования. </w:t>
      </w:r>
      <w:r w:rsidR="00684DCB">
        <w:rPr>
          <w:color w:val="000000" w:themeColor="text1"/>
          <w:shd w:val="clear" w:color="auto" w:fill="FDFDFD"/>
        </w:rPr>
        <w:t>Ведомство</w:t>
      </w:r>
      <w:r w:rsidR="00684DCB" w:rsidRPr="00DA4B64">
        <w:rPr>
          <w:color w:val="000000" w:themeColor="text1"/>
          <w:shd w:val="clear" w:color="auto" w:fill="FDFDFD"/>
        </w:rPr>
        <w:t xml:space="preserve"> </w:t>
      </w:r>
      <w:r w:rsidRPr="00DA4B64">
        <w:rPr>
          <w:color w:val="000000" w:themeColor="text1"/>
          <w:shd w:val="clear" w:color="auto" w:fill="FDFDFD"/>
        </w:rPr>
        <w:t xml:space="preserve">отмечает, что «при этом высокие темпы роста задолженности в сегменте потребительского кредита (около 2% ВВП) являются неустойчивыми и ведут к среднесрочной волатильности экономического роста. Так, после вклада в потребительский спрос на уровне 2% в 2018 году, уже в 2020 году такой вклад может стать отрицательным на уровне 6% в случае реализации негативного сценария». Подобное </w:t>
      </w:r>
      <w:r w:rsidR="0043171B" w:rsidRPr="00DA4B64">
        <w:rPr>
          <w:color w:val="000000" w:themeColor="text1"/>
          <w:shd w:val="clear" w:color="auto" w:fill="FDFDFD"/>
        </w:rPr>
        <w:t>утверждени</w:t>
      </w:r>
      <w:r w:rsidR="0043171B">
        <w:rPr>
          <w:color w:val="000000" w:themeColor="text1"/>
          <w:shd w:val="clear" w:color="auto" w:fill="FDFDFD"/>
        </w:rPr>
        <w:t>е</w:t>
      </w:r>
      <w:r w:rsidR="0043171B" w:rsidRPr="00DA4B64">
        <w:rPr>
          <w:color w:val="000000" w:themeColor="text1"/>
          <w:shd w:val="clear" w:color="auto" w:fill="FDFDFD"/>
        </w:rPr>
        <w:t xml:space="preserve"> </w:t>
      </w:r>
      <w:r w:rsidRPr="00DA4B64">
        <w:rPr>
          <w:color w:val="000000" w:themeColor="text1"/>
          <w:shd w:val="clear" w:color="auto" w:fill="FDFDFD"/>
        </w:rPr>
        <w:t xml:space="preserve">достаточно важно, поскольку отражает ожидание экономического блока Правительства </w:t>
      </w:r>
      <w:r w:rsidR="00356D48" w:rsidRPr="00EF7F49">
        <w:t xml:space="preserve">Российской Федерации </w:t>
      </w:r>
      <w:r w:rsidRPr="00DA4B64">
        <w:rPr>
          <w:color w:val="000000" w:themeColor="text1"/>
          <w:shd w:val="clear" w:color="auto" w:fill="FDFDFD"/>
        </w:rPr>
        <w:t>снижения роли российской банковской системы в расширении внутреннего спроса.</w:t>
      </w:r>
    </w:p>
    <w:p w14:paraId="5EEEBD55" w14:textId="3F154184" w:rsidR="00DA4B64" w:rsidRPr="00DA4B64" w:rsidRDefault="00DA4B64" w:rsidP="00DA4B64">
      <w:pPr>
        <w:spacing w:after="60"/>
        <w:ind w:firstLine="709"/>
        <w:contextualSpacing/>
        <w:jc w:val="both"/>
        <w:rPr>
          <w:color w:val="000000" w:themeColor="text1"/>
          <w:shd w:val="clear" w:color="auto" w:fill="FDFDFD"/>
        </w:rPr>
      </w:pPr>
      <w:r w:rsidRPr="00DA4B64">
        <w:rPr>
          <w:color w:val="000000" w:themeColor="text1"/>
          <w:shd w:val="clear" w:color="auto" w:fill="FDFDFD"/>
        </w:rPr>
        <w:t xml:space="preserve">Прежде всего, согласно последней версии </w:t>
      </w:r>
      <w:r w:rsidR="008A699D">
        <w:rPr>
          <w:color w:val="000000" w:themeColor="text1"/>
          <w:shd w:val="clear" w:color="auto" w:fill="FDFDFD"/>
        </w:rPr>
        <w:t>П</w:t>
      </w:r>
      <w:r w:rsidR="00D25248">
        <w:rPr>
          <w:color w:val="000000" w:themeColor="text1"/>
          <w:shd w:val="clear" w:color="auto" w:fill="FDFDFD"/>
        </w:rPr>
        <w:t>рогноза</w:t>
      </w:r>
      <w:r w:rsidRPr="00DA4B64">
        <w:rPr>
          <w:color w:val="000000" w:themeColor="text1"/>
          <w:shd w:val="clear" w:color="auto" w:fill="FDFDFD"/>
        </w:rPr>
        <w:t xml:space="preserve">, ожидается снижение темпов роста потребительского кредитования с 24 до 4% г/г уже в следующем году. Если вклад потребительского кредита в прирост конечного спроса, по оценке </w:t>
      </w:r>
      <w:r w:rsidR="00A12492">
        <w:rPr>
          <w:color w:val="000000" w:themeColor="text1"/>
          <w:shd w:val="clear" w:color="auto" w:fill="FDFDFD"/>
        </w:rPr>
        <w:t>министерства</w:t>
      </w:r>
      <w:r w:rsidRPr="00DA4B64">
        <w:rPr>
          <w:color w:val="000000" w:themeColor="text1"/>
          <w:shd w:val="clear" w:color="auto" w:fill="FDFDFD"/>
        </w:rPr>
        <w:t>, в 2019 г. составит 1</w:t>
      </w:r>
      <w:r w:rsidR="00684DCB">
        <w:rPr>
          <w:color w:val="000000" w:themeColor="text1"/>
          <w:shd w:val="clear" w:color="auto" w:fill="FDFDFD"/>
        </w:rPr>
        <w:t>,</w:t>
      </w:r>
      <w:r w:rsidRPr="00DA4B64">
        <w:rPr>
          <w:color w:val="000000" w:themeColor="text1"/>
          <w:shd w:val="clear" w:color="auto" w:fill="FDFDFD"/>
        </w:rPr>
        <w:t xml:space="preserve">7 трлн руб., то в 2020 г. </w:t>
      </w:r>
      <w:r w:rsidR="00684DCB">
        <w:rPr>
          <w:color w:val="000000" w:themeColor="text1"/>
          <w:shd w:val="clear" w:color="auto" w:fill="FDFDFD"/>
        </w:rPr>
        <w:t xml:space="preserve">– </w:t>
      </w:r>
      <w:r w:rsidRPr="00DA4B64">
        <w:rPr>
          <w:color w:val="000000" w:themeColor="text1"/>
          <w:shd w:val="clear" w:color="auto" w:fill="FDFDFD"/>
        </w:rPr>
        <w:t>лишь 0</w:t>
      </w:r>
      <w:r w:rsidR="00684DCB">
        <w:rPr>
          <w:color w:val="000000" w:themeColor="text1"/>
          <w:shd w:val="clear" w:color="auto" w:fill="FDFDFD"/>
        </w:rPr>
        <w:t>,</w:t>
      </w:r>
      <w:r w:rsidRPr="00DA4B64">
        <w:rPr>
          <w:color w:val="000000" w:themeColor="text1"/>
          <w:shd w:val="clear" w:color="auto" w:fill="FDFDFD"/>
        </w:rPr>
        <w:t>4 трлн руб. В результате</w:t>
      </w:r>
      <w:r w:rsidR="00684DCB">
        <w:rPr>
          <w:color w:val="000000" w:themeColor="text1"/>
          <w:shd w:val="clear" w:color="auto" w:fill="FDFDFD"/>
        </w:rPr>
        <w:t>,</w:t>
      </w:r>
      <w:r w:rsidRPr="00DA4B64">
        <w:rPr>
          <w:color w:val="000000" w:themeColor="text1"/>
          <w:shd w:val="clear" w:color="auto" w:fill="FDFDFD"/>
        </w:rPr>
        <w:t xml:space="preserve"> предполагается резкое замедление потребительского спроса до 0</w:t>
      </w:r>
      <w:r w:rsidR="00684DCB">
        <w:rPr>
          <w:color w:val="000000" w:themeColor="text1"/>
          <w:shd w:val="clear" w:color="auto" w:fill="FDFDFD"/>
        </w:rPr>
        <w:t>,</w:t>
      </w:r>
      <w:r w:rsidRPr="00DA4B64">
        <w:rPr>
          <w:color w:val="000000" w:themeColor="text1"/>
          <w:shd w:val="clear" w:color="auto" w:fill="FDFDFD"/>
        </w:rPr>
        <w:t>6%. Наряду с ожиданием замедления внешнего спроса (в силу падения цен на нефть и замедления мировой экономики) достижение темпов роста ВВП в 2020 г. в 1</w:t>
      </w:r>
      <w:r w:rsidR="00684DCB">
        <w:rPr>
          <w:color w:val="000000" w:themeColor="text1"/>
          <w:shd w:val="clear" w:color="auto" w:fill="FDFDFD"/>
        </w:rPr>
        <w:t>,</w:t>
      </w:r>
      <w:r w:rsidRPr="00DA4B64">
        <w:rPr>
          <w:color w:val="000000" w:themeColor="text1"/>
          <w:shd w:val="clear" w:color="auto" w:fill="FDFDFD"/>
        </w:rPr>
        <w:t>7% выглядит нереальным.</w:t>
      </w:r>
    </w:p>
    <w:p w14:paraId="07E25E84" w14:textId="7C9C95E4" w:rsidR="00DA4B64" w:rsidRPr="00DA4B64" w:rsidRDefault="00DA4B64" w:rsidP="00DA4B64">
      <w:pPr>
        <w:spacing w:after="60"/>
        <w:ind w:firstLine="709"/>
        <w:contextualSpacing/>
        <w:jc w:val="both"/>
        <w:rPr>
          <w:color w:val="000000" w:themeColor="text1"/>
          <w:shd w:val="clear" w:color="auto" w:fill="FDFDFD"/>
        </w:rPr>
      </w:pPr>
      <w:r w:rsidRPr="00DA4B64">
        <w:rPr>
          <w:color w:val="000000" w:themeColor="text1"/>
          <w:shd w:val="clear" w:color="auto" w:fill="FDFDFD"/>
        </w:rPr>
        <w:t xml:space="preserve">МЭР ожидает с замедлением темпов роста потребительского кредитования более интенсивного снижения процентных ставок и оживления кредитования юридических лиц. Необходимо отметить, что активность частного сектора достаточно низкая, что определяется замедляющимся внешним и внутренним спросом, а также традиционными внутренними рисками. Поэтому ожидать ускорения кредитования нефинансовых предприятий неправомерно. Дополнительно отметим, что в прошедшие два десятилетия доля банковского кредитования в финансировании капитальных инвестиций не превосходила 10% от общего </w:t>
      </w:r>
      <w:r w:rsidR="00A12492">
        <w:rPr>
          <w:color w:val="000000" w:themeColor="text1"/>
          <w:shd w:val="clear" w:color="auto" w:fill="FDFDFD"/>
        </w:rPr>
        <w:t xml:space="preserve">объема </w:t>
      </w:r>
      <w:r w:rsidRPr="00DA4B64">
        <w:rPr>
          <w:color w:val="000000" w:themeColor="text1"/>
          <w:shd w:val="clear" w:color="auto" w:fill="FDFDFD"/>
        </w:rPr>
        <w:t>финансирования.</w:t>
      </w:r>
    </w:p>
    <w:p w14:paraId="1250B25E" w14:textId="3F4C2204" w:rsidR="00DA4B64" w:rsidRPr="00DA4B64" w:rsidRDefault="00DA4B64" w:rsidP="00DA4B64">
      <w:pPr>
        <w:spacing w:after="60"/>
        <w:ind w:firstLine="709"/>
        <w:contextualSpacing/>
        <w:jc w:val="both"/>
        <w:rPr>
          <w:color w:val="000000" w:themeColor="text1"/>
          <w:shd w:val="clear" w:color="auto" w:fill="FDFDFD"/>
        </w:rPr>
      </w:pPr>
      <w:r w:rsidRPr="00DA4B64">
        <w:rPr>
          <w:color w:val="000000" w:themeColor="text1"/>
          <w:shd w:val="clear" w:color="auto" w:fill="FDFDFD"/>
        </w:rPr>
        <w:t>Инвестиции в основной капитал в январе-июле выросли лишь на 0</w:t>
      </w:r>
      <w:r w:rsidR="00684DCB">
        <w:rPr>
          <w:color w:val="000000" w:themeColor="text1"/>
          <w:shd w:val="clear" w:color="auto" w:fill="FDFDFD"/>
        </w:rPr>
        <w:t>,</w:t>
      </w:r>
      <w:r w:rsidRPr="00DA4B64">
        <w:rPr>
          <w:color w:val="000000" w:themeColor="text1"/>
          <w:shd w:val="clear" w:color="auto" w:fill="FDFDFD"/>
        </w:rPr>
        <w:t>6%, вследствие чего по итогам года ожидается рост данного показателя на 2</w:t>
      </w:r>
      <w:r w:rsidR="00684DCB">
        <w:rPr>
          <w:color w:val="000000" w:themeColor="text1"/>
          <w:shd w:val="clear" w:color="auto" w:fill="FDFDFD"/>
        </w:rPr>
        <w:t>,</w:t>
      </w:r>
      <w:r w:rsidRPr="00DA4B64">
        <w:rPr>
          <w:color w:val="000000" w:themeColor="text1"/>
          <w:shd w:val="clear" w:color="auto" w:fill="FDFDFD"/>
        </w:rPr>
        <w:t xml:space="preserve">0% вместо </w:t>
      </w:r>
      <w:r w:rsidR="00371B9A">
        <w:rPr>
          <w:color w:val="000000" w:themeColor="text1"/>
          <w:shd w:val="clear" w:color="auto" w:fill="FDFDFD"/>
        </w:rPr>
        <w:t>предполагавшихся</w:t>
      </w:r>
      <w:r w:rsidR="00371B9A" w:rsidRPr="00DA4B64">
        <w:rPr>
          <w:color w:val="000000" w:themeColor="text1"/>
          <w:shd w:val="clear" w:color="auto" w:fill="FDFDFD"/>
        </w:rPr>
        <w:t xml:space="preserve"> </w:t>
      </w:r>
      <w:r w:rsidRPr="00DA4B64">
        <w:rPr>
          <w:color w:val="000000" w:themeColor="text1"/>
          <w:shd w:val="clear" w:color="auto" w:fill="FDFDFD"/>
        </w:rPr>
        <w:t>3</w:t>
      </w:r>
      <w:r w:rsidR="00684DCB">
        <w:rPr>
          <w:color w:val="000000" w:themeColor="text1"/>
          <w:shd w:val="clear" w:color="auto" w:fill="FDFDFD"/>
        </w:rPr>
        <w:t>,</w:t>
      </w:r>
      <w:r w:rsidRPr="00DA4B64">
        <w:rPr>
          <w:color w:val="000000" w:themeColor="text1"/>
          <w:shd w:val="clear" w:color="auto" w:fill="FDFDFD"/>
        </w:rPr>
        <w:t>1%. Значимым фактором ухудшения динамики инвестиций стало снижение бюджетных инвестиционных расходов (на -11,4 % г/г в январе</w:t>
      </w:r>
      <w:r w:rsidR="008A699D">
        <w:rPr>
          <w:color w:val="000000" w:themeColor="text1"/>
          <w:shd w:val="clear" w:color="auto" w:fill="FDFDFD"/>
        </w:rPr>
        <w:t>-</w:t>
      </w:r>
      <w:r w:rsidRPr="00DA4B64">
        <w:rPr>
          <w:color w:val="000000" w:themeColor="text1"/>
          <w:shd w:val="clear" w:color="auto" w:fill="FDFDFD"/>
        </w:rPr>
        <w:t xml:space="preserve">июне), которое, по оценке Минэкономразвития России, в </w:t>
      </w:r>
      <w:r w:rsidR="00371B9A">
        <w:rPr>
          <w:color w:val="000000" w:themeColor="text1"/>
          <w:shd w:val="clear" w:color="auto" w:fill="FDFDFD"/>
        </w:rPr>
        <w:t>первом полугодии 2019 г.</w:t>
      </w:r>
      <w:r w:rsidRPr="00DA4B64">
        <w:rPr>
          <w:color w:val="000000" w:themeColor="text1"/>
          <w:shd w:val="clear" w:color="auto" w:fill="FDFDFD"/>
        </w:rPr>
        <w:t xml:space="preserve"> внесло отрицательный вклад в темп роста инвестиций в основной капитал в размере 0,9 п.п.</w:t>
      </w:r>
    </w:p>
    <w:p w14:paraId="3CD76D68" w14:textId="3C2CC59C" w:rsidR="00DA4B64" w:rsidRPr="00DA4B64" w:rsidRDefault="00DA4B64" w:rsidP="00DA4B64">
      <w:pPr>
        <w:spacing w:after="60"/>
        <w:ind w:firstLine="709"/>
        <w:contextualSpacing/>
        <w:jc w:val="both"/>
        <w:rPr>
          <w:color w:val="000000" w:themeColor="text1"/>
          <w:shd w:val="clear" w:color="auto" w:fill="FDFDFD"/>
        </w:rPr>
      </w:pPr>
      <w:r w:rsidRPr="00DA4B64">
        <w:rPr>
          <w:color w:val="000000" w:themeColor="text1"/>
          <w:shd w:val="clear" w:color="auto" w:fill="FDFDFD"/>
        </w:rPr>
        <w:t>Вместо амбициозного роста инвестиций на 7% в 2020 г. ожидаются высокие 5% и сохранение темпов роста инвестиций в диапазоне 5</w:t>
      </w:r>
      <w:r w:rsidR="00684DCB">
        <w:rPr>
          <w:color w:val="000000" w:themeColor="text1"/>
          <w:shd w:val="clear" w:color="auto" w:fill="FDFDFD"/>
        </w:rPr>
        <w:t>,</w:t>
      </w:r>
      <w:r w:rsidRPr="00DA4B64">
        <w:rPr>
          <w:color w:val="000000" w:themeColor="text1"/>
          <w:shd w:val="clear" w:color="auto" w:fill="FDFDFD"/>
        </w:rPr>
        <w:t>3-6</w:t>
      </w:r>
      <w:r w:rsidR="00684DCB">
        <w:rPr>
          <w:color w:val="000000" w:themeColor="text1"/>
          <w:shd w:val="clear" w:color="auto" w:fill="FDFDFD"/>
        </w:rPr>
        <w:t>,</w:t>
      </w:r>
      <w:r w:rsidRPr="00DA4B64">
        <w:rPr>
          <w:color w:val="000000" w:themeColor="text1"/>
          <w:shd w:val="clear" w:color="auto" w:fill="FDFDFD"/>
        </w:rPr>
        <w:t xml:space="preserve">5% в среднесрочной перспективе (до 2024 г.). Это крайне </w:t>
      </w:r>
      <w:r w:rsidRPr="00A12492">
        <w:rPr>
          <w:color w:val="000000" w:themeColor="text1"/>
          <w:shd w:val="clear" w:color="auto" w:fill="FDFDFD"/>
        </w:rPr>
        <w:t xml:space="preserve">амбициозные </w:t>
      </w:r>
      <w:r w:rsidRPr="00DA4B64">
        <w:rPr>
          <w:color w:val="000000" w:themeColor="text1"/>
          <w:shd w:val="clear" w:color="auto" w:fill="FDFDFD"/>
        </w:rPr>
        <w:t xml:space="preserve">планы, реализация которых </w:t>
      </w:r>
      <w:r w:rsidR="003A3D97" w:rsidRPr="00DA4B64">
        <w:rPr>
          <w:color w:val="000000" w:themeColor="text1"/>
          <w:shd w:val="clear" w:color="auto" w:fill="FDFDFD"/>
        </w:rPr>
        <w:t>возможн</w:t>
      </w:r>
      <w:r w:rsidR="003A3D97">
        <w:rPr>
          <w:color w:val="000000" w:themeColor="text1"/>
          <w:shd w:val="clear" w:color="auto" w:fill="FDFDFD"/>
        </w:rPr>
        <w:t>а</w:t>
      </w:r>
      <w:r w:rsidR="003A3D97" w:rsidRPr="00DA4B64">
        <w:rPr>
          <w:color w:val="000000" w:themeColor="text1"/>
          <w:shd w:val="clear" w:color="auto" w:fill="FDFDFD"/>
        </w:rPr>
        <w:t xml:space="preserve"> </w:t>
      </w:r>
      <w:r w:rsidRPr="00DA4B64">
        <w:rPr>
          <w:color w:val="000000" w:themeColor="text1"/>
          <w:shd w:val="clear" w:color="auto" w:fill="FDFDFD"/>
        </w:rPr>
        <w:t>при кардинальном смягчении бюджетной и кредитно-денежной политики. При этом ожидать в ближайшее время оживления частной инвестиционной деятельности навряд ли возможно в силу как низкого внутреннего спроса, так и вероятного ухудшения внешних условий.</w:t>
      </w:r>
    </w:p>
    <w:p w14:paraId="2F8CFD88" w14:textId="56C188DC" w:rsidR="00DA4B64" w:rsidRPr="00DA4B64" w:rsidRDefault="00DA4B64" w:rsidP="00DA4B64">
      <w:pPr>
        <w:spacing w:after="60"/>
        <w:ind w:firstLine="709"/>
        <w:contextualSpacing/>
        <w:jc w:val="both"/>
        <w:rPr>
          <w:color w:val="000000" w:themeColor="text1"/>
          <w:shd w:val="clear" w:color="auto" w:fill="FDFDFD"/>
        </w:rPr>
      </w:pPr>
      <w:r w:rsidRPr="00DA4B64">
        <w:rPr>
          <w:color w:val="000000" w:themeColor="text1"/>
          <w:shd w:val="clear" w:color="auto" w:fill="FDFDFD"/>
        </w:rPr>
        <w:t>Дополнительно отметим, что</w:t>
      </w:r>
      <w:r w:rsidR="003A3D97">
        <w:rPr>
          <w:color w:val="000000" w:themeColor="text1"/>
          <w:shd w:val="clear" w:color="auto" w:fill="FDFDFD"/>
        </w:rPr>
        <w:t>,</w:t>
      </w:r>
      <w:r w:rsidRPr="00DA4B64">
        <w:rPr>
          <w:color w:val="000000" w:themeColor="text1"/>
          <w:shd w:val="clear" w:color="auto" w:fill="FDFDFD"/>
        </w:rPr>
        <w:t xml:space="preserve"> с точки зрения перспектив экономического роста</w:t>
      </w:r>
      <w:r w:rsidR="003A3D97">
        <w:rPr>
          <w:color w:val="000000" w:themeColor="text1"/>
          <w:shd w:val="clear" w:color="auto" w:fill="FDFDFD"/>
        </w:rPr>
        <w:t>,</w:t>
      </w:r>
      <w:r w:rsidRPr="00DA4B64">
        <w:rPr>
          <w:color w:val="000000" w:themeColor="text1"/>
          <w:shd w:val="clear" w:color="auto" w:fill="FDFDFD"/>
        </w:rPr>
        <w:t xml:space="preserve"> ухудшается структура инвестиций. Инвестиции в машины и оборудование упали наиболее существенно в кризис (на 30%, потом выросли лишь на 17%), тогда как инвестиции в здания и сооружения и прочие инвестиции были более стабильными. Важно, что инвестиции в машины и оборудование критически зависят от курса рубля и в наименьшей степени подвержены импортозамещению. </w:t>
      </w:r>
    </w:p>
    <w:p w14:paraId="4EE72093" w14:textId="6ADA4ACB" w:rsidR="00DA4B64" w:rsidRPr="00DA4B64" w:rsidRDefault="00DA4B64" w:rsidP="00DA4B64">
      <w:pPr>
        <w:spacing w:after="60"/>
        <w:ind w:firstLine="709"/>
        <w:contextualSpacing/>
        <w:jc w:val="both"/>
        <w:rPr>
          <w:color w:val="000000" w:themeColor="text1"/>
          <w:shd w:val="clear" w:color="auto" w:fill="FDFDFD"/>
        </w:rPr>
      </w:pPr>
      <w:r w:rsidRPr="00DA4B64">
        <w:rPr>
          <w:color w:val="000000" w:themeColor="text1"/>
          <w:shd w:val="clear" w:color="auto" w:fill="FDFDFD"/>
        </w:rPr>
        <w:t xml:space="preserve">Жесткое бюджетное правило обуславливает девальвацию рубля в условиях стабильно высоких цен на нефть. Очевидно, что слабый рубль не дает дополнительных </w:t>
      </w:r>
      <w:r w:rsidRPr="00DA4B64">
        <w:rPr>
          <w:color w:val="000000" w:themeColor="text1"/>
          <w:shd w:val="clear" w:color="auto" w:fill="FDFDFD"/>
        </w:rPr>
        <w:lastRenderedPageBreak/>
        <w:t>преимуществ российским предприятиям. Оценки по ненефтегазовому экспорту кардинально изменены с роста на 6</w:t>
      </w:r>
      <w:r w:rsidR="003A3D97">
        <w:rPr>
          <w:color w:val="000000" w:themeColor="text1"/>
          <w:shd w:val="clear" w:color="auto" w:fill="FDFDFD"/>
        </w:rPr>
        <w:t>,</w:t>
      </w:r>
      <w:r w:rsidRPr="00DA4B64">
        <w:rPr>
          <w:color w:val="000000" w:themeColor="text1"/>
          <w:shd w:val="clear" w:color="auto" w:fill="FDFDFD"/>
        </w:rPr>
        <w:t>2% до падения на 2</w:t>
      </w:r>
      <w:r w:rsidR="003A3D97">
        <w:rPr>
          <w:color w:val="000000" w:themeColor="text1"/>
          <w:shd w:val="clear" w:color="auto" w:fill="FDFDFD"/>
        </w:rPr>
        <w:t>,</w:t>
      </w:r>
      <w:r w:rsidRPr="00DA4B64">
        <w:rPr>
          <w:color w:val="000000" w:themeColor="text1"/>
          <w:shd w:val="clear" w:color="auto" w:fill="FDFDFD"/>
        </w:rPr>
        <w:t>3%. Аналогично, оценки импорта изменены с роста на 2</w:t>
      </w:r>
      <w:r w:rsidR="003A3D97">
        <w:rPr>
          <w:color w:val="000000" w:themeColor="text1"/>
          <w:shd w:val="clear" w:color="auto" w:fill="FDFDFD"/>
        </w:rPr>
        <w:t>,</w:t>
      </w:r>
      <w:r w:rsidRPr="00DA4B64">
        <w:rPr>
          <w:color w:val="000000" w:themeColor="text1"/>
          <w:shd w:val="clear" w:color="auto" w:fill="FDFDFD"/>
        </w:rPr>
        <w:t>3% до падения на 0</w:t>
      </w:r>
      <w:r w:rsidR="003A3D97">
        <w:rPr>
          <w:color w:val="000000" w:themeColor="text1"/>
          <w:shd w:val="clear" w:color="auto" w:fill="FDFDFD"/>
        </w:rPr>
        <w:t>,</w:t>
      </w:r>
      <w:r w:rsidRPr="00DA4B64">
        <w:rPr>
          <w:color w:val="000000" w:themeColor="text1"/>
          <w:shd w:val="clear" w:color="auto" w:fill="FDFDFD"/>
        </w:rPr>
        <w:t xml:space="preserve">4%. Напомним, что 30% импорта составляют инвестиционные товары, а 40% </w:t>
      </w:r>
      <w:r w:rsidR="00371B9A">
        <w:rPr>
          <w:color w:val="000000" w:themeColor="text1"/>
          <w:shd w:val="clear" w:color="auto" w:fill="FDFDFD"/>
        </w:rPr>
        <w:t>–</w:t>
      </w:r>
      <w:r w:rsidRPr="00DA4B64">
        <w:rPr>
          <w:color w:val="000000" w:themeColor="text1"/>
          <w:shd w:val="clear" w:color="auto" w:fill="FDFDFD"/>
        </w:rPr>
        <w:t xml:space="preserve"> товары промежуточного потребления (комплектующие). </w:t>
      </w:r>
    </w:p>
    <w:p w14:paraId="61E66373" w14:textId="06AD0FB5" w:rsidR="00DA4B64" w:rsidRDefault="00D25248" w:rsidP="00A10075">
      <w:pPr>
        <w:spacing w:after="60"/>
        <w:ind w:firstLine="709"/>
        <w:contextualSpacing/>
        <w:jc w:val="both"/>
        <w:rPr>
          <w:color w:val="000000" w:themeColor="text1"/>
          <w:shd w:val="clear" w:color="auto" w:fill="FDFDFD"/>
        </w:rPr>
      </w:pPr>
      <w:r>
        <w:rPr>
          <w:color w:val="000000" w:themeColor="text1"/>
          <w:shd w:val="clear" w:color="auto" w:fill="FDFDFD"/>
        </w:rPr>
        <w:t xml:space="preserve">Наконец, </w:t>
      </w:r>
      <w:r w:rsidR="00DA4B64" w:rsidRPr="00DA4B64">
        <w:rPr>
          <w:color w:val="000000" w:themeColor="text1"/>
          <w:shd w:val="clear" w:color="auto" w:fill="FDFDFD"/>
        </w:rPr>
        <w:t xml:space="preserve">отметим избыточную оптимистичность среднесрочного прогноза социально-экономического развития МЭР. Прежде всего, сохраняются внешние риски, в том числе снижение внешнего спроса и цен на нефть. Поступления от нефтегазового экспорта по-прежнему значительно влияют на структуру платежного </w:t>
      </w:r>
      <w:r>
        <w:rPr>
          <w:color w:val="000000" w:themeColor="text1"/>
          <w:shd w:val="clear" w:color="auto" w:fill="FDFDFD"/>
        </w:rPr>
        <w:t>баланса и доходы бюджета. Также</w:t>
      </w:r>
      <w:r w:rsidR="00DA4B64" w:rsidRPr="00DA4B64">
        <w:rPr>
          <w:color w:val="000000" w:themeColor="text1"/>
          <w:shd w:val="clear" w:color="auto" w:fill="FDFDFD"/>
        </w:rPr>
        <w:t xml:space="preserve"> есть основания ожидать постепенного смягчения денежной и бюджетной политики и реализации структурных реформ, что не позволит достичь столь резкого ускорения роста экономики к 2021 г. Сегодня же жесткая денежная политика и предельно жесткая бюджетная политика обуславливают затухание роста даже </w:t>
      </w:r>
      <w:r w:rsidR="00356D48">
        <w:rPr>
          <w:color w:val="000000" w:themeColor="text1"/>
          <w:shd w:val="clear" w:color="auto" w:fill="FDFDFD"/>
        </w:rPr>
        <w:t>при благоприятной внешнеэкономической ситуации</w:t>
      </w:r>
      <w:r w:rsidR="00DA4B64" w:rsidRPr="00DA4B64">
        <w:rPr>
          <w:color w:val="000000" w:themeColor="text1"/>
          <w:shd w:val="clear" w:color="auto" w:fill="FDFDFD"/>
        </w:rPr>
        <w:t>.</w:t>
      </w:r>
    </w:p>
    <w:p w14:paraId="3F31C61D" w14:textId="77777777" w:rsidR="00DA4B64" w:rsidRDefault="00DA4B64" w:rsidP="00DA4B64">
      <w:pPr>
        <w:spacing w:after="60"/>
        <w:ind w:firstLine="709"/>
        <w:contextualSpacing/>
        <w:jc w:val="both"/>
        <w:rPr>
          <w:color w:val="000000" w:themeColor="text1"/>
          <w:shd w:val="clear" w:color="auto" w:fill="FDFDFD"/>
        </w:rPr>
      </w:pPr>
    </w:p>
    <w:p w14:paraId="465EE2B5" w14:textId="51B27432" w:rsidR="005D6872" w:rsidRDefault="005D6872" w:rsidP="00E85715">
      <w:pPr>
        <w:jc w:val="center"/>
      </w:pPr>
      <w:r>
        <w:br w:type="page"/>
      </w:r>
    </w:p>
    <w:p w14:paraId="7D374822" w14:textId="77777777" w:rsidR="00995E45" w:rsidRPr="008E6B24" w:rsidRDefault="0010335D" w:rsidP="00163D81">
      <w:pPr>
        <w:keepNext/>
        <w:spacing w:before="240" w:after="360"/>
        <w:jc w:val="center"/>
        <w:outlineLvl w:val="0"/>
        <w:rPr>
          <w:b/>
          <w:kern w:val="28"/>
          <w:sz w:val="28"/>
          <w:szCs w:val="20"/>
        </w:rPr>
      </w:pPr>
      <w:bookmarkStart w:id="2" w:name="_Toc21436738"/>
      <w:r w:rsidRPr="006C0E7E">
        <w:rPr>
          <w:b/>
          <w:kern w:val="28"/>
          <w:sz w:val="28"/>
          <w:szCs w:val="20"/>
        </w:rPr>
        <w:lastRenderedPageBreak/>
        <w:t>2</w:t>
      </w:r>
      <w:r w:rsidR="00995E45" w:rsidRPr="006C0E7E">
        <w:rPr>
          <w:b/>
          <w:kern w:val="28"/>
          <w:sz w:val="28"/>
          <w:szCs w:val="20"/>
        </w:rPr>
        <w:t xml:space="preserve"> Характеристика долгосрочного бюджетного прогноза</w:t>
      </w:r>
      <w:bookmarkEnd w:id="2"/>
    </w:p>
    <w:p w14:paraId="1DFF0133" w14:textId="77777777" w:rsidR="00EF7F49" w:rsidRPr="00EF7F49" w:rsidRDefault="00EF7F49" w:rsidP="00E56F03">
      <w:pPr>
        <w:spacing w:after="60" w:line="264" w:lineRule="auto"/>
        <w:ind w:firstLine="709"/>
        <w:jc w:val="both"/>
      </w:pPr>
      <w:r w:rsidRPr="00EF7F49">
        <w:t xml:space="preserve">В соответствии со ст. 192 Бюджетного кодекса Российской Федерации в составе материалов, направляемых в Государственную Думу вместе с законопроектом, внесен Бюджетный прогноз Российской Федерации на период до 2036 года (далее – ДБП). Данный документ был утвержден распоряжением Правительства РФ от 29 марта 2019 г. № 558-р и с тех пор не актуализировался. Структурно и содержательно ДБП отличается от всех предыдущих версий и является наиболее проработанным документом по сравнению со всеми предыдущими аналогами, что свидетельствует об очевидном шаге вперед в улучшении качества долгосрочного прогнозирования параметров и рисков бюджетной системы страны. </w:t>
      </w:r>
    </w:p>
    <w:p w14:paraId="5ADDCACE" w14:textId="77777777" w:rsidR="00EF7F49" w:rsidRPr="00EF7F49" w:rsidRDefault="00EF7F49" w:rsidP="00E56F03">
      <w:pPr>
        <w:spacing w:after="60" w:line="264" w:lineRule="auto"/>
        <w:ind w:firstLine="709"/>
        <w:jc w:val="both"/>
      </w:pPr>
      <w:r w:rsidRPr="00EF7F49">
        <w:t>В то же время текущая версия ДБП по-прежнему не в полной мере удовлетворяет требованиям, содержащимся в постановлении Правительства Российской Федерации от 31.08.2015 № 914 «О бюджетном прогнозе Российской Федерации на долгосрочный период» (далее – постановление №914). В частности, подходы и методология разработки бюджетного прогноза подменены описанием условий и сценариев прогнозирования, цели и задачи формирования и реализации налоговой и долговой политики в долгосрочном периоде не изложены, показатели финансового обеспечения государственных программ Российской Федерации на период их действия вынесены в отдельные приложения и засекречены, что не позволяет дать их какую-либо оценку.</w:t>
      </w:r>
    </w:p>
    <w:p w14:paraId="09BA3368" w14:textId="77777777" w:rsidR="00EF7F49" w:rsidRPr="00EF7F49" w:rsidRDefault="00EF7F49" w:rsidP="00E56F03">
      <w:pPr>
        <w:spacing w:after="60" w:line="264" w:lineRule="auto"/>
        <w:ind w:firstLine="709"/>
        <w:jc w:val="both"/>
      </w:pPr>
      <w:r w:rsidRPr="00EF7F49">
        <w:t xml:space="preserve">Переходя к рассмотрению показателей ДБП, можно констатировать, что плановые параметры бюджета расширенного правительства скорее укладываются в логику некоторой математической конструкции, сделанной под действующее бюджетное правило, нежели являются сбалансированной с учетом задач развития структурой бюджета. Так, доходы от нефтегазового сектора демонстрируют постоянное сокращение начиная с 2018 г. и это является главным риском устойчивости для госбюджета. Купирование данного риска осуществляется за счет планомерного сокращения бюджетных расходов на 2,8 п.п. ВВП – с 34,7% ВВП до 31,9% ВВП за период с 2019 по 2036 гг. Частично обнадеживает, что в реальном выражении расходы расширенного правительства все же планируется увеличивать в среднем на 2,2% ежегодно или 45% за весь рассматриваемый период. Однако реалистичность таких оптимистичных ожиданий вызывает серьезные сомнения, так же как и основные параметры долгосрочного социально-экономического прогноза, не предусматривающие никаких более-менее значимых кризисных явлений в ближайшие 18 лет, да и общий размер доходов и расходов бюджета расширенного правительства традиционно завышен на 0,5-0,7% ВВП вследствие задвоенного учета расходов за неработающее население, которые регионы перечисляют в ФОМС. </w:t>
      </w:r>
    </w:p>
    <w:p w14:paraId="4752C5D8" w14:textId="60AF8EF5" w:rsidR="00EF7F49" w:rsidRPr="00EF7F49" w:rsidRDefault="00EF7F49" w:rsidP="00E56F03">
      <w:pPr>
        <w:spacing w:after="60" w:line="264" w:lineRule="auto"/>
        <w:ind w:firstLine="709"/>
        <w:jc w:val="both"/>
      </w:pPr>
      <w:r w:rsidRPr="00EF7F49">
        <w:t>К тому же, по нашим оценкам, для решения задач структурного развития требу</w:t>
      </w:r>
      <w:r w:rsidR="00FB49FB">
        <w:t>ется</w:t>
      </w:r>
      <w:r w:rsidRPr="00EF7F49">
        <w:t xml:space="preserve"> поддержание расходов государства на уровне не ниже 35,5-36% ВВП при текущем уровне функций государства и при тех масштабах госсектора (тенденции на его сокращение пока не наблюдается, скорее, наоборот). Судя по структуре расходов к 2036 г., так и останутся недофинансированными вложения в человека (образование и здравоохранение).</w:t>
      </w:r>
    </w:p>
    <w:p w14:paraId="4D7CB7A0" w14:textId="4A0C4557" w:rsidR="00EF7F49" w:rsidRPr="00EF7F49" w:rsidRDefault="00EF7F49" w:rsidP="00E56F03">
      <w:pPr>
        <w:spacing w:after="60" w:line="264" w:lineRule="auto"/>
        <w:ind w:firstLine="709"/>
        <w:jc w:val="both"/>
      </w:pPr>
      <w:r w:rsidRPr="00EF7F49">
        <w:t xml:space="preserve">Стоит также отметить, что изменение структуры доходов в сторону обложения сферы потребления будет происходить скорее вынужденно, а не вследствие </w:t>
      </w:r>
      <w:r w:rsidRPr="00EF7F49">
        <w:lastRenderedPageBreak/>
        <w:t>целенаправленной налоговой политики – все основные решения в этой части были сделаны уже в 2018 г. (в виде повышения ставки НДС, создани</w:t>
      </w:r>
      <w:r w:rsidR="00870548">
        <w:t>я</w:t>
      </w:r>
      <w:r w:rsidRPr="00EF7F49">
        <w:t xml:space="preserve"> предпосылок для повышения экологических сборов).</w:t>
      </w:r>
    </w:p>
    <w:p w14:paraId="449D4BE4" w14:textId="53CCE981" w:rsidR="00EF7F49" w:rsidRPr="00EF7F49" w:rsidRDefault="00EF7F49" w:rsidP="00E56F03">
      <w:pPr>
        <w:spacing w:after="60" w:line="264" w:lineRule="auto"/>
        <w:ind w:firstLine="709"/>
        <w:jc w:val="both"/>
      </w:pPr>
      <w:r w:rsidRPr="00EF7F49">
        <w:t>Основное бремя сокращения доходов будет продолжать нести федеральный бюджет, который сосредоточил в себе основные конъюнктурные налоги. При текущей версии бюджетного правила это неизбежно приведет к соблазну перераспределить это падение на других участников бюджетной системы, в первую очередь регионы и ПФР (трансферы им будут сокращаться). В этой ситуации наиболее вероятный исход – «распечатывание» резервов через траты ФНБ не только на инвестиции, но и на покрытие дефицита ПФР в перспективе ближайших 2-3 лет.</w:t>
      </w:r>
    </w:p>
    <w:p w14:paraId="617550B4" w14:textId="57B85201" w:rsidR="00EF7F49" w:rsidRPr="00EF7F49" w:rsidRDefault="00EF7F49" w:rsidP="00E56F03">
      <w:pPr>
        <w:spacing w:after="60" w:line="264" w:lineRule="auto"/>
        <w:ind w:firstLine="709"/>
        <w:jc w:val="both"/>
      </w:pPr>
      <w:r w:rsidRPr="00EF7F49">
        <w:t xml:space="preserve">В 2018 г. расходы бюджетной системы оказались на минимальном за десятилетие уровне в 32,4% ВВП, при этом доля производительных расходов в общем объеме в 2018 г. составила 29,3%. Сокращение расходов в 2018 г. до минимума за рассматриваемый период наблюдалось и в федеральном бюджете (до 16,1% ВВП), и в консолидированном бюджете субъектов РФ (до 11,4% ВВП). Снижение расходов бюджетов всех уровней согласуется с задачей по повышению устойчивости государственных финансов в долгосрочном периоде, но зачастую противоречит задаче наращивания бюджетной поддержки экономического роста, сопровождаемого </w:t>
      </w:r>
      <w:r w:rsidR="00661627" w:rsidRPr="0033726B">
        <w:t>структурными преобразования</w:t>
      </w:r>
      <w:r w:rsidR="00661627">
        <w:t>ми</w:t>
      </w:r>
      <w:r w:rsidRPr="00EF7F49">
        <w:t xml:space="preserve">. </w:t>
      </w:r>
    </w:p>
    <w:p w14:paraId="6CA5F24A" w14:textId="77777777" w:rsidR="00EF7F49" w:rsidRPr="00EF7F49" w:rsidRDefault="00EF7F49" w:rsidP="00E56F03">
      <w:pPr>
        <w:spacing w:after="60" w:line="264" w:lineRule="auto"/>
        <w:ind w:firstLine="709"/>
        <w:jc w:val="both"/>
      </w:pPr>
      <w:r w:rsidRPr="00EF7F49">
        <w:t xml:space="preserve">Подобные результаты бюджетной консолидации явились следствием принятия бюджетного правила и позволили сократить расходы на национальную оборону и социальную политику, а также обеспечить небольшой рост расходов на образование, здравоохранение, социальную и производительную инфраструктуру. Этот позитивный шаг, по нашим оценкам, создал возможности для дополнительного увеличения темпов ВВП в размере до 0,5 п.п. Для сравнения: «ухудшение» структуры расходов, имевшее место в 2011-2017 гг., тормозило экономический рост на 0,2-0,3 п.п. в год. На этом позитивные эффекты как от введенного в 2017 г. бюджетного правила, так и от изменения структуры бюджетных расходов вследствие бюджетной консолидации и принятия национальных проектов исчерпываются. </w:t>
      </w:r>
    </w:p>
    <w:p w14:paraId="354CE61D" w14:textId="77777777" w:rsidR="00EF7F49" w:rsidRPr="00EF7F49" w:rsidRDefault="00EF7F49" w:rsidP="00E56F03">
      <w:pPr>
        <w:spacing w:after="60" w:line="264" w:lineRule="auto"/>
        <w:ind w:firstLine="709"/>
        <w:jc w:val="both"/>
      </w:pPr>
      <w:r w:rsidRPr="00EF7F49">
        <w:t>Более того, соблюдение текущего бюджетного правила в перспективе в принципе маловероятно, что связано с такими причинами:</w:t>
      </w:r>
    </w:p>
    <w:p w14:paraId="6224A94B" w14:textId="3E4829E6" w:rsidR="00EF7F49" w:rsidRPr="00EF7F49" w:rsidRDefault="00EF7F49" w:rsidP="00E56F03">
      <w:pPr>
        <w:pStyle w:val="afc"/>
        <w:numPr>
          <w:ilvl w:val="0"/>
          <w:numId w:val="8"/>
        </w:numPr>
        <w:spacing w:before="0" w:after="60" w:line="264" w:lineRule="auto"/>
        <w:ind w:left="1066" w:hanging="357"/>
        <w:rPr>
          <w:szCs w:val="24"/>
        </w:rPr>
      </w:pPr>
      <w:r w:rsidRPr="00EF7F49">
        <w:rPr>
          <w:rFonts w:eastAsiaTheme="minorHAnsi"/>
          <w:szCs w:val="24"/>
        </w:rPr>
        <w:t>уже создан Фонд развития (3,5 трлн рублей за 2019-24 гг.) под внут</w:t>
      </w:r>
      <w:r w:rsidRPr="00EF7F49">
        <w:rPr>
          <w:szCs w:val="24"/>
        </w:rPr>
        <w:t xml:space="preserve">реннее </w:t>
      </w:r>
      <w:r w:rsidR="00BE6936" w:rsidRPr="00EF7F49">
        <w:rPr>
          <w:szCs w:val="24"/>
        </w:rPr>
        <w:t>долгово</w:t>
      </w:r>
      <w:r w:rsidR="00BE6936">
        <w:rPr>
          <w:szCs w:val="24"/>
        </w:rPr>
        <w:t>е</w:t>
      </w:r>
      <w:r w:rsidR="00BE6936" w:rsidRPr="00EF7F49">
        <w:rPr>
          <w:szCs w:val="24"/>
        </w:rPr>
        <w:t xml:space="preserve"> финансировани</w:t>
      </w:r>
      <w:r w:rsidR="00BE6936">
        <w:rPr>
          <w:szCs w:val="24"/>
        </w:rPr>
        <w:t>е</w:t>
      </w:r>
      <w:r w:rsidRPr="00EF7F49">
        <w:rPr>
          <w:szCs w:val="24"/>
        </w:rPr>
        <w:t xml:space="preserve">, </w:t>
      </w:r>
      <w:r w:rsidR="00D25248">
        <w:rPr>
          <w:szCs w:val="24"/>
        </w:rPr>
        <w:t xml:space="preserve">что уже </w:t>
      </w:r>
      <w:r w:rsidRPr="00EF7F49">
        <w:rPr>
          <w:szCs w:val="24"/>
        </w:rPr>
        <w:t xml:space="preserve">де-факто </w:t>
      </w:r>
      <w:r w:rsidR="00D25248">
        <w:rPr>
          <w:szCs w:val="24"/>
        </w:rPr>
        <w:t xml:space="preserve">ослабило </w:t>
      </w:r>
      <w:r w:rsidRPr="00EF7F49">
        <w:rPr>
          <w:szCs w:val="24"/>
        </w:rPr>
        <w:t>бюджетное правило;</w:t>
      </w:r>
    </w:p>
    <w:p w14:paraId="337F9C61" w14:textId="77777777" w:rsidR="00EF7F49" w:rsidRPr="00EF7F49" w:rsidRDefault="00EF7F49" w:rsidP="00E56F03">
      <w:pPr>
        <w:pStyle w:val="afc"/>
        <w:numPr>
          <w:ilvl w:val="0"/>
          <w:numId w:val="8"/>
        </w:numPr>
        <w:spacing w:before="0" w:after="60" w:line="264" w:lineRule="auto"/>
        <w:ind w:left="1066" w:hanging="357"/>
        <w:rPr>
          <w:szCs w:val="24"/>
        </w:rPr>
      </w:pPr>
      <w:r w:rsidRPr="00EF7F49">
        <w:rPr>
          <w:rFonts w:eastAsiaTheme="minorHAnsi"/>
          <w:szCs w:val="24"/>
        </w:rPr>
        <w:t>средств от повышения ставки НДС и налогового манёвра в нефтегазовом секторе не будет достаточно для компенсации и сокращающихся доходов, и для финансирования национальных проектов;</w:t>
      </w:r>
    </w:p>
    <w:p w14:paraId="419F11ED" w14:textId="0897544D" w:rsidR="00EF7F49" w:rsidRPr="00EF7F49" w:rsidRDefault="00EF7F49" w:rsidP="00E56F03">
      <w:pPr>
        <w:pStyle w:val="afc"/>
        <w:numPr>
          <w:ilvl w:val="0"/>
          <w:numId w:val="8"/>
        </w:numPr>
        <w:spacing w:before="0" w:after="60" w:line="264" w:lineRule="auto"/>
        <w:ind w:left="1066" w:hanging="357"/>
        <w:rPr>
          <w:szCs w:val="24"/>
        </w:rPr>
      </w:pPr>
      <w:r w:rsidRPr="00EF7F49">
        <w:rPr>
          <w:rFonts w:eastAsiaTheme="minorHAnsi"/>
          <w:szCs w:val="24"/>
        </w:rPr>
        <w:t xml:space="preserve">конструкция бюджетного правила будет приводить к наращиванию ФНБ, часть средств </w:t>
      </w:r>
      <w:r w:rsidR="00C85E97" w:rsidRPr="00EF7F49">
        <w:rPr>
          <w:rFonts w:eastAsiaTheme="minorHAnsi"/>
          <w:szCs w:val="24"/>
        </w:rPr>
        <w:t>котор</w:t>
      </w:r>
      <w:r w:rsidR="00C85E97">
        <w:rPr>
          <w:rFonts w:eastAsiaTheme="minorHAnsi"/>
          <w:szCs w:val="24"/>
        </w:rPr>
        <w:t>ого</w:t>
      </w:r>
      <w:r w:rsidR="00C85E97" w:rsidRPr="00EF7F49">
        <w:rPr>
          <w:rFonts w:eastAsiaTheme="minorHAnsi"/>
          <w:szCs w:val="24"/>
        </w:rPr>
        <w:t xml:space="preserve"> </w:t>
      </w:r>
      <w:r w:rsidRPr="00EF7F49">
        <w:rPr>
          <w:rFonts w:eastAsiaTheme="minorHAnsi"/>
          <w:szCs w:val="24"/>
        </w:rPr>
        <w:t>будет инвестироваться в отечественную экономику, что также будет являться формой «послабления» к этому правилу.</w:t>
      </w:r>
    </w:p>
    <w:p w14:paraId="0E7F7F07" w14:textId="39DB4567" w:rsidR="00EF7F49" w:rsidRPr="00EF7F49" w:rsidRDefault="00EF7F49" w:rsidP="00E56F03">
      <w:pPr>
        <w:spacing w:after="60" w:line="264" w:lineRule="auto"/>
        <w:ind w:firstLine="709"/>
        <w:jc w:val="both"/>
      </w:pPr>
      <w:r w:rsidRPr="00EF7F49">
        <w:t>Смотря на изменение структуры расходов БРП под влиянием национальных проектов, можно однозначно утверждать, что в текущем виде они не скажутся значимо на структуре расходов. Поэтому планируемые Минэкономразвития России темпы экономического роста в 3 и более процентов ВВП начиная с 2022 г. если и будут достигаться, то явно не вследствие изменения структуры госрасходов.</w:t>
      </w:r>
    </w:p>
    <w:p w14:paraId="4C38DF6C" w14:textId="6E060D69" w:rsidR="00EF7F49" w:rsidRPr="00E56F03" w:rsidRDefault="00EF7F49" w:rsidP="00E56F03">
      <w:pPr>
        <w:spacing w:after="60" w:line="264" w:lineRule="auto"/>
        <w:ind w:firstLine="709"/>
        <w:jc w:val="both"/>
      </w:pPr>
      <w:r w:rsidRPr="00EF7F49">
        <w:t xml:space="preserve">Более того, доходы и расходы консолидированного бюджета регионов до 2024 г. будут отставать от ВВП, в основном на величину снижающихся трансфертов. В </w:t>
      </w:r>
      <w:r w:rsidRPr="00EF7F49">
        <w:lastRenderedPageBreak/>
        <w:t>условиях, когда на национальные проекты деньги доводятся через иные межбюджетные трансферты, то велики риски сокращения доли нецелевых трансфертов из федерального бюджета в регионы, что явно означает ухудшение выравнивания финансовой обеспеченности регионов – они становятся своего рода «заложниками» национальных проектов и общей ситуации со сбалансированностью федерального бюджета</w:t>
      </w:r>
      <w:r w:rsidR="00E56F03" w:rsidRPr="00E56F03">
        <w:t>.</w:t>
      </w:r>
    </w:p>
    <w:p w14:paraId="7AA0A20B" w14:textId="77777777" w:rsidR="00EF7F49" w:rsidRPr="00EF7F49" w:rsidRDefault="00EF7F49" w:rsidP="00E56F03">
      <w:pPr>
        <w:spacing w:after="60" w:line="264" w:lineRule="auto"/>
        <w:ind w:firstLine="709"/>
        <w:jc w:val="both"/>
      </w:pPr>
      <w:r w:rsidRPr="00EF7F49">
        <w:t>В ноябре 2018 г. Минэкономразвития России опубликовало новый прогноз долгосрочного социально-экономического развития до 2036 г. Текущие оценки бюджетного разрыва, построенные на предпосылках этой версии прогноза, варьируются от 9,4 до 10,1% суммарной приведенной стоимости ВВП. Более низкие значения разрыва по сравнению с оценками 2015 г. свидетельствуют о некотором улучшении ситуации с долгосрочной сбалансированностью бюджета расширенного правительства, в основном за счет реализованных в период 2016-2018 гг. мер по бюджетной консолидации, в том числе и благодаря бюджетному правилу от 2017 г., и стартовавшей пенсионной реформы.</w:t>
      </w:r>
    </w:p>
    <w:p w14:paraId="7F7588F6" w14:textId="77777777" w:rsidR="00EF7F49" w:rsidRPr="00EF7F49" w:rsidRDefault="00EF7F49" w:rsidP="00E56F03">
      <w:pPr>
        <w:spacing w:after="60" w:line="264" w:lineRule="auto"/>
        <w:ind w:firstLine="709"/>
        <w:jc w:val="both"/>
      </w:pPr>
      <w:r w:rsidRPr="00EF7F49">
        <w:t>Очевидно, что бюджетные правила и суверенные резервы являются необходимыми условиями поддержания стабильности бюджета, что подтверждается многочисленными примерами в том числе и стран с недиверсифицированной экономикой и ограниченными возможностями для привлечения заемных средств в условиях кризиса. Однако базовой характеристикой этих инструментов является их устойчивость во времени. На наш взгляд, текущая версия бюджетного правила не является оптимальной с точки зрения гибкости, устойчивости во времени и контрцикличности. Дело в том, что в момент ее принятия перед правительством стояла задача проведения фискальной консолидации и адаптации государственного бюджета к достаточно низкому уровню цен на нефть (около 40 долларов за баррель), а также максимизации объема средств, направляемых на пополнение суверенных резервов, после фактического исчерпания Резервного фонда в кризис 2014-2015 гг. К настоящему времени эти задачи можно считать в высокой степени решенными: уровень расходов бюджета расширенного правительства в 2018 г. удалось понизить до 32,4%, а объем ФНБ на 01.09.2019 г. составил около 7,5% ВВП.</w:t>
      </w:r>
    </w:p>
    <w:p w14:paraId="33F74133" w14:textId="77777777" w:rsidR="00EF7F49" w:rsidRPr="00EF7F49" w:rsidRDefault="00EF7F49" w:rsidP="00E56F03">
      <w:pPr>
        <w:spacing w:after="60" w:line="264" w:lineRule="auto"/>
        <w:ind w:firstLine="709"/>
        <w:jc w:val="both"/>
      </w:pPr>
      <w:r w:rsidRPr="00EF7F49">
        <w:t>В заключение следует в очередной раз напомнить, что проект ДБП призван быть одним из документов, используемых для характеристики бюджетной устойчивости текущего фискального режима и используемых для обоснования рациональности параметров проекта федерального бюджета на трехлетний период. В этой связи следует повышать качество оценивания параметров бюджетов бюджетной системы, а также уровень описания потенциальных рисков и угроз, для чего требуется учитывать следующие рекомендации международной практики подготовки подобного рода документов:</w:t>
      </w:r>
    </w:p>
    <w:p w14:paraId="2F8D1C31" w14:textId="77777777" w:rsidR="00EF7F49" w:rsidRPr="00EF7F49" w:rsidRDefault="00EF7F49" w:rsidP="00E56F03">
      <w:pPr>
        <w:pStyle w:val="afc"/>
        <w:numPr>
          <w:ilvl w:val="0"/>
          <w:numId w:val="7"/>
        </w:numPr>
        <w:spacing w:before="0" w:after="60" w:line="264" w:lineRule="auto"/>
        <w:ind w:left="1066" w:hanging="357"/>
        <w:rPr>
          <w:szCs w:val="22"/>
        </w:rPr>
      </w:pPr>
      <w:r w:rsidRPr="00EF7F49">
        <w:rPr>
          <w:szCs w:val="22"/>
        </w:rPr>
        <w:t>обеспечить охват горизонта не менее 30 лет к текущему году;</w:t>
      </w:r>
    </w:p>
    <w:p w14:paraId="537F5566" w14:textId="248D9094" w:rsidR="00EF7F49" w:rsidRPr="00EF7F49" w:rsidRDefault="00EF7F49" w:rsidP="00E56F03">
      <w:pPr>
        <w:pStyle w:val="afc"/>
        <w:numPr>
          <w:ilvl w:val="0"/>
          <w:numId w:val="7"/>
        </w:numPr>
        <w:spacing w:before="0" w:after="60" w:line="264" w:lineRule="auto"/>
        <w:ind w:left="1066" w:hanging="357"/>
        <w:rPr>
          <w:szCs w:val="22"/>
        </w:rPr>
      </w:pPr>
      <w:r w:rsidRPr="00EF7F49">
        <w:rPr>
          <w:szCs w:val="22"/>
        </w:rPr>
        <w:t>описывать не только действующие бюджетные правила, но и анонсировать их возможные изменения в прогнозном периоде;</w:t>
      </w:r>
    </w:p>
    <w:p w14:paraId="56FBFC7A" w14:textId="77777777" w:rsidR="00EF7F49" w:rsidRPr="00EF7F49" w:rsidRDefault="00EF7F49" w:rsidP="00E56F03">
      <w:pPr>
        <w:pStyle w:val="afc"/>
        <w:numPr>
          <w:ilvl w:val="0"/>
          <w:numId w:val="7"/>
        </w:numPr>
        <w:spacing w:before="0" w:after="60" w:line="264" w:lineRule="auto"/>
        <w:ind w:left="1066" w:hanging="357"/>
        <w:rPr>
          <w:szCs w:val="22"/>
        </w:rPr>
      </w:pPr>
      <w:r w:rsidRPr="00EF7F49">
        <w:rPr>
          <w:szCs w:val="22"/>
        </w:rPr>
        <w:t>являться бюджетной проекцией долгосрочного прогноза социально-экономического развития, детально описывая (хотя бы на уровне государственных программ) структуру предстоящих расходов как ответа на запрос экономики и социальной сферы на структурные реформы;</w:t>
      </w:r>
    </w:p>
    <w:p w14:paraId="1C11A6AB" w14:textId="77777777" w:rsidR="00EF7F49" w:rsidRPr="00EF7F49" w:rsidRDefault="00EF7F49" w:rsidP="00E56F03">
      <w:pPr>
        <w:pStyle w:val="afc"/>
        <w:numPr>
          <w:ilvl w:val="0"/>
          <w:numId w:val="7"/>
        </w:numPr>
        <w:spacing w:before="0" w:after="60" w:line="264" w:lineRule="auto"/>
        <w:ind w:left="1066" w:hanging="357"/>
        <w:rPr>
          <w:szCs w:val="22"/>
        </w:rPr>
      </w:pPr>
      <w:r w:rsidRPr="00EF7F49">
        <w:rPr>
          <w:szCs w:val="22"/>
        </w:rPr>
        <w:t>иметь структурное ранжирование расходов при разной доходной базе (подсценарии);</w:t>
      </w:r>
    </w:p>
    <w:p w14:paraId="6C33B97F" w14:textId="77777777" w:rsidR="00EF7F49" w:rsidRPr="00EF7F49" w:rsidRDefault="00EF7F49" w:rsidP="00E56F03">
      <w:pPr>
        <w:pStyle w:val="afc"/>
        <w:numPr>
          <w:ilvl w:val="0"/>
          <w:numId w:val="7"/>
        </w:numPr>
        <w:spacing w:before="0" w:after="60" w:line="264" w:lineRule="auto"/>
        <w:ind w:left="1066" w:hanging="357"/>
        <w:rPr>
          <w:szCs w:val="22"/>
        </w:rPr>
      </w:pPr>
      <w:r w:rsidRPr="00EF7F49">
        <w:rPr>
          <w:szCs w:val="22"/>
        </w:rPr>
        <w:lastRenderedPageBreak/>
        <w:t>оценивать влияния изменений в фискальной политике на параметры бюджетной системы, включая «простые» (уровень госдолга, дефицита) и «производные» (уровень бюджетного разрыва, величина фискального пространства) индикаторы;</w:t>
      </w:r>
    </w:p>
    <w:p w14:paraId="17603300" w14:textId="77777777" w:rsidR="00EF7F49" w:rsidRPr="00EF7F49" w:rsidRDefault="00EF7F49" w:rsidP="00E56F03">
      <w:pPr>
        <w:pStyle w:val="afc"/>
        <w:numPr>
          <w:ilvl w:val="0"/>
          <w:numId w:val="7"/>
        </w:numPr>
        <w:spacing w:before="0" w:after="60" w:line="264" w:lineRule="auto"/>
        <w:ind w:left="1066" w:hanging="357"/>
        <w:rPr>
          <w:szCs w:val="22"/>
        </w:rPr>
      </w:pPr>
      <w:r w:rsidRPr="00EF7F49">
        <w:rPr>
          <w:szCs w:val="22"/>
        </w:rPr>
        <w:t>содержать отчет о реализации экономических и иных прогнозов с объяснением причин расхождения прогнозных оценок и фактических данных.</w:t>
      </w:r>
    </w:p>
    <w:p w14:paraId="4569DD42" w14:textId="77777777" w:rsidR="00DA4B64" w:rsidRDefault="00DA4B64" w:rsidP="00163D81">
      <w:pPr>
        <w:spacing w:after="60"/>
        <w:ind w:firstLine="709"/>
        <w:jc w:val="both"/>
      </w:pPr>
    </w:p>
    <w:p w14:paraId="0318BF30" w14:textId="36664528" w:rsidR="002D146E" w:rsidRPr="00047FF0" w:rsidRDefault="002E7591" w:rsidP="00047FF0">
      <w:pPr>
        <w:keepNext/>
        <w:spacing w:before="240" w:after="360"/>
        <w:jc w:val="center"/>
        <w:outlineLvl w:val="0"/>
        <w:rPr>
          <w:b/>
          <w:kern w:val="28"/>
          <w:sz w:val="28"/>
          <w:szCs w:val="20"/>
        </w:rPr>
      </w:pPr>
      <w:r w:rsidRPr="00047FF0">
        <w:rPr>
          <w:b/>
          <w:kern w:val="28"/>
          <w:sz w:val="28"/>
        </w:rPr>
        <w:br w:type="page"/>
      </w:r>
      <w:bookmarkStart w:id="3" w:name="_Toc21436739"/>
      <w:r w:rsidR="002D146E" w:rsidRPr="00047FF0">
        <w:rPr>
          <w:b/>
          <w:kern w:val="28"/>
          <w:sz w:val="28"/>
          <w:szCs w:val="20"/>
        </w:rPr>
        <w:lastRenderedPageBreak/>
        <w:t>3 Основные налоговые новации в 2020-2022 гг.</w:t>
      </w:r>
      <w:bookmarkEnd w:id="3"/>
    </w:p>
    <w:p w14:paraId="676B36AD" w14:textId="68162B78" w:rsidR="002D146E" w:rsidRDefault="002D146E" w:rsidP="002D146E">
      <w:pPr>
        <w:spacing w:after="60"/>
        <w:ind w:firstLine="709"/>
        <w:jc w:val="both"/>
      </w:pPr>
      <w:r>
        <w:t>Проект О</w:t>
      </w:r>
      <w:r w:rsidRPr="002D146E">
        <w:t>сновных направлений бюджетной, налоговой и таможенно-тарифной политики на 2020 год и плановый период 2021 и 2022 годов</w:t>
      </w:r>
      <w:r>
        <w:t xml:space="preserve"> </w:t>
      </w:r>
      <w:r w:rsidR="00435957">
        <w:t xml:space="preserve">(далее – проект Основных направлений) </w:t>
      </w:r>
      <w:r>
        <w:t>предусматривает ряд существенных изменений российской налоговой системы, нацеленных на приведение методологии налогообложения в большее соответствие с результатами экономической деятельности, а также на усиление стимулирующей функции налоговой системы.</w:t>
      </w:r>
    </w:p>
    <w:p w14:paraId="171D8B6E" w14:textId="77777777" w:rsidR="002D146E" w:rsidRPr="002D146E" w:rsidRDefault="002D146E" w:rsidP="002D146E">
      <w:pPr>
        <w:spacing w:after="60"/>
        <w:ind w:firstLine="709"/>
        <w:jc w:val="both"/>
        <w:rPr>
          <w:b/>
          <w:i/>
        </w:rPr>
      </w:pPr>
      <w:r w:rsidRPr="002D146E">
        <w:rPr>
          <w:b/>
          <w:i/>
        </w:rPr>
        <w:t>Изменение правил налогового резидентства физических лиц</w:t>
      </w:r>
    </w:p>
    <w:p w14:paraId="637AB9C0" w14:textId="77777777" w:rsidR="002D146E" w:rsidRDefault="002D146E" w:rsidP="002D146E">
      <w:pPr>
        <w:spacing w:after="60"/>
        <w:ind w:firstLine="709"/>
        <w:jc w:val="both"/>
      </w:pPr>
      <w:r>
        <w:t>Одной из ключевых мер, содержащихся в документе, является реформирование правил налогового резидентства в отношении физических лиц. В настоящее время налоговым резидентом для целей налогообложения НДФЛ признаются физические лица, находящиеся на территории РФ не менее 183 дней в течение 12 следующих подряд месяцев (п. 2 ст. 207 НК РФ). Предлагается, во-первых, сократить этот срок до 90 дней, а во-вторых, планируется оценивать факт резидентства не только по количественному показателю, но и по качественным признакам, включая наличие объектов недвижимого имущества, личных, социальных и экономических связей</w:t>
      </w:r>
      <w:r w:rsidRPr="004A39BE">
        <w:t xml:space="preserve"> </w:t>
      </w:r>
      <w:r w:rsidRPr="002D146E">
        <w:t>c</w:t>
      </w:r>
      <w:r w:rsidRPr="004A39BE">
        <w:t xml:space="preserve"> </w:t>
      </w:r>
      <w:r>
        <w:t xml:space="preserve">Россией. </w:t>
      </w:r>
    </w:p>
    <w:p w14:paraId="1DA2BC77" w14:textId="77777777" w:rsidR="002D146E" w:rsidRDefault="002D146E" w:rsidP="002D146E">
      <w:pPr>
        <w:spacing w:after="60"/>
        <w:ind w:firstLine="709"/>
        <w:jc w:val="both"/>
      </w:pPr>
      <w:r>
        <w:t>Очевидно, что в настоящее время с</w:t>
      </w:r>
      <w:r w:rsidRPr="00622A10">
        <w:t xml:space="preserve">мена </w:t>
      </w:r>
      <w:r>
        <w:t xml:space="preserve">налогового </w:t>
      </w:r>
      <w:r w:rsidRPr="00622A10">
        <w:t>резидентства</w:t>
      </w:r>
      <w:r>
        <w:t xml:space="preserve"> остается способом </w:t>
      </w:r>
      <w:r w:rsidRPr="00622A10">
        <w:t xml:space="preserve">не раскрывать информацию о </w:t>
      </w:r>
      <w:r>
        <w:t xml:space="preserve">контролируемых иностранных компаниях российским налоговым органам. Действующие правила позволяют относительно легко прервать налоговую привязку физического лица с Россией, в результате чего Россия теряет права на налогообложение общемировых доходов данного лица. Реализация этого направления налоговой политики, вероятно, позволит увеличить объем налоговой базы по НДФЛ и, соответственно, поступления этого налога в бюджетную систему в РФ при сохранении сложившихся правил уплаты налога для подавляющей части налогоплательщиков. </w:t>
      </w:r>
    </w:p>
    <w:p w14:paraId="17D1FE2D" w14:textId="77777777" w:rsidR="002D146E" w:rsidRDefault="002D146E" w:rsidP="002D146E">
      <w:pPr>
        <w:spacing w:after="60"/>
        <w:ind w:firstLine="709"/>
        <w:jc w:val="both"/>
      </w:pPr>
      <w:r>
        <w:t xml:space="preserve">В то же время не следует ожидать, что все физические лица, которые в нынешних условиях сознательно избегают статуса налогового резидента, автоматически подпадут под действие новых правил. Высока вероятность, что многие налогоплательщики смогут «приспособиться» и к ним. </w:t>
      </w:r>
    </w:p>
    <w:p w14:paraId="7634DCD4" w14:textId="7C9A3CF6" w:rsidR="002D146E" w:rsidRDefault="002D146E" w:rsidP="002D146E">
      <w:pPr>
        <w:spacing w:after="60"/>
        <w:ind w:firstLine="709"/>
        <w:jc w:val="both"/>
      </w:pPr>
      <w:r>
        <w:t xml:space="preserve">При этом есть вероятность увеличения количества конфликтов на почве резидентства между РФ и другими странами, многие из которых оценивают налоговое резидентство исходя их критерия центра жизненных интересов. Последнее может привести к росту случаев двойного налогообложения и к применению норм ДИДН для его устранения. </w:t>
      </w:r>
    </w:p>
    <w:p w14:paraId="6508A84D" w14:textId="77777777" w:rsidR="002D146E" w:rsidRPr="002D146E" w:rsidRDefault="002D146E" w:rsidP="002D146E">
      <w:pPr>
        <w:spacing w:after="60"/>
        <w:ind w:firstLine="709"/>
        <w:jc w:val="both"/>
        <w:rPr>
          <w:b/>
          <w:i/>
        </w:rPr>
      </w:pPr>
      <w:r w:rsidRPr="002D146E">
        <w:rPr>
          <w:b/>
          <w:i/>
        </w:rPr>
        <w:t>Снижение ставки НДФЛ для нерезидентов</w:t>
      </w:r>
    </w:p>
    <w:p w14:paraId="182D7268" w14:textId="77777777" w:rsidR="002D146E" w:rsidRDefault="002D146E" w:rsidP="002D146E">
      <w:pPr>
        <w:spacing w:after="60"/>
        <w:ind w:firstLine="709"/>
        <w:jc w:val="both"/>
      </w:pPr>
      <w:r>
        <w:t xml:space="preserve">В рамках налогообложения доходов физических лиц запланировано отказаться от существующего разделения ставок налога в зависимости от наличия или отсутствия статуса налогового резидента (13% и 30% соответственно) путем снижения ставки для нерезидентов до уровня ставки для резидентов (13%). </w:t>
      </w:r>
    </w:p>
    <w:p w14:paraId="228AD0DB" w14:textId="77777777" w:rsidR="002D146E" w:rsidRPr="002D146E" w:rsidRDefault="002D146E" w:rsidP="002D146E">
      <w:pPr>
        <w:spacing w:after="60"/>
        <w:ind w:firstLine="709"/>
        <w:jc w:val="both"/>
      </w:pPr>
      <w:r>
        <w:t>Исторически п</w:t>
      </w:r>
      <w:r w:rsidRPr="002D146E">
        <w:t xml:space="preserve">рактика показала, что налогообложение по повышенной налоговой ставке не всегда экономически целесообразно, поэтому в порядок применения ставок впоследствии были добавлены исключения, вызванные необходимостью более благоприятного налогообложения нерезидентов в отдельных случаях. Например, с 1 января 2008 г. дивиденды нерезидентов-физических лиц от участия в капитале российских организаций облагаются по ставке 15%, т.е. близкой к основной ставке НДФЛ, что имеет значение для обеспечения инвестиционной привлекательности российской экономики и международной конкурентоспособности </w:t>
      </w:r>
      <w:r w:rsidRPr="002D146E">
        <w:lastRenderedPageBreak/>
        <w:t>налоговой системы. С 1 июля 2010 г. ставка в размере 13% применяется к доходам иностранных лиц, работающих в РФ на основании патента, а также в качестве высококвалифицированных специалистов. В результате уровень налогообложения доходов физических лиц, не являющихся налоговыми резидентами РФ, не унифицирован и зависит от вида дохода. Вместе с тем существуют и другие категории нерезидентов, со стороны которых востребовано снижение налоговой ставки. Сюда относятся различные группы лиц, получающих доходы в том числе от сдачи имущества в аренду или от продажи имущества на территории РФ.</w:t>
      </w:r>
    </w:p>
    <w:p w14:paraId="427B2991" w14:textId="42132B03" w:rsidR="002D146E" w:rsidRPr="002D146E" w:rsidRDefault="002D146E" w:rsidP="002D146E">
      <w:pPr>
        <w:spacing w:after="60"/>
        <w:ind w:firstLine="709"/>
        <w:jc w:val="both"/>
      </w:pPr>
      <w:r>
        <w:t>Таким образом, данная новация</w:t>
      </w:r>
      <w:r w:rsidRPr="002D146E">
        <w:t xml:space="preserve"> означает выравнивание налоговых ставок для резидентов и нерезидентов, что является условием: повышения нейтральности налоговой системы; значительного упрощения налогового администрирования; минимизации судебных споров, возникающих из-за разницы налоговых ставок; снижения административной нагрузки на работодателей, которым не потребуется отслеживать налоговый статус работников-нерезидентов и пересчитывать суммы удержанного НДФЛ в случае, когда работник перестает быть нерезидентом и становится налоговым резидентом. Поскольку выравнивание предлагается осуществить за счет снижения ставки повысится конкурентоспособность российской юрисдикции. Кроме того, снижение налоговой ставки выгодно для многих категорий налогоплательщиков, но при этом практически не окажет отрицательного влияния на уровень бюджетных доходов. Так, по данным ФНС России за 2017 г., доля доходов физических лиц, подлежащих налогообложению по ставке 30%, составила всего 0,1% по отношению к налоговой базе, облагаемой по всем налоговым ставкам. </w:t>
      </w:r>
    </w:p>
    <w:p w14:paraId="09F66882" w14:textId="77777777" w:rsidR="002D146E" w:rsidRPr="002D146E" w:rsidRDefault="002D146E" w:rsidP="002D146E">
      <w:pPr>
        <w:spacing w:after="60"/>
        <w:ind w:firstLine="709"/>
        <w:jc w:val="both"/>
        <w:rPr>
          <w:b/>
          <w:i/>
        </w:rPr>
      </w:pPr>
      <w:r w:rsidRPr="002D146E">
        <w:rPr>
          <w:b/>
          <w:i/>
        </w:rPr>
        <w:t>Стимулирование инвестиций в инновации</w:t>
      </w:r>
    </w:p>
    <w:p w14:paraId="4D140BFB" w14:textId="0504FF7B" w:rsidR="002D146E" w:rsidRPr="002D146E" w:rsidRDefault="002D146E" w:rsidP="002D146E">
      <w:pPr>
        <w:spacing w:after="60"/>
        <w:ind w:firstLine="709"/>
        <w:jc w:val="both"/>
      </w:pPr>
      <w:r w:rsidRPr="002D146E">
        <w:t>В проекте Основных направлений предлагается распространить сферу применения инвестиционного вычета на случаи осуществления организацией расходов на НИОКР, чтобы поддержать инновационную активность в регионах.</w:t>
      </w:r>
    </w:p>
    <w:p w14:paraId="151C8456" w14:textId="77777777" w:rsidR="002D146E" w:rsidRPr="002D146E" w:rsidRDefault="002D146E" w:rsidP="002D146E">
      <w:pPr>
        <w:spacing w:after="60"/>
        <w:ind w:firstLine="709"/>
        <w:jc w:val="both"/>
      </w:pPr>
      <w:r w:rsidRPr="002D146E">
        <w:t xml:space="preserve">Инвестиционный налоговый вычет на уровне субъектов РФ установлен с 1 января 2018 г. в ст. 286.1 НК РФ и предусматривает возможность прямого снижения величины налогового обязательства по налогу на прибыль при условии осуществления организацией инвестиций. Перечень оснований для его применения планомерно расширяется. Первоначально применение вычета было возможно в случае осуществления капитальных вложений в основные средства (и пожертвований в сфере культуры), с 1 января 2019 г. под действие вычета подпадают отдельные инфраструктурные инвестиции. </w:t>
      </w:r>
    </w:p>
    <w:p w14:paraId="020D9D28" w14:textId="77924681" w:rsidR="002D146E" w:rsidRPr="002D146E" w:rsidRDefault="004C5802" w:rsidP="002D146E">
      <w:pPr>
        <w:spacing w:after="60"/>
        <w:ind w:firstLine="709"/>
        <w:jc w:val="both"/>
      </w:pPr>
      <w:r>
        <w:t>При этом р</w:t>
      </w:r>
      <w:r w:rsidR="002D146E" w:rsidRPr="002D146E">
        <w:t>асширение возможного периметра применения данного инструмента в регионах происходит на фоне отмены их права снижать ставку региональной части налога на прибыль с 1 января 2019 г. В 2018-2019 гг. вычет был установлен на территории почти 15 регионов, с 2020 г. число таких регионов вырастет до двух десятков. Вполне вероятно, что в дальнейшем к практике использования вычета присоединится значительное число регионов в связи с эффектом межрегиональной налоговой конкуренции за инвестиции.</w:t>
      </w:r>
    </w:p>
    <w:p w14:paraId="5F52A6B3" w14:textId="77777777" w:rsidR="002D146E" w:rsidRPr="004C5802" w:rsidRDefault="002D146E" w:rsidP="002D146E">
      <w:pPr>
        <w:spacing w:after="60"/>
        <w:ind w:firstLine="709"/>
        <w:jc w:val="both"/>
        <w:rPr>
          <w:b/>
          <w:i/>
        </w:rPr>
      </w:pPr>
      <w:r w:rsidRPr="004C5802">
        <w:rPr>
          <w:b/>
          <w:i/>
        </w:rPr>
        <w:t>Пересмотр подхода к налогообложению иностранных цифровых компаний</w:t>
      </w:r>
    </w:p>
    <w:p w14:paraId="00D21074" w14:textId="1BDB5F7A" w:rsidR="002D146E" w:rsidRPr="002D146E" w:rsidRDefault="002D146E" w:rsidP="002D146E">
      <w:pPr>
        <w:spacing w:after="60"/>
        <w:ind w:firstLine="709"/>
        <w:jc w:val="both"/>
      </w:pPr>
      <w:r w:rsidRPr="002D146E">
        <w:t xml:space="preserve">В связи с активным развитием бизнес-моделей, которые не требуют физического присутствия иностранной компании в стране-рынке для </w:t>
      </w:r>
      <w:r w:rsidR="004C5802">
        <w:t xml:space="preserve">ведения </w:t>
      </w:r>
      <w:r w:rsidRPr="002D146E">
        <w:t>экономическо</w:t>
      </w:r>
      <w:r w:rsidR="004C5802">
        <w:t>й деятельности</w:t>
      </w:r>
      <w:r w:rsidR="00435957">
        <w:t>,</w:t>
      </w:r>
      <w:r w:rsidR="004C5802">
        <w:t xml:space="preserve"> </w:t>
      </w:r>
      <w:r w:rsidRPr="002D146E">
        <w:t>становится необходимым приведение действующей методологии налогообложения прибыли в направлении ее адаптации к меняющейся экономической реальности. Несовершенство правил налогообложения может приводить, во-первых, к существенным недопоступлениям налогов в бюджетную систему, во-вторых, к искажению нейтральности налогообложения по отношению к инвестиционным решениям.</w:t>
      </w:r>
    </w:p>
    <w:p w14:paraId="15CDDA15" w14:textId="48032F2C" w:rsidR="002D146E" w:rsidRPr="002D146E" w:rsidRDefault="00435957" w:rsidP="002D146E">
      <w:pPr>
        <w:spacing w:after="60"/>
        <w:ind w:firstLine="709"/>
        <w:jc w:val="both"/>
      </w:pPr>
      <w:r>
        <w:lastRenderedPageBreak/>
        <w:t>В этой связи в</w:t>
      </w:r>
      <w:r w:rsidR="002D146E" w:rsidRPr="002D146E">
        <w:t>недрение указанного подхода согласуется с общемировой практикой и началось в России с введения с 1 января 2018 г. механизма уплаты НДС иностранными компаниями, оказывающими услуги в электронной форме, российским потребителям. Представляется, что дальнейшее совершенствование отечественной налоговой системы в этом направлении, но уже в части налога на прибыль организаций, вызвано объективными причинами по адаптации налоговой методологии к современным бизнес-моделям с высоким уровнем цифровизации. Ключевым риском в данной сфере является потенциальное отсутствие гармонизации в применяемых подходах в международном контексте, что может привести к двойному налогообложению или двойному не обложению таких бизнес-моделей.</w:t>
      </w:r>
    </w:p>
    <w:p w14:paraId="153403FE" w14:textId="77777777" w:rsidR="002D146E" w:rsidRPr="00435957" w:rsidRDefault="002D146E" w:rsidP="002D146E">
      <w:pPr>
        <w:spacing w:after="60"/>
        <w:ind w:firstLine="709"/>
        <w:jc w:val="both"/>
        <w:rPr>
          <w:b/>
          <w:i/>
        </w:rPr>
      </w:pPr>
      <w:r w:rsidRPr="00435957">
        <w:rPr>
          <w:b/>
          <w:i/>
        </w:rPr>
        <w:t>Увеличение базы обложения налогом на имущество организаций</w:t>
      </w:r>
    </w:p>
    <w:p w14:paraId="0789D446" w14:textId="77777777" w:rsidR="002D146E" w:rsidRPr="002D146E" w:rsidRDefault="002D146E" w:rsidP="002D146E">
      <w:pPr>
        <w:spacing w:after="60"/>
        <w:ind w:firstLine="709"/>
        <w:jc w:val="both"/>
      </w:pPr>
      <w:r w:rsidRPr="002D146E">
        <w:t xml:space="preserve">В проекте Основных направлений закреплен подход на продолжение реформы, связанной с переходом к определению налоговой базы по налогу на имущество организаций исходя из кадастровой стоимости объектов налогообложения. В настоящее время налог взимается с объектов недвижимого имущества, учитываемых организациями в качестве основных средств (п. 1 ст. 374 НК РФ), а по кадастровой стоимости он исчисляется по закрытому перечню объектов имущества, включая административно-деловые, торговые центры и нежилые помещения, в которых размещаются офисы и торговые объекты (п. 1 ст. 378.2 НК РФ). Расширение объектов налогообложения, оцениваемых по кадастровой стоимости в налоговых целях, будет связано с включением в их состав объектов недвижимости в целом, т.е. налогообложение не будет зависеть от того, как учтен объект: в качестве основного средства или иного актива. </w:t>
      </w:r>
    </w:p>
    <w:p w14:paraId="4DA1249C" w14:textId="510967DC" w:rsidR="002D146E" w:rsidRPr="002D146E" w:rsidRDefault="004F533F" w:rsidP="002D146E">
      <w:pPr>
        <w:spacing w:after="60"/>
        <w:ind w:firstLine="709"/>
        <w:jc w:val="both"/>
      </w:pPr>
      <w:r>
        <w:t>П</w:t>
      </w:r>
      <w:r w:rsidR="002D146E" w:rsidRPr="002D146E">
        <w:t>редлагаемая в части налога на имущество организаций мера направлена на рост налоговых доходов бюджетной системы путем увеличения размера налоговой базы</w:t>
      </w:r>
      <w:r>
        <w:t>. Е</w:t>
      </w:r>
      <w:r w:rsidR="002D146E" w:rsidRPr="002D146E">
        <w:t>е реализация приведет к повышению налоговой нагрузки на организации</w:t>
      </w:r>
      <w:r>
        <w:t xml:space="preserve">. При этом </w:t>
      </w:r>
      <w:r w:rsidR="002D146E" w:rsidRPr="002D146E">
        <w:t xml:space="preserve">данная мера </w:t>
      </w:r>
      <w:r>
        <w:t xml:space="preserve">вполне </w:t>
      </w:r>
      <w:r w:rsidR="002D146E" w:rsidRPr="002D146E">
        <w:t>вписывается в общий подход государства к налогообложению имущества по кадастровой стоимости и увеличит справедливость распределения налоговой нагрузки в связи с тем, что кадастровая цена ближе к рыночной.</w:t>
      </w:r>
    </w:p>
    <w:p w14:paraId="3A064615" w14:textId="77777777" w:rsidR="002D146E" w:rsidRPr="004F533F" w:rsidRDefault="002D146E" w:rsidP="002D146E">
      <w:pPr>
        <w:spacing w:after="60"/>
        <w:ind w:firstLine="709"/>
        <w:jc w:val="both"/>
        <w:rPr>
          <w:b/>
          <w:i/>
        </w:rPr>
      </w:pPr>
      <w:r w:rsidRPr="004F533F">
        <w:rPr>
          <w:b/>
          <w:i/>
        </w:rPr>
        <w:t>Установление налогового режима, переходного между УСН и общим режимом</w:t>
      </w:r>
    </w:p>
    <w:p w14:paraId="1DBB67DA" w14:textId="2AA36E34" w:rsidR="002D146E" w:rsidRPr="002D146E" w:rsidRDefault="002D146E" w:rsidP="002D146E">
      <w:pPr>
        <w:spacing w:after="60"/>
        <w:ind w:firstLine="709"/>
        <w:jc w:val="both"/>
      </w:pPr>
      <w:r w:rsidRPr="002D146E">
        <w:t>Предлагается введение специального правила, которое состоит в том, чтобы снять с налогоплательщиков, превысивших предельные значения применения УСН по уровню дохода и (или) численности работников, обязанность восстанавливать налоговый учет и «задним числом» исчислять налоги, предусмотренные общим налоговым режимом. В соответствии с п. 4 ст. 346.13 НК момент утраты права на применение УСН отсчитывается с начала того квартала, в котором были допущены несоответствия условиям применения режима</w:t>
      </w:r>
      <w:r w:rsidR="004F533F">
        <w:t>. Н</w:t>
      </w:r>
      <w:r w:rsidRPr="002D146E">
        <w:t xml:space="preserve">а практике </w:t>
      </w:r>
      <w:r w:rsidR="004F533F">
        <w:t xml:space="preserve">это </w:t>
      </w:r>
      <w:r w:rsidRPr="002D146E">
        <w:t xml:space="preserve">ведет к необходимости осуществить расчет налогов за тот период времени, в течение которого налогоплательщик фактически применял УСН. Данный порядок считается одной </w:t>
      </w:r>
      <w:r w:rsidR="004F533F">
        <w:t xml:space="preserve">из </w:t>
      </w:r>
      <w:r w:rsidRPr="002D146E">
        <w:t>причин дробления бизнеса, поскольку ведет к резкому возрастанию налоговой и административной нагрузки в результате смены налоговых режимов.</w:t>
      </w:r>
    </w:p>
    <w:p w14:paraId="378DB3E4" w14:textId="77777777" w:rsidR="004F533F" w:rsidRDefault="004F533F" w:rsidP="002D146E">
      <w:pPr>
        <w:spacing w:after="60"/>
        <w:ind w:firstLine="709"/>
        <w:jc w:val="both"/>
      </w:pPr>
      <w:r>
        <w:t>В</w:t>
      </w:r>
      <w:r w:rsidR="002D146E" w:rsidRPr="002D146E">
        <w:t xml:space="preserve">ведение налоговых послаблений в виде освобождения от исполнения обязанности по уплате налогов общего налогового режима за весь прошедший квартал имеет потенциал для решения проблемы прежде всего в части отказа от практики восстановления данных налогового учета, но лишь частично решает проблему разрыва налоговой нагрузки. В рамках документа не предусмотрены механизмы ее плавного возрастания (например, за счет промежуточных налоговых ставок), предусмотрены лишь условия для отмены ретроспективного налогообложения. </w:t>
      </w:r>
    </w:p>
    <w:p w14:paraId="652FC51B" w14:textId="77777777" w:rsidR="004F533F" w:rsidRDefault="002D146E" w:rsidP="002D146E">
      <w:pPr>
        <w:spacing w:after="60"/>
        <w:ind w:firstLine="709"/>
        <w:jc w:val="both"/>
      </w:pPr>
      <w:r w:rsidRPr="002D146E">
        <w:lastRenderedPageBreak/>
        <w:t xml:space="preserve">Кроме того, налоговые послабления предусмотрено применять при несоблюдении условий по выручке и числу работников, тогда как весь состав условий применения УСН гораздо шире и содержит другие характеристики деятельности налогоплательщика, включая остаточную стоимость основных средств и структуру капитала. </w:t>
      </w:r>
    </w:p>
    <w:p w14:paraId="398BCFF7" w14:textId="43C7DB2A" w:rsidR="002D146E" w:rsidRPr="002D146E" w:rsidRDefault="002D146E" w:rsidP="002D146E">
      <w:pPr>
        <w:spacing w:after="60"/>
        <w:ind w:firstLine="709"/>
        <w:jc w:val="both"/>
      </w:pPr>
      <w:r w:rsidRPr="002D146E">
        <w:t>Учитывая, что налоговые послабления не должны быть выборочными, более правильно считать налогоплательщика утратившим право на применение УСН после нарушения условий применения режима, а именно с первого числа первого квартала, следующего за кварталом, в котором были допущены эти нарушения. Следует принимать во внимание, что предлагаемые налоговые послабления по своей природе соответствуют именно такой ситуации. Таким образом, в НК РФ можно не внедрять переходный режим, а лишь уточнить порядок утраты права на применение УСН, сделав его более комфортным для субъектов малого бизнеса.</w:t>
      </w:r>
    </w:p>
    <w:p w14:paraId="43B6124B" w14:textId="77777777" w:rsidR="002D146E" w:rsidRPr="004F533F" w:rsidRDefault="002D146E" w:rsidP="002D146E">
      <w:pPr>
        <w:spacing w:after="60"/>
        <w:ind w:firstLine="709"/>
        <w:jc w:val="both"/>
        <w:rPr>
          <w:b/>
          <w:i/>
        </w:rPr>
      </w:pPr>
      <w:r w:rsidRPr="004F533F">
        <w:rPr>
          <w:b/>
          <w:i/>
        </w:rPr>
        <w:t>Отказ от налоговых деклараций при налогообложении доходов ИП в рамках УСН</w:t>
      </w:r>
    </w:p>
    <w:p w14:paraId="3AE89FBD" w14:textId="77777777" w:rsidR="002D146E" w:rsidRPr="002D146E" w:rsidRDefault="002D146E" w:rsidP="002D146E">
      <w:pPr>
        <w:spacing w:after="60"/>
        <w:ind w:firstLine="709"/>
        <w:jc w:val="both"/>
      </w:pPr>
      <w:r w:rsidRPr="002D146E">
        <w:t>Ввиду активного внедрения онлайн-касс появились предпосылки для того, чтобы отменить обязанность представления налоговой декларации для тех индивидуальных предпринимателей, которые применяют УСН и выбрали в качестве объекта налогообложения «доходы».</w:t>
      </w:r>
    </w:p>
    <w:p w14:paraId="7A4EF1EB" w14:textId="77777777" w:rsidR="00FF109D" w:rsidRDefault="00FF109D" w:rsidP="002D146E">
      <w:pPr>
        <w:spacing w:after="60"/>
        <w:ind w:firstLine="709"/>
        <w:jc w:val="both"/>
      </w:pPr>
      <w:r>
        <w:t>Р</w:t>
      </w:r>
      <w:r w:rsidR="002D146E" w:rsidRPr="002D146E">
        <w:t xml:space="preserve">еализация данной меры </w:t>
      </w:r>
      <w:r>
        <w:t>способна</w:t>
      </w:r>
      <w:r w:rsidR="002D146E" w:rsidRPr="002D146E">
        <w:t xml:space="preserve"> существенно снизить административную нагрузку на малый бизнес, учитывая, что, по данным ФНС России за 2018 г., почти половина лиц, применяющих УСН, представлена индивидуальными предпринимателями, которые исчисляют и уплачивают единый налог именно с доходов. При этом следует ожидать повышение этой доли и падение у остальной части ИП интереса к налогообложению прибыли (доходов, уме</w:t>
      </w:r>
      <w:r>
        <w:t>ньшенных на величину расходов).</w:t>
      </w:r>
    </w:p>
    <w:p w14:paraId="0944DCFF" w14:textId="64F085EE" w:rsidR="002D146E" w:rsidRPr="002D146E" w:rsidRDefault="002D146E" w:rsidP="002D146E">
      <w:pPr>
        <w:spacing w:after="60"/>
        <w:ind w:firstLine="709"/>
        <w:jc w:val="both"/>
      </w:pPr>
      <w:r w:rsidRPr="002D146E">
        <w:t>Равновыгодность объектов налогообложения будет определяться не только соотношением доходов и расходов, но и уровнем административной нагрузки, что сделает налоговый режим более гибким, а, значит, более комфортным для налогоплательщиков и эффективным для государства.</w:t>
      </w:r>
    </w:p>
    <w:p w14:paraId="31DED31E" w14:textId="77777777" w:rsidR="002D146E" w:rsidRPr="00FF109D" w:rsidRDefault="002D146E" w:rsidP="002D146E">
      <w:pPr>
        <w:spacing w:after="60"/>
        <w:ind w:firstLine="709"/>
        <w:jc w:val="both"/>
        <w:rPr>
          <w:b/>
          <w:i/>
        </w:rPr>
      </w:pPr>
      <w:r w:rsidRPr="00FF109D">
        <w:rPr>
          <w:b/>
          <w:i/>
        </w:rPr>
        <w:t>Расширение сферы действия налога на профессиональный доход</w:t>
      </w:r>
    </w:p>
    <w:p w14:paraId="403C23D1" w14:textId="77777777" w:rsidR="00FF109D" w:rsidRDefault="002D146E" w:rsidP="002D146E">
      <w:pPr>
        <w:spacing w:after="60"/>
        <w:ind w:firstLine="709"/>
        <w:jc w:val="both"/>
      </w:pPr>
      <w:r w:rsidRPr="002D146E">
        <w:t xml:space="preserve">С 1 января 2019 г. на территории четырех российских регионов – в Москве, Московской и Калужской областях, Республике Татарстан – в порядке эксперимента применяется система налогообложения в виде налога на профессиональный доход, предназначенного для уплаты самозанятыми лицами (не имеющими работодателя, но и не привлекающими наемных работников). </w:t>
      </w:r>
      <w:r w:rsidR="00FF109D">
        <w:t>Д</w:t>
      </w:r>
      <w:r w:rsidR="00FF109D" w:rsidRPr="002D146E">
        <w:t xml:space="preserve">анным режимом предусмотрено налогообложение дохода по ставке 4% (при реализации товаров, работ, услуг, имущественных прав физическим лицам), вследствие чего существуют риски искажения равных условий конкуренции, прежде всего по причине перехода на новый режим тех, кто ранее применял патентную систему налогообложения со ставкой 6%, а также тех, кто платил НДФЛ по ставке 13%. По данным ФНС, за пять месяцев с момента начала эксперимента в четырех регионах зарегистрировались как самозанятые более 106 тыс. физлиц, что говорит либо об определенных успехах эксперимента как инструмента вывода доходов их тени, либо о таком перетоке. </w:t>
      </w:r>
    </w:p>
    <w:p w14:paraId="17808705" w14:textId="2D283A95" w:rsidR="002D146E" w:rsidRPr="002D146E" w:rsidRDefault="002D146E" w:rsidP="002D146E">
      <w:pPr>
        <w:spacing w:after="60"/>
        <w:ind w:firstLine="709"/>
        <w:jc w:val="both"/>
      </w:pPr>
      <w:r w:rsidRPr="002D146E">
        <w:t>Проект Основных направлений включает возможность проведения эксперимента в других субъектах РФ.</w:t>
      </w:r>
      <w:r w:rsidR="00FF109D">
        <w:t xml:space="preserve"> </w:t>
      </w:r>
      <w:r w:rsidRPr="002D146E">
        <w:t>Инициатива по увеличению периметра охвата режима предположительно вызвана желанием региональных властей успешно выполнить цели национального проекта по поддержке малого и среднего предпринимательства, при этом</w:t>
      </w:r>
      <w:r w:rsidR="00FF109D">
        <w:t>,</w:t>
      </w:r>
      <w:r w:rsidRPr="002D146E">
        <w:t xml:space="preserve"> учитывая высокий уровень прозрачности </w:t>
      </w:r>
      <w:r w:rsidRPr="002D146E">
        <w:lastRenderedPageBreak/>
        <w:t xml:space="preserve">эксперимента, его результативность следует оценивать именно исходя их результатов обеления экономики и вывода отдельных категорий лиц из теневой экономики. </w:t>
      </w:r>
    </w:p>
    <w:p w14:paraId="38C88A0F" w14:textId="77777777" w:rsidR="002D146E" w:rsidRPr="00FF109D" w:rsidRDefault="002D146E" w:rsidP="002D146E">
      <w:pPr>
        <w:spacing w:after="60"/>
        <w:ind w:firstLine="709"/>
        <w:jc w:val="both"/>
        <w:rPr>
          <w:b/>
          <w:i/>
        </w:rPr>
      </w:pPr>
      <w:r w:rsidRPr="00FF109D">
        <w:rPr>
          <w:b/>
          <w:i/>
        </w:rPr>
        <w:t>Включение квазиналоговых платежей в НК РФ</w:t>
      </w:r>
    </w:p>
    <w:p w14:paraId="0065209E" w14:textId="251861E2" w:rsidR="002D146E" w:rsidRPr="002D146E" w:rsidRDefault="002D146E" w:rsidP="002D146E">
      <w:pPr>
        <w:spacing w:after="60"/>
        <w:ind w:firstLine="709"/>
        <w:jc w:val="both"/>
      </w:pPr>
      <w:r w:rsidRPr="002D146E">
        <w:t xml:space="preserve">В проекте </w:t>
      </w:r>
      <w:r w:rsidR="00FF109D">
        <w:t>Основных направлений</w:t>
      </w:r>
      <w:r w:rsidRPr="002D146E">
        <w:t xml:space="preserve"> предлагается расширить состав налоговой системы, включив в нее ряд платежей, которые имеют квазиналоговую природу, </w:t>
      </w:r>
      <w:r w:rsidR="00FF109D">
        <w:t>который</w:t>
      </w:r>
      <w:r w:rsidRPr="002D146E">
        <w:t>, как и налоги, обязательны к уплате, но не соответствуют всем признакам налога (главным образом потому, что носят возмездный характер или ярко выраженное регулятивное, а не только фискальное значение). Необходимость в этом обусловлена расхождениями между составом налоговой системы и количеством обязательных платежей, которые в реальности должны платить налогоплательщики, и связанной с этим проблемой объективной оценки величины налоговой нагрузки в РФ. В качестве платежей, претендующих на роль сборов, рассматриваются утилизационный сбор и туристический</w:t>
      </w:r>
      <w:r w:rsidR="00FF109D">
        <w:t xml:space="preserve"> сбор (взамен курортного сбора). В</w:t>
      </w:r>
      <w:r w:rsidRPr="002D146E">
        <w:t xml:space="preserve"> свою очередь обязательные отчисления операторов сети связи общего пользования будут трансформированы в одноименный налог на доходы операторов. </w:t>
      </w:r>
    </w:p>
    <w:p w14:paraId="42A10598" w14:textId="021E5176" w:rsidR="002D146E" w:rsidRPr="002D146E" w:rsidRDefault="00FF109D" w:rsidP="002D146E">
      <w:pPr>
        <w:spacing w:after="60"/>
        <w:ind w:firstLine="709"/>
        <w:jc w:val="both"/>
      </w:pPr>
      <w:r>
        <w:t xml:space="preserve">На наш взгляд, </w:t>
      </w:r>
      <w:r w:rsidR="002D146E" w:rsidRPr="002D146E">
        <w:t>реализация указанной меры будет способствовать сближению перечня налоговых и парафискальных платежей, повысит качество оценки налоговой нагрузки, из расчета которой более не будут выпадать перечисленные платежи. Вместе с тем расширение перечня налогов и сборов в НК РФ подготавливается в условиях, когда, во-первых, не проведена предварительная оптимизация состава неналоговых платежей, во-вторых, отсутствует единая методика (критерии) разграничения платежей по видам. Также существуют риски увеличения административно-контрольной нагрузки на налогоплательщиков и увеличения их налоговых рисков в связи с усилением ответственности за неуплату, более широкими полномочиями нового администратора парафискальных платежей (ФНС) в комбинации с высоким уровнем неопределенности при расчете базы обложения.</w:t>
      </w:r>
    </w:p>
    <w:p w14:paraId="2A0BCFD2" w14:textId="77777777" w:rsidR="002D146E" w:rsidRDefault="002D146E">
      <w:pPr>
        <w:rPr>
          <w:b/>
          <w:kern w:val="28"/>
          <w:sz w:val="28"/>
          <w:szCs w:val="20"/>
        </w:rPr>
      </w:pPr>
    </w:p>
    <w:p w14:paraId="2A6A1A0F" w14:textId="77777777" w:rsidR="00047FF0" w:rsidRDefault="00047FF0">
      <w:pPr>
        <w:rPr>
          <w:b/>
          <w:kern w:val="28"/>
          <w:sz w:val="28"/>
          <w:szCs w:val="20"/>
        </w:rPr>
      </w:pPr>
      <w:r>
        <w:rPr>
          <w:b/>
          <w:kern w:val="28"/>
          <w:sz w:val="28"/>
          <w:szCs w:val="20"/>
        </w:rPr>
        <w:br w:type="page"/>
      </w:r>
    </w:p>
    <w:p w14:paraId="77E32E9B" w14:textId="1DFDBDE1" w:rsidR="00995E45" w:rsidRDefault="002D146E" w:rsidP="002E7591">
      <w:pPr>
        <w:keepNext/>
        <w:spacing w:before="240" w:after="360"/>
        <w:jc w:val="center"/>
        <w:outlineLvl w:val="0"/>
        <w:rPr>
          <w:b/>
          <w:kern w:val="28"/>
          <w:sz w:val="28"/>
          <w:szCs w:val="20"/>
        </w:rPr>
      </w:pPr>
      <w:bookmarkStart w:id="4" w:name="_Toc21436740"/>
      <w:r>
        <w:rPr>
          <w:b/>
          <w:kern w:val="28"/>
          <w:sz w:val="28"/>
          <w:szCs w:val="20"/>
        </w:rPr>
        <w:lastRenderedPageBreak/>
        <w:t>4</w:t>
      </w:r>
      <w:r w:rsidR="00995E45" w:rsidRPr="0002762F">
        <w:rPr>
          <w:b/>
          <w:kern w:val="28"/>
          <w:sz w:val="28"/>
          <w:szCs w:val="20"/>
        </w:rPr>
        <w:t xml:space="preserve"> Анализ основных параметров федерального бюджета</w:t>
      </w:r>
      <w:bookmarkEnd w:id="4"/>
    </w:p>
    <w:p w14:paraId="3170492D" w14:textId="771501A1" w:rsidR="00AC6D27" w:rsidRDefault="00AC6D27" w:rsidP="00AC6D27">
      <w:pPr>
        <w:spacing w:after="60"/>
        <w:ind w:firstLine="709"/>
        <w:jc w:val="both"/>
      </w:pPr>
      <w:r w:rsidRPr="00140685">
        <w:rPr>
          <w:rFonts w:eastAsiaTheme="minorEastAsia"/>
          <w:lang w:eastAsia="en-US"/>
        </w:rPr>
        <w:t>Основные характерист</w:t>
      </w:r>
      <w:r>
        <w:rPr>
          <w:rFonts w:eastAsiaTheme="minorEastAsia"/>
          <w:lang w:eastAsia="en-US"/>
        </w:rPr>
        <w:t xml:space="preserve">ики федерального бюджета </w:t>
      </w:r>
      <w:r w:rsidR="004D3F1C">
        <w:rPr>
          <w:rFonts w:eastAsiaTheme="minorEastAsia"/>
          <w:lang w:eastAsia="en-US"/>
        </w:rPr>
        <w:t xml:space="preserve">(далее – ФБ) </w:t>
      </w:r>
      <w:r>
        <w:rPr>
          <w:rFonts w:eastAsiaTheme="minorEastAsia"/>
          <w:lang w:eastAsia="en-US"/>
        </w:rPr>
        <w:t>на 2020</w:t>
      </w:r>
      <w:r w:rsidRPr="00140685">
        <w:rPr>
          <w:rFonts w:eastAsiaTheme="minorEastAsia"/>
          <w:lang w:eastAsia="en-US"/>
        </w:rPr>
        <w:t xml:space="preserve"> год и на плановый период 20</w:t>
      </w:r>
      <w:r>
        <w:rPr>
          <w:rFonts w:eastAsiaTheme="minorEastAsia"/>
          <w:lang w:eastAsia="en-US"/>
        </w:rPr>
        <w:t>21</w:t>
      </w:r>
      <w:r w:rsidR="001644A4">
        <w:rPr>
          <w:rFonts w:eastAsiaTheme="minorEastAsia"/>
          <w:lang w:eastAsia="en-US"/>
        </w:rPr>
        <w:t xml:space="preserve"> и</w:t>
      </w:r>
      <w:r w:rsidRPr="00140685">
        <w:rPr>
          <w:rFonts w:eastAsiaTheme="minorEastAsia"/>
          <w:lang w:eastAsia="en-US"/>
        </w:rPr>
        <w:t xml:space="preserve"> 202</w:t>
      </w:r>
      <w:r>
        <w:rPr>
          <w:rFonts w:eastAsiaTheme="minorEastAsia"/>
          <w:lang w:eastAsia="en-US"/>
        </w:rPr>
        <w:t>2</w:t>
      </w:r>
      <w:r w:rsidRPr="00140685">
        <w:rPr>
          <w:rFonts w:eastAsiaTheme="minorEastAsia"/>
          <w:lang w:eastAsia="en-US"/>
        </w:rPr>
        <w:t xml:space="preserve"> гг. представлен</w:t>
      </w:r>
      <w:r w:rsidRPr="00916621">
        <w:rPr>
          <w:rFonts w:eastAsiaTheme="minorEastAsia"/>
          <w:lang w:eastAsia="en-US"/>
        </w:rPr>
        <w:t xml:space="preserve">ы в </w:t>
      </w:r>
      <w:r w:rsidRPr="00916621">
        <w:rPr>
          <w:rFonts w:eastAsiaTheme="minorEastAsia"/>
          <w:i/>
          <w:lang w:eastAsia="en-US"/>
        </w:rPr>
        <w:t>табл</w:t>
      </w:r>
      <w:r>
        <w:rPr>
          <w:rFonts w:eastAsiaTheme="minorEastAsia"/>
          <w:i/>
          <w:lang w:eastAsia="en-US"/>
        </w:rPr>
        <w:t>ице</w:t>
      </w:r>
      <w:r w:rsidRPr="00916621">
        <w:rPr>
          <w:rFonts w:eastAsiaTheme="minorEastAsia"/>
          <w:i/>
          <w:lang w:eastAsia="en-US"/>
        </w:rPr>
        <w:t xml:space="preserve"> </w:t>
      </w:r>
      <w:r w:rsidRPr="00916621">
        <w:rPr>
          <w:i/>
          <w:noProof/>
        </w:rPr>
        <w:t>1</w:t>
      </w:r>
      <w:r>
        <w:rPr>
          <w:rFonts w:eastAsiaTheme="minorEastAsia"/>
          <w:i/>
          <w:lang w:eastAsia="en-US"/>
        </w:rPr>
        <w:t>.</w:t>
      </w:r>
      <w:r w:rsidRPr="00316021">
        <w:t xml:space="preserve"> </w:t>
      </w:r>
      <w:r>
        <w:t>В 2022 г. прогнозируется рост доходов федерального бюджета</w:t>
      </w:r>
      <w:r w:rsidR="001644A4">
        <w:t xml:space="preserve"> на 1883,4 млрд руб. или на 9,3</w:t>
      </w:r>
      <w:r>
        <w:t>% в номинальном выражении относительно 2019 г.; в долях ВВП доходы федерал</w:t>
      </w:r>
      <w:r w:rsidR="001644A4">
        <w:t>ьного бюджета сократятся с 18,5% ВВП в 2019 г. до 17,2</w:t>
      </w:r>
      <w:r>
        <w:t>% ВВП в 2022 г. П</w:t>
      </w:r>
      <w:r w:rsidRPr="00316021">
        <w:t>о ежегодной динамике прирост доходов в номинальном выражении составит: в 20</w:t>
      </w:r>
      <w:r>
        <w:t>20</w:t>
      </w:r>
      <w:r w:rsidRPr="00316021">
        <w:t xml:space="preserve"> г. (+) </w:t>
      </w:r>
      <w:r>
        <w:t>1,0</w:t>
      </w:r>
      <w:r w:rsidRPr="00316021">
        <w:t>%, в 202</w:t>
      </w:r>
      <w:r>
        <w:t>1</w:t>
      </w:r>
      <w:r w:rsidRPr="00316021">
        <w:t xml:space="preserve"> г. (+) </w:t>
      </w:r>
      <w:r>
        <w:t>4</w:t>
      </w:r>
      <w:r w:rsidRPr="00316021">
        <w:t>,2%, в 202</w:t>
      </w:r>
      <w:r>
        <w:t>2</w:t>
      </w:r>
      <w:r w:rsidRPr="00316021">
        <w:t xml:space="preserve"> г. (+) 3,8% относительно предыдущего года, при прогнозируемом уровне инфляции </w:t>
      </w:r>
      <w:r>
        <w:t xml:space="preserve">(ИПЦ) </w:t>
      </w:r>
      <w:r w:rsidRPr="00316021">
        <w:t>в 20</w:t>
      </w:r>
      <w:r>
        <w:t>20</w:t>
      </w:r>
      <w:r w:rsidRPr="00316021">
        <w:t>-202</w:t>
      </w:r>
      <w:r>
        <w:t>2</w:t>
      </w:r>
      <w:r w:rsidRPr="00316021">
        <w:t xml:space="preserve"> гг. в размере 3</w:t>
      </w:r>
      <w:r>
        <w:t>,0</w:t>
      </w:r>
      <w:r w:rsidRPr="00316021">
        <w:t>-</w:t>
      </w:r>
      <w:r>
        <w:t>4,0</w:t>
      </w:r>
      <w:r w:rsidRPr="00316021">
        <w:t>-4,0% соответственно</w:t>
      </w:r>
      <w:r>
        <w:t xml:space="preserve">. </w:t>
      </w:r>
    </w:p>
    <w:p w14:paraId="3BB41625" w14:textId="1D3127AB" w:rsidR="00AC6D27" w:rsidRPr="00916621" w:rsidRDefault="00AC6D27" w:rsidP="00AC6D27">
      <w:pPr>
        <w:pStyle w:val="aff8"/>
        <w:rPr>
          <w:rFonts w:eastAsiaTheme="minorEastAsia"/>
        </w:rPr>
      </w:pPr>
      <w:r w:rsidRPr="00500906">
        <w:t xml:space="preserve">Таблица </w:t>
      </w:r>
      <w:r w:rsidR="00BF098E">
        <w:rPr>
          <w:noProof/>
        </w:rPr>
        <w:t>1</w:t>
      </w:r>
    </w:p>
    <w:p w14:paraId="06C25845" w14:textId="23352343" w:rsidR="00AC6D27" w:rsidRPr="00140685" w:rsidRDefault="00AC6D27" w:rsidP="00521A95">
      <w:pPr>
        <w:spacing w:before="60" w:after="120"/>
        <w:jc w:val="center"/>
        <w:rPr>
          <w:rFonts w:eastAsiaTheme="minorEastAsia"/>
          <w:b/>
          <w:lang w:eastAsia="en-US"/>
        </w:rPr>
      </w:pPr>
      <w:r w:rsidRPr="00140685">
        <w:rPr>
          <w:rFonts w:eastAsiaTheme="minorEastAsia"/>
          <w:b/>
          <w:lang w:eastAsia="en-US"/>
        </w:rPr>
        <w:t>Основные характерист</w:t>
      </w:r>
      <w:r>
        <w:rPr>
          <w:rFonts w:eastAsiaTheme="minorEastAsia"/>
          <w:b/>
          <w:lang w:eastAsia="en-US"/>
        </w:rPr>
        <w:t xml:space="preserve">ики </w:t>
      </w:r>
      <w:r w:rsidR="001644A4">
        <w:rPr>
          <w:rFonts w:eastAsiaTheme="minorEastAsia"/>
          <w:b/>
          <w:lang w:eastAsia="en-US"/>
        </w:rPr>
        <w:t xml:space="preserve">федерального бюджета </w:t>
      </w:r>
      <w:r w:rsidR="00521A95">
        <w:rPr>
          <w:rFonts w:eastAsiaTheme="minorEastAsia"/>
          <w:b/>
          <w:lang w:eastAsia="en-US"/>
        </w:rPr>
        <w:t>в 2019-2022 гг.,</w:t>
      </w:r>
      <w:r w:rsidRPr="00140685">
        <w:rPr>
          <w:rFonts w:eastAsiaTheme="minorEastAsia"/>
          <w:b/>
          <w:lang w:eastAsia="en-US"/>
        </w:rPr>
        <w:t xml:space="preserve"> млрд руб.</w:t>
      </w:r>
      <w:r>
        <w:rPr>
          <w:rFonts w:eastAsiaTheme="minorEastAsia"/>
          <w:b/>
          <w:lang w:eastAsia="en-US"/>
        </w:rPr>
        <w:t xml:space="preserve"> и в % к ВВП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9"/>
        <w:gridCol w:w="1239"/>
        <w:gridCol w:w="1395"/>
        <w:gridCol w:w="1391"/>
        <w:gridCol w:w="1393"/>
      </w:tblGrid>
      <w:tr w:rsidR="00AC6D27" w:rsidRPr="00140685" w14:paraId="70C0006C" w14:textId="77777777" w:rsidTr="00191F82">
        <w:trPr>
          <w:trHeight w:val="153"/>
          <w:tblHeader/>
          <w:jc w:val="center"/>
        </w:trPr>
        <w:tc>
          <w:tcPr>
            <w:tcW w:w="2083" w:type="pct"/>
            <w:shd w:val="clear" w:color="auto" w:fill="auto"/>
            <w:vAlign w:val="center"/>
          </w:tcPr>
          <w:p w14:paraId="68C105D6" w14:textId="77777777" w:rsidR="00AC6D27" w:rsidRPr="00140685" w:rsidRDefault="00AC6D27" w:rsidP="00191F82">
            <w:pPr>
              <w:jc w:val="center"/>
              <w:rPr>
                <w:rFonts w:eastAsiaTheme="minorEastAsia"/>
                <w:spacing w:val="-10"/>
                <w:sz w:val="20"/>
                <w:lang w:eastAsia="en-US"/>
              </w:rPr>
            </w:pPr>
          </w:p>
        </w:tc>
        <w:tc>
          <w:tcPr>
            <w:tcW w:w="667" w:type="pct"/>
            <w:vAlign w:val="center"/>
          </w:tcPr>
          <w:p w14:paraId="5009DA7A" w14:textId="39418F3A" w:rsidR="00AC6D27" w:rsidRPr="00140685" w:rsidRDefault="00AC6D27" w:rsidP="00191F82">
            <w:pPr>
              <w:jc w:val="center"/>
              <w:rPr>
                <w:rFonts w:eastAsiaTheme="minorEastAsia"/>
                <w:b/>
                <w:spacing w:val="-10"/>
                <w:sz w:val="20"/>
                <w:lang w:eastAsia="en-US"/>
              </w:rPr>
            </w:pPr>
            <w:r w:rsidRPr="00140685">
              <w:rPr>
                <w:rFonts w:eastAsiaTheme="minorEastAsia"/>
                <w:b/>
                <w:sz w:val="20"/>
                <w:lang w:eastAsia="en-US"/>
              </w:rPr>
              <w:t>201</w:t>
            </w:r>
            <w:r>
              <w:rPr>
                <w:rFonts w:eastAsiaTheme="minorEastAsia"/>
                <w:b/>
                <w:sz w:val="20"/>
                <w:lang w:eastAsia="en-US"/>
              </w:rPr>
              <w:t>9</w:t>
            </w:r>
            <w:r w:rsidRPr="00140685">
              <w:rPr>
                <w:rFonts w:eastAsiaTheme="minorEastAsia"/>
                <w:b/>
                <w:sz w:val="20"/>
                <w:lang w:eastAsia="en-US"/>
              </w:rPr>
              <w:t xml:space="preserve"> г</w:t>
            </w:r>
            <w:r>
              <w:rPr>
                <w:rFonts w:eastAsiaTheme="minorEastAsia"/>
                <w:b/>
                <w:sz w:val="20"/>
                <w:lang w:eastAsia="en-US"/>
              </w:rPr>
              <w:t xml:space="preserve">. </w:t>
            </w:r>
            <w:r w:rsidRPr="00140685">
              <w:rPr>
                <w:rFonts w:eastAsiaTheme="minorEastAsia"/>
                <w:b/>
                <w:sz w:val="20"/>
                <w:lang w:eastAsia="en-US"/>
              </w:rPr>
              <w:t>(оценка)</w:t>
            </w:r>
          </w:p>
        </w:tc>
        <w:tc>
          <w:tcPr>
            <w:tcW w:w="751" w:type="pct"/>
            <w:shd w:val="clear" w:color="auto" w:fill="auto"/>
            <w:tcMar>
              <w:left w:w="57" w:type="dxa"/>
              <w:right w:w="57" w:type="dxa"/>
            </w:tcMar>
            <w:vAlign w:val="center"/>
          </w:tcPr>
          <w:p w14:paraId="250F5E34" w14:textId="77777777" w:rsidR="00AC6D27" w:rsidRDefault="00AC6D27" w:rsidP="00191F82">
            <w:pPr>
              <w:jc w:val="center"/>
              <w:rPr>
                <w:rFonts w:eastAsiaTheme="minorEastAsia"/>
                <w:b/>
                <w:sz w:val="20"/>
                <w:lang w:eastAsia="en-US"/>
              </w:rPr>
            </w:pPr>
            <w:r>
              <w:rPr>
                <w:rFonts w:eastAsiaTheme="minorEastAsia"/>
                <w:b/>
                <w:sz w:val="20"/>
                <w:lang w:eastAsia="en-US"/>
              </w:rPr>
              <w:t>2020 г.</w:t>
            </w:r>
          </w:p>
          <w:p w14:paraId="599DA93C" w14:textId="77777777" w:rsidR="00AC6D27" w:rsidRPr="00140685" w:rsidRDefault="00AC6D27" w:rsidP="00191F82">
            <w:pPr>
              <w:jc w:val="center"/>
              <w:rPr>
                <w:rFonts w:eastAsiaTheme="minorEastAsia"/>
                <w:b/>
                <w:sz w:val="20"/>
                <w:lang w:eastAsia="en-US"/>
              </w:rPr>
            </w:pPr>
            <w:r w:rsidRPr="00140685">
              <w:rPr>
                <w:rFonts w:eastAsiaTheme="minorEastAsia"/>
                <w:b/>
                <w:sz w:val="20"/>
                <w:lang w:eastAsia="en-US"/>
              </w:rPr>
              <w:t xml:space="preserve"> (проект)</w:t>
            </w:r>
          </w:p>
        </w:tc>
        <w:tc>
          <w:tcPr>
            <w:tcW w:w="749" w:type="pct"/>
          </w:tcPr>
          <w:p w14:paraId="1072536B" w14:textId="77777777" w:rsidR="00AC6D27" w:rsidRDefault="00AC6D27" w:rsidP="00191F82">
            <w:pPr>
              <w:ind w:right="-52"/>
              <w:jc w:val="center"/>
              <w:rPr>
                <w:rFonts w:eastAsiaTheme="minorEastAsia"/>
                <w:b/>
                <w:sz w:val="20"/>
                <w:lang w:eastAsia="en-US"/>
              </w:rPr>
            </w:pPr>
            <w:r w:rsidRPr="00140685">
              <w:rPr>
                <w:rFonts w:eastAsiaTheme="minorEastAsia"/>
                <w:b/>
                <w:sz w:val="20"/>
                <w:lang w:eastAsia="en-US"/>
              </w:rPr>
              <w:t>20</w:t>
            </w:r>
            <w:r>
              <w:rPr>
                <w:rFonts w:eastAsiaTheme="minorEastAsia"/>
                <w:b/>
                <w:sz w:val="20"/>
                <w:lang w:eastAsia="en-US"/>
              </w:rPr>
              <w:t>21</w:t>
            </w:r>
            <w:r w:rsidRPr="00140685">
              <w:rPr>
                <w:rFonts w:eastAsiaTheme="minorEastAsia"/>
                <w:b/>
                <w:sz w:val="20"/>
                <w:lang w:eastAsia="en-US"/>
              </w:rPr>
              <w:t xml:space="preserve"> </w:t>
            </w:r>
            <w:r>
              <w:rPr>
                <w:rFonts w:eastAsiaTheme="minorEastAsia"/>
                <w:b/>
                <w:sz w:val="20"/>
                <w:lang w:eastAsia="en-US"/>
              </w:rPr>
              <w:t>г.</w:t>
            </w:r>
          </w:p>
          <w:p w14:paraId="0CF6E393" w14:textId="77777777" w:rsidR="00AC6D27" w:rsidRPr="00140685" w:rsidRDefault="00AC6D27" w:rsidP="00191F82">
            <w:pPr>
              <w:ind w:right="-52"/>
              <w:jc w:val="center"/>
              <w:rPr>
                <w:rFonts w:eastAsiaTheme="minorEastAsia"/>
                <w:b/>
                <w:sz w:val="20"/>
                <w:lang w:eastAsia="en-US"/>
              </w:rPr>
            </w:pPr>
            <w:r w:rsidRPr="00140685">
              <w:rPr>
                <w:rFonts w:eastAsiaTheme="minorEastAsia"/>
                <w:b/>
                <w:sz w:val="20"/>
                <w:lang w:eastAsia="en-US"/>
              </w:rPr>
              <w:t>(проект)</w:t>
            </w:r>
          </w:p>
        </w:tc>
        <w:tc>
          <w:tcPr>
            <w:tcW w:w="750" w:type="pct"/>
            <w:shd w:val="clear" w:color="auto" w:fill="auto"/>
          </w:tcPr>
          <w:p w14:paraId="76853E9D" w14:textId="77777777" w:rsidR="00AC6D27" w:rsidRPr="00140685" w:rsidRDefault="00AC6D27" w:rsidP="00191F82">
            <w:pPr>
              <w:jc w:val="center"/>
              <w:rPr>
                <w:rFonts w:eastAsiaTheme="minorEastAsia"/>
                <w:b/>
                <w:sz w:val="20"/>
                <w:lang w:eastAsia="en-US"/>
              </w:rPr>
            </w:pPr>
            <w:r>
              <w:rPr>
                <w:rFonts w:eastAsiaTheme="minorEastAsia"/>
                <w:b/>
                <w:sz w:val="20"/>
                <w:lang w:eastAsia="en-US"/>
              </w:rPr>
              <w:t>2022 г.</w:t>
            </w:r>
            <w:r w:rsidRPr="00140685">
              <w:rPr>
                <w:rFonts w:eastAsiaTheme="minorEastAsia"/>
                <w:b/>
                <w:sz w:val="20"/>
                <w:lang w:eastAsia="en-US"/>
              </w:rPr>
              <w:t xml:space="preserve"> (проект)</w:t>
            </w:r>
          </w:p>
        </w:tc>
      </w:tr>
      <w:tr w:rsidR="00AC6D27" w:rsidRPr="00140685" w14:paraId="05CB602A" w14:textId="77777777" w:rsidTr="00191F82">
        <w:trPr>
          <w:trHeight w:val="308"/>
          <w:jc w:val="center"/>
        </w:trPr>
        <w:tc>
          <w:tcPr>
            <w:tcW w:w="2083" w:type="pct"/>
            <w:shd w:val="clear" w:color="auto" w:fill="auto"/>
            <w:vAlign w:val="center"/>
          </w:tcPr>
          <w:p w14:paraId="10DD24F3" w14:textId="77777777" w:rsidR="00AC6D27" w:rsidRPr="00140685" w:rsidRDefault="00AC6D27" w:rsidP="00191F82">
            <w:pPr>
              <w:rPr>
                <w:rFonts w:eastAsiaTheme="minorEastAsia"/>
                <w:b/>
                <w:sz w:val="20"/>
                <w:lang w:eastAsia="en-US"/>
              </w:rPr>
            </w:pPr>
            <w:r w:rsidRPr="00140685">
              <w:rPr>
                <w:rFonts w:eastAsiaTheme="minorEastAsia"/>
                <w:b/>
                <w:sz w:val="20"/>
                <w:lang w:eastAsia="en-US"/>
              </w:rPr>
              <w:t xml:space="preserve">Доходы, всего </w:t>
            </w:r>
          </w:p>
        </w:tc>
        <w:tc>
          <w:tcPr>
            <w:tcW w:w="667" w:type="pct"/>
            <w:shd w:val="clear" w:color="auto" w:fill="auto"/>
            <w:tcMar>
              <w:left w:w="57" w:type="dxa"/>
              <w:right w:w="57" w:type="dxa"/>
            </w:tcMar>
            <w:vAlign w:val="center"/>
          </w:tcPr>
          <w:p w14:paraId="0EDF3F8B" w14:textId="77777777" w:rsidR="00AC6D27" w:rsidRPr="00140685" w:rsidRDefault="00AC6D27" w:rsidP="00191F82">
            <w:pPr>
              <w:jc w:val="center"/>
              <w:rPr>
                <w:rFonts w:eastAsiaTheme="minorEastAsia"/>
                <w:b/>
                <w:sz w:val="20"/>
                <w:lang w:eastAsia="en-US"/>
              </w:rPr>
            </w:pPr>
            <w:r>
              <w:rPr>
                <w:rFonts w:eastAsiaTheme="minorEastAsia"/>
                <w:b/>
                <w:sz w:val="20"/>
                <w:lang w:eastAsia="en-US"/>
              </w:rPr>
              <w:t>20 174,9</w:t>
            </w:r>
          </w:p>
        </w:tc>
        <w:tc>
          <w:tcPr>
            <w:tcW w:w="751" w:type="pct"/>
            <w:shd w:val="clear" w:color="auto" w:fill="auto"/>
            <w:tcMar>
              <w:left w:w="57" w:type="dxa"/>
              <w:right w:w="57" w:type="dxa"/>
            </w:tcMar>
            <w:vAlign w:val="center"/>
          </w:tcPr>
          <w:p w14:paraId="259572FE" w14:textId="77777777" w:rsidR="00AC6D27" w:rsidRPr="00140685" w:rsidRDefault="00AC6D27" w:rsidP="00191F82">
            <w:pPr>
              <w:jc w:val="center"/>
              <w:rPr>
                <w:rFonts w:eastAsiaTheme="minorEastAsia"/>
                <w:b/>
                <w:sz w:val="20"/>
                <w:lang w:eastAsia="en-US"/>
              </w:rPr>
            </w:pPr>
            <w:r>
              <w:rPr>
                <w:rFonts w:eastAsiaTheme="minorEastAsia"/>
                <w:b/>
                <w:sz w:val="20"/>
                <w:lang w:eastAsia="en-US"/>
              </w:rPr>
              <w:t>20 379,4</w:t>
            </w:r>
          </w:p>
        </w:tc>
        <w:tc>
          <w:tcPr>
            <w:tcW w:w="749" w:type="pct"/>
            <w:tcMar>
              <w:left w:w="57" w:type="dxa"/>
              <w:right w:w="57" w:type="dxa"/>
            </w:tcMar>
            <w:vAlign w:val="center"/>
          </w:tcPr>
          <w:p w14:paraId="7169364A" w14:textId="77777777" w:rsidR="00AC6D27" w:rsidRPr="00140685" w:rsidRDefault="00AC6D27" w:rsidP="00191F82">
            <w:pPr>
              <w:jc w:val="center"/>
              <w:rPr>
                <w:rFonts w:eastAsiaTheme="minorEastAsia"/>
                <w:b/>
                <w:sz w:val="20"/>
                <w:lang w:eastAsia="en-US"/>
              </w:rPr>
            </w:pPr>
            <w:r>
              <w:rPr>
                <w:rFonts w:eastAsiaTheme="minorEastAsia"/>
                <w:b/>
                <w:sz w:val="20"/>
                <w:lang w:eastAsia="en-US"/>
              </w:rPr>
              <w:t>21 246,5</w:t>
            </w:r>
          </w:p>
        </w:tc>
        <w:tc>
          <w:tcPr>
            <w:tcW w:w="750" w:type="pct"/>
            <w:shd w:val="clear" w:color="auto" w:fill="auto"/>
            <w:tcMar>
              <w:left w:w="57" w:type="dxa"/>
              <w:right w:w="57" w:type="dxa"/>
            </w:tcMar>
            <w:vAlign w:val="center"/>
          </w:tcPr>
          <w:p w14:paraId="6C54A1AD" w14:textId="77777777" w:rsidR="00AC6D27" w:rsidRPr="00140685" w:rsidRDefault="00AC6D27" w:rsidP="00191F82">
            <w:pPr>
              <w:jc w:val="center"/>
              <w:rPr>
                <w:rFonts w:eastAsiaTheme="minorEastAsia"/>
                <w:b/>
                <w:sz w:val="20"/>
                <w:lang w:eastAsia="en-US"/>
              </w:rPr>
            </w:pPr>
            <w:r>
              <w:rPr>
                <w:rFonts w:eastAsiaTheme="minorEastAsia"/>
                <w:b/>
                <w:sz w:val="20"/>
                <w:lang w:eastAsia="en-US"/>
              </w:rPr>
              <w:t>22 058,3</w:t>
            </w:r>
          </w:p>
        </w:tc>
      </w:tr>
      <w:tr w:rsidR="00AC6D27" w:rsidRPr="00140685" w14:paraId="494F2208" w14:textId="77777777" w:rsidTr="00191F82">
        <w:trPr>
          <w:trHeight w:val="267"/>
          <w:jc w:val="center"/>
        </w:trPr>
        <w:tc>
          <w:tcPr>
            <w:tcW w:w="2083" w:type="pct"/>
            <w:shd w:val="clear" w:color="auto" w:fill="auto"/>
            <w:vAlign w:val="center"/>
          </w:tcPr>
          <w:p w14:paraId="6634D78A" w14:textId="77777777" w:rsidR="00AC6D27" w:rsidRPr="00140685" w:rsidRDefault="00AC6D27" w:rsidP="00191F82">
            <w:pPr>
              <w:rPr>
                <w:rFonts w:eastAsiaTheme="minorEastAsia"/>
                <w:i/>
                <w:sz w:val="20"/>
                <w:lang w:eastAsia="en-US"/>
              </w:rPr>
            </w:pPr>
            <w:r>
              <w:rPr>
                <w:rFonts w:eastAsiaTheme="minorEastAsia"/>
                <w:i/>
                <w:sz w:val="20"/>
                <w:lang w:eastAsia="en-US"/>
              </w:rPr>
              <w:t xml:space="preserve">в </w:t>
            </w:r>
            <w:r w:rsidRPr="00140685">
              <w:rPr>
                <w:rFonts w:eastAsiaTheme="minorEastAsia"/>
                <w:i/>
                <w:sz w:val="20"/>
                <w:lang w:eastAsia="en-US"/>
              </w:rPr>
              <w:t>%</w:t>
            </w:r>
            <w:r>
              <w:rPr>
                <w:rFonts w:eastAsiaTheme="minorEastAsia"/>
                <w:i/>
                <w:sz w:val="20"/>
                <w:lang w:eastAsia="en-US"/>
              </w:rPr>
              <w:t xml:space="preserve"> к</w:t>
            </w:r>
            <w:r w:rsidRPr="00140685">
              <w:rPr>
                <w:rFonts w:eastAsiaTheme="minorEastAsia"/>
                <w:i/>
                <w:sz w:val="20"/>
                <w:lang w:eastAsia="en-US"/>
              </w:rPr>
              <w:t xml:space="preserve"> ВВП</w:t>
            </w:r>
          </w:p>
        </w:tc>
        <w:tc>
          <w:tcPr>
            <w:tcW w:w="667" w:type="pct"/>
            <w:shd w:val="clear" w:color="auto" w:fill="auto"/>
            <w:tcMar>
              <w:left w:w="57" w:type="dxa"/>
              <w:right w:w="57" w:type="dxa"/>
            </w:tcMar>
            <w:vAlign w:val="center"/>
          </w:tcPr>
          <w:p w14:paraId="143DB063" w14:textId="77777777" w:rsidR="00AC6D27" w:rsidRPr="00140685" w:rsidRDefault="00AC6D27" w:rsidP="00191F82">
            <w:pPr>
              <w:jc w:val="center"/>
              <w:rPr>
                <w:rFonts w:eastAsiaTheme="minorEastAsia"/>
                <w:i/>
                <w:sz w:val="20"/>
                <w:lang w:eastAsia="en-US"/>
              </w:rPr>
            </w:pPr>
            <w:r>
              <w:rPr>
                <w:rFonts w:eastAsiaTheme="minorEastAsia"/>
                <w:i/>
                <w:sz w:val="20"/>
                <w:lang w:eastAsia="en-US"/>
              </w:rPr>
              <w:t>18,5</w:t>
            </w:r>
          </w:p>
        </w:tc>
        <w:tc>
          <w:tcPr>
            <w:tcW w:w="751" w:type="pct"/>
            <w:shd w:val="clear" w:color="auto" w:fill="auto"/>
            <w:tcMar>
              <w:left w:w="57" w:type="dxa"/>
              <w:right w:w="57" w:type="dxa"/>
            </w:tcMar>
            <w:vAlign w:val="center"/>
          </w:tcPr>
          <w:p w14:paraId="1DA484FB" w14:textId="77777777" w:rsidR="00AC6D27" w:rsidRPr="00140685" w:rsidRDefault="00AC6D27" w:rsidP="00191F82">
            <w:pPr>
              <w:jc w:val="center"/>
              <w:rPr>
                <w:rFonts w:eastAsiaTheme="minorEastAsia"/>
                <w:i/>
                <w:sz w:val="20"/>
                <w:lang w:eastAsia="en-US"/>
              </w:rPr>
            </w:pPr>
            <w:r>
              <w:rPr>
                <w:rFonts w:eastAsiaTheme="minorEastAsia"/>
                <w:i/>
                <w:sz w:val="20"/>
                <w:lang w:eastAsia="en-US"/>
              </w:rPr>
              <w:t>18,1</w:t>
            </w:r>
          </w:p>
        </w:tc>
        <w:tc>
          <w:tcPr>
            <w:tcW w:w="749" w:type="pct"/>
            <w:tcMar>
              <w:left w:w="57" w:type="dxa"/>
              <w:right w:w="57" w:type="dxa"/>
            </w:tcMar>
            <w:vAlign w:val="center"/>
          </w:tcPr>
          <w:p w14:paraId="4B8E61CE" w14:textId="77777777" w:rsidR="00AC6D27" w:rsidRPr="00140685" w:rsidRDefault="00AC6D27" w:rsidP="00191F82">
            <w:pPr>
              <w:jc w:val="center"/>
              <w:rPr>
                <w:rFonts w:eastAsiaTheme="minorEastAsia"/>
                <w:i/>
                <w:sz w:val="20"/>
                <w:lang w:eastAsia="en-US"/>
              </w:rPr>
            </w:pPr>
            <w:r>
              <w:rPr>
                <w:rFonts w:eastAsiaTheme="minorEastAsia"/>
                <w:i/>
                <w:sz w:val="20"/>
                <w:lang w:eastAsia="en-US"/>
              </w:rPr>
              <w:t>17,7</w:t>
            </w:r>
          </w:p>
        </w:tc>
        <w:tc>
          <w:tcPr>
            <w:tcW w:w="750" w:type="pct"/>
            <w:shd w:val="clear" w:color="auto" w:fill="auto"/>
            <w:tcMar>
              <w:left w:w="57" w:type="dxa"/>
              <w:right w:w="57" w:type="dxa"/>
            </w:tcMar>
            <w:vAlign w:val="center"/>
          </w:tcPr>
          <w:p w14:paraId="304B06C3" w14:textId="77777777" w:rsidR="00AC6D27" w:rsidRPr="00140685" w:rsidRDefault="00AC6D27" w:rsidP="00191F82">
            <w:pPr>
              <w:jc w:val="center"/>
              <w:rPr>
                <w:rFonts w:eastAsiaTheme="minorEastAsia"/>
                <w:i/>
                <w:sz w:val="20"/>
                <w:lang w:eastAsia="en-US"/>
              </w:rPr>
            </w:pPr>
            <w:r>
              <w:rPr>
                <w:rFonts w:eastAsiaTheme="minorEastAsia"/>
                <w:i/>
                <w:sz w:val="20"/>
                <w:lang w:eastAsia="en-US"/>
              </w:rPr>
              <w:t>17,2</w:t>
            </w:r>
          </w:p>
        </w:tc>
      </w:tr>
      <w:tr w:rsidR="00AC6D27" w:rsidRPr="00140685" w14:paraId="575CBA11" w14:textId="77777777" w:rsidTr="00191F82">
        <w:trPr>
          <w:trHeight w:val="267"/>
          <w:jc w:val="center"/>
        </w:trPr>
        <w:tc>
          <w:tcPr>
            <w:tcW w:w="2083" w:type="pct"/>
            <w:shd w:val="clear" w:color="auto" w:fill="auto"/>
            <w:vAlign w:val="center"/>
          </w:tcPr>
          <w:p w14:paraId="7BD979C6" w14:textId="77777777" w:rsidR="00AC6D27" w:rsidRPr="00140685" w:rsidRDefault="00AC6D27" w:rsidP="00191F82">
            <w:pPr>
              <w:rPr>
                <w:rFonts w:eastAsiaTheme="minorEastAsia"/>
                <w:sz w:val="20"/>
                <w:lang w:eastAsia="en-US"/>
              </w:rPr>
            </w:pPr>
            <w:r w:rsidRPr="00140685">
              <w:rPr>
                <w:rFonts w:eastAsiaTheme="minorEastAsia"/>
                <w:i/>
                <w:color w:val="000000"/>
                <w:sz w:val="20"/>
                <w:lang w:eastAsia="en-US"/>
              </w:rPr>
              <w:t>в том числе:</w:t>
            </w:r>
          </w:p>
        </w:tc>
        <w:tc>
          <w:tcPr>
            <w:tcW w:w="667" w:type="pct"/>
            <w:shd w:val="clear" w:color="auto" w:fill="auto"/>
            <w:tcMar>
              <w:left w:w="57" w:type="dxa"/>
              <w:right w:w="57" w:type="dxa"/>
            </w:tcMar>
            <w:vAlign w:val="center"/>
          </w:tcPr>
          <w:p w14:paraId="61219E35" w14:textId="77777777" w:rsidR="00AC6D27" w:rsidRPr="00140685" w:rsidRDefault="00AC6D27" w:rsidP="00191F82">
            <w:pPr>
              <w:jc w:val="center"/>
              <w:rPr>
                <w:rFonts w:eastAsiaTheme="minorEastAsia"/>
                <w:sz w:val="20"/>
                <w:lang w:eastAsia="en-US"/>
              </w:rPr>
            </w:pPr>
          </w:p>
        </w:tc>
        <w:tc>
          <w:tcPr>
            <w:tcW w:w="751" w:type="pct"/>
            <w:shd w:val="clear" w:color="auto" w:fill="auto"/>
            <w:tcMar>
              <w:left w:w="57" w:type="dxa"/>
              <w:right w:w="57" w:type="dxa"/>
            </w:tcMar>
            <w:vAlign w:val="center"/>
          </w:tcPr>
          <w:p w14:paraId="61BF4C11" w14:textId="77777777" w:rsidR="00AC6D27" w:rsidRPr="00140685" w:rsidRDefault="00AC6D27" w:rsidP="00191F82">
            <w:pPr>
              <w:jc w:val="center"/>
              <w:rPr>
                <w:rFonts w:eastAsiaTheme="minorEastAsia"/>
                <w:sz w:val="20"/>
                <w:lang w:eastAsia="en-US"/>
              </w:rPr>
            </w:pPr>
          </w:p>
        </w:tc>
        <w:tc>
          <w:tcPr>
            <w:tcW w:w="749" w:type="pct"/>
            <w:tcMar>
              <w:left w:w="57" w:type="dxa"/>
              <w:right w:w="57" w:type="dxa"/>
            </w:tcMar>
            <w:vAlign w:val="center"/>
          </w:tcPr>
          <w:p w14:paraId="02D608D6" w14:textId="77777777" w:rsidR="00AC6D27" w:rsidRPr="00140685" w:rsidRDefault="00AC6D27" w:rsidP="00191F82">
            <w:pPr>
              <w:jc w:val="center"/>
              <w:rPr>
                <w:rFonts w:eastAsiaTheme="minorEastAsia"/>
                <w:sz w:val="20"/>
                <w:lang w:eastAsia="en-US"/>
              </w:rPr>
            </w:pPr>
          </w:p>
        </w:tc>
        <w:tc>
          <w:tcPr>
            <w:tcW w:w="750" w:type="pct"/>
            <w:shd w:val="clear" w:color="auto" w:fill="auto"/>
            <w:tcMar>
              <w:left w:w="57" w:type="dxa"/>
              <w:right w:w="57" w:type="dxa"/>
            </w:tcMar>
            <w:vAlign w:val="center"/>
          </w:tcPr>
          <w:p w14:paraId="681DB95B" w14:textId="77777777" w:rsidR="00AC6D27" w:rsidRPr="00140685" w:rsidRDefault="00AC6D27" w:rsidP="00191F82">
            <w:pPr>
              <w:jc w:val="center"/>
              <w:rPr>
                <w:rFonts w:eastAsiaTheme="minorEastAsia"/>
                <w:sz w:val="20"/>
                <w:lang w:eastAsia="en-US"/>
              </w:rPr>
            </w:pPr>
          </w:p>
        </w:tc>
      </w:tr>
      <w:tr w:rsidR="00AC6D27" w:rsidRPr="00140685" w14:paraId="736154D1" w14:textId="77777777" w:rsidTr="00191F82">
        <w:trPr>
          <w:trHeight w:val="267"/>
          <w:jc w:val="center"/>
        </w:trPr>
        <w:tc>
          <w:tcPr>
            <w:tcW w:w="2083" w:type="pct"/>
            <w:shd w:val="clear" w:color="auto" w:fill="auto"/>
            <w:vAlign w:val="center"/>
          </w:tcPr>
          <w:p w14:paraId="1B5AFF23" w14:textId="77777777" w:rsidR="00AC6D27" w:rsidRPr="00140685" w:rsidRDefault="00AC6D27" w:rsidP="00191F82">
            <w:pPr>
              <w:rPr>
                <w:rFonts w:eastAsiaTheme="minorEastAsia"/>
                <w:sz w:val="20"/>
                <w:lang w:eastAsia="en-US"/>
              </w:rPr>
            </w:pPr>
            <w:r w:rsidRPr="00140685">
              <w:rPr>
                <w:rFonts w:eastAsiaTheme="minorEastAsia"/>
                <w:color w:val="000000"/>
                <w:sz w:val="20"/>
                <w:lang w:eastAsia="en-US"/>
              </w:rPr>
              <w:t>Нефтегазовые доходы</w:t>
            </w:r>
          </w:p>
        </w:tc>
        <w:tc>
          <w:tcPr>
            <w:tcW w:w="667" w:type="pct"/>
            <w:shd w:val="clear" w:color="auto" w:fill="auto"/>
            <w:tcMar>
              <w:left w:w="57" w:type="dxa"/>
              <w:right w:w="57" w:type="dxa"/>
            </w:tcMar>
            <w:vAlign w:val="center"/>
          </w:tcPr>
          <w:p w14:paraId="0CFA96D8" w14:textId="77777777" w:rsidR="00AC6D27" w:rsidRPr="00140685" w:rsidRDefault="00AC6D27" w:rsidP="00191F82">
            <w:pPr>
              <w:jc w:val="center"/>
              <w:rPr>
                <w:rFonts w:eastAsiaTheme="minorEastAsia"/>
                <w:sz w:val="20"/>
                <w:lang w:eastAsia="en-US"/>
              </w:rPr>
            </w:pPr>
            <w:r>
              <w:rPr>
                <w:rFonts w:eastAsiaTheme="minorEastAsia"/>
                <w:sz w:val="20"/>
                <w:lang w:eastAsia="en-US"/>
              </w:rPr>
              <w:t>8 239,5</w:t>
            </w:r>
          </w:p>
        </w:tc>
        <w:tc>
          <w:tcPr>
            <w:tcW w:w="751" w:type="pct"/>
            <w:shd w:val="clear" w:color="auto" w:fill="auto"/>
            <w:tcMar>
              <w:left w:w="57" w:type="dxa"/>
              <w:right w:w="57" w:type="dxa"/>
            </w:tcMar>
            <w:vAlign w:val="center"/>
          </w:tcPr>
          <w:p w14:paraId="047987A2" w14:textId="77777777" w:rsidR="00AC6D27" w:rsidRPr="00140685" w:rsidRDefault="00AC6D27" w:rsidP="00191F82">
            <w:pPr>
              <w:jc w:val="center"/>
              <w:rPr>
                <w:rFonts w:eastAsiaTheme="minorEastAsia"/>
                <w:sz w:val="20"/>
                <w:lang w:eastAsia="en-US"/>
              </w:rPr>
            </w:pPr>
            <w:r>
              <w:rPr>
                <w:rFonts w:eastAsiaTheme="minorEastAsia"/>
                <w:sz w:val="20"/>
                <w:lang w:eastAsia="en-US"/>
              </w:rPr>
              <w:t>7 472,2</w:t>
            </w:r>
          </w:p>
        </w:tc>
        <w:tc>
          <w:tcPr>
            <w:tcW w:w="749" w:type="pct"/>
            <w:tcMar>
              <w:left w:w="57" w:type="dxa"/>
              <w:right w:w="57" w:type="dxa"/>
            </w:tcMar>
            <w:vAlign w:val="center"/>
          </w:tcPr>
          <w:p w14:paraId="4554F6F1" w14:textId="77777777" w:rsidR="00AC6D27" w:rsidRPr="00140685" w:rsidRDefault="00AC6D27" w:rsidP="00191F82">
            <w:pPr>
              <w:jc w:val="center"/>
              <w:rPr>
                <w:rFonts w:eastAsiaTheme="minorEastAsia"/>
                <w:sz w:val="20"/>
                <w:lang w:eastAsia="en-US"/>
              </w:rPr>
            </w:pPr>
            <w:r>
              <w:rPr>
                <w:rFonts w:eastAsiaTheme="minorEastAsia"/>
                <w:sz w:val="20"/>
                <w:lang w:eastAsia="en-US"/>
              </w:rPr>
              <w:t>7 679,4</w:t>
            </w:r>
          </w:p>
        </w:tc>
        <w:tc>
          <w:tcPr>
            <w:tcW w:w="750" w:type="pct"/>
            <w:shd w:val="clear" w:color="auto" w:fill="auto"/>
            <w:tcMar>
              <w:left w:w="57" w:type="dxa"/>
              <w:right w:w="57" w:type="dxa"/>
            </w:tcMar>
            <w:vAlign w:val="center"/>
          </w:tcPr>
          <w:p w14:paraId="67925204" w14:textId="77777777" w:rsidR="00AC6D27" w:rsidRPr="00140685" w:rsidRDefault="00AC6D27" w:rsidP="00191F82">
            <w:pPr>
              <w:jc w:val="center"/>
              <w:rPr>
                <w:rFonts w:eastAsiaTheme="minorEastAsia"/>
                <w:sz w:val="20"/>
                <w:lang w:eastAsia="en-US"/>
              </w:rPr>
            </w:pPr>
            <w:r>
              <w:rPr>
                <w:rFonts w:eastAsiaTheme="minorEastAsia"/>
                <w:sz w:val="20"/>
                <w:lang w:eastAsia="en-US"/>
              </w:rPr>
              <w:t>7 730,6</w:t>
            </w:r>
          </w:p>
        </w:tc>
      </w:tr>
      <w:tr w:rsidR="00AC6D27" w:rsidRPr="00140685" w14:paraId="08D5F547" w14:textId="77777777" w:rsidTr="00191F82">
        <w:trPr>
          <w:trHeight w:val="267"/>
          <w:jc w:val="center"/>
        </w:trPr>
        <w:tc>
          <w:tcPr>
            <w:tcW w:w="2083" w:type="pct"/>
            <w:shd w:val="clear" w:color="auto" w:fill="auto"/>
            <w:vAlign w:val="center"/>
          </w:tcPr>
          <w:p w14:paraId="77FFCF4E" w14:textId="77777777" w:rsidR="00AC6D27" w:rsidRPr="00140685" w:rsidRDefault="00AC6D27" w:rsidP="00191F82">
            <w:pPr>
              <w:rPr>
                <w:rFonts w:eastAsiaTheme="minorEastAsia"/>
                <w:sz w:val="20"/>
                <w:lang w:eastAsia="en-US"/>
              </w:rPr>
            </w:pPr>
            <w:r>
              <w:rPr>
                <w:rFonts w:eastAsiaTheme="minorEastAsia"/>
                <w:i/>
                <w:color w:val="000000"/>
                <w:sz w:val="20"/>
                <w:lang w:eastAsia="en-US"/>
              </w:rPr>
              <w:t xml:space="preserve">в </w:t>
            </w:r>
            <w:r w:rsidRPr="00140685">
              <w:rPr>
                <w:rFonts w:eastAsiaTheme="minorEastAsia"/>
                <w:i/>
                <w:color w:val="000000"/>
                <w:sz w:val="20"/>
                <w:lang w:eastAsia="en-US"/>
              </w:rPr>
              <w:t xml:space="preserve">% </w:t>
            </w:r>
            <w:r>
              <w:rPr>
                <w:rFonts w:eastAsiaTheme="minorEastAsia"/>
                <w:i/>
                <w:color w:val="000000"/>
                <w:sz w:val="20"/>
                <w:lang w:eastAsia="en-US"/>
              </w:rPr>
              <w:t xml:space="preserve">к </w:t>
            </w:r>
            <w:r w:rsidRPr="00140685">
              <w:rPr>
                <w:rFonts w:eastAsiaTheme="minorEastAsia"/>
                <w:i/>
                <w:color w:val="000000"/>
                <w:sz w:val="20"/>
                <w:lang w:eastAsia="en-US"/>
              </w:rPr>
              <w:t>ВВП</w:t>
            </w:r>
          </w:p>
        </w:tc>
        <w:tc>
          <w:tcPr>
            <w:tcW w:w="667" w:type="pct"/>
            <w:shd w:val="clear" w:color="auto" w:fill="auto"/>
            <w:tcMar>
              <w:left w:w="57" w:type="dxa"/>
              <w:right w:w="57" w:type="dxa"/>
            </w:tcMar>
            <w:vAlign w:val="center"/>
          </w:tcPr>
          <w:p w14:paraId="2BC0ED6E" w14:textId="77777777" w:rsidR="00AC6D27" w:rsidRPr="00140685" w:rsidRDefault="00AC6D27" w:rsidP="00191F82">
            <w:pPr>
              <w:jc w:val="center"/>
              <w:rPr>
                <w:rFonts w:eastAsiaTheme="minorEastAsia"/>
                <w:i/>
                <w:sz w:val="20"/>
                <w:lang w:eastAsia="en-US"/>
              </w:rPr>
            </w:pPr>
            <w:r>
              <w:rPr>
                <w:rFonts w:eastAsiaTheme="minorEastAsia"/>
                <w:i/>
                <w:sz w:val="20"/>
                <w:lang w:eastAsia="en-US"/>
              </w:rPr>
              <w:t>7,6</w:t>
            </w:r>
          </w:p>
        </w:tc>
        <w:tc>
          <w:tcPr>
            <w:tcW w:w="751" w:type="pct"/>
            <w:shd w:val="clear" w:color="auto" w:fill="auto"/>
            <w:tcMar>
              <w:left w:w="57" w:type="dxa"/>
              <w:right w:w="57" w:type="dxa"/>
            </w:tcMar>
            <w:vAlign w:val="center"/>
          </w:tcPr>
          <w:p w14:paraId="236165D0" w14:textId="77777777" w:rsidR="00AC6D27" w:rsidRPr="00140685" w:rsidRDefault="00AC6D27" w:rsidP="00191F82">
            <w:pPr>
              <w:jc w:val="center"/>
              <w:rPr>
                <w:rFonts w:eastAsiaTheme="minorEastAsia"/>
                <w:i/>
                <w:sz w:val="20"/>
                <w:lang w:eastAsia="en-US"/>
              </w:rPr>
            </w:pPr>
            <w:r>
              <w:rPr>
                <w:rFonts w:eastAsiaTheme="minorEastAsia"/>
                <w:i/>
                <w:sz w:val="20"/>
                <w:lang w:eastAsia="en-US"/>
              </w:rPr>
              <w:t>6,6</w:t>
            </w:r>
          </w:p>
        </w:tc>
        <w:tc>
          <w:tcPr>
            <w:tcW w:w="749" w:type="pct"/>
            <w:tcMar>
              <w:left w:w="57" w:type="dxa"/>
              <w:right w:w="57" w:type="dxa"/>
            </w:tcMar>
            <w:vAlign w:val="center"/>
          </w:tcPr>
          <w:p w14:paraId="6A8B8FA9" w14:textId="77777777" w:rsidR="00AC6D27" w:rsidRPr="00140685" w:rsidRDefault="00AC6D27" w:rsidP="00191F82">
            <w:pPr>
              <w:jc w:val="center"/>
              <w:rPr>
                <w:rFonts w:eastAsiaTheme="minorEastAsia"/>
                <w:i/>
                <w:sz w:val="20"/>
                <w:lang w:eastAsia="en-US"/>
              </w:rPr>
            </w:pPr>
            <w:r>
              <w:rPr>
                <w:rFonts w:eastAsiaTheme="minorEastAsia"/>
                <w:i/>
                <w:sz w:val="20"/>
                <w:lang w:eastAsia="en-US"/>
              </w:rPr>
              <w:t>6,4</w:t>
            </w:r>
          </w:p>
        </w:tc>
        <w:tc>
          <w:tcPr>
            <w:tcW w:w="750" w:type="pct"/>
            <w:shd w:val="clear" w:color="auto" w:fill="auto"/>
            <w:tcMar>
              <w:left w:w="57" w:type="dxa"/>
              <w:right w:w="57" w:type="dxa"/>
            </w:tcMar>
            <w:vAlign w:val="center"/>
          </w:tcPr>
          <w:p w14:paraId="071341F5" w14:textId="77777777" w:rsidR="00AC6D27" w:rsidRPr="00140685" w:rsidRDefault="00AC6D27" w:rsidP="00191F82">
            <w:pPr>
              <w:jc w:val="center"/>
              <w:rPr>
                <w:rFonts w:eastAsiaTheme="minorEastAsia"/>
                <w:i/>
                <w:sz w:val="20"/>
                <w:lang w:eastAsia="en-US"/>
              </w:rPr>
            </w:pPr>
            <w:r>
              <w:rPr>
                <w:rFonts w:eastAsiaTheme="minorEastAsia"/>
                <w:i/>
                <w:sz w:val="20"/>
                <w:lang w:eastAsia="en-US"/>
              </w:rPr>
              <w:t>6,0</w:t>
            </w:r>
          </w:p>
        </w:tc>
      </w:tr>
      <w:tr w:rsidR="00AC6D27" w:rsidRPr="00140685" w14:paraId="01024DBA" w14:textId="77777777" w:rsidTr="00191F82">
        <w:trPr>
          <w:trHeight w:val="267"/>
          <w:jc w:val="center"/>
        </w:trPr>
        <w:tc>
          <w:tcPr>
            <w:tcW w:w="2083" w:type="pct"/>
            <w:shd w:val="clear" w:color="auto" w:fill="auto"/>
            <w:vAlign w:val="center"/>
          </w:tcPr>
          <w:p w14:paraId="132F4AC9" w14:textId="77777777" w:rsidR="00AC6D27" w:rsidRDefault="00AC6D27" w:rsidP="00191F82">
            <w:pPr>
              <w:rPr>
                <w:rFonts w:eastAsiaTheme="minorEastAsia"/>
                <w:i/>
                <w:color w:val="000000"/>
                <w:sz w:val="20"/>
                <w:lang w:eastAsia="en-US"/>
              </w:rPr>
            </w:pPr>
            <w:r>
              <w:rPr>
                <w:rFonts w:eastAsiaTheme="minorEastAsia"/>
                <w:i/>
                <w:color w:val="000000"/>
                <w:sz w:val="20"/>
                <w:lang w:eastAsia="en-US"/>
              </w:rPr>
              <w:t xml:space="preserve"> - в том числе</w:t>
            </w:r>
          </w:p>
        </w:tc>
        <w:tc>
          <w:tcPr>
            <w:tcW w:w="667" w:type="pct"/>
            <w:shd w:val="clear" w:color="auto" w:fill="auto"/>
            <w:tcMar>
              <w:left w:w="57" w:type="dxa"/>
              <w:right w:w="57" w:type="dxa"/>
            </w:tcMar>
            <w:vAlign w:val="center"/>
          </w:tcPr>
          <w:p w14:paraId="1854B805" w14:textId="77777777" w:rsidR="00AC6D27" w:rsidRDefault="00AC6D27" w:rsidP="00191F82">
            <w:pPr>
              <w:jc w:val="center"/>
              <w:rPr>
                <w:rFonts w:eastAsiaTheme="minorEastAsia"/>
                <w:i/>
                <w:sz w:val="20"/>
                <w:lang w:eastAsia="en-US"/>
              </w:rPr>
            </w:pPr>
          </w:p>
        </w:tc>
        <w:tc>
          <w:tcPr>
            <w:tcW w:w="751" w:type="pct"/>
            <w:shd w:val="clear" w:color="auto" w:fill="auto"/>
            <w:tcMar>
              <w:left w:w="57" w:type="dxa"/>
              <w:right w:w="57" w:type="dxa"/>
            </w:tcMar>
            <w:vAlign w:val="center"/>
          </w:tcPr>
          <w:p w14:paraId="052457BC" w14:textId="77777777" w:rsidR="00AC6D27" w:rsidRPr="00140685" w:rsidRDefault="00AC6D27" w:rsidP="00191F82">
            <w:pPr>
              <w:jc w:val="center"/>
              <w:rPr>
                <w:rFonts w:eastAsiaTheme="minorEastAsia"/>
                <w:i/>
                <w:sz w:val="20"/>
                <w:lang w:eastAsia="en-US"/>
              </w:rPr>
            </w:pPr>
          </w:p>
        </w:tc>
        <w:tc>
          <w:tcPr>
            <w:tcW w:w="749" w:type="pct"/>
            <w:tcMar>
              <w:left w:w="57" w:type="dxa"/>
              <w:right w:w="57" w:type="dxa"/>
            </w:tcMar>
            <w:vAlign w:val="center"/>
          </w:tcPr>
          <w:p w14:paraId="5E467873" w14:textId="77777777" w:rsidR="00AC6D27" w:rsidRPr="00140685" w:rsidRDefault="00AC6D27" w:rsidP="00191F82">
            <w:pPr>
              <w:jc w:val="center"/>
              <w:rPr>
                <w:rFonts w:eastAsiaTheme="minorEastAsia"/>
                <w:i/>
                <w:sz w:val="20"/>
                <w:lang w:eastAsia="en-US"/>
              </w:rPr>
            </w:pPr>
          </w:p>
        </w:tc>
        <w:tc>
          <w:tcPr>
            <w:tcW w:w="750" w:type="pct"/>
            <w:shd w:val="clear" w:color="auto" w:fill="auto"/>
            <w:tcMar>
              <w:left w:w="57" w:type="dxa"/>
              <w:right w:w="57" w:type="dxa"/>
            </w:tcMar>
            <w:vAlign w:val="center"/>
          </w:tcPr>
          <w:p w14:paraId="5087B39C" w14:textId="77777777" w:rsidR="00AC6D27" w:rsidRPr="00140685" w:rsidRDefault="00AC6D27" w:rsidP="00191F82">
            <w:pPr>
              <w:jc w:val="center"/>
              <w:rPr>
                <w:rFonts w:eastAsiaTheme="minorEastAsia"/>
                <w:i/>
                <w:sz w:val="20"/>
                <w:lang w:eastAsia="en-US"/>
              </w:rPr>
            </w:pPr>
          </w:p>
        </w:tc>
      </w:tr>
      <w:tr w:rsidR="00AC6D27" w:rsidRPr="00140685" w14:paraId="5E27263D" w14:textId="77777777" w:rsidTr="00191F82">
        <w:trPr>
          <w:trHeight w:val="267"/>
          <w:jc w:val="center"/>
        </w:trPr>
        <w:tc>
          <w:tcPr>
            <w:tcW w:w="2083" w:type="pct"/>
            <w:shd w:val="clear" w:color="auto" w:fill="auto"/>
            <w:vAlign w:val="center"/>
          </w:tcPr>
          <w:p w14:paraId="506C9B2E" w14:textId="77777777" w:rsidR="00AC6D27" w:rsidRPr="00D20153" w:rsidRDefault="00AC6D27" w:rsidP="00191F82">
            <w:pPr>
              <w:rPr>
                <w:rFonts w:eastAsiaTheme="minorEastAsia"/>
                <w:color w:val="000000"/>
                <w:sz w:val="20"/>
                <w:lang w:eastAsia="en-US"/>
              </w:rPr>
            </w:pPr>
            <w:r>
              <w:rPr>
                <w:rFonts w:eastAsiaTheme="minorEastAsia"/>
                <w:color w:val="000000"/>
                <w:sz w:val="20"/>
                <w:lang w:eastAsia="en-US"/>
              </w:rPr>
              <w:t xml:space="preserve">    Б</w:t>
            </w:r>
            <w:r w:rsidRPr="00D20153">
              <w:rPr>
                <w:rFonts w:eastAsiaTheme="minorEastAsia"/>
                <w:color w:val="000000"/>
                <w:sz w:val="20"/>
                <w:lang w:eastAsia="en-US"/>
              </w:rPr>
              <w:t>азовые нефтегазовые доходы</w:t>
            </w:r>
          </w:p>
        </w:tc>
        <w:tc>
          <w:tcPr>
            <w:tcW w:w="667" w:type="pct"/>
            <w:shd w:val="clear" w:color="auto" w:fill="auto"/>
            <w:tcMar>
              <w:left w:w="57" w:type="dxa"/>
              <w:right w:w="57" w:type="dxa"/>
            </w:tcMar>
            <w:vAlign w:val="center"/>
          </w:tcPr>
          <w:p w14:paraId="718A1FE8" w14:textId="77777777" w:rsidR="00AC6D27" w:rsidRPr="00D20153" w:rsidRDefault="00AC6D27" w:rsidP="00191F82">
            <w:pPr>
              <w:jc w:val="center"/>
              <w:rPr>
                <w:rFonts w:eastAsiaTheme="minorEastAsia"/>
                <w:sz w:val="20"/>
                <w:lang w:eastAsia="en-US"/>
              </w:rPr>
            </w:pPr>
            <w:r w:rsidRPr="00D20153">
              <w:rPr>
                <w:rFonts w:eastAsiaTheme="minorEastAsia"/>
                <w:sz w:val="20"/>
                <w:lang w:eastAsia="en-US"/>
              </w:rPr>
              <w:t>5 062,5</w:t>
            </w:r>
          </w:p>
        </w:tc>
        <w:tc>
          <w:tcPr>
            <w:tcW w:w="751" w:type="pct"/>
            <w:shd w:val="clear" w:color="auto" w:fill="auto"/>
            <w:tcMar>
              <w:left w:w="57" w:type="dxa"/>
              <w:right w:w="57" w:type="dxa"/>
            </w:tcMar>
            <w:vAlign w:val="center"/>
          </w:tcPr>
          <w:p w14:paraId="5AF6F7AC" w14:textId="77777777" w:rsidR="00AC6D27" w:rsidRPr="00D20153" w:rsidRDefault="00AC6D27" w:rsidP="00191F82">
            <w:pPr>
              <w:jc w:val="center"/>
              <w:rPr>
                <w:rFonts w:eastAsiaTheme="minorEastAsia"/>
                <w:sz w:val="20"/>
                <w:lang w:eastAsia="en-US"/>
              </w:rPr>
            </w:pPr>
            <w:r w:rsidRPr="00D20153">
              <w:rPr>
                <w:rFonts w:eastAsiaTheme="minorEastAsia"/>
                <w:sz w:val="20"/>
                <w:lang w:eastAsia="en-US"/>
              </w:rPr>
              <w:t>5 139,3</w:t>
            </w:r>
          </w:p>
        </w:tc>
        <w:tc>
          <w:tcPr>
            <w:tcW w:w="749" w:type="pct"/>
            <w:tcMar>
              <w:left w:w="57" w:type="dxa"/>
              <w:right w:w="57" w:type="dxa"/>
            </w:tcMar>
            <w:vAlign w:val="center"/>
          </w:tcPr>
          <w:p w14:paraId="4F886D01" w14:textId="77777777" w:rsidR="00AC6D27" w:rsidRPr="00D20153" w:rsidRDefault="00AC6D27" w:rsidP="00191F82">
            <w:pPr>
              <w:jc w:val="center"/>
              <w:rPr>
                <w:rFonts w:eastAsiaTheme="minorEastAsia"/>
                <w:sz w:val="20"/>
                <w:lang w:eastAsia="en-US"/>
              </w:rPr>
            </w:pPr>
            <w:r>
              <w:rPr>
                <w:rFonts w:eastAsiaTheme="minorEastAsia"/>
                <w:sz w:val="20"/>
                <w:lang w:eastAsia="en-US"/>
              </w:rPr>
              <w:t>5 444,9</w:t>
            </w:r>
          </w:p>
        </w:tc>
        <w:tc>
          <w:tcPr>
            <w:tcW w:w="750" w:type="pct"/>
            <w:shd w:val="clear" w:color="auto" w:fill="auto"/>
            <w:tcMar>
              <w:left w:w="57" w:type="dxa"/>
              <w:right w:w="57" w:type="dxa"/>
            </w:tcMar>
            <w:vAlign w:val="center"/>
          </w:tcPr>
          <w:p w14:paraId="3FCAB24E" w14:textId="77777777" w:rsidR="00AC6D27" w:rsidRPr="00D20153" w:rsidRDefault="00AC6D27" w:rsidP="00191F82">
            <w:pPr>
              <w:jc w:val="center"/>
              <w:rPr>
                <w:rFonts w:eastAsiaTheme="minorEastAsia"/>
                <w:sz w:val="20"/>
                <w:lang w:eastAsia="en-US"/>
              </w:rPr>
            </w:pPr>
            <w:r>
              <w:rPr>
                <w:rFonts w:eastAsiaTheme="minorEastAsia"/>
                <w:sz w:val="20"/>
                <w:lang w:eastAsia="en-US"/>
              </w:rPr>
              <w:t>5 695,0</w:t>
            </w:r>
          </w:p>
        </w:tc>
      </w:tr>
      <w:tr w:rsidR="00AC6D27" w:rsidRPr="00140685" w14:paraId="425913E9" w14:textId="77777777" w:rsidTr="00191F82">
        <w:trPr>
          <w:trHeight w:val="267"/>
          <w:jc w:val="center"/>
        </w:trPr>
        <w:tc>
          <w:tcPr>
            <w:tcW w:w="2083" w:type="pct"/>
            <w:shd w:val="clear" w:color="auto" w:fill="auto"/>
            <w:vAlign w:val="center"/>
          </w:tcPr>
          <w:p w14:paraId="1EF2CC14" w14:textId="77777777" w:rsidR="00AC6D27" w:rsidRDefault="00AC6D27" w:rsidP="00191F82">
            <w:pPr>
              <w:rPr>
                <w:rFonts w:eastAsiaTheme="minorEastAsia"/>
                <w:i/>
                <w:color w:val="000000"/>
                <w:sz w:val="20"/>
                <w:lang w:eastAsia="en-US"/>
              </w:rPr>
            </w:pPr>
            <w:r>
              <w:rPr>
                <w:rFonts w:eastAsiaTheme="minorEastAsia"/>
                <w:i/>
                <w:color w:val="000000"/>
                <w:sz w:val="20"/>
                <w:lang w:eastAsia="en-US"/>
              </w:rPr>
              <w:t xml:space="preserve">    в % к ВВП  </w:t>
            </w:r>
          </w:p>
        </w:tc>
        <w:tc>
          <w:tcPr>
            <w:tcW w:w="667" w:type="pct"/>
            <w:shd w:val="clear" w:color="auto" w:fill="auto"/>
            <w:tcMar>
              <w:left w:w="57" w:type="dxa"/>
              <w:right w:w="57" w:type="dxa"/>
            </w:tcMar>
            <w:vAlign w:val="center"/>
          </w:tcPr>
          <w:p w14:paraId="638BCD8A" w14:textId="77777777" w:rsidR="00AC6D27" w:rsidRDefault="00AC6D27" w:rsidP="00191F82">
            <w:pPr>
              <w:jc w:val="center"/>
              <w:rPr>
                <w:rFonts w:eastAsiaTheme="minorEastAsia"/>
                <w:i/>
                <w:sz w:val="20"/>
                <w:lang w:eastAsia="en-US"/>
              </w:rPr>
            </w:pPr>
            <w:r>
              <w:rPr>
                <w:rFonts w:eastAsiaTheme="minorEastAsia"/>
                <w:i/>
                <w:sz w:val="20"/>
                <w:lang w:eastAsia="en-US"/>
              </w:rPr>
              <w:t>4,6</w:t>
            </w:r>
          </w:p>
        </w:tc>
        <w:tc>
          <w:tcPr>
            <w:tcW w:w="751" w:type="pct"/>
            <w:shd w:val="clear" w:color="auto" w:fill="auto"/>
            <w:tcMar>
              <w:left w:w="57" w:type="dxa"/>
              <w:right w:w="57" w:type="dxa"/>
            </w:tcMar>
            <w:vAlign w:val="center"/>
          </w:tcPr>
          <w:p w14:paraId="055922C5" w14:textId="77777777" w:rsidR="00AC6D27" w:rsidRPr="00140685" w:rsidRDefault="00AC6D27" w:rsidP="00191F82">
            <w:pPr>
              <w:jc w:val="center"/>
              <w:rPr>
                <w:rFonts w:eastAsiaTheme="minorEastAsia"/>
                <w:i/>
                <w:sz w:val="20"/>
                <w:lang w:eastAsia="en-US"/>
              </w:rPr>
            </w:pPr>
            <w:r>
              <w:rPr>
                <w:rFonts w:eastAsiaTheme="minorEastAsia"/>
                <w:i/>
                <w:sz w:val="20"/>
                <w:lang w:eastAsia="en-US"/>
              </w:rPr>
              <w:t>4,6</w:t>
            </w:r>
          </w:p>
        </w:tc>
        <w:tc>
          <w:tcPr>
            <w:tcW w:w="749" w:type="pct"/>
            <w:tcMar>
              <w:left w:w="57" w:type="dxa"/>
              <w:right w:w="57" w:type="dxa"/>
            </w:tcMar>
            <w:vAlign w:val="center"/>
          </w:tcPr>
          <w:p w14:paraId="479787CE" w14:textId="77777777" w:rsidR="00AC6D27" w:rsidRPr="00140685" w:rsidRDefault="00AC6D27" w:rsidP="00191F82">
            <w:pPr>
              <w:jc w:val="center"/>
              <w:rPr>
                <w:rFonts w:eastAsiaTheme="minorEastAsia"/>
                <w:i/>
                <w:sz w:val="20"/>
                <w:lang w:eastAsia="en-US"/>
              </w:rPr>
            </w:pPr>
            <w:r>
              <w:rPr>
                <w:rFonts w:eastAsiaTheme="minorEastAsia"/>
                <w:i/>
                <w:sz w:val="20"/>
                <w:lang w:eastAsia="en-US"/>
              </w:rPr>
              <w:t>4,5</w:t>
            </w:r>
          </w:p>
        </w:tc>
        <w:tc>
          <w:tcPr>
            <w:tcW w:w="750" w:type="pct"/>
            <w:shd w:val="clear" w:color="auto" w:fill="auto"/>
            <w:tcMar>
              <w:left w:w="57" w:type="dxa"/>
              <w:right w:w="57" w:type="dxa"/>
            </w:tcMar>
            <w:vAlign w:val="center"/>
          </w:tcPr>
          <w:p w14:paraId="1B41B212" w14:textId="77777777" w:rsidR="00AC6D27" w:rsidRPr="00140685" w:rsidRDefault="00AC6D27" w:rsidP="00191F82">
            <w:pPr>
              <w:jc w:val="center"/>
              <w:rPr>
                <w:rFonts w:eastAsiaTheme="minorEastAsia"/>
                <w:i/>
                <w:sz w:val="20"/>
                <w:lang w:eastAsia="en-US"/>
              </w:rPr>
            </w:pPr>
            <w:r>
              <w:rPr>
                <w:rFonts w:eastAsiaTheme="minorEastAsia"/>
                <w:i/>
                <w:sz w:val="20"/>
                <w:lang w:eastAsia="en-US"/>
              </w:rPr>
              <w:t>4,4</w:t>
            </w:r>
          </w:p>
        </w:tc>
      </w:tr>
      <w:tr w:rsidR="00AC6D27" w:rsidRPr="00140685" w14:paraId="092030E0" w14:textId="77777777" w:rsidTr="00191F82">
        <w:trPr>
          <w:trHeight w:val="267"/>
          <w:jc w:val="center"/>
        </w:trPr>
        <w:tc>
          <w:tcPr>
            <w:tcW w:w="2083" w:type="pct"/>
            <w:shd w:val="clear" w:color="auto" w:fill="auto"/>
            <w:vAlign w:val="center"/>
          </w:tcPr>
          <w:p w14:paraId="6E5DB466" w14:textId="77777777" w:rsidR="00AC6D27" w:rsidRPr="00140685" w:rsidRDefault="00AC6D27" w:rsidP="00191F82">
            <w:pPr>
              <w:rPr>
                <w:rFonts w:eastAsiaTheme="minorEastAsia"/>
                <w:sz w:val="20"/>
                <w:lang w:eastAsia="en-US"/>
              </w:rPr>
            </w:pPr>
            <w:r w:rsidRPr="00140685">
              <w:rPr>
                <w:rFonts w:eastAsiaTheme="minorEastAsia"/>
                <w:color w:val="000000"/>
                <w:sz w:val="20"/>
                <w:lang w:eastAsia="en-US"/>
              </w:rPr>
              <w:t>Ненефтегазовые доходы</w:t>
            </w:r>
          </w:p>
        </w:tc>
        <w:tc>
          <w:tcPr>
            <w:tcW w:w="667" w:type="pct"/>
            <w:shd w:val="clear" w:color="auto" w:fill="auto"/>
            <w:tcMar>
              <w:left w:w="57" w:type="dxa"/>
              <w:right w:w="57" w:type="dxa"/>
            </w:tcMar>
            <w:vAlign w:val="center"/>
          </w:tcPr>
          <w:p w14:paraId="1BDE9655" w14:textId="77777777" w:rsidR="00AC6D27" w:rsidRPr="00140685" w:rsidRDefault="00AC6D27" w:rsidP="00191F82">
            <w:pPr>
              <w:jc w:val="center"/>
              <w:rPr>
                <w:rFonts w:eastAsiaTheme="minorEastAsia"/>
                <w:sz w:val="20"/>
                <w:lang w:eastAsia="en-US"/>
              </w:rPr>
            </w:pPr>
            <w:r>
              <w:rPr>
                <w:rFonts w:eastAsiaTheme="minorEastAsia"/>
                <w:sz w:val="20"/>
                <w:lang w:eastAsia="en-US"/>
              </w:rPr>
              <w:t>11 935,5</w:t>
            </w:r>
          </w:p>
        </w:tc>
        <w:tc>
          <w:tcPr>
            <w:tcW w:w="751" w:type="pct"/>
            <w:shd w:val="clear" w:color="auto" w:fill="auto"/>
            <w:tcMar>
              <w:left w:w="57" w:type="dxa"/>
              <w:right w:w="57" w:type="dxa"/>
            </w:tcMar>
            <w:vAlign w:val="center"/>
          </w:tcPr>
          <w:p w14:paraId="4539F64C" w14:textId="77777777" w:rsidR="00AC6D27" w:rsidRPr="00140685" w:rsidRDefault="00AC6D27" w:rsidP="00191F82">
            <w:pPr>
              <w:jc w:val="center"/>
              <w:rPr>
                <w:rFonts w:eastAsiaTheme="minorEastAsia"/>
                <w:sz w:val="20"/>
                <w:lang w:eastAsia="en-US"/>
              </w:rPr>
            </w:pPr>
            <w:r>
              <w:rPr>
                <w:rFonts w:eastAsiaTheme="minorEastAsia"/>
                <w:sz w:val="20"/>
                <w:lang w:eastAsia="en-US"/>
              </w:rPr>
              <w:t>12 907,1</w:t>
            </w:r>
          </w:p>
        </w:tc>
        <w:tc>
          <w:tcPr>
            <w:tcW w:w="749" w:type="pct"/>
            <w:tcMar>
              <w:left w:w="57" w:type="dxa"/>
              <w:right w:w="57" w:type="dxa"/>
            </w:tcMar>
            <w:vAlign w:val="center"/>
          </w:tcPr>
          <w:p w14:paraId="5BAA9D05" w14:textId="77777777" w:rsidR="00AC6D27" w:rsidRPr="00140685" w:rsidRDefault="00AC6D27" w:rsidP="00191F82">
            <w:pPr>
              <w:jc w:val="center"/>
              <w:rPr>
                <w:rFonts w:eastAsiaTheme="minorEastAsia"/>
                <w:sz w:val="20"/>
                <w:lang w:eastAsia="en-US"/>
              </w:rPr>
            </w:pPr>
            <w:r>
              <w:rPr>
                <w:rFonts w:eastAsiaTheme="minorEastAsia"/>
                <w:sz w:val="20"/>
                <w:lang w:eastAsia="en-US"/>
              </w:rPr>
              <w:t>13 367,1</w:t>
            </w:r>
          </w:p>
        </w:tc>
        <w:tc>
          <w:tcPr>
            <w:tcW w:w="750" w:type="pct"/>
            <w:shd w:val="clear" w:color="auto" w:fill="auto"/>
            <w:tcMar>
              <w:left w:w="57" w:type="dxa"/>
              <w:right w:w="57" w:type="dxa"/>
            </w:tcMar>
            <w:vAlign w:val="center"/>
          </w:tcPr>
          <w:p w14:paraId="3B56B9BC" w14:textId="77777777" w:rsidR="00AC6D27" w:rsidRPr="00140685" w:rsidRDefault="00AC6D27" w:rsidP="00191F82">
            <w:pPr>
              <w:jc w:val="center"/>
              <w:rPr>
                <w:rFonts w:eastAsiaTheme="minorEastAsia"/>
                <w:sz w:val="20"/>
                <w:lang w:eastAsia="en-US"/>
              </w:rPr>
            </w:pPr>
            <w:r>
              <w:rPr>
                <w:rFonts w:eastAsiaTheme="minorEastAsia"/>
                <w:sz w:val="20"/>
                <w:lang w:eastAsia="en-US"/>
              </w:rPr>
              <w:t>14 327,6</w:t>
            </w:r>
          </w:p>
        </w:tc>
      </w:tr>
      <w:tr w:rsidR="00AC6D27" w:rsidRPr="00140685" w14:paraId="7F196980" w14:textId="77777777" w:rsidTr="00191F82">
        <w:trPr>
          <w:trHeight w:val="267"/>
          <w:jc w:val="center"/>
        </w:trPr>
        <w:tc>
          <w:tcPr>
            <w:tcW w:w="2083" w:type="pct"/>
            <w:shd w:val="clear" w:color="auto" w:fill="auto"/>
            <w:vAlign w:val="center"/>
          </w:tcPr>
          <w:p w14:paraId="32FFB11B" w14:textId="77777777" w:rsidR="00AC6D27" w:rsidRPr="00140685" w:rsidRDefault="00AC6D27" w:rsidP="00191F82">
            <w:pPr>
              <w:rPr>
                <w:rFonts w:eastAsiaTheme="minorEastAsia"/>
                <w:sz w:val="20"/>
                <w:lang w:eastAsia="en-US"/>
              </w:rPr>
            </w:pPr>
            <w:r>
              <w:rPr>
                <w:rFonts w:eastAsiaTheme="minorEastAsia"/>
                <w:i/>
                <w:color w:val="000000"/>
                <w:sz w:val="20"/>
                <w:lang w:eastAsia="en-US"/>
              </w:rPr>
              <w:t xml:space="preserve">в </w:t>
            </w:r>
            <w:r w:rsidRPr="00140685">
              <w:rPr>
                <w:rFonts w:eastAsiaTheme="minorEastAsia"/>
                <w:i/>
                <w:color w:val="000000"/>
                <w:sz w:val="20"/>
                <w:lang w:eastAsia="en-US"/>
              </w:rPr>
              <w:t xml:space="preserve">% </w:t>
            </w:r>
            <w:r>
              <w:rPr>
                <w:rFonts w:eastAsiaTheme="minorEastAsia"/>
                <w:i/>
                <w:color w:val="000000"/>
                <w:sz w:val="20"/>
                <w:lang w:eastAsia="en-US"/>
              </w:rPr>
              <w:t xml:space="preserve">к </w:t>
            </w:r>
            <w:r w:rsidRPr="00140685">
              <w:rPr>
                <w:rFonts w:eastAsiaTheme="minorEastAsia"/>
                <w:i/>
                <w:color w:val="000000"/>
                <w:sz w:val="20"/>
                <w:lang w:eastAsia="en-US"/>
              </w:rPr>
              <w:t>ВВП</w:t>
            </w:r>
          </w:p>
        </w:tc>
        <w:tc>
          <w:tcPr>
            <w:tcW w:w="667" w:type="pct"/>
            <w:shd w:val="clear" w:color="auto" w:fill="auto"/>
            <w:tcMar>
              <w:left w:w="57" w:type="dxa"/>
              <w:right w:w="57" w:type="dxa"/>
            </w:tcMar>
            <w:vAlign w:val="center"/>
          </w:tcPr>
          <w:p w14:paraId="163A2756" w14:textId="77777777" w:rsidR="00AC6D27" w:rsidRPr="00140685" w:rsidRDefault="00AC6D27" w:rsidP="00191F82">
            <w:pPr>
              <w:jc w:val="center"/>
              <w:rPr>
                <w:rFonts w:eastAsiaTheme="minorEastAsia"/>
                <w:i/>
                <w:sz w:val="20"/>
                <w:lang w:eastAsia="en-US"/>
              </w:rPr>
            </w:pPr>
            <w:r>
              <w:rPr>
                <w:rFonts w:eastAsiaTheme="minorEastAsia"/>
                <w:i/>
                <w:sz w:val="20"/>
                <w:lang w:eastAsia="en-US"/>
              </w:rPr>
              <w:t>10,9</w:t>
            </w:r>
          </w:p>
        </w:tc>
        <w:tc>
          <w:tcPr>
            <w:tcW w:w="751" w:type="pct"/>
            <w:shd w:val="clear" w:color="auto" w:fill="auto"/>
            <w:tcMar>
              <w:left w:w="57" w:type="dxa"/>
              <w:right w:w="57" w:type="dxa"/>
            </w:tcMar>
            <w:vAlign w:val="center"/>
          </w:tcPr>
          <w:p w14:paraId="5003CF81" w14:textId="77777777" w:rsidR="00AC6D27" w:rsidRPr="00140685" w:rsidRDefault="00AC6D27" w:rsidP="00191F82">
            <w:pPr>
              <w:jc w:val="center"/>
              <w:rPr>
                <w:rFonts w:eastAsiaTheme="minorEastAsia"/>
                <w:i/>
                <w:sz w:val="20"/>
                <w:lang w:eastAsia="en-US"/>
              </w:rPr>
            </w:pPr>
            <w:r>
              <w:rPr>
                <w:rFonts w:eastAsiaTheme="minorEastAsia"/>
                <w:i/>
                <w:sz w:val="20"/>
                <w:lang w:eastAsia="en-US"/>
              </w:rPr>
              <w:t>11,4</w:t>
            </w:r>
          </w:p>
        </w:tc>
        <w:tc>
          <w:tcPr>
            <w:tcW w:w="749" w:type="pct"/>
            <w:tcMar>
              <w:left w:w="57" w:type="dxa"/>
              <w:right w:w="57" w:type="dxa"/>
            </w:tcMar>
            <w:vAlign w:val="center"/>
          </w:tcPr>
          <w:p w14:paraId="3D3C69B8" w14:textId="77777777" w:rsidR="00AC6D27" w:rsidRPr="00140685" w:rsidRDefault="00AC6D27" w:rsidP="00191F82">
            <w:pPr>
              <w:jc w:val="center"/>
              <w:rPr>
                <w:rFonts w:eastAsiaTheme="minorEastAsia"/>
                <w:i/>
                <w:sz w:val="20"/>
                <w:lang w:eastAsia="en-US"/>
              </w:rPr>
            </w:pPr>
            <w:r>
              <w:rPr>
                <w:rFonts w:eastAsiaTheme="minorEastAsia"/>
                <w:i/>
                <w:sz w:val="20"/>
                <w:lang w:eastAsia="en-US"/>
              </w:rPr>
              <w:t>11,3</w:t>
            </w:r>
          </w:p>
        </w:tc>
        <w:tc>
          <w:tcPr>
            <w:tcW w:w="750" w:type="pct"/>
            <w:shd w:val="clear" w:color="auto" w:fill="auto"/>
            <w:tcMar>
              <w:left w:w="57" w:type="dxa"/>
              <w:right w:w="57" w:type="dxa"/>
            </w:tcMar>
            <w:vAlign w:val="center"/>
          </w:tcPr>
          <w:p w14:paraId="51B09A39" w14:textId="77777777" w:rsidR="00AC6D27" w:rsidRPr="00140685" w:rsidRDefault="00AC6D27" w:rsidP="00191F82">
            <w:pPr>
              <w:jc w:val="center"/>
              <w:rPr>
                <w:rFonts w:eastAsiaTheme="minorEastAsia"/>
                <w:i/>
                <w:sz w:val="20"/>
                <w:lang w:eastAsia="en-US"/>
              </w:rPr>
            </w:pPr>
            <w:r>
              <w:rPr>
                <w:rFonts w:eastAsiaTheme="minorEastAsia"/>
                <w:i/>
                <w:sz w:val="20"/>
                <w:lang w:eastAsia="en-US"/>
              </w:rPr>
              <w:t>11,1</w:t>
            </w:r>
          </w:p>
        </w:tc>
      </w:tr>
      <w:tr w:rsidR="00AC6D27" w:rsidRPr="00140685" w14:paraId="5C7CFA5D" w14:textId="77777777" w:rsidTr="00191F82">
        <w:trPr>
          <w:trHeight w:val="267"/>
          <w:jc w:val="center"/>
        </w:trPr>
        <w:tc>
          <w:tcPr>
            <w:tcW w:w="2083" w:type="pct"/>
            <w:shd w:val="clear" w:color="auto" w:fill="auto"/>
            <w:vAlign w:val="center"/>
          </w:tcPr>
          <w:p w14:paraId="0CF149D1" w14:textId="77777777" w:rsidR="00AC6D27" w:rsidRPr="00140685" w:rsidRDefault="00AC6D27" w:rsidP="00191F82">
            <w:pPr>
              <w:rPr>
                <w:rFonts w:eastAsiaTheme="minorEastAsia"/>
                <w:b/>
                <w:sz w:val="20"/>
                <w:lang w:eastAsia="en-US"/>
              </w:rPr>
            </w:pPr>
            <w:r w:rsidRPr="00140685">
              <w:rPr>
                <w:rFonts w:eastAsiaTheme="minorEastAsia"/>
                <w:b/>
                <w:sz w:val="20"/>
                <w:lang w:eastAsia="en-US"/>
              </w:rPr>
              <w:t xml:space="preserve">Расходы, всего </w:t>
            </w:r>
          </w:p>
        </w:tc>
        <w:tc>
          <w:tcPr>
            <w:tcW w:w="667" w:type="pct"/>
            <w:shd w:val="clear" w:color="auto" w:fill="auto"/>
            <w:tcMar>
              <w:left w:w="57" w:type="dxa"/>
              <w:right w:w="57" w:type="dxa"/>
            </w:tcMar>
            <w:vAlign w:val="center"/>
          </w:tcPr>
          <w:p w14:paraId="1FA98336" w14:textId="77777777" w:rsidR="00AC6D27" w:rsidRPr="00140685" w:rsidRDefault="00AC6D27" w:rsidP="00191F82">
            <w:pPr>
              <w:jc w:val="center"/>
              <w:rPr>
                <w:rFonts w:eastAsiaTheme="minorEastAsia"/>
                <w:b/>
                <w:sz w:val="20"/>
                <w:lang w:eastAsia="en-US"/>
              </w:rPr>
            </w:pPr>
            <w:r>
              <w:rPr>
                <w:rFonts w:eastAsiaTheme="minorEastAsia"/>
                <w:b/>
                <w:sz w:val="20"/>
                <w:lang w:eastAsia="en-US"/>
              </w:rPr>
              <w:t>18 293,7</w:t>
            </w:r>
          </w:p>
        </w:tc>
        <w:tc>
          <w:tcPr>
            <w:tcW w:w="751" w:type="pct"/>
            <w:shd w:val="clear" w:color="auto" w:fill="auto"/>
            <w:tcMar>
              <w:left w:w="57" w:type="dxa"/>
              <w:right w:w="57" w:type="dxa"/>
            </w:tcMar>
            <w:vAlign w:val="center"/>
          </w:tcPr>
          <w:p w14:paraId="451B6F81" w14:textId="77777777" w:rsidR="00AC6D27" w:rsidRPr="00140685" w:rsidRDefault="00AC6D27" w:rsidP="00191F82">
            <w:pPr>
              <w:jc w:val="center"/>
              <w:rPr>
                <w:rFonts w:eastAsiaTheme="minorEastAsia"/>
                <w:b/>
                <w:sz w:val="20"/>
                <w:lang w:eastAsia="en-US"/>
              </w:rPr>
            </w:pPr>
            <w:r>
              <w:rPr>
                <w:rFonts w:eastAsiaTheme="minorEastAsia"/>
                <w:b/>
                <w:sz w:val="20"/>
                <w:lang w:eastAsia="en-US"/>
              </w:rPr>
              <w:t>19 503,3</w:t>
            </w:r>
          </w:p>
        </w:tc>
        <w:tc>
          <w:tcPr>
            <w:tcW w:w="749" w:type="pct"/>
            <w:tcMar>
              <w:left w:w="57" w:type="dxa"/>
              <w:right w:w="57" w:type="dxa"/>
            </w:tcMar>
            <w:vAlign w:val="center"/>
          </w:tcPr>
          <w:p w14:paraId="48918D3E" w14:textId="77777777" w:rsidR="00AC6D27" w:rsidRPr="00140685" w:rsidRDefault="00AC6D27" w:rsidP="00191F82">
            <w:pPr>
              <w:jc w:val="center"/>
              <w:rPr>
                <w:rFonts w:eastAsiaTheme="minorEastAsia"/>
                <w:b/>
                <w:sz w:val="20"/>
                <w:lang w:eastAsia="en-US"/>
              </w:rPr>
            </w:pPr>
            <w:r>
              <w:rPr>
                <w:rFonts w:eastAsiaTheme="minorEastAsia"/>
                <w:b/>
                <w:sz w:val="20"/>
                <w:lang w:eastAsia="en-US"/>
              </w:rPr>
              <w:t>20 634,0</w:t>
            </w:r>
          </w:p>
        </w:tc>
        <w:tc>
          <w:tcPr>
            <w:tcW w:w="750" w:type="pct"/>
            <w:shd w:val="clear" w:color="auto" w:fill="auto"/>
            <w:tcMar>
              <w:left w:w="57" w:type="dxa"/>
              <w:right w:w="57" w:type="dxa"/>
            </w:tcMar>
            <w:vAlign w:val="center"/>
          </w:tcPr>
          <w:p w14:paraId="12E45426" w14:textId="77777777" w:rsidR="00AC6D27" w:rsidRPr="00140685" w:rsidRDefault="00AC6D27" w:rsidP="00191F82">
            <w:pPr>
              <w:jc w:val="center"/>
              <w:rPr>
                <w:rFonts w:eastAsiaTheme="minorEastAsia"/>
                <w:b/>
                <w:sz w:val="20"/>
                <w:lang w:eastAsia="en-US"/>
              </w:rPr>
            </w:pPr>
            <w:r>
              <w:rPr>
                <w:rFonts w:eastAsiaTheme="minorEastAsia"/>
                <w:b/>
                <w:sz w:val="20"/>
                <w:lang w:eastAsia="en-US"/>
              </w:rPr>
              <w:t>21 763,3</w:t>
            </w:r>
          </w:p>
        </w:tc>
      </w:tr>
      <w:tr w:rsidR="00AC6D27" w:rsidRPr="00140685" w14:paraId="6273737E" w14:textId="77777777" w:rsidTr="00191F82">
        <w:trPr>
          <w:trHeight w:val="267"/>
          <w:jc w:val="center"/>
        </w:trPr>
        <w:tc>
          <w:tcPr>
            <w:tcW w:w="2083" w:type="pct"/>
            <w:shd w:val="clear" w:color="auto" w:fill="auto"/>
            <w:vAlign w:val="center"/>
          </w:tcPr>
          <w:p w14:paraId="419DA358" w14:textId="77777777" w:rsidR="00AC6D27" w:rsidRPr="00140685" w:rsidRDefault="00AC6D27" w:rsidP="00191F82">
            <w:pPr>
              <w:rPr>
                <w:rFonts w:eastAsiaTheme="minorEastAsia"/>
                <w:i/>
                <w:sz w:val="20"/>
                <w:lang w:eastAsia="en-US"/>
              </w:rPr>
            </w:pPr>
            <w:r>
              <w:rPr>
                <w:rFonts w:eastAsiaTheme="minorEastAsia"/>
                <w:i/>
                <w:sz w:val="20"/>
                <w:lang w:eastAsia="en-US"/>
              </w:rPr>
              <w:t xml:space="preserve">в </w:t>
            </w:r>
            <w:r w:rsidRPr="00140685">
              <w:rPr>
                <w:rFonts w:eastAsiaTheme="minorEastAsia"/>
                <w:i/>
                <w:sz w:val="20"/>
                <w:lang w:eastAsia="en-US"/>
              </w:rPr>
              <w:t xml:space="preserve">% </w:t>
            </w:r>
            <w:r>
              <w:rPr>
                <w:rFonts w:eastAsiaTheme="minorEastAsia"/>
                <w:i/>
                <w:sz w:val="20"/>
                <w:lang w:eastAsia="en-US"/>
              </w:rPr>
              <w:t xml:space="preserve">к </w:t>
            </w:r>
            <w:r w:rsidRPr="00140685">
              <w:rPr>
                <w:rFonts w:eastAsiaTheme="minorEastAsia"/>
                <w:i/>
                <w:sz w:val="20"/>
                <w:lang w:eastAsia="en-US"/>
              </w:rPr>
              <w:t>ВВП</w:t>
            </w:r>
          </w:p>
        </w:tc>
        <w:tc>
          <w:tcPr>
            <w:tcW w:w="667" w:type="pct"/>
            <w:shd w:val="clear" w:color="auto" w:fill="auto"/>
            <w:tcMar>
              <w:left w:w="57" w:type="dxa"/>
              <w:right w:w="57" w:type="dxa"/>
            </w:tcMar>
            <w:vAlign w:val="center"/>
          </w:tcPr>
          <w:p w14:paraId="57902D7A" w14:textId="77777777" w:rsidR="00AC6D27" w:rsidRPr="00140685" w:rsidRDefault="00AC6D27" w:rsidP="00191F82">
            <w:pPr>
              <w:jc w:val="center"/>
              <w:rPr>
                <w:rFonts w:eastAsiaTheme="minorEastAsia"/>
                <w:i/>
                <w:sz w:val="20"/>
                <w:lang w:eastAsia="en-US"/>
              </w:rPr>
            </w:pPr>
            <w:r>
              <w:rPr>
                <w:rFonts w:eastAsiaTheme="minorEastAsia"/>
                <w:i/>
                <w:sz w:val="20"/>
                <w:lang w:eastAsia="en-US"/>
              </w:rPr>
              <w:t>16,8</w:t>
            </w:r>
          </w:p>
        </w:tc>
        <w:tc>
          <w:tcPr>
            <w:tcW w:w="751" w:type="pct"/>
            <w:shd w:val="clear" w:color="auto" w:fill="auto"/>
            <w:tcMar>
              <w:left w:w="57" w:type="dxa"/>
              <w:right w:w="57" w:type="dxa"/>
            </w:tcMar>
            <w:vAlign w:val="center"/>
          </w:tcPr>
          <w:p w14:paraId="512D783D" w14:textId="77777777" w:rsidR="00AC6D27" w:rsidRPr="00140685" w:rsidRDefault="00AC6D27" w:rsidP="00191F82">
            <w:pPr>
              <w:jc w:val="center"/>
              <w:rPr>
                <w:rFonts w:eastAsiaTheme="minorEastAsia"/>
                <w:i/>
                <w:sz w:val="20"/>
                <w:lang w:eastAsia="en-US"/>
              </w:rPr>
            </w:pPr>
            <w:r>
              <w:rPr>
                <w:rFonts w:eastAsiaTheme="minorEastAsia"/>
                <w:i/>
                <w:sz w:val="20"/>
                <w:lang w:eastAsia="en-US"/>
              </w:rPr>
              <w:t>17,3</w:t>
            </w:r>
          </w:p>
        </w:tc>
        <w:tc>
          <w:tcPr>
            <w:tcW w:w="749" w:type="pct"/>
            <w:tcMar>
              <w:left w:w="57" w:type="dxa"/>
              <w:right w:w="57" w:type="dxa"/>
            </w:tcMar>
            <w:vAlign w:val="center"/>
          </w:tcPr>
          <w:p w14:paraId="586A8A9C" w14:textId="77777777" w:rsidR="00AC6D27" w:rsidRPr="00140685" w:rsidRDefault="00AC6D27" w:rsidP="00191F82">
            <w:pPr>
              <w:jc w:val="center"/>
              <w:rPr>
                <w:rFonts w:eastAsiaTheme="minorEastAsia"/>
                <w:i/>
                <w:sz w:val="20"/>
                <w:lang w:eastAsia="en-US"/>
              </w:rPr>
            </w:pPr>
            <w:r>
              <w:rPr>
                <w:rFonts w:eastAsiaTheme="minorEastAsia"/>
                <w:i/>
                <w:sz w:val="20"/>
                <w:lang w:eastAsia="en-US"/>
              </w:rPr>
              <w:t>17,1</w:t>
            </w:r>
          </w:p>
        </w:tc>
        <w:tc>
          <w:tcPr>
            <w:tcW w:w="750" w:type="pct"/>
            <w:shd w:val="clear" w:color="auto" w:fill="auto"/>
            <w:tcMar>
              <w:left w:w="57" w:type="dxa"/>
              <w:right w:w="57" w:type="dxa"/>
            </w:tcMar>
            <w:vAlign w:val="center"/>
          </w:tcPr>
          <w:p w14:paraId="0A546355" w14:textId="77777777" w:rsidR="00AC6D27" w:rsidRPr="00140685" w:rsidRDefault="00AC6D27" w:rsidP="00191F82">
            <w:pPr>
              <w:jc w:val="center"/>
              <w:rPr>
                <w:rFonts w:eastAsiaTheme="minorEastAsia"/>
                <w:i/>
                <w:sz w:val="20"/>
                <w:lang w:eastAsia="en-US"/>
              </w:rPr>
            </w:pPr>
            <w:r>
              <w:rPr>
                <w:rFonts w:eastAsiaTheme="minorEastAsia"/>
                <w:i/>
                <w:sz w:val="20"/>
                <w:lang w:eastAsia="en-US"/>
              </w:rPr>
              <w:t>16,9</w:t>
            </w:r>
          </w:p>
        </w:tc>
      </w:tr>
      <w:tr w:rsidR="00AC6D27" w:rsidRPr="00140685" w14:paraId="5E0C74BC" w14:textId="77777777" w:rsidTr="00191F82">
        <w:trPr>
          <w:trHeight w:val="267"/>
          <w:jc w:val="center"/>
        </w:trPr>
        <w:tc>
          <w:tcPr>
            <w:tcW w:w="2083" w:type="pct"/>
            <w:shd w:val="clear" w:color="auto" w:fill="auto"/>
            <w:vAlign w:val="center"/>
          </w:tcPr>
          <w:p w14:paraId="02228AC9" w14:textId="77777777" w:rsidR="00AC6D27" w:rsidRPr="00140685" w:rsidRDefault="00AC6D27" w:rsidP="00191F82">
            <w:pPr>
              <w:rPr>
                <w:rFonts w:eastAsiaTheme="minorEastAsia"/>
                <w:b/>
                <w:sz w:val="20"/>
                <w:lang w:eastAsia="en-US"/>
              </w:rPr>
            </w:pPr>
            <w:r w:rsidRPr="00140685">
              <w:rPr>
                <w:rFonts w:eastAsiaTheme="minorEastAsia"/>
                <w:b/>
                <w:sz w:val="20"/>
                <w:lang w:eastAsia="en-US"/>
              </w:rPr>
              <w:t>Дефицит (–) / Профицит (+)</w:t>
            </w:r>
          </w:p>
        </w:tc>
        <w:tc>
          <w:tcPr>
            <w:tcW w:w="667" w:type="pct"/>
            <w:tcMar>
              <w:left w:w="57" w:type="dxa"/>
              <w:right w:w="57" w:type="dxa"/>
            </w:tcMar>
            <w:vAlign w:val="center"/>
          </w:tcPr>
          <w:p w14:paraId="0232E49D" w14:textId="77777777" w:rsidR="00AC6D27" w:rsidRPr="00140685" w:rsidRDefault="00AC6D27" w:rsidP="00191F82">
            <w:pPr>
              <w:jc w:val="center"/>
              <w:rPr>
                <w:rFonts w:eastAsiaTheme="minorEastAsia"/>
                <w:b/>
                <w:sz w:val="20"/>
                <w:lang w:eastAsia="en-US"/>
              </w:rPr>
            </w:pPr>
            <w:r>
              <w:rPr>
                <w:rFonts w:eastAsiaTheme="minorEastAsia"/>
                <w:b/>
                <w:sz w:val="20"/>
                <w:lang w:eastAsia="en-US"/>
              </w:rPr>
              <w:t>1 881,2</w:t>
            </w:r>
          </w:p>
        </w:tc>
        <w:tc>
          <w:tcPr>
            <w:tcW w:w="751" w:type="pct"/>
            <w:shd w:val="clear" w:color="auto" w:fill="auto"/>
            <w:tcMar>
              <w:left w:w="57" w:type="dxa"/>
              <w:right w:w="57" w:type="dxa"/>
            </w:tcMar>
            <w:vAlign w:val="center"/>
          </w:tcPr>
          <w:p w14:paraId="7579193A" w14:textId="77777777" w:rsidR="00AC6D27" w:rsidRPr="00140685" w:rsidRDefault="00AC6D27" w:rsidP="00191F82">
            <w:pPr>
              <w:jc w:val="center"/>
              <w:rPr>
                <w:rFonts w:eastAsiaTheme="minorEastAsia"/>
                <w:b/>
                <w:sz w:val="20"/>
                <w:lang w:eastAsia="en-US"/>
              </w:rPr>
            </w:pPr>
            <w:r>
              <w:rPr>
                <w:rFonts w:eastAsiaTheme="minorEastAsia"/>
                <w:b/>
                <w:sz w:val="20"/>
                <w:lang w:eastAsia="en-US"/>
              </w:rPr>
              <w:t>876,1</w:t>
            </w:r>
          </w:p>
        </w:tc>
        <w:tc>
          <w:tcPr>
            <w:tcW w:w="749" w:type="pct"/>
            <w:tcMar>
              <w:left w:w="57" w:type="dxa"/>
              <w:right w:w="57" w:type="dxa"/>
            </w:tcMar>
            <w:vAlign w:val="center"/>
          </w:tcPr>
          <w:p w14:paraId="41C9ADC4" w14:textId="77777777" w:rsidR="00AC6D27" w:rsidRPr="00140685" w:rsidRDefault="00AC6D27" w:rsidP="00191F82">
            <w:pPr>
              <w:jc w:val="center"/>
              <w:rPr>
                <w:rFonts w:eastAsiaTheme="minorEastAsia"/>
                <w:b/>
                <w:sz w:val="20"/>
                <w:lang w:eastAsia="en-US"/>
              </w:rPr>
            </w:pPr>
            <w:r>
              <w:rPr>
                <w:rFonts w:eastAsiaTheme="minorEastAsia"/>
                <w:b/>
                <w:sz w:val="20"/>
                <w:lang w:eastAsia="en-US"/>
              </w:rPr>
              <w:t>612,5</w:t>
            </w:r>
          </w:p>
        </w:tc>
        <w:tc>
          <w:tcPr>
            <w:tcW w:w="750" w:type="pct"/>
            <w:shd w:val="clear" w:color="auto" w:fill="auto"/>
            <w:tcMar>
              <w:left w:w="57" w:type="dxa"/>
              <w:right w:w="57" w:type="dxa"/>
            </w:tcMar>
            <w:vAlign w:val="center"/>
          </w:tcPr>
          <w:p w14:paraId="711C1988" w14:textId="77777777" w:rsidR="00AC6D27" w:rsidRPr="00140685" w:rsidRDefault="00AC6D27" w:rsidP="00191F82">
            <w:pPr>
              <w:jc w:val="center"/>
              <w:rPr>
                <w:rFonts w:eastAsiaTheme="minorEastAsia"/>
                <w:b/>
                <w:sz w:val="20"/>
                <w:lang w:eastAsia="en-US"/>
              </w:rPr>
            </w:pPr>
            <w:r>
              <w:rPr>
                <w:rFonts w:eastAsiaTheme="minorEastAsia"/>
                <w:b/>
                <w:sz w:val="20"/>
                <w:lang w:eastAsia="en-US"/>
              </w:rPr>
              <w:t>295,0</w:t>
            </w:r>
          </w:p>
        </w:tc>
      </w:tr>
      <w:tr w:rsidR="00AC6D27" w:rsidRPr="00140685" w14:paraId="763B1F6E" w14:textId="77777777" w:rsidTr="00191F82">
        <w:trPr>
          <w:trHeight w:val="267"/>
          <w:jc w:val="center"/>
        </w:trPr>
        <w:tc>
          <w:tcPr>
            <w:tcW w:w="2083" w:type="pct"/>
            <w:shd w:val="clear" w:color="auto" w:fill="auto"/>
            <w:vAlign w:val="center"/>
          </w:tcPr>
          <w:p w14:paraId="1EE733BB" w14:textId="77777777" w:rsidR="00AC6D27" w:rsidRPr="00140685" w:rsidRDefault="00AC6D27" w:rsidP="00191F82">
            <w:pPr>
              <w:rPr>
                <w:rFonts w:eastAsiaTheme="minorEastAsia"/>
                <w:i/>
                <w:sz w:val="20"/>
                <w:lang w:eastAsia="en-US"/>
              </w:rPr>
            </w:pPr>
            <w:r>
              <w:rPr>
                <w:rFonts w:eastAsiaTheme="minorEastAsia"/>
                <w:i/>
                <w:sz w:val="20"/>
                <w:lang w:eastAsia="en-US"/>
              </w:rPr>
              <w:t xml:space="preserve">в </w:t>
            </w:r>
            <w:r w:rsidRPr="00140685">
              <w:rPr>
                <w:rFonts w:eastAsiaTheme="minorEastAsia"/>
                <w:i/>
                <w:sz w:val="20"/>
                <w:lang w:eastAsia="en-US"/>
              </w:rPr>
              <w:t>%</w:t>
            </w:r>
            <w:r>
              <w:rPr>
                <w:rFonts w:eastAsiaTheme="minorEastAsia"/>
                <w:i/>
                <w:sz w:val="20"/>
                <w:lang w:eastAsia="en-US"/>
              </w:rPr>
              <w:t xml:space="preserve"> к</w:t>
            </w:r>
            <w:r w:rsidRPr="00140685">
              <w:rPr>
                <w:rFonts w:eastAsiaTheme="minorEastAsia"/>
                <w:i/>
                <w:sz w:val="20"/>
                <w:lang w:eastAsia="en-US"/>
              </w:rPr>
              <w:t xml:space="preserve"> ВВП</w:t>
            </w:r>
          </w:p>
        </w:tc>
        <w:tc>
          <w:tcPr>
            <w:tcW w:w="667" w:type="pct"/>
            <w:tcMar>
              <w:left w:w="57" w:type="dxa"/>
              <w:right w:w="57" w:type="dxa"/>
            </w:tcMar>
            <w:vAlign w:val="center"/>
          </w:tcPr>
          <w:p w14:paraId="26B841D6" w14:textId="77777777" w:rsidR="00AC6D27" w:rsidRPr="00140685" w:rsidRDefault="00AC6D27" w:rsidP="00191F82">
            <w:pPr>
              <w:jc w:val="center"/>
              <w:rPr>
                <w:rFonts w:eastAsiaTheme="minorEastAsia"/>
                <w:i/>
                <w:sz w:val="20"/>
                <w:lang w:eastAsia="en-US"/>
              </w:rPr>
            </w:pPr>
            <w:r>
              <w:rPr>
                <w:rFonts w:eastAsiaTheme="minorEastAsia"/>
                <w:i/>
                <w:sz w:val="20"/>
                <w:lang w:eastAsia="en-US"/>
              </w:rPr>
              <w:t>1,7</w:t>
            </w:r>
          </w:p>
        </w:tc>
        <w:tc>
          <w:tcPr>
            <w:tcW w:w="751" w:type="pct"/>
            <w:shd w:val="clear" w:color="auto" w:fill="auto"/>
            <w:tcMar>
              <w:left w:w="57" w:type="dxa"/>
              <w:right w:w="57" w:type="dxa"/>
            </w:tcMar>
            <w:vAlign w:val="center"/>
          </w:tcPr>
          <w:p w14:paraId="05C26B5D" w14:textId="77777777" w:rsidR="00AC6D27" w:rsidRPr="00140685" w:rsidRDefault="00AC6D27" w:rsidP="00191F82">
            <w:pPr>
              <w:jc w:val="center"/>
              <w:rPr>
                <w:rFonts w:eastAsiaTheme="minorEastAsia"/>
                <w:i/>
                <w:sz w:val="20"/>
                <w:lang w:eastAsia="en-US"/>
              </w:rPr>
            </w:pPr>
            <w:r>
              <w:rPr>
                <w:rFonts w:eastAsiaTheme="minorEastAsia"/>
                <w:i/>
                <w:sz w:val="20"/>
                <w:lang w:eastAsia="en-US"/>
              </w:rPr>
              <w:t>0,8</w:t>
            </w:r>
          </w:p>
        </w:tc>
        <w:tc>
          <w:tcPr>
            <w:tcW w:w="749" w:type="pct"/>
            <w:tcMar>
              <w:left w:w="57" w:type="dxa"/>
              <w:right w:w="57" w:type="dxa"/>
            </w:tcMar>
            <w:vAlign w:val="center"/>
          </w:tcPr>
          <w:p w14:paraId="0E9D803E" w14:textId="77777777" w:rsidR="00AC6D27" w:rsidRPr="00140685" w:rsidRDefault="00AC6D27" w:rsidP="00191F82">
            <w:pPr>
              <w:jc w:val="center"/>
              <w:rPr>
                <w:rFonts w:eastAsiaTheme="minorEastAsia"/>
                <w:i/>
                <w:sz w:val="20"/>
                <w:lang w:eastAsia="en-US"/>
              </w:rPr>
            </w:pPr>
            <w:r>
              <w:rPr>
                <w:rFonts w:eastAsiaTheme="minorEastAsia"/>
                <w:i/>
                <w:sz w:val="20"/>
                <w:lang w:eastAsia="en-US"/>
              </w:rPr>
              <w:t>0,5</w:t>
            </w:r>
          </w:p>
        </w:tc>
        <w:tc>
          <w:tcPr>
            <w:tcW w:w="750" w:type="pct"/>
            <w:shd w:val="clear" w:color="auto" w:fill="auto"/>
            <w:tcMar>
              <w:left w:w="57" w:type="dxa"/>
              <w:right w:w="57" w:type="dxa"/>
            </w:tcMar>
            <w:vAlign w:val="center"/>
          </w:tcPr>
          <w:p w14:paraId="4B4D7981" w14:textId="77777777" w:rsidR="00AC6D27" w:rsidRPr="00140685" w:rsidRDefault="00AC6D27" w:rsidP="00191F82">
            <w:pPr>
              <w:jc w:val="center"/>
              <w:rPr>
                <w:rFonts w:eastAsiaTheme="minorEastAsia"/>
                <w:i/>
                <w:sz w:val="20"/>
                <w:lang w:eastAsia="en-US"/>
              </w:rPr>
            </w:pPr>
            <w:r>
              <w:rPr>
                <w:rFonts w:eastAsiaTheme="minorEastAsia"/>
                <w:i/>
                <w:sz w:val="20"/>
                <w:lang w:eastAsia="en-US"/>
              </w:rPr>
              <w:t>0,2</w:t>
            </w:r>
          </w:p>
        </w:tc>
      </w:tr>
      <w:tr w:rsidR="00AC6D27" w:rsidRPr="00140685" w14:paraId="6024B342" w14:textId="77777777" w:rsidTr="00191F82">
        <w:trPr>
          <w:trHeight w:val="267"/>
          <w:jc w:val="center"/>
        </w:trPr>
        <w:tc>
          <w:tcPr>
            <w:tcW w:w="2083" w:type="pct"/>
            <w:shd w:val="clear" w:color="auto" w:fill="auto"/>
            <w:vAlign w:val="center"/>
          </w:tcPr>
          <w:p w14:paraId="5531A96F" w14:textId="77777777" w:rsidR="00AC6D27" w:rsidRPr="00D20153" w:rsidRDefault="00AC6D27" w:rsidP="00191F82">
            <w:pPr>
              <w:rPr>
                <w:rFonts w:eastAsiaTheme="minorEastAsia"/>
                <w:sz w:val="20"/>
                <w:lang w:eastAsia="en-US"/>
              </w:rPr>
            </w:pPr>
            <w:r w:rsidRPr="00D20153">
              <w:rPr>
                <w:rFonts w:eastAsiaTheme="minorEastAsia"/>
                <w:sz w:val="20"/>
                <w:lang w:eastAsia="en-US"/>
              </w:rPr>
              <w:t>Ненефтегазовый дефицит</w:t>
            </w:r>
          </w:p>
        </w:tc>
        <w:tc>
          <w:tcPr>
            <w:tcW w:w="667" w:type="pct"/>
            <w:tcMar>
              <w:left w:w="57" w:type="dxa"/>
              <w:right w:w="57" w:type="dxa"/>
            </w:tcMar>
            <w:vAlign w:val="center"/>
          </w:tcPr>
          <w:p w14:paraId="6D3DE582" w14:textId="77777777" w:rsidR="00AC6D27" w:rsidRPr="00D20153" w:rsidRDefault="00AC6D27" w:rsidP="00191F82">
            <w:pPr>
              <w:jc w:val="center"/>
              <w:rPr>
                <w:rFonts w:eastAsiaTheme="minorEastAsia"/>
                <w:sz w:val="20"/>
                <w:lang w:eastAsia="en-US"/>
              </w:rPr>
            </w:pPr>
            <w:r w:rsidRPr="00D20153">
              <w:rPr>
                <w:rFonts w:eastAsiaTheme="minorEastAsia"/>
                <w:sz w:val="20"/>
                <w:lang w:eastAsia="en-US"/>
              </w:rPr>
              <w:t>-6</w:t>
            </w:r>
            <w:r>
              <w:rPr>
                <w:rFonts w:eastAsiaTheme="minorEastAsia"/>
                <w:sz w:val="20"/>
                <w:lang w:eastAsia="en-US"/>
              </w:rPr>
              <w:t xml:space="preserve"> </w:t>
            </w:r>
            <w:r w:rsidRPr="00D20153">
              <w:rPr>
                <w:rFonts w:eastAsiaTheme="minorEastAsia"/>
                <w:sz w:val="20"/>
                <w:lang w:eastAsia="en-US"/>
              </w:rPr>
              <w:t>358,3</w:t>
            </w:r>
          </w:p>
        </w:tc>
        <w:tc>
          <w:tcPr>
            <w:tcW w:w="751" w:type="pct"/>
            <w:shd w:val="clear" w:color="auto" w:fill="auto"/>
            <w:tcMar>
              <w:left w:w="57" w:type="dxa"/>
              <w:right w:w="57" w:type="dxa"/>
            </w:tcMar>
            <w:vAlign w:val="center"/>
          </w:tcPr>
          <w:p w14:paraId="7A9A926D" w14:textId="77777777" w:rsidR="00AC6D27" w:rsidRPr="00D20153" w:rsidRDefault="00AC6D27" w:rsidP="00191F82">
            <w:pPr>
              <w:jc w:val="center"/>
              <w:rPr>
                <w:rFonts w:eastAsiaTheme="minorEastAsia"/>
                <w:sz w:val="20"/>
                <w:lang w:eastAsia="en-US"/>
              </w:rPr>
            </w:pPr>
            <w:r w:rsidRPr="00D20153">
              <w:rPr>
                <w:rFonts w:eastAsiaTheme="minorEastAsia"/>
                <w:sz w:val="20"/>
                <w:lang w:eastAsia="en-US"/>
              </w:rPr>
              <w:t>-6 596,2</w:t>
            </w:r>
          </w:p>
        </w:tc>
        <w:tc>
          <w:tcPr>
            <w:tcW w:w="749" w:type="pct"/>
            <w:tcMar>
              <w:left w:w="57" w:type="dxa"/>
              <w:right w:w="57" w:type="dxa"/>
            </w:tcMar>
            <w:vAlign w:val="center"/>
          </w:tcPr>
          <w:p w14:paraId="16F05683" w14:textId="77777777" w:rsidR="00AC6D27" w:rsidRPr="00D20153" w:rsidRDefault="00AC6D27" w:rsidP="00191F82">
            <w:pPr>
              <w:jc w:val="center"/>
              <w:rPr>
                <w:rFonts w:eastAsiaTheme="minorEastAsia"/>
                <w:sz w:val="20"/>
                <w:lang w:eastAsia="en-US"/>
              </w:rPr>
            </w:pPr>
            <w:r w:rsidRPr="00D20153">
              <w:rPr>
                <w:rFonts w:eastAsiaTheme="minorEastAsia"/>
                <w:sz w:val="20"/>
                <w:lang w:eastAsia="en-US"/>
              </w:rPr>
              <w:t>-7 066,9</w:t>
            </w:r>
          </w:p>
        </w:tc>
        <w:tc>
          <w:tcPr>
            <w:tcW w:w="750" w:type="pct"/>
            <w:shd w:val="clear" w:color="auto" w:fill="auto"/>
            <w:tcMar>
              <w:left w:w="57" w:type="dxa"/>
              <w:right w:w="57" w:type="dxa"/>
            </w:tcMar>
            <w:vAlign w:val="center"/>
          </w:tcPr>
          <w:p w14:paraId="1D339D42" w14:textId="77777777" w:rsidR="00AC6D27" w:rsidRPr="00D20153" w:rsidRDefault="00AC6D27" w:rsidP="00191F82">
            <w:pPr>
              <w:jc w:val="center"/>
              <w:rPr>
                <w:rFonts w:eastAsiaTheme="minorEastAsia"/>
                <w:sz w:val="20"/>
                <w:lang w:eastAsia="en-US"/>
              </w:rPr>
            </w:pPr>
            <w:r w:rsidRPr="00D20153">
              <w:rPr>
                <w:rFonts w:eastAsiaTheme="minorEastAsia"/>
                <w:sz w:val="20"/>
                <w:lang w:eastAsia="en-US"/>
              </w:rPr>
              <w:t>-7 435,7</w:t>
            </w:r>
          </w:p>
        </w:tc>
      </w:tr>
      <w:tr w:rsidR="00AC6D27" w:rsidRPr="00140685" w14:paraId="39A7C43C" w14:textId="77777777" w:rsidTr="00191F82">
        <w:trPr>
          <w:trHeight w:val="267"/>
          <w:jc w:val="center"/>
        </w:trPr>
        <w:tc>
          <w:tcPr>
            <w:tcW w:w="2083" w:type="pct"/>
            <w:shd w:val="clear" w:color="auto" w:fill="auto"/>
            <w:vAlign w:val="center"/>
          </w:tcPr>
          <w:p w14:paraId="7AFDD359" w14:textId="77777777" w:rsidR="00AC6D27" w:rsidRDefault="00AC6D27" w:rsidP="00191F82">
            <w:pPr>
              <w:rPr>
                <w:rFonts w:eastAsiaTheme="minorEastAsia"/>
                <w:i/>
                <w:sz w:val="20"/>
                <w:lang w:eastAsia="en-US"/>
              </w:rPr>
            </w:pPr>
            <w:r>
              <w:rPr>
                <w:rFonts w:eastAsiaTheme="minorEastAsia"/>
                <w:i/>
                <w:sz w:val="20"/>
                <w:lang w:eastAsia="en-US"/>
              </w:rPr>
              <w:t>в % к ВВП</w:t>
            </w:r>
          </w:p>
        </w:tc>
        <w:tc>
          <w:tcPr>
            <w:tcW w:w="667" w:type="pct"/>
            <w:tcMar>
              <w:left w:w="57" w:type="dxa"/>
              <w:right w:w="57" w:type="dxa"/>
            </w:tcMar>
            <w:vAlign w:val="center"/>
          </w:tcPr>
          <w:p w14:paraId="76A1FE81" w14:textId="77777777" w:rsidR="00AC6D27" w:rsidRDefault="00AC6D27" w:rsidP="00191F82">
            <w:pPr>
              <w:jc w:val="center"/>
              <w:rPr>
                <w:rFonts w:eastAsiaTheme="minorEastAsia"/>
                <w:i/>
                <w:sz w:val="20"/>
                <w:lang w:eastAsia="en-US"/>
              </w:rPr>
            </w:pPr>
            <w:r>
              <w:rPr>
                <w:rFonts w:eastAsiaTheme="minorEastAsia"/>
                <w:i/>
                <w:sz w:val="20"/>
                <w:lang w:eastAsia="en-US"/>
              </w:rPr>
              <w:t>5,8</w:t>
            </w:r>
          </w:p>
        </w:tc>
        <w:tc>
          <w:tcPr>
            <w:tcW w:w="751" w:type="pct"/>
            <w:shd w:val="clear" w:color="auto" w:fill="auto"/>
            <w:tcMar>
              <w:left w:w="57" w:type="dxa"/>
              <w:right w:w="57" w:type="dxa"/>
            </w:tcMar>
            <w:vAlign w:val="center"/>
          </w:tcPr>
          <w:p w14:paraId="3FADA0C3" w14:textId="77777777" w:rsidR="00AC6D27" w:rsidRDefault="00AC6D27" w:rsidP="00191F82">
            <w:pPr>
              <w:jc w:val="center"/>
              <w:rPr>
                <w:rFonts w:eastAsiaTheme="minorEastAsia"/>
                <w:i/>
                <w:sz w:val="20"/>
                <w:lang w:eastAsia="en-US"/>
              </w:rPr>
            </w:pPr>
            <w:r>
              <w:rPr>
                <w:rFonts w:eastAsiaTheme="minorEastAsia"/>
                <w:i/>
                <w:sz w:val="20"/>
                <w:lang w:eastAsia="en-US"/>
              </w:rPr>
              <w:t>5,8</w:t>
            </w:r>
          </w:p>
        </w:tc>
        <w:tc>
          <w:tcPr>
            <w:tcW w:w="749" w:type="pct"/>
            <w:tcMar>
              <w:left w:w="57" w:type="dxa"/>
              <w:right w:w="57" w:type="dxa"/>
            </w:tcMar>
            <w:vAlign w:val="center"/>
          </w:tcPr>
          <w:p w14:paraId="02FD2319" w14:textId="77777777" w:rsidR="00AC6D27" w:rsidRDefault="00AC6D27" w:rsidP="00191F82">
            <w:pPr>
              <w:jc w:val="center"/>
              <w:rPr>
                <w:rFonts w:eastAsiaTheme="minorEastAsia"/>
                <w:i/>
                <w:sz w:val="20"/>
                <w:lang w:eastAsia="en-US"/>
              </w:rPr>
            </w:pPr>
            <w:r>
              <w:rPr>
                <w:rFonts w:eastAsiaTheme="minorEastAsia"/>
                <w:i/>
                <w:sz w:val="20"/>
                <w:lang w:eastAsia="en-US"/>
              </w:rPr>
              <w:t>5,9</w:t>
            </w:r>
          </w:p>
        </w:tc>
        <w:tc>
          <w:tcPr>
            <w:tcW w:w="750" w:type="pct"/>
            <w:shd w:val="clear" w:color="auto" w:fill="auto"/>
            <w:tcMar>
              <w:left w:w="57" w:type="dxa"/>
              <w:right w:w="57" w:type="dxa"/>
            </w:tcMar>
            <w:vAlign w:val="center"/>
          </w:tcPr>
          <w:p w14:paraId="443829C8" w14:textId="77777777" w:rsidR="00AC6D27" w:rsidRDefault="00AC6D27" w:rsidP="00191F82">
            <w:pPr>
              <w:jc w:val="center"/>
              <w:rPr>
                <w:rFonts w:eastAsiaTheme="minorEastAsia"/>
                <w:i/>
                <w:sz w:val="20"/>
                <w:lang w:eastAsia="en-US"/>
              </w:rPr>
            </w:pPr>
            <w:r>
              <w:rPr>
                <w:rFonts w:eastAsiaTheme="minorEastAsia"/>
                <w:i/>
                <w:sz w:val="20"/>
                <w:lang w:eastAsia="en-US"/>
              </w:rPr>
              <w:t>5,8</w:t>
            </w:r>
          </w:p>
        </w:tc>
      </w:tr>
      <w:tr w:rsidR="00AC6D27" w:rsidRPr="00140685" w14:paraId="30489A97" w14:textId="77777777" w:rsidTr="00191F82">
        <w:trPr>
          <w:trHeight w:val="267"/>
          <w:jc w:val="center"/>
        </w:trPr>
        <w:tc>
          <w:tcPr>
            <w:tcW w:w="2083" w:type="pct"/>
            <w:shd w:val="clear" w:color="auto" w:fill="auto"/>
            <w:vAlign w:val="center"/>
          </w:tcPr>
          <w:p w14:paraId="742015D3" w14:textId="77777777" w:rsidR="00AC6D27" w:rsidRPr="00140685" w:rsidRDefault="00AC6D27" w:rsidP="00191F82">
            <w:pPr>
              <w:rPr>
                <w:rFonts w:eastAsiaTheme="minorEastAsia"/>
                <w:i/>
                <w:sz w:val="20"/>
                <w:lang w:eastAsia="en-US"/>
              </w:rPr>
            </w:pPr>
            <w:r>
              <w:rPr>
                <w:rFonts w:eastAsiaTheme="minorEastAsia"/>
                <w:i/>
                <w:sz w:val="20"/>
                <w:lang w:eastAsia="en-US"/>
              </w:rPr>
              <w:t>Справочно: ВВП, млрд руб.</w:t>
            </w:r>
          </w:p>
        </w:tc>
        <w:tc>
          <w:tcPr>
            <w:tcW w:w="667" w:type="pct"/>
            <w:tcMar>
              <w:left w:w="57" w:type="dxa"/>
              <w:right w:w="57" w:type="dxa"/>
            </w:tcMar>
            <w:vAlign w:val="center"/>
          </w:tcPr>
          <w:p w14:paraId="0DF22C4D" w14:textId="77777777" w:rsidR="00AC6D27" w:rsidRPr="00140685" w:rsidRDefault="00AC6D27" w:rsidP="00191F82">
            <w:pPr>
              <w:jc w:val="center"/>
              <w:rPr>
                <w:rFonts w:eastAsiaTheme="minorEastAsia"/>
                <w:i/>
                <w:sz w:val="20"/>
                <w:lang w:eastAsia="en-US"/>
              </w:rPr>
            </w:pPr>
            <w:r w:rsidRPr="00D20153">
              <w:rPr>
                <w:rFonts w:eastAsiaTheme="minorEastAsia"/>
                <w:i/>
                <w:sz w:val="20"/>
                <w:lang w:eastAsia="en-US"/>
              </w:rPr>
              <w:t>108</w:t>
            </w:r>
            <w:r>
              <w:rPr>
                <w:rFonts w:eastAsiaTheme="minorEastAsia"/>
                <w:i/>
                <w:sz w:val="20"/>
                <w:lang w:eastAsia="en-US"/>
              </w:rPr>
              <w:t xml:space="preserve"> </w:t>
            </w:r>
            <w:r w:rsidRPr="00D20153">
              <w:rPr>
                <w:rFonts w:eastAsiaTheme="minorEastAsia"/>
                <w:i/>
                <w:sz w:val="20"/>
                <w:lang w:eastAsia="en-US"/>
              </w:rPr>
              <w:t>414</w:t>
            </w:r>
          </w:p>
        </w:tc>
        <w:tc>
          <w:tcPr>
            <w:tcW w:w="751" w:type="pct"/>
            <w:shd w:val="clear" w:color="auto" w:fill="auto"/>
            <w:tcMar>
              <w:left w:w="57" w:type="dxa"/>
              <w:right w:w="57" w:type="dxa"/>
            </w:tcMar>
            <w:vAlign w:val="center"/>
          </w:tcPr>
          <w:p w14:paraId="1E9A4823" w14:textId="77777777" w:rsidR="00AC6D27" w:rsidRPr="00140685" w:rsidRDefault="00AC6D27" w:rsidP="00191F82">
            <w:pPr>
              <w:jc w:val="center"/>
              <w:rPr>
                <w:rFonts w:eastAsiaTheme="minorEastAsia"/>
                <w:i/>
                <w:sz w:val="20"/>
                <w:lang w:eastAsia="en-US"/>
              </w:rPr>
            </w:pPr>
            <w:r w:rsidRPr="00D20153">
              <w:rPr>
                <w:rFonts w:eastAsiaTheme="minorEastAsia"/>
                <w:i/>
                <w:sz w:val="20"/>
                <w:lang w:eastAsia="en-US"/>
              </w:rPr>
              <w:t>112</w:t>
            </w:r>
            <w:r>
              <w:rPr>
                <w:rFonts w:eastAsiaTheme="minorEastAsia"/>
                <w:i/>
                <w:sz w:val="20"/>
                <w:lang w:eastAsia="en-US"/>
              </w:rPr>
              <w:t xml:space="preserve"> </w:t>
            </w:r>
            <w:r w:rsidRPr="00D20153">
              <w:rPr>
                <w:rFonts w:eastAsiaTheme="minorEastAsia"/>
                <w:i/>
                <w:sz w:val="20"/>
                <w:lang w:eastAsia="en-US"/>
              </w:rPr>
              <w:t>863</w:t>
            </w:r>
          </w:p>
        </w:tc>
        <w:tc>
          <w:tcPr>
            <w:tcW w:w="749" w:type="pct"/>
            <w:tcMar>
              <w:left w:w="57" w:type="dxa"/>
              <w:right w:w="57" w:type="dxa"/>
            </w:tcMar>
            <w:vAlign w:val="center"/>
          </w:tcPr>
          <w:p w14:paraId="1FCE291B" w14:textId="77777777" w:rsidR="00AC6D27" w:rsidRPr="00140685" w:rsidRDefault="00AC6D27" w:rsidP="00191F82">
            <w:pPr>
              <w:jc w:val="center"/>
              <w:rPr>
                <w:rFonts w:eastAsiaTheme="minorEastAsia"/>
                <w:i/>
                <w:sz w:val="20"/>
                <w:lang w:eastAsia="en-US"/>
              </w:rPr>
            </w:pPr>
            <w:r w:rsidRPr="00D20153">
              <w:rPr>
                <w:rFonts w:eastAsiaTheme="minorEastAsia"/>
                <w:i/>
                <w:sz w:val="20"/>
                <w:lang w:eastAsia="en-US"/>
              </w:rPr>
              <w:t>120</w:t>
            </w:r>
            <w:r>
              <w:rPr>
                <w:rFonts w:eastAsiaTheme="minorEastAsia"/>
                <w:i/>
                <w:sz w:val="20"/>
                <w:lang w:eastAsia="en-US"/>
              </w:rPr>
              <w:t xml:space="preserve"> </w:t>
            </w:r>
            <w:r w:rsidRPr="00D20153">
              <w:rPr>
                <w:rFonts w:eastAsiaTheme="minorEastAsia"/>
                <w:i/>
                <w:sz w:val="20"/>
                <w:lang w:eastAsia="en-US"/>
              </w:rPr>
              <w:t>364</w:t>
            </w:r>
          </w:p>
        </w:tc>
        <w:tc>
          <w:tcPr>
            <w:tcW w:w="750" w:type="pct"/>
            <w:shd w:val="clear" w:color="auto" w:fill="auto"/>
            <w:tcMar>
              <w:left w:w="57" w:type="dxa"/>
              <w:right w:w="57" w:type="dxa"/>
            </w:tcMar>
            <w:vAlign w:val="center"/>
          </w:tcPr>
          <w:p w14:paraId="430BA1BD" w14:textId="77777777" w:rsidR="00AC6D27" w:rsidRPr="00091DFD" w:rsidRDefault="00AC6D27" w:rsidP="00191F82">
            <w:pPr>
              <w:jc w:val="center"/>
              <w:rPr>
                <w:rFonts w:eastAsiaTheme="minorEastAsia"/>
                <w:i/>
                <w:sz w:val="20"/>
                <w:lang w:eastAsia="en-US"/>
              </w:rPr>
            </w:pPr>
            <w:r w:rsidRPr="00D20153">
              <w:rPr>
                <w:rFonts w:eastAsiaTheme="minorEastAsia"/>
                <w:i/>
                <w:sz w:val="20"/>
                <w:lang w:eastAsia="en-US"/>
              </w:rPr>
              <w:t>128</w:t>
            </w:r>
            <w:r>
              <w:rPr>
                <w:rFonts w:eastAsiaTheme="minorEastAsia"/>
                <w:i/>
                <w:sz w:val="20"/>
                <w:lang w:eastAsia="en-US"/>
              </w:rPr>
              <w:t xml:space="preserve"> </w:t>
            </w:r>
            <w:r w:rsidRPr="00D20153">
              <w:rPr>
                <w:rFonts w:eastAsiaTheme="minorEastAsia"/>
                <w:i/>
                <w:sz w:val="20"/>
                <w:lang w:eastAsia="en-US"/>
              </w:rPr>
              <w:t>508</w:t>
            </w:r>
          </w:p>
        </w:tc>
      </w:tr>
    </w:tbl>
    <w:p w14:paraId="6C5F5EE8" w14:textId="77777777" w:rsidR="00AC6D27" w:rsidRPr="00916621" w:rsidRDefault="00AC6D27" w:rsidP="00AC6D27">
      <w:pPr>
        <w:keepLines/>
        <w:spacing w:after="120"/>
        <w:ind w:firstLine="708"/>
        <w:rPr>
          <w:rFonts w:eastAsia="Calibri"/>
          <w:sz w:val="20"/>
          <w:lang w:eastAsia="en-US"/>
        </w:rPr>
      </w:pPr>
      <w:r w:rsidRPr="00916621">
        <w:rPr>
          <w:i/>
          <w:sz w:val="20"/>
        </w:rPr>
        <w:t>Источник:</w:t>
      </w:r>
      <w:r w:rsidRPr="00916621">
        <w:rPr>
          <w:sz w:val="20"/>
        </w:rPr>
        <w:t xml:space="preserve"> Пояснительная записка к проекту федерального закона «О федеральном бюджете на 20</w:t>
      </w:r>
      <w:r>
        <w:rPr>
          <w:sz w:val="20"/>
        </w:rPr>
        <w:t>20</w:t>
      </w:r>
      <w:r w:rsidRPr="00916621">
        <w:rPr>
          <w:sz w:val="20"/>
        </w:rPr>
        <w:t xml:space="preserve"> год и на плановый период 202</w:t>
      </w:r>
      <w:r>
        <w:rPr>
          <w:sz w:val="20"/>
        </w:rPr>
        <w:t>1</w:t>
      </w:r>
      <w:r w:rsidRPr="00916621">
        <w:rPr>
          <w:sz w:val="20"/>
        </w:rPr>
        <w:t xml:space="preserve"> и 202</w:t>
      </w:r>
      <w:r>
        <w:rPr>
          <w:sz w:val="20"/>
        </w:rPr>
        <w:t>2</w:t>
      </w:r>
      <w:r w:rsidRPr="00916621">
        <w:rPr>
          <w:sz w:val="20"/>
        </w:rPr>
        <w:t xml:space="preserve"> годов»</w:t>
      </w:r>
      <w:r>
        <w:rPr>
          <w:sz w:val="20"/>
        </w:rPr>
        <w:t>.</w:t>
      </w:r>
    </w:p>
    <w:p w14:paraId="21C8D222" w14:textId="5821F78A" w:rsidR="00AC6D27" w:rsidRDefault="00AC6D27" w:rsidP="00AC6D27">
      <w:pPr>
        <w:spacing w:after="60"/>
        <w:ind w:firstLine="709"/>
        <w:jc w:val="both"/>
      </w:pPr>
      <w:r>
        <w:t>Ежегодная динамика нефтегазовых доходов в 2020-2022 г. разнонаправлена: ожидается снижение поступлений в первый плановый год на (-) 767,3 млрд руб. или на (-) 9,3% в номинальном выражении и на (-) 1,0 п.п. ВВП</w:t>
      </w:r>
      <w:r w:rsidRPr="00354026">
        <w:t xml:space="preserve"> относительно 2019 г</w:t>
      </w:r>
      <w:r>
        <w:t>., и дальнейший рост в абсолютном выражении в 2021 г и 2022 г. на 207,2 и 51,2 млрд руб. или на 2,8 и 0,6% в номинальном выражении соответственно, при сокращении на (-) 0,2 и (-) 0,4 п.п. ВВП относительно значений предыдущего года. Доля нефтегазовых доходов в общем объеме доходов федерального бюджета составит, в среднем, в 2020-2022 гг. - 36,0% (в 2019 г. - 40,8%). Среднегодовой объем базовых нефтегазовых доходов в 2020-2022 гг. составит 4,5% ВВП или 5426,4 млрд руб.</w:t>
      </w:r>
      <w:r w:rsidR="00464C7D">
        <w:t xml:space="preserve"> Е</w:t>
      </w:r>
      <w:r>
        <w:t>жегодные отклонения нефтегазовых поступлений и базовых доходов, рассчитанных на основе бюджетного правила, составят: в 2020 г. – 2332,9 млрд руб. (2,0 п.п. ВВП), в 2021 г. – 2234,5 млрд руб. (1,9 п.п. ВВП), в 2022 г. -2035,6 млрд руб. (1,6 п.п. ВВП) при прогнозируемой цене на нефть в 2020-2022 гг. в размере 57,0-56,0-55,0 дол</w:t>
      </w:r>
      <w:r w:rsidR="00464C7D">
        <w:t>л</w:t>
      </w:r>
      <w:r>
        <w:t xml:space="preserve">. </w:t>
      </w:r>
      <w:r w:rsidR="00464C7D">
        <w:t xml:space="preserve">США </w:t>
      </w:r>
      <w:r>
        <w:t xml:space="preserve">за баррель. </w:t>
      </w:r>
    </w:p>
    <w:p w14:paraId="303232E7" w14:textId="71B5D9E0" w:rsidR="00AC6D27" w:rsidRDefault="00AC6D27" w:rsidP="00AC6D27">
      <w:pPr>
        <w:spacing w:after="60"/>
        <w:ind w:firstLine="709"/>
        <w:jc w:val="both"/>
      </w:pPr>
      <w:r>
        <w:t xml:space="preserve">По ненефтегазовым доходам федерального бюджета в первый плановый год </w:t>
      </w:r>
      <w:r w:rsidR="00464C7D">
        <w:t xml:space="preserve">прогнозируется </w:t>
      </w:r>
      <w:r>
        <w:t xml:space="preserve">рост на 971,6 млрд руб. или на 8,1% в номинальном выражении и на 0,5 </w:t>
      </w:r>
      <w:r>
        <w:lastRenderedPageBreak/>
        <w:t>п.п. ВВП относительно 2019 г., однако в 2021 -2022 гг. относительно ВВП поступления по ненефтегазовой компоненте федерального бюджета будут ежегодно сокращаться на (-) 0,1 и (-) 0,2 п.п. ВВП, при росте на 460,0 и 9</w:t>
      </w:r>
      <w:r w:rsidR="001644A4">
        <w:t>60,5 млрд руб. или на 3,6 и 7,2</w:t>
      </w:r>
      <w:r>
        <w:t>% в номинальном выражении</w:t>
      </w:r>
      <w:r w:rsidR="001644A4">
        <w:t xml:space="preserve"> относительно предыдущего года.</w:t>
      </w:r>
    </w:p>
    <w:p w14:paraId="10D78583" w14:textId="70DE4F49" w:rsidR="00AC6D27" w:rsidRDefault="00AC6D27" w:rsidP="00AC6D27">
      <w:pPr>
        <w:spacing w:after="60"/>
        <w:ind w:firstLine="709"/>
        <w:jc w:val="both"/>
      </w:pPr>
      <w:r>
        <w:t>Объем расходов федерального бюджета планируется увеличить с 16,8</w:t>
      </w:r>
      <w:r w:rsidR="001644A4">
        <w:t>% ВВП в 2019 г. до 17,3</w:t>
      </w:r>
      <w:r>
        <w:t>% ВВП в 2020 г. или на 1</w:t>
      </w:r>
      <w:r w:rsidR="009E168F">
        <w:t xml:space="preserve"> </w:t>
      </w:r>
      <w:r>
        <w:t>209,6 млрд руб. и на 6,6% в номинальном выражении, с дальнейшим сокращением в 2021 г. до 17,1% ВВП и в 2022 г. до 16,9% ВВП, при росте в абсолютном выражении на 1</w:t>
      </w:r>
      <w:r w:rsidR="009E168F">
        <w:t xml:space="preserve"> </w:t>
      </w:r>
      <w:r>
        <w:t>130,7 и 11</w:t>
      </w:r>
      <w:r w:rsidR="001644A4">
        <w:t>29,3 млрд руб. или на 5,8 и 5,5</w:t>
      </w:r>
      <w:r>
        <w:t xml:space="preserve">% в номинальном выражении относительно </w:t>
      </w:r>
      <w:r w:rsidRPr="00ED0256">
        <w:t>предыдущего года</w:t>
      </w:r>
      <w:r w:rsidR="001644A4">
        <w:t>.</w:t>
      </w:r>
    </w:p>
    <w:p w14:paraId="3729B1E8" w14:textId="62AC9C29" w:rsidR="00AC6D27" w:rsidRDefault="00AC6D27" w:rsidP="00AC6D27">
      <w:pPr>
        <w:spacing w:after="60"/>
        <w:ind w:firstLine="709"/>
        <w:jc w:val="both"/>
      </w:pPr>
      <w:r>
        <w:t xml:space="preserve">Сравнение основных параметров федерального бюджета </w:t>
      </w:r>
      <w:r w:rsidR="00521A95">
        <w:t>на</w:t>
      </w:r>
      <w:r>
        <w:t xml:space="preserve"> 2020-2021 гг., заложенных в </w:t>
      </w:r>
      <w:r w:rsidRPr="00CE7F89">
        <w:t>Закон</w:t>
      </w:r>
      <w:r>
        <w:t>е о федеральном бюджете на 2019-2021 гг.</w:t>
      </w:r>
      <w:r>
        <w:rPr>
          <w:rStyle w:val="aa"/>
        </w:rPr>
        <w:footnoteReference w:id="1"/>
      </w:r>
      <w:r>
        <w:t xml:space="preserve"> и представленных в рассматриваемом проекте федерального бюджета, </w:t>
      </w:r>
      <w:r w:rsidR="00521A95">
        <w:t>свидетельствует</w:t>
      </w:r>
      <w:r>
        <w:t xml:space="preserve"> о </w:t>
      </w:r>
      <w:r w:rsidR="00521A95">
        <w:t>довольно вы</w:t>
      </w:r>
      <w:r>
        <w:t>соко</w:t>
      </w:r>
      <w:r w:rsidR="00521A95">
        <w:t>й точности</w:t>
      </w:r>
      <w:r>
        <w:t xml:space="preserve"> </w:t>
      </w:r>
      <w:r w:rsidRPr="00226D4C">
        <w:t xml:space="preserve">среднесрочного </w:t>
      </w:r>
      <w:r>
        <w:t>бюджетного планирования</w:t>
      </w:r>
      <w:r w:rsidR="00464C7D">
        <w:t>. Т</w:t>
      </w:r>
      <w:r>
        <w:t>ак</w:t>
      </w:r>
      <w:r w:rsidR="00521A95">
        <w:t>,</w:t>
      </w:r>
      <w:r>
        <w:t xml:space="preserve"> доходы бюджета в 2020 г</w:t>
      </w:r>
      <w:r w:rsidR="00464C7D">
        <w:t>.</w:t>
      </w:r>
      <w:r>
        <w:t xml:space="preserve"> и 2021 г. были скорректированы в сторон</w:t>
      </w:r>
      <w:r w:rsidR="00521A95">
        <w:t>у увеличения всего на 7,9 и 1,3</w:t>
      </w:r>
      <w:r>
        <w:t xml:space="preserve">%, а расходы </w:t>
      </w:r>
      <w:r w:rsidR="00464C7D">
        <w:t xml:space="preserve">– </w:t>
      </w:r>
      <w:r w:rsidR="00521A95">
        <w:t>на 2,7 и 3,0</w:t>
      </w:r>
      <w:r>
        <w:t>% в номина</w:t>
      </w:r>
      <w:r w:rsidR="00521A95">
        <w:t>льном выражении соответственно.</w:t>
      </w:r>
    </w:p>
    <w:p w14:paraId="559AD76A" w14:textId="472580FF" w:rsidR="00AC6D27" w:rsidRDefault="00AC6D27" w:rsidP="00AC6D27">
      <w:pPr>
        <w:spacing w:after="60"/>
        <w:ind w:firstLine="709"/>
        <w:jc w:val="both"/>
      </w:pPr>
      <w:r>
        <w:t>В 2020-2022 гг. прогнозируется профицит исполнения федерального бюджета в объеме 0,8-0,5-0,2% ВВП соответственно, против ожидаемого профицита 1,7% ВВП в 2019 г., нефтегазовый дефицит в 2020-2022 гг. составит 5,9-5,8% ВВП. По движению средств, учитываемых в качестве источников финансирования дефицита федерального бюджета, запланировано увеличение объемов государственных внутренних з</w:t>
      </w:r>
      <w:r w:rsidRPr="00BA339B">
        <w:t>аимствовани</w:t>
      </w:r>
      <w:r>
        <w:t xml:space="preserve">й </w:t>
      </w:r>
      <w:r w:rsidRPr="00916621">
        <w:t>(</w:t>
      </w:r>
      <w:r w:rsidR="00464C7D" w:rsidRPr="003A7722">
        <w:rPr>
          <w:i/>
        </w:rPr>
        <w:t>т</w:t>
      </w:r>
      <w:r w:rsidRPr="003A7722">
        <w:rPr>
          <w:i/>
        </w:rPr>
        <w:t>абл</w:t>
      </w:r>
      <w:r w:rsidR="00464C7D" w:rsidRPr="003A7722">
        <w:rPr>
          <w:i/>
        </w:rPr>
        <w:t>ица</w:t>
      </w:r>
      <w:r w:rsidRPr="003A7722">
        <w:rPr>
          <w:i/>
        </w:rPr>
        <w:t xml:space="preserve"> </w:t>
      </w:r>
      <w:r w:rsidR="003A7722" w:rsidRPr="003A7722">
        <w:rPr>
          <w:i/>
          <w:noProof/>
        </w:rPr>
        <w:t>2</w:t>
      </w:r>
      <w:r w:rsidRPr="00916621">
        <w:t>)</w:t>
      </w:r>
      <w:r>
        <w:t xml:space="preserve"> с 2</w:t>
      </w:r>
      <w:r w:rsidR="009E168F">
        <w:t xml:space="preserve"> </w:t>
      </w:r>
      <w:r>
        <w:t>324,8 млрд руб. в 2020 г. до 2</w:t>
      </w:r>
      <w:r w:rsidR="009E168F">
        <w:t xml:space="preserve"> </w:t>
      </w:r>
      <w:r>
        <w:t>535,9 и 2</w:t>
      </w:r>
      <w:r w:rsidR="009E168F">
        <w:t xml:space="preserve"> </w:t>
      </w:r>
      <w:r>
        <w:t>893,2 млрд руб. в 2021 и 2022 г. соответственно</w:t>
      </w:r>
      <w:r w:rsidR="00464C7D">
        <w:t>. О</w:t>
      </w:r>
      <w:r>
        <w:t>бъем бюджетных ассигнований, направляемых на погашение государственных ценных бумаг, также возрастет с 584,6 млрд руб. в 2020 г. до 986,9 и 1</w:t>
      </w:r>
      <w:r w:rsidR="009E168F">
        <w:t xml:space="preserve"> </w:t>
      </w:r>
      <w:r>
        <w:t xml:space="preserve">067,3 млрд руб. в 2021-2022 гг. соответственно. </w:t>
      </w:r>
    </w:p>
    <w:p w14:paraId="3046D7F3" w14:textId="0FBC8F8F" w:rsidR="00AC6D27" w:rsidRDefault="00AC6D27" w:rsidP="00AC6D27">
      <w:pPr>
        <w:pStyle w:val="aff8"/>
        <w:keepNext/>
      </w:pPr>
      <w:r>
        <w:t>Таблица</w:t>
      </w:r>
      <w:r w:rsidR="003A7722">
        <w:t xml:space="preserve"> </w:t>
      </w:r>
      <w:bookmarkStart w:id="5" w:name="_Ref21339196"/>
      <w:r w:rsidR="00BF098E">
        <w:rPr>
          <w:noProof/>
        </w:rPr>
        <w:t>2</w:t>
      </w:r>
      <w:bookmarkEnd w:id="5"/>
    </w:p>
    <w:p w14:paraId="28D741F9" w14:textId="5531AD82" w:rsidR="00AC6D27" w:rsidRPr="00140685" w:rsidRDefault="00AC6D27" w:rsidP="00AC6D27">
      <w:pPr>
        <w:spacing w:before="60" w:after="120"/>
        <w:jc w:val="center"/>
        <w:rPr>
          <w:b/>
        </w:rPr>
      </w:pPr>
      <w:r w:rsidRPr="00140685">
        <w:rPr>
          <w:b/>
        </w:rPr>
        <w:t>Источники финансирования дефицита федерального бюджета</w:t>
      </w:r>
      <w:r w:rsidR="00521A95">
        <w:rPr>
          <w:b/>
        </w:rPr>
        <w:t xml:space="preserve"> в 2019</w:t>
      </w:r>
      <w:r>
        <w:rPr>
          <w:b/>
        </w:rPr>
        <w:t>-2022 гг.</w:t>
      </w:r>
      <w:r w:rsidRPr="00140685">
        <w:rPr>
          <w:b/>
        </w:rPr>
        <w:t>, млрд руб.</w:t>
      </w:r>
      <w:r>
        <w:rPr>
          <w:b/>
        </w:rPr>
        <w:t xml:space="preserve"> и % к ВВП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1465"/>
        <w:gridCol w:w="1469"/>
        <w:gridCol w:w="1465"/>
        <w:gridCol w:w="1469"/>
      </w:tblGrid>
      <w:tr w:rsidR="00AC6D27" w:rsidRPr="00140685" w14:paraId="7231B617" w14:textId="77777777" w:rsidTr="00191F82">
        <w:trPr>
          <w:trHeight w:val="209"/>
          <w:tblHeader/>
          <w:jc w:val="center"/>
        </w:trPr>
        <w:tc>
          <w:tcPr>
            <w:tcW w:w="1840" w:type="pct"/>
            <w:shd w:val="clear" w:color="auto" w:fill="auto"/>
            <w:vAlign w:val="center"/>
          </w:tcPr>
          <w:p w14:paraId="650AA5E0" w14:textId="77777777" w:rsidR="00AC6D27" w:rsidRPr="00462DD8" w:rsidRDefault="00AC6D27" w:rsidP="00191F82">
            <w:pPr>
              <w:jc w:val="center"/>
              <w:rPr>
                <w:b/>
                <w:sz w:val="20"/>
                <w:szCs w:val="20"/>
              </w:rPr>
            </w:pPr>
          </w:p>
        </w:tc>
        <w:tc>
          <w:tcPr>
            <w:tcW w:w="789" w:type="pct"/>
            <w:shd w:val="clear" w:color="auto" w:fill="auto"/>
            <w:vAlign w:val="center"/>
          </w:tcPr>
          <w:p w14:paraId="648A79F5" w14:textId="77777777" w:rsidR="00AC6D27" w:rsidRPr="00462DD8" w:rsidRDefault="00AC6D27" w:rsidP="00191F82">
            <w:pPr>
              <w:jc w:val="center"/>
              <w:rPr>
                <w:b/>
                <w:sz w:val="20"/>
                <w:szCs w:val="20"/>
              </w:rPr>
            </w:pPr>
            <w:r w:rsidRPr="00462DD8">
              <w:rPr>
                <w:b/>
                <w:sz w:val="20"/>
                <w:szCs w:val="20"/>
              </w:rPr>
              <w:t>2019 год (оценка)</w:t>
            </w:r>
          </w:p>
        </w:tc>
        <w:tc>
          <w:tcPr>
            <w:tcW w:w="791" w:type="pct"/>
            <w:shd w:val="clear" w:color="auto" w:fill="auto"/>
            <w:vAlign w:val="center"/>
          </w:tcPr>
          <w:p w14:paraId="2F75A850" w14:textId="77777777" w:rsidR="00AC6D27" w:rsidRPr="00462DD8" w:rsidRDefault="00AC6D27" w:rsidP="00191F82">
            <w:pPr>
              <w:jc w:val="center"/>
              <w:rPr>
                <w:b/>
                <w:sz w:val="20"/>
                <w:szCs w:val="20"/>
              </w:rPr>
            </w:pPr>
            <w:r w:rsidRPr="00462DD8">
              <w:rPr>
                <w:b/>
                <w:sz w:val="20"/>
                <w:szCs w:val="20"/>
              </w:rPr>
              <w:t>2020 г. (проект)</w:t>
            </w:r>
          </w:p>
        </w:tc>
        <w:tc>
          <w:tcPr>
            <w:tcW w:w="789" w:type="pct"/>
            <w:shd w:val="clear" w:color="auto" w:fill="auto"/>
          </w:tcPr>
          <w:p w14:paraId="4FC6C5A6" w14:textId="77777777" w:rsidR="00AC6D27" w:rsidRPr="00462DD8" w:rsidRDefault="00AC6D27" w:rsidP="00191F82">
            <w:pPr>
              <w:jc w:val="center"/>
              <w:rPr>
                <w:b/>
                <w:sz w:val="20"/>
                <w:szCs w:val="20"/>
              </w:rPr>
            </w:pPr>
            <w:r w:rsidRPr="00462DD8">
              <w:rPr>
                <w:b/>
                <w:sz w:val="20"/>
                <w:szCs w:val="20"/>
              </w:rPr>
              <w:t>2021 г. (проект)</w:t>
            </w:r>
          </w:p>
        </w:tc>
        <w:tc>
          <w:tcPr>
            <w:tcW w:w="791" w:type="pct"/>
            <w:shd w:val="clear" w:color="auto" w:fill="auto"/>
          </w:tcPr>
          <w:p w14:paraId="1799612D" w14:textId="77777777" w:rsidR="00AC6D27" w:rsidRPr="00462DD8" w:rsidRDefault="00AC6D27" w:rsidP="00191F82">
            <w:pPr>
              <w:jc w:val="center"/>
              <w:rPr>
                <w:b/>
                <w:sz w:val="20"/>
                <w:szCs w:val="20"/>
              </w:rPr>
            </w:pPr>
            <w:r w:rsidRPr="00462DD8">
              <w:rPr>
                <w:b/>
                <w:sz w:val="20"/>
                <w:szCs w:val="20"/>
              </w:rPr>
              <w:t>2022 г. (проект)</w:t>
            </w:r>
          </w:p>
        </w:tc>
      </w:tr>
      <w:tr w:rsidR="00AC6D27" w:rsidRPr="00140685" w14:paraId="55218167" w14:textId="77777777" w:rsidTr="00191F82">
        <w:trPr>
          <w:trHeight w:val="209"/>
          <w:jc w:val="center"/>
        </w:trPr>
        <w:tc>
          <w:tcPr>
            <w:tcW w:w="1840" w:type="pct"/>
            <w:shd w:val="clear" w:color="auto" w:fill="auto"/>
            <w:vAlign w:val="center"/>
          </w:tcPr>
          <w:p w14:paraId="782379C7" w14:textId="77777777" w:rsidR="00AC6D27" w:rsidRPr="00462DD8" w:rsidRDefault="00AC6D27" w:rsidP="00191F82">
            <w:pPr>
              <w:rPr>
                <w:b/>
                <w:sz w:val="20"/>
                <w:szCs w:val="20"/>
              </w:rPr>
            </w:pPr>
            <w:r w:rsidRPr="00462DD8">
              <w:rPr>
                <w:b/>
                <w:sz w:val="20"/>
                <w:szCs w:val="20"/>
              </w:rPr>
              <w:t>Всего источников</w:t>
            </w:r>
          </w:p>
        </w:tc>
        <w:tc>
          <w:tcPr>
            <w:tcW w:w="789" w:type="pct"/>
            <w:shd w:val="clear" w:color="auto" w:fill="auto"/>
            <w:vAlign w:val="center"/>
          </w:tcPr>
          <w:p w14:paraId="0403B704" w14:textId="77777777" w:rsidR="00AC6D27" w:rsidRPr="00462DD8" w:rsidRDefault="00AC6D27" w:rsidP="00191F82">
            <w:pPr>
              <w:jc w:val="center"/>
              <w:rPr>
                <w:b/>
                <w:sz w:val="20"/>
                <w:szCs w:val="20"/>
              </w:rPr>
            </w:pPr>
            <w:r w:rsidRPr="00462DD8">
              <w:rPr>
                <w:b/>
                <w:sz w:val="20"/>
                <w:szCs w:val="20"/>
              </w:rPr>
              <w:t>-1881,2</w:t>
            </w:r>
          </w:p>
        </w:tc>
        <w:tc>
          <w:tcPr>
            <w:tcW w:w="791" w:type="pct"/>
            <w:shd w:val="clear" w:color="auto" w:fill="auto"/>
            <w:vAlign w:val="center"/>
          </w:tcPr>
          <w:p w14:paraId="1D90C156" w14:textId="77777777" w:rsidR="00AC6D27" w:rsidRPr="00462DD8" w:rsidRDefault="00AC6D27" w:rsidP="00191F82">
            <w:pPr>
              <w:jc w:val="center"/>
              <w:rPr>
                <w:b/>
                <w:sz w:val="20"/>
                <w:szCs w:val="20"/>
              </w:rPr>
            </w:pPr>
            <w:r w:rsidRPr="00462DD8">
              <w:rPr>
                <w:b/>
                <w:sz w:val="20"/>
                <w:szCs w:val="20"/>
              </w:rPr>
              <w:t>-876,0</w:t>
            </w:r>
          </w:p>
        </w:tc>
        <w:tc>
          <w:tcPr>
            <w:tcW w:w="789" w:type="pct"/>
            <w:shd w:val="clear" w:color="auto" w:fill="auto"/>
            <w:vAlign w:val="center"/>
          </w:tcPr>
          <w:p w14:paraId="5555D283" w14:textId="77777777" w:rsidR="00AC6D27" w:rsidRPr="00462DD8" w:rsidRDefault="00AC6D27" w:rsidP="00191F82">
            <w:pPr>
              <w:jc w:val="center"/>
              <w:rPr>
                <w:b/>
                <w:sz w:val="20"/>
                <w:szCs w:val="20"/>
              </w:rPr>
            </w:pPr>
            <w:r w:rsidRPr="00462DD8">
              <w:rPr>
                <w:b/>
                <w:sz w:val="20"/>
                <w:szCs w:val="20"/>
              </w:rPr>
              <w:t>-612,5</w:t>
            </w:r>
          </w:p>
        </w:tc>
        <w:tc>
          <w:tcPr>
            <w:tcW w:w="791" w:type="pct"/>
            <w:shd w:val="clear" w:color="auto" w:fill="auto"/>
            <w:vAlign w:val="center"/>
          </w:tcPr>
          <w:p w14:paraId="5879D65D" w14:textId="77777777" w:rsidR="00AC6D27" w:rsidRPr="00462DD8" w:rsidRDefault="00AC6D27" w:rsidP="00191F82">
            <w:pPr>
              <w:jc w:val="center"/>
              <w:rPr>
                <w:b/>
                <w:sz w:val="20"/>
                <w:szCs w:val="20"/>
              </w:rPr>
            </w:pPr>
            <w:r w:rsidRPr="00462DD8">
              <w:rPr>
                <w:b/>
                <w:sz w:val="20"/>
                <w:szCs w:val="20"/>
              </w:rPr>
              <w:t>-294,9</w:t>
            </w:r>
          </w:p>
        </w:tc>
      </w:tr>
      <w:tr w:rsidR="00AC6D27" w:rsidRPr="00140685" w14:paraId="0D53171B" w14:textId="77777777" w:rsidTr="00191F82">
        <w:trPr>
          <w:trHeight w:val="209"/>
          <w:jc w:val="center"/>
        </w:trPr>
        <w:tc>
          <w:tcPr>
            <w:tcW w:w="1840" w:type="pct"/>
            <w:shd w:val="clear" w:color="auto" w:fill="auto"/>
            <w:vAlign w:val="center"/>
          </w:tcPr>
          <w:p w14:paraId="016E4189" w14:textId="77777777" w:rsidR="00AC6D27" w:rsidRPr="00462DD8" w:rsidRDefault="00AC6D27" w:rsidP="00191F82">
            <w:pPr>
              <w:rPr>
                <w:i/>
                <w:sz w:val="20"/>
                <w:szCs w:val="20"/>
              </w:rPr>
            </w:pPr>
            <w:r w:rsidRPr="00462DD8">
              <w:rPr>
                <w:i/>
                <w:sz w:val="20"/>
                <w:szCs w:val="20"/>
              </w:rPr>
              <w:t>в % к ВВП</w:t>
            </w:r>
          </w:p>
        </w:tc>
        <w:tc>
          <w:tcPr>
            <w:tcW w:w="789" w:type="pct"/>
            <w:shd w:val="clear" w:color="auto" w:fill="auto"/>
            <w:vAlign w:val="center"/>
          </w:tcPr>
          <w:p w14:paraId="7DD4D492" w14:textId="77777777" w:rsidR="00AC6D27" w:rsidRPr="00462DD8" w:rsidRDefault="00AC6D27" w:rsidP="00191F82">
            <w:pPr>
              <w:jc w:val="center"/>
              <w:rPr>
                <w:sz w:val="20"/>
                <w:szCs w:val="20"/>
              </w:rPr>
            </w:pPr>
            <w:r w:rsidRPr="00462DD8">
              <w:rPr>
                <w:sz w:val="20"/>
                <w:szCs w:val="20"/>
              </w:rPr>
              <w:t>1,</w:t>
            </w:r>
            <w:r>
              <w:rPr>
                <w:sz w:val="20"/>
                <w:szCs w:val="20"/>
              </w:rPr>
              <w:t>7</w:t>
            </w:r>
          </w:p>
        </w:tc>
        <w:tc>
          <w:tcPr>
            <w:tcW w:w="791" w:type="pct"/>
            <w:shd w:val="clear" w:color="auto" w:fill="auto"/>
            <w:vAlign w:val="center"/>
          </w:tcPr>
          <w:p w14:paraId="68EBE0E5" w14:textId="77777777" w:rsidR="00AC6D27" w:rsidRPr="00462DD8" w:rsidRDefault="00AC6D27" w:rsidP="00191F82">
            <w:pPr>
              <w:jc w:val="center"/>
              <w:rPr>
                <w:sz w:val="20"/>
                <w:szCs w:val="20"/>
              </w:rPr>
            </w:pPr>
            <w:r w:rsidRPr="00462DD8">
              <w:rPr>
                <w:sz w:val="20"/>
                <w:szCs w:val="20"/>
              </w:rPr>
              <w:t>0,8</w:t>
            </w:r>
          </w:p>
        </w:tc>
        <w:tc>
          <w:tcPr>
            <w:tcW w:w="789" w:type="pct"/>
            <w:shd w:val="clear" w:color="auto" w:fill="auto"/>
            <w:vAlign w:val="center"/>
          </w:tcPr>
          <w:p w14:paraId="3C1FA050" w14:textId="77777777" w:rsidR="00AC6D27" w:rsidRPr="00462DD8" w:rsidRDefault="00AC6D27" w:rsidP="00191F82">
            <w:pPr>
              <w:jc w:val="center"/>
              <w:rPr>
                <w:sz w:val="20"/>
                <w:szCs w:val="20"/>
              </w:rPr>
            </w:pPr>
            <w:r w:rsidRPr="00462DD8">
              <w:rPr>
                <w:sz w:val="20"/>
                <w:szCs w:val="20"/>
              </w:rPr>
              <w:t>0,5</w:t>
            </w:r>
          </w:p>
        </w:tc>
        <w:tc>
          <w:tcPr>
            <w:tcW w:w="791" w:type="pct"/>
            <w:shd w:val="clear" w:color="auto" w:fill="auto"/>
            <w:vAlign w:val="center"/>
          </w:tcPr>
          <w:p w14:paraId="2455DEDA" w14:textId="77777777" w:rsidR="00AC6D27" w:rsidRPr="00462DD8" w:rsidRDefault="00AC6D27" w:rsidP="00191F82">
            <w:pPr>
              <w:jc w:val="center"/>
              <w:rPr>
                <w:sz w:val="20"/>
                <w:szCs w:val="20"/>
              </w:rPr>
            </w:pPr>
            <w:r w:rsidRPr="00462DD8">
              <w:rPr>
                <w:sz w:val="20"/>
                <w:szCs w:val="20"/>
              </w:rPr>
              <w:t>0,2</w:t>
            </w:r>
          </w:p>
        </w:tc>
      </w:tr>
      <w:tr w:rsidR="00AC6D27" w:rsidRPr="00140685" w14:paraId="3006E30A" w14:textId="77777777" w:rsidTr="00191F82">
        <w:trPr>
          <w:trHeight w:val="188"/>
          <w:jc w:val="center"/>
        </w:trPr>
        <w:tc>
          <w:tcPr>
            <w:tcW w:w="1840" w:type="pct"/>
            <w:shd w:val="clear" w:color="auto" w:fill="auto"/>
            <w:vAlign w:val="center"/>
          </w:tcPr>
          <w:p w14:paraId="47AA2C58" w14:textId="77777777" w:rsidR="00AC6D27" w:rsidRPr="00462DD8" w:rsidRDefault="00AC6D27" w:rsidP="00191F82">
            <w:pPr>
              <w:rPr>
                <w:i/>
                <w:sz w:val="20"/>
                <w:szCs w:val="20"/>
              </w:rPr>
            </w:pPr>
            <w:r w:rsidRPr="00462DD8">
              <w:rPr>
                <w:i/>
                <w:sz w:val="20"/>
                <w:szCs w:val="20"/>
              </w:rPr>
              <w:t>в том числе:</w:t>
            </w:r>
          </w:p>
        </w:tc>
        <w:tc>
          <w:tcPr>
            <w:tcW w:w="789" w:type="pct"/>
            <w:shd w:val="clear" w:color="auto" w:fill="auto"/>
            <w:vAlign w:val="center"/>
          </w:tcPr>
          <w:p w14:paraId="6673F506" w14:textId="77777777" w:rsidR="00AC6D27" w:rsidRPr="00462DD8" w:rsidRDefault="00AC6D27" w:rsidP="00191F82">
            <w:pPr>
              <w:jc w:val="center"/>
              <w:rPr>
                <w:sz w:val="20"/>
                <w:szCs w:val="20"/>
              </w:rPr>
            </w:pPr>
          </w:p>
        </w:tc>
        <w:tc>
          <w:tcPr>
            <w:tcW w:w="791" w:type="pct"/>
            <w:shd w:val="clear" w:color="auto" w:fill="auto"/>
            <w:vAlign w:val="center"/>
          </w:tcPr>
          <w:p w14:paraId="098BC4D8" w14:textId="77777777" w:rsidR="00AC6D27" w:rsidRPr="00462DD8" w:rsidRDefault="00AC6D27" w:rsidP="00191F82">
            <w:pPr>
              <w:jc w:val="center"/>
              <w:rPr>
                <w:sz w:val="20"/>
                <w:szCs w:val="20"/>
              </w:rPr>
            </w:pPr>
          </w:p>
        </w:tc>
        <w:tc>
          <w:tcPr>
            <w:tcW w:w="789" w:type="pct"/>
            <w:shd w:val="clear" w:color="auto" w:fill="auto"/>
            <w:vAlign w:val="center"/>
          </w:tcPr>
          <w:p w14:paraId="520B47E4" w14:textId="77777777" w:rsidR="00AC6D27" w:rsidRPr="00462DD8" w:rsidRDefault="00AC6D27" w:rsidP="00191F82">
            <w:pPr>
              <w:jc w:val="center"/>
              <w:rPr>
                <w:sz w:val="20"/>
                <w:szCs w:val="20"/>
              </w:rPr>
            </w:pPr>
          </w:p>
        </w:tc>
        <w:tc>
          <w:tcPr>
            <w:tcW w:w="791" w:type="pct"/>
            <w:shd w:val="clear" w:color="auto" w:fill="auto"/>
            <w:vAlign w:val="center"/>
          </w:tcPr>
          <w:p w14:paraId="15D1E33A" w14:textId="77777777" w:rsidR="00AC6D27" w:rsidRPr="00462DD8" w:rsidRDefault="00AC6D27" w:rsidP="00191F82">
            <w:pPr>
              <w:jc w:val="center"/>
              <w:rPr>
                <w:sz w:val="20"/>
                <w:szCs w:val="20"/>
              </w:rPr>
            </w:pPr>
          </w:p>
        </w:tc>
      </w:tr>
      <w:tr w:rsidR="00AC6D27" w:rsidRPr="00721B02" w14:paraId="22BA283C" w14:textId="77777777" w:rsidTr="00191F82">
        <w:trPr>
          <w:trHeight w:val="188"/>
          <w:jc w:val="center"/>
        </w:trPr>
        <w:tc>
          <w:tcPr>
            <w:tcW w:w="1840" w:type="pct"/>
            <w:shd w:val="clear" w:color="auto" w:fill="auto"/>
            <w:vAlign w:val="center"/>
          </w:tcPr>
          <w:p w14:paraId="1340CE9A" w14:textId="77777777" w:rsidR="00AC6D27" w:rsidRPr="00462DD8" w:rsidRDefault="00AC6D27" w:rsidP="00191F82">
            <w:pPr>
              <w:rPr>
                <w:b/>
                <w:sz w:val="20"/>
                <w:szCs w:val="20"/>
              </w:rPr>
            </w:pPr>
            <w:r w:rsidRPr="00462DD8">
              <w:rPr>
                <w:b/>
                <w:color w:val="000000"/>
                <w:kern w:val="24"/>
                <w:sz w:val="20"/>
                <w:szCs w:val="20"/>
              </w:rPr>
              <w:t>Источники внутреннего финансирования дефицита</w:t>
            </w:r>
          </w:p>
        </w:tc>
        <w:tc>
          <w:tcPr>
            <w:tcW w:w="789" w:type="pct"/>
            <w:vAlign w:val="center"/>
          </w:tcPr>
          <w:p w14:paraId="3842A6DD" w14:textId="77777777" w:rsidR="00AC6D27" w:rsidRPr="00462DD8" w:rsidRDefault="00AC6D27" w:rsidP="00191F82">
            <w:pPr>
              <w:jc w:val="center"/>
              <w:rPr>
                <w:b/>
                <w:sz w:val="20"/>
                <w:szCs w:val="20"/>
              </w:rPr>
            </w:pPr>
            <w:r>
              <w:rPr>
                <w:b/>
                <w:bCs/>
                <w:sz w:val="20"/>
                <w:szCs w:val="20"/>
              </w:rPr>
              <w:t>-</w:t>
            </w:r>
            <w:r w:rsidRPr="00462DD8">
              <w:rPr>
                <w:b/>
                <w:bCs/>
                <w:sz w:val="20"/>
                <w:szCs w:val="20"/>
              </w:rPr>
              <w:t>1</w:t>
            </w:r>
            <w:r>
              <w:rPr>
                <w:b/>
                <w:bCs/>
                <w:sz w:val="20"/>
                <w:szCs w:val="20"/>
              </w:rPr>
              <w:t>820,2</w:t>
            </w:r>
          </w:p>
        </w:tc>
        <w:tc>
          <w:tcPr>
            <w:tcW w:w="791" w:type="pct"/>
            <w:vAlign w:val="center"/>
          </w:tcPr>
          <w:p w14:paraId="7008399C" w14:textId="77777777" w:rsidR="00AC6D27" w:rsidRPr="00462DD8" w:rsidRDefault="00AC6D27" w:rsidP="00191F82">
            <w:pPr>
              <w:jc w:val="center"/>
              <w:rPr>
                <w:b/>
                <w:sz w:val="20"/>
                <w:szCs w:val="20"/>
              </w:rPr>
            </w:pPr>
            <w:r>
              <w:rPr>
                <w:b/>
                <w:color w:val="000000"/>
                <w:kern w:val="24"/>
                <w:sz w:val="20"/>
                <w:szCs w:val="20"/>
              </w:rPr>
              <w:t>--</w:t>
            </w:r>
            <w:r w:rsidRPr="00462DD8">
              <w:rPr>
                <w:b/>
                <w:color w:val="000000"/>
                <w:kern w:val="24"/>
                <w:sz w:val="20"/>
                <w:szCs w:val="20"/>
              </w:rPr>
              <w:t>550,1</w:t>
            </w:r>
          </w:p>
        </w:tc>
        <w:tc>
          <w:tcPr>
            <w:tcW w:w="789" w:type="pct"/>
            <w:vAlign w:val="center"/>
          </w:tcPr>
          <w:p w14:paraId="069700E6" w14:textId="77777777" w:rsidR="00AC6D27" w:rsidRPr="00462DD8" w:rsidRDefault="00AC6D27" w:rsidP="00191F82">
            <w:pPr>
              <w:jc w:val="center"/>
              <w:rPr>
                <w:b/>
                <w:sz w:val="20"/>
                <w:szCs w:val="20"/>
              </w:rPr>
            </w:pPr>
            <w:r>
              <w:rPr>
                <w:b/>
                <w:color w:val="000000"/>
                <w:kern w:val="24"/>
                <w:sz w:val="20"/>
                <w:szCs w:val="20"/>
              </w:rPr>
              <w:t>-</w:t>
            </w:r>
            <w:r w:rsidRPr="00462DD8">
              <w:rPr>
                <w:b/>
                <w:color w:val="000000"/>
                <w:kern w:val="24"/>
                <w:sz w:val="20"/>
                <w:szCs w:val="20"/>
              </w:rPr>
              <w:t>575,5</w:t>
            </w:r>
          </w:p>
        </w:tc>
        <w:tc>
          <w:tcPr>
            <w:tcW w:w="791" w:type="pct"/>
            <w:vAlign w:val="center"/>
          </w:tcPr>
          <w:p w14:paraId="6A0A2855" w14:textId="77777777" w:rsidR="00AC6D27" w:rsidRPr="00462DD8" w:rsidRDefault="00AC6D27" w:rsidP="00191F82">
            <w:pPr>
              <w:jc w:val="center"/>
              <w:rPr>
                <w:b/>
                <w:sz w:val="20"/>
                <w:szCs w:val="20"/>
              </w:rPr>
            </w:pPr>
            <w:r>
              <w:rPr>
                <w:b/>
                <w:sz w:val="20"/>
                <w:szCs w:val="20"/>
              </w:rPr>
              <w:t>-</w:t>
            </w:r>
            <w:r w:rsidRPr="00462DD8">
              <w:rPr>
                <w:b/>
                <w:sz w:val="20"/>
                <w:szCs w:val="20"/>
              </w:rPr>
              <w:t>69,2</w:t>
            </w:r>
          </w:p>
        </w:tc>
      </w:tr>
      <w:tr w:rsidR="00AC6D27" w:rsidRPr="00140685" w14:paraId="6DD8EA32" w14:textId="77777777" w:rsidTr="00191F82">
        <w:trPr>
          <w:trHeight w:val="188"/>
          <w:jc w:val="center"/>
        </w:trPr>
        <w:tc>
          <w:tcPr>
            <w:tcW w:w="1840" w:type="pct"/>
            <w:shd w:val="clear" w:color="auto" w:fill="auto"/>
            <w:vAlign w:val="center"/>
          </w:tcPr>
          <w:p w14:paraId="5AA65A17" w14:textId="77777777" w:rsidR="00AC6D27" w:rsidRPr="00462DD8" w:rsidRDefault="00AC6D27" w:rsidP="00191F82">
            <w:pPr>
              <w:rPr>
                <w:color w:val="000000"/>
                <w:kern w:val="24"/>
                <w:sz w:val="20"/>
                <w:szCs w:val="20"/>
              </w:rPr>
            </w:pPr>
            <w:r w:rsidRPr="00462DD8">
              <w:rPr>
                <w:color w:val="000000"/>
                <w:kern w:val="24"/>
                <w:sz w:val="20"/>
                <w:szCs w:val="20"/>
              </w:rPr>
              <w:t>в % к ВВП</w:t>
            </w:r>
          </w:p>
        </w:tc>
        <w:tc>
          <w:tcPr>
            <w:tcW w:w="789" w:type="pct"/>
            <w:shd w:val="clear" w:color="auto" w:fill="auto"/>
            <w:vAlign w:val="center"/>
          </w:tcPr>
          <w:p w14:paraId="3ADB0B75" w14:textId="77777777" w:rsidR="00AC6D27" w:rsidRPr="00462DD8" w:rsidRDefault="00AC6D27" w:rsidP="00191F82">
            <w:pPr>
              <w:jc w:val="center"/>
              <w:rPr>
                <w:sz w:val="20"/>
                <w:szCs w:val="20"/>
              </w:rPr>
            </w:pPr>
          </w:p>
        </w:tc>
        <w:tc>
          <w:tcPr>
            <w:tcW w:w="791" w:type="pct"/>
            <w:shd w:val="clear" w:color="auto" w:fill="auto"/>
            <w:vAlign w:val="center"/>
          </w:tcPr>
          <w:p w14:paraId="00535EF3" w14:textId="77777777" w:rsidR="00AC6D27" w:rsidRPr="00462DD8" w:rsidRDefault="00AC6D27" w:rsidP="00191F82">
            <w:pPr>
              <w:jc w:val="center"/>
              <w:rPr>
                <w:sz w:val="20"/>
                <w:szCs w:val="20"/>
              </w:rPr>
            </w:pPr>
            <w:r w:rsidRPr="00462DD8">
              <w:rPr>
                <w:sz w:val="20"/>
                <w:szCs w:val="20"/>
              </w:rPr>
              <w:t>0,5</w:t>
            </w:r>
          </w:p>
        </w:tc>
        <w:tc>
          <w:tcPr>
            <w:tcW w:w="789" w:type="pct"/>
            <w:shd w:val="clear" w:color="auto" w:fill="auto"/>
            <w:vAlign w:val="center"/>
          </w:tcPr>
          <w:p w14:paraId="196E42C8" w14:textId="77777777" w:rsidR="00AC6D27" w:rsidRPr="00462DD8" w:rsidRDefault="00AC6D27" w:rsidP="00191F82">
            <w:pPr>
              <w:jc w:val="center"/>
              <w:rPr>
                <w:sz w:val="20"/>
                <w:szCs w:val="20"/>
              </w:rPr>
            </w:pPr>
            <w:r w:rsidRPr="00462DD8">
              <w:rPr>
                <w:sz w:val="20"/>
                <w:szCs w:val="20"/>
              </w:rPr>
              <w:t>0,5</w:t>
            </w:r>
          </w:p>
        </w:tc>
        <w:tc>
          <w:tcPr>
            <w:tcW w:w="791" w:type="pct"/>
            <w:shd w:val="clear" w:color="auto" w:fill="auto"/>
            <w:vAlign w:val="center"/>
          </w:tcPr>
          <w:p w14:paraId="3604B678" w14:textId="77777777" w:rsidR="00AC6D27" w:rsidRPr="00462DD8" w:rsidRDefault="00AC6D27" w:rsidP="00191F82">
            <w:pPr>
              <w:jc w:val="center"/>
              <w:rPr>
                <w:sz w:val="20"/>
                <w:szCs w:val="20"/>
              </w:rPr>
            </w:pPr>
            <w:r w:rsidRPr="00462DD8">
              <w:rPr>
                <w:sz w:val="20"/>
                <w:szCs w:val="20"/>
              </w:rPr>
              <w:t>0,05</w:t>
            </w:r>
          </w:p>
        </w:tc>
      </w:tr>
      <w:tr w:rsidR="00AC6D27" w:rsidRPr="00140685" w14:paraId="0560DF8F" w14:textId="77777777" w:rsidTr="00191F82">
        <w:trPr>
          <w:trHeight w:val="245"/>
          <w:jc w:val="center"/>
        </w:trPr>
        <w:tc>
          <w:tcPr>
            <w:tcW w:w="1840" w:type="pct"/>
            <w:shd w:val="clear" w:color="auto" w:fill="auto"/>
            <w:vAlign w:val="center"/>
          </w:tcPr>
          <w:p w14:paraId="359D72F5" w14:textId="77777777" w:rsidR="00AC6D27" w:rsidRPr="00462DD8" w:rsidRDefault="00AC6D27" w:rsidP="00191F82">
            <w:pPr>
              <w:rPr>
                <w:sz w:val="20"/>
                <w:szCs w:val="20"/>
              </w:rPr>
            </w:pPr>
            <w:r w:rsidRPr="00462DD8">
              <w:rPr>
                <w:sz w:val="20"/>
                <w:szCs w:val="20"/>
              </w:rPr>
              <w:t>Государственные заимствования</w:t>
            </w:r>
          </w:p>
        </w:tc>
        <w:tc>
          <w:tcPr>
            <w:tcW w:w="789" w:type="pct"/>
            <w:shd w:val="clear" w:color="auto" w:fill="auto"/>
            <w:vAlign w:val="center"/>
          </w:tcPr>
          <w:p w14:paraId="744FDEF7" w14:textId="77777777" w:rsidR="00AC6D27" w:rsidRPr="00462DD8" w:rsidRDefault="00AC6D27" w:rsidP="00191F82">
            <w:pPr>
              <w:jc w:val="center"/>
              <w:rPr>
                <w:sz w:val="20"/>
                <w:szCs w:val="20"/>
              </w:rPr>
            </w:pPr>
            <w:r>
              <w:rPr>
                <w:sz w:val="20"/>
                <w:szCs w:val="20"/>
              </w:rPr>
              <w:t>2425,4</w:t>
            </w:r>
          </w:p>
        </w:tc>
        <w:tc>
          <w:tcPr>
            <w:tcW w:w="791" w:type="pct"/>
            <w:shd w:val="clear" w:color="auto" w:fill="auto"/>
            <w:vAlign w:val="center"/>
          </w:tcPr>
          <w:p w14:paraId="3729B240" w14:textId="77777777" w:rsidR="00AC6D27" w:rsidRPr="00462DD8" w:rsidRDefault="00AC6D27" w:rsidP="00191F82">
            <w:pPr>
              <w:jc w:val="center"/>
              <w:rPr>
                <w:sz w:val="20"/>
                <w:szCs w:val="20"/>
              </w:rPr>
            </w:pPr>
            <w:r w:rsidRPr="00462DD8">
              <w:rPr>
                <w:sz w:val="20"/>
                <w:szCs w:val="20"/>
              </w:rPr>
              <w:t>2324,8</w:t>
            </w:r>
          </w:p>
        </w:tc>
        <w:tc>
          <w:tcPr>
            <w:tcW w:w="789" w:type="pct"/>
            <w:shd w:val="clear" w:color="auto" w:fill="auto"/>
            <w:vAlign w:val="center"/>
          </w:tcPr>
          <w:p w14:paraId="55A8194A" w14:textId="77777777" w:rsidR="00AC6D27" w:rsidRPr="00462DD8" w:rsidRDefault="00AC6D27" w:rsidP="00191F82">
            <w:pPr>
              <w:jc w:val="center"/>
              <w:rPr>
                <w:sz w:val="20"/>
                <w:szCs w:val="20"/>
              </w:rPr>
            </w:pPr>
            <w:r w:rsidRPr="00462DD8">
              <w:rPr>
                <w:sz w:val="20"/>
                <w:szCs w:val="20"/>
              </w:rPr>
              <w:t>2535,9</w:t>
            </w:r>
          </w:p>
        </w:tc>
        <w:tc>
          <w:tcPr>
            <w:tcW w:w="791" w:type="pct"/>
            <w:shd w:val="clear" w:color="auto" w:fill="auto"/>
            <w:vAlign w:val="center"/>
          </w:tcPr>
          <w:p w14:paraId="2CDF1622" w14:textId="77777777" w:rsidR="00AC6D27" w:rsidRPr="00462DD8" w:rsidRDefault="00AC6D27" w:rsidP="00191F82">
            <w:pPr>
              <w:jc w:val="center"/>
              <w:rPr>
                <w:sz w:val="20"/>
                <w:szCs w:val="20"/>
              </w:rPr>
            </w:pPr>
            <w:r w:rsidRPr="00462DD8">
              <w:rPr>
                <w:sz w:val="20"/>
                <w:szCs w:val="20"/>
              </w:rPr>
              <w:t>2893,2</w:t>
            </w:r>
          </w:p>
        </w:tc>
      </w:tr>
      <w:tr w:rsidR="00AC6D27" w:rsidRPr="00140685" w14:paraId="1234FB06" w14:textId="77777777" w:rsidTr="00191F82">
        <w:trPr>
          <w:trHeight w:val="245"/>
          <w:jc w:val="center"/>
        </w:trPr>
        <w:tc>
          <w:tcPr>
            <w:tcW w:w="1840" w:type="pct"/>
            <w:shd w:val="clear" w:color="auto" w:fill="auto"/>
            <w:vAlign w:val="center"/>
          </w:tcPr>
          <w:p w14:paraId="706D362E" w14:textId="77777777" w:rsidR="00AC6D27" w:rsidRPr="00462DD8" w:rsidRDefault="00AC6D27" w:rsidP="00191F82">
            <w:pPr>
              <w:rPr>
                <w:sz w:val="20"/>
                <w:szCs w:val="20"/>
              </w:rPr>
            </w:pPr>
            <w:r w:rsidRPr="00462DD8">
              <w:rPr>
                <w:sz w:val="20"/>
                <w:szCs w:val="20"/>
              </w:rPr>
              <w:t xml:space="preserve">Изменение остатков средств на счетах по учету средств ФБ  </w:t>
            </w:r>
          </w:p>
        </w:tc>
        <w:tc>
          <w:tcPr>
            <w:tcW w:w="789" w:type="pct"/>
            <w:vAlign w:val="center"/>
          </w:tcPr>
          <w:p w14:paraId="28C47C9F" w14:textId="77777777" w:rsidR="00AC6D27" w:rsidRPr="00462DD8" w:rsidRDefault="00AC6D27" w:rsidP="00191F82">
            <w:pPr>
              <w:jc w:val="center"/>
              <w:rPr>
                <w:sz w:val="20"/>
                <w:szCs w:val="20"/>
              </w:rPr>
            </w:pPr>
            <w:r w:rsidRPr="00462DD8">
              <w:rPr>
                <w:sz w:val="20"/>
                <w:szCs w:val="20"/>
              </w:rPr>
              <w:t>-2</w:t>
            </w:r>
            <w:r>
              <w:rPr>
                <w:sz w:val="20"/>
                <w:szCs w:val="20"/>
              </w:rPr>
              <w:t xml:space="preserve"> 559,3</w:t>
            </w:r>
          </w:p>
        </w:tc>
        <w:tc>
          <w:tcPr>
            <w:tcW w:w="791" w:type="pct"/>
            <w:vAlign w:val="center"/>
          </w:tcPr>
          <w:p w14:paraId="14EDA79F" w14:textId="77777777" w:rsidR="00AC6D27" w:rsidRPr="00462DD8" w:rsidRDefault="00AC6D27" w:rsidP="00191F82">
            <w:pPr>
              <w:jc w:val="center"/>
              <w:rPr>
                <w:sz w:val="20"/>
                <w:szCs w:val="20"/>
              </w:rPr>
            </w:pPr>
            <w:r w:rsidRPr="00462DD8">
              <w:rPr>
                <w:color w:val="000000"/>
                <w:kern w:val="24"/>
                <w:sz w:val="20"/>
                <w:szCs w:val="20"/>
              </w:rPr>
              <w:t>- 2 328,4</w:t>
            </w:r>
          </w:p>
        </w:tc>
        <w:tc>
          <w:tcPr>
            <w:tcW w:w="789" w:type="pct"/>
            <w:vAlign w:val="center"/>
          </w:tcPr>
          <w:p w14:paraId="7C4439A7" w14:textId="77777777" w:rsidR="00AC6D27" w:rsidRPr="00462DD8" w:rsidRDefault="00AC6D27" w:rsidP="00191F82">
            <w:pPr>
              <w:jc w:val="center"/>
              <w:rPr>
                <w:sz w:val="20"/>
                <w:szCs w:val="20"/>
              </w:rPr>
            </w:pPr>
            <w:r w:rsidRPr="00462DD8">
              <w:rPr>
                <w:color w:val="000000"/>
                <w:kern w:val="24"/>
                <w:sz w:val="20"/>
                <w:szCs w:val="20"/>
              </w:rPr>
              <w:t>- 2 230,3</w:t>
            </w:r>
          </w:p>
        </w:tc>
        <w:tc>
          <w:tcPr>
            <w:tcW w:w="791" w:type="pct"/>
            <w:vAlign w:val="center"/>
          </w:tcPr>
          <w:p w14:paraId="6064B307" w14:textId="77777777" w:rsidR="00AC6D27" w:rsidRPr="00462DD8" w:rsidRDefault="00AC6D27" w:rsidP="00191F82">
            <w:pPr>
              <w:jc w:val="center"/>
              <w:rPr>
                <w:sz w:val="20"/>
                <w:szCs w:val="20"/>
              </w:rPr>
            </w:pPr>
            <w:r w:rsidRPr="00462DD8">
              <w:rPr>
                <w:sz w:val="20"/>
                <w:szCs w:val="20"/>
              </w:rPr>
              <w:t>-2 031,5</w:t>
            </w:r>
          </w:p>
        </w:tc>
      </w:tr>
      <w:tr w:rsidR="00AC6D27" w:rsidRPr="00140685" w14:paraId="608872ED" w14:textId="77777777" w:rsidTr="00191F82">
        <w:trPr>
          <w:trHeight w:val="245"/>
          <w:jc w:val="center"/>
        </w:trPr>
        <w:tc>
          <w:tcPr>
            <w:tcW w:w="1840" w:type="pct"/>
            <w:shd w:val="clear" w:color="auto" w:fill="auto"/>
            <w:vAlign w:val="center"/>
          </w:tcPr>
          <w:p w14:paraId="158EC2BD" w14:textId="77777777" w:rsidR="00AC6D27" w:rsidRPr="00462DD8" w:rsidRDefault="00AC6D27" w:rsidP="00191F82">
            <w:pPr>
              <w:rPr>
                <w:sz w:val="20"/>
                <w:szCs w:val="20"/>
              </w:rPr>
            </w:pPr>
            <w:r w:rsidRPr="00462DD8">
              <w:rPr>
                <w:sz w:val="20"/>
                <w:szCs w:val="20"/>
              </w:rPr>
              <w:t xml:space="preserve"> -в том числе средства ФНБ</w:t>
            </w:r>
          </w:p>
        </w:tc>
        <w:tc>
          <w:tcPr>
            <w:tcW w:w="789" w:type="pct"/>
            <w:vAlign w:val="center"/>
          </w:tcPr>
          <w:p w14:paraId="20D190EC" w14:textId="77777777" w:rsidR="00AC6D27" w:rsidRPr="00462DD8" w:rsidRDefault="00AC6D27" w:rsidP="00191F82">
            <w:pPr>
              <w:jc w:val="center"/>
              <w:rPr>
                <w:sz w:val="20"/>
                <w:szCs w:val="20"/>
              </w:rPr>
            </w:pPr>
            <w:r w:rsidRPr="00462DD8">
              <w:rPr>
                <w:color w:val="000000"/>
                <w:sz w:val="20"/>
                <w:szCs w:val="20"/>
              </w:rPr>
              <w:t>4,7</w:t>
            </w:r>
          </w:p>
        </w:tc>
        <w:tc>
          <w:tcPr>
            <w:tcW w:w="791" w:type="pct"/>
            <w:vAlign w:val="center"/>
          </w:tcPr>
          <w:p w14:paraId="22B1736B" w14:textId="77777777" w:rsidR="00AC6D27" w:rsidRPr="00462DD8" w:rsidRDefault="00AC6D27" w:rsidP="00191F82">
            <w:pPr>
              <w:jc w:val="center"/>
              <w:rPr>
                <w:sz w:val="20"/>
                <w:szCs w:val="20"/>
              </w:rPr>
            </w:pPr>
            <w:r w:rsidRPr="00462DD8">
              <w:rPr>
                <w:kern w:val="24"/>
                <w:sz w:val="20"/>
                <w:szCs w:val="20"/>
              </w:rPr>
              <w:t>4,5</w:t>
            </w:r>
          </w:p>
        </w:tc>
        <w:tc>
          <w:tcPr>
            <w:tcW w:w="789" w:type="pct"/>
            <w:vAlign w:val="center"/>
          </w:tcPr>
          <w:p w14:paraId="0CA5A6DE" w14:textId="77777777" w:rsidR="00AC6D27" w:rsidRPr="00462DD8" w:rsidRDefault="00AC6D27" w:rsidP="00191F82">
            <w:pPr>
              <w:jc w:val="center"/>
              <w:rPr>
                <w:sz w:val="20"/>
                <w:szCs w:val="20"/>
              </w:rPr>
            </w:pPr>
            <w:r w:rsidRPr="00462DD8">
              <w:rPr>
                <w:kern w:val="24"/>
                <w:sz w:val="20"/>
                <w:szCs w:val="20"/>
              </w:rPr>
              <w:t>4,3</w:t>
            </w:r>
          </w:p>
        </w:tc>
        <w:tc>
          <w:tcPr>
            <w:tcW w:w="791" w:type="pct"/>
            <w:vAlign w:val="center"/>
          </w:tcPr>
          <w:p w14:paraId="49FF41B4" w14:textId="77777777" w:rsidR="00AC6D27" w:rsidRPr="00462DD8" w:rsidRDefault="00AC6D27" w:rsidP="00191F82">
            <w:pPr>
              <w:jc w:val="center"/>
              <w:rPr>
                <w:sz w:val="20"/>
                <w:szCs w:val="20"/>
              </w:rPr>
            </w:pPr>
            <w:r w:rsidRPr="00462DD8">
              <w:rPr>
                <w:sz w:val="20"/>
                <w:szCs w:val="20"/>
              </w:rPr>
              <w:t>4,1</w:t>
            </w:r>
          </w:p>
        </w:tc>
      </w:tr>
      <w:tr w:rsidR="00AC6D27" w:rsidRPr="00140685" w14:paraId="193443D9" w14:textId="77777777" w:rsidTr="00191F82">
        <w:trPr>
          <w:trHeight w:val="336"/>
          <w:jc w:val="center"/>
        </w:trPr>
        <w:tc>
          <w:tcPr>
            <w:tcW w:w="1840" w:type="pct"/>
            <w:shd w:val="clear" w:color="auto" w:fill="auto"/>
            <w:vAlign w:val="center"/>
          </w:tcPr>
          <w:p w14:paraId="6DADD472" w14:textId="77777777" w:rsidR="00AC6D27" w:rsidRPr="00462DD8" w:rsidRDefault="00AC6D27" w:rsidP="00191F82">
            <w:pPr>
              <w:rPr>
                <w:sz w:val="20"/>
                <w:szCs w:val="20"/>
              </w:rPr>
            </w:pPr>
            <w:r w:rsidRPr="00462DD8">
              <w:rPr>
                <w:sz w:val="20"/>
                <w:szCs w:val="20"/>
              </w:rPr>
              <w:t>Приватизация</w:t>
            </w:r>
          </w:p>
        </w:tc>
        <w:tc>
          <w:tcPr>
            <w:tcW w:w="789" w:type="pct"/>
            <w:shd w:val="clear" w:color="auto" w:fill="auto"/>
            <w:vAlign w:val="center"/>
          </w:tcPr>
          <w:p w14:paraId="40BC1E43" w14:textId="77777777" w:rsidR="00AC6D27" w:rsidRPr="00462DD8" w:rsidRDefault="00AC6D27" w:rsidP="00191F82">
            <w:pPr>
              <w:jc w:val="center"/>
              <w:rPr>
                <w:sz w:val="20"/>
                <w:szCs w:val="20"/>
              </w:rPr>
            </w:pPr>
            <w:r w:rsidRPr="00462DD8">
              <w:rPr>
                <w:sz w:val="20"/>
                <w:szCs w:val="20"/>
              </w:rPr>
              <w:t>13,</w:t>
            </w:r>
            <w:r>
              <w:rPr>
                <w:sz w:val="20"/>
                <w:szCs w:val="20"/>
              </w:rPr>
              <w:t>2</w:t>
            </w:r>
          </w:p>
        </w:tc>
        <w:tc>
          <w:tcPr>
            <w:tcW w:w="791" w:type="pct"/>
            <w:shd w:val="clear" w:color="auto" w:fill="auto"/>
            <w:vAlign w:val="center"/>
          </w:tcPr>
          <w:p w14:paraId="0BE1CC21" w14:textId="77777777" w:rsidR="00AC6D27" w:rsidRPr="00462DD8" w:rsidRDefault="00AC6D27" w:rsidP="00191F82">
            <w:pPr>
              <w:jc w:val="center"/>
              <w:rPr>
                <w:sz w:val="20"/>
                <w:szCs w:val="20"/>
              </w:rPr>
            </w:pPr>
            <w:r w:rsidRPr="00462DD8">
              <w:rPr>
                <w:sz w:val="20"/>
                <w:szCs w:val="20"/>
              </w:rPr>
              <w:t>11,</w:t>
            </w:r>
            <w:r>
              <w:rPr>
                <w:sz w:val="20"/>
                <w:szCs w:val="20"/>
              </w:rPr>
              <w:t>3</w:t>
            </w:r>
          </w:p>
        </w:tc>
        <w:tc>
          <w:tcPr>
            <w:tcW w:w="789" w:type="pct"/>
            <w:shd w:val="clear" w:color="auto" w:fill="auto"/>
            <w:vAlign w:val="center"/>
          </w:tcPr>
          <w:p w14:paraId="7060D505" w14:textId="77777777" w:rsidR="00AC6D27" w:rsidRPr="00462DD8" w:rsidRDefault="00AC6D27" w:rsidP="00191F82">
            <w:pPr>
              <w:jc w:val="center"/>
              <w:rPr>
                <w:sz w:val="20"/>
                <w:szCs w:val="20"/>
              </w:rPr>
            </w:pPr>
            <w:r w:rsidRPr="00462DD8">
              <w:rPr>
                <w:sz w:val="20"/>
                <w:szCs w:val="20"/>
              </w:rPr>
              <w:t>3,6</w:t>
            </w:r>
          </w:p>
        </w:tc>
        <w:tc>
          <w:tcPr>
            <w:tcW w:w="791" w:type="pct"/>
            <w:shd w:val="clear" w:color="auto" w:fill="auto"/>
            <w:vAlign w:val="center"/>
          </w:tcPr>
          <w:p w14:paraId="4DD90226" w14:textId="77777777" w:rsidR="00AC6D27" w:rsidRPr="00462DD8" w:rsidRDefault="00AC6D27" w:rsidP="00191F82">
            <w:pPr>
              <w:jc w:val="center"/>
              <w:rPr>
                <w:sz w:val="20"/>
                <w:szCs w:val="20"/>
              </w:rPr>
            </w:pPr>
            <w:r w:rsidRPr="00462DD8">
              <w:rPr>
                <w:sz w:val="20"/>
                <w:szCs w:val="20"/>
              </w:rPr>
              <w:t>3,6</w:t>
            </w:r>
          </w:p>
        </w:tc>
      </w:tr>
      <w:tr w:rsidR="00AC6D27" w:rsidRPr="00140685" w14:paraId="3B4DC186" w14:textId="77777777" w:rsidTr="00191F82">
        <w:trPr>
          <w:trHeight w:val="214"/>
          <w:jc w:val="center"/>
        </w:trPr>
        <w:tc>
          <w:tcPr>
            <w:tcW w:w="1840" w:type="pct"/>
            <w:shd w:val="clear" w:color="auto" w:fill="auto"/>
            <w:vAlign w:val="center"/>
          </w:tcPr>
          <w:p w14:paraId="051B9FB9" w14:textId="77777777" w:rsidR="00AC6D27" w:rsidRPr="00462DD8" w:rsidRDefault="00AC6D27" w:rsidP="00191F82">
            <w:pPr>
              <w:rPr>
                <w:sz w:val="20"/>
                <w:szCs w:val="20"/>
              </w:rPr>
            </w:pPr>
            <w:r w:rsidRPr="00462DD8">
              <w:rPr>
                <w:sz w:val="20"/>
                <w:szCs w:val="20"/>
              </w:rPr>
              <w:t>Прочие источники</w:t>
            </w:r>
          </w:p>
        </w:tc>
        <w:tc>
          <w:tcPr>
            <w:tcW w:w="789" w:type="pct"/>
            <w:shd w:val="clear" w:color="auto" w:fill="auto"/>
            <w:vAlign w:val="center"/>
          </w:tcPr>
          <w:p w14:paraId="0FCB1F0D" w14:textId="77777777" w:rsidR="00AC6D27" w:rsidRPr="00462DD8" w:rsidRDefault="00AC6D27" w:rsidP="00191F82">
            <w:pPr>
              <w:jc w:val="center"/>
              <w:rPr>
                <w:sz w:val="20"/>
                <w:szCs w:val="20"/>
              </w:rPr>
            </w:pPr>
            <w:r>
              <w:rPr>
                <w:sz w:val="20"/>
                <w:szCs w:val="20"/>
              </w:rPr>
              <w:t>-1699,5</w:t>
            </w:r>
          </w:p>
        </w:tc>
        <w:tc>
          <w:tcPr>
            <w:tcW w:w="791" w:type="pct"/>
            <w:shd w:val="clear" w:color="auto" w:fill="auto"/>
            <w:vAlign w:val="center"/>
          </w:tcPr>
          <w:p w14:paraId="7E72FAF4" w14:textId="77777777" w:rsidR="00AC6D27" w:rsidRPr="00462DD8" w:rsidRDefault="00AC6D27" w:rsidP="00191F82">
            <w:pPr>
              <w:jc w:val="center"/>
              <w:rPr>
                <w:sz w:val="20"/>
                <w:szCs w:val="20"/>
              </w:rPr>
            </w:pPr>
            <w:r w:rsidRPr="00462DD8">
              <w:rPr>
                <w:color w:val="000000"/>
                <w:sz w:val="20"/>
                <w:szCs w:val="20"/>
              </w:rPr>
              <w:t>-557,7</w:t>
            </w:r>
          </w:p>
        </w:tc>
        <w:tc>
          <w:tcPr>
            <w:tcW w:w="789" w:type="pct"/>
            <w:shd w:val="clear" w:color="auto" w:fill="auto"/>
            <w:vAlign w:val="center"/>
          </w:tcPr>
          <w:p w14:paraId="1C125C8D" w14:textId="77777777" w:rsidR="00AC6D27" w:rsidRPr="00462DD8" w:rsidRDefault="00AC6D27" w:rsidP="00191F82">
            <w:pPr>
              <w:jc w:val="center"/>
              <w:rPr>
                <w:sz w:val="20"/>
                <w:szCs w:val="20"/>
              </w:rPr>
            </w:pPr>
            <w:r w:rsidRPr="00462DD8">
              <w:rPr>
                <w:color w:val="000000"/>
                <w:sz w:val="20"/>
                <w:szCs w:val="20"/>
              </w:rPr>
              <w:t>-884,7</w:t>
            </w:r>
          </w:p>
        </w:tc>
        <w:tc>
          <w:tcPr>
            <w:tcW w:w="791" w:type="pct"/>
            <w:shd w:val="clear" w:color="auto" w:fill="auto"/>
            <w:vAlign w:val="center"/>
          </w:tcPr>
          <w:p w14:paraId="07755515" w14:textId="77777777" w:rsidR="00AC6D27" w:rsidRPr="00462DD8" w:rsidRDefault="00AC6D27" w:rsidP="00191F82">
            <w:pPr>
              <w:jc w:val="center"/>
              <w:rPr>
                <w:sz w:val="20"/>
                <w:szCs w:val="20"/>
              </w:rPr>
            </w:pPr>
            <w:r w:rsidRPr="00462DD8">
              <w:rPr>
                <w:color w:val="000000"/>
                <w:sz w:val="20"/>
                <w:szCs w:val="20"/>
              </w:rPr>
              <w:t>-934,5</w:t>
            </w:r>
          </w:p>
        </w:tc>
      </w:tr>
      <w:tr w:rsidR="00AC6D27" w:rsidRPr="00721B02" w14:paraId="6AAD742C" w14:textId="77777777" w:rsidTr="00191F82">
        <w:trPr>
          <w:trHeight w:val="214"/>
          <w:jc w:val="center"/>
        </w:trPr>
        <w:tc>
          <w:tcPr>
            <w:tcW w:w="1840" w:type="pct"/>
            <w:shd w:val="clear" w:color="auto" w:fill="auto"/>
            <w:vAlign w:val="center"/>
          </w:tcPr>
          <w:p w14:paraId="310602AE" w14:textId="77777777" w:rsidR="00AC6D27" w:rsidRPr="00462DD8" w:rsidRDefault="00AC6D27" w:rsidP="00191F82">
            <w:pPr>
              <w:rPr>
                <w:b/>
                <w:sz w:val="20"/>
                <w:szCs w:val="20"/>
              </w:rPr>
            </w:pPr>
            <w:r w:rsidRPr="00462DD8">
              <w:rPr>
                <w:b/>
                <w:color w:val="000000"/>
                <w:kern w:val="24"/>
                <w:sz w:val="20"/>
                <w:szCs w:val="20"/>
              </w:rPr>
              <w:t>Источники внешнего финансирования дефицита</w:t>
            </w:r>
          </w:p>
        </w:tc>
        <w:tc>
          <w:tcPr>
            <w:tcW w:w="789" w:type="pct"/>
            <w:vAlign w:val="center"/>
          </w:tcPr>
          <w:p w14:paraId="4EA18E40" w14:textId="77777777" w:rsidR="00AC6D27" w:rsidRPr="00462DD8" w:rsidRDefault="00AC6D27" w:rsidP="00191F82">
            <w:pPr>
              <w:jc w:val="center"/>
              <w:rPr>
                <w:b/>
                <w:sz w:val="20"/>
                <w:szCs w:val="20"/>
              </w:rPr>
            </w:pPr>
            <w:r w:rsidRPr="00462DD8">
              <w:rPr>
                <w:b/>
                <w:bCs/>
                <w:sz w:val="20"/>
                <w:szCs w:val="20"/>
              </w:rPr>
              <w:t>-</w:t>
            </w:r>
            <w:r>
              <w:rPr>
                <w:b/>
                <w:bCs/>
                <w:sz w:val="20"/>
                <w:szCs w:val="20"/>
              </w:rPr>
              <w:t>61,0</w:t>
            </w:r>
          </w:p>
        </w:tc>
        <w:tc>
          <w:tcPr>
            <w:tcW w:w="791" w:type="pct"/>
            <w:vAlign w:val="center"/>
          </w:tcPr>
          <w:p w14:paraId="26DAFA34" w14:textId="77777777" w:rsidR="00AC6D27" w:rsidRPr="00462DD8" w:rsidRDefault="00AC6D27" w:rsidP="00191F82">
            <w:pPr>
              <w:jc w:val="center"/>
              <w:rPr>
                <w:b/>
                <w:sz w:val="20"/>
                <w:szCs w:val="20"/>
              </w:rPr>
            </w:pPr>
            <w:r w:rsidRPr="00462DD8">
              <w:rPr>
                <w:b/>
                <w:kern w:val="24"/>
                <w:sz w:val="20"/>
                <w:szCs w:val="20"/>
              </w:rPr>
              <w:t>-326,0</w:t>
            </w:r>
          </w:p>
        </w:tc>
        <w:tc>
          <w:tcPr>
            <w:tcW w:w="789" w:type="pct"/>
            <w:vAlign w:val="center"/>
          </w:tcPr>
          <w:p w14:paraId="39BD6546" w14:textId="77777777" w:rsidR="00AC6D27" w:rsidRPr="00462DD8" w:rsidRDefault="00AC6D27" w:rsidP="00191F82">
            <w:pPr>
              <w:jc w:val="center"/>
              <w:rPr>
                <w:b/>
                <w:sz w:val="20"/>
                <w:szCs w:val="20"/>
              </w:rPr>
            </w:pPr>
            <w:r w:rsidRPr="00462DD8">
              <w:rPr>
                <w:b/>
                <w:kern w:val="24"/>
                <w:sz w:val="20"/>
                <w:szCs w:val="20"/>
              </w:rPr>
              <w:t>-37,0</w:t>
            </w:r>
          </w:p>
        </w:tc>
        <w:tc>
          <w:tcPr>
            <w:tcW w:w="791" w:type="pct"/>
            <w:vAlign w:val="center"/>
          </w:tcPr>
          <w:p w14:paraId="31E2F3BD" w14:textId="77777777" w:rsidR="00AC6D27" w:rsidRPr="00462DD8" w:rsidRDefault="00AC6D27" w:rsidP="00191F82">
            <w:pPr>
              <w:jc w:val="center"/>
              <w:rPr>
                <w:b/>
                <w:sz w:val="20"/>
                <w:szCs w:val="20"/>
              </w:rPr>
            </w:pPr>
            <w:r w:rsidRPr="00462DD8">
              <w:rPr>
                <w:b/>
                <w:sz w:val="20"/>
                <w:szCs w:val="20"/>
              </w:rPr>
              <w:t>-225,7</w:t>
            </w:r>
          </w:p>
        </w:tc>
      </w:tr>
      <w:tr w:rsidR="00AC6D27" w:rsidRPr="00721B02" w14:paraId="59D61136" w14:textId="77777777" w:rsidTr="00191F82">
        <w:trPr>
          <w:trHeight w:val="214"/>
          <w:jc w:val="center"/>
        </w:trPr>
        <w:tc>
          <w:tcPr>
            <w:tcW w:w="1840" w:type="pct"/>
            <w:shd w:val="clear" w:color="auto" w:fill="auto"/>
            <w:vAlign w:val="center"/>
          </w:tcPr>
          <w:p w14:paraId="1B4EA603" w14:textId="77777777" w:rsidR="00AC6D27" w:rsidRPr="00462DD8" w:rsidRDefault="00AC6D27" w:rsidP="00191F82">
            <w:pPr>
              <w:rPr>
                <w:color w:val="000000"/>
                <w:kern w:val="24"/>
                <w:sz w:val="20"/>
                <w:szCs w:val="20"/>
              </w:rPr>
            </w:pPr>
            <w:r w:rsidRPr="00462DD8">
              <w:rPr>
                <w:color w:val="000000"/>
                <w:kern w:val="24"/>
                <w:sz w:val="20"/>
                <w:szCs w:val="20"/>
              </w:rPr>
              <w:t>Государственные заимствования</w:t>
            </w:r>
          </w:p>
        </w:tc>
        <w:tc>
          <w:tcPr>
            <w:tcW w:w="789" w:type="pct"/>
            <w:vAlign w:val="center"/>
          </w:tcPr>
          <w:p w14:paraId="33437564" w14:textId="77777777" w:rsidR="00AC6D27" w:rsidRPr="00462DD8" w:rsidRDefault="00AC6D27" w:rsidP="00191F82">
            <w:pPr>
              <w:jc w:val="center"/>
              <w:rPr>
                <w:bCs/>
                <w:sz w:val="20"/>
                <w:szCs w:val="20"/>
              </w:rPr>
            </w:pPr>
            <w:r w:rsidRPr="00462DD8">
              <w:rPr>
                <w:bCs/>
                <w:sz w:val="20"/>
                <w:szCs w:val="20"/>
              </w:rPr>
              <w:t>191,7</w:t>
            </w:r>
          </w:p>
        </w:tc>
        <w:tc>
          <w:tcPr>
            <w:tcW w:w="791" w:type="pct"/>
            <w:vAlign w:val="center"/>
          </w:tcPr>
          <w:p w14:paraId="3DFB4EED" w14:textId="77777777" w:rsidR="00AC6D27" w:rsidRPr="00462DD8" w:rsidRDefault="00AC6D27" w:rsidP="00191F82">
            <w:pPr>
              <w:jc w:val="center"/>
              <w:rPr>
                <w:kern w:val="24"/>
                <w:sz w:val="20"/>
                <w:szCs w:val="20"/>
              </w:rPr>
            </w:pPr>
            <w:r w:rsidRPr="00462DD8">
              <w:rPr>
                <w:kern w:val="24"/>
                <w:sz w:val="20"/>
                <w:szCs w:val="20"/>
              </w:rPr>
              <w:t>207,2</w:t>
            </w:r>
          </w:p>
        </w:tc>
        <w:tc>
          <w:tcPr>
            <w:tcW w:w="789" w:type="pct"/>
            <w:vAlign w:val="center"/>
          </w:tcPr>
          <w:p w14:paraId="6D0FAC84" w14:textId="77777777" w:rsidR="00AC6D27" w:rsidRPr="00462DD8" w:rsidRDefault="00AC6D27" w:rsidP="00191F82">
            <w:pPr>
              <w:jc w:val="center"/>
              <w:rPr>
                <w:kern w:val="24"/>
                <w:sz w:val="20"/>
                <w:szCs w:val="20"/>
              </w:rPr>
            </w:pPr>
            <w:r w:rsidRPr="00462DD8">
              <w:rPr>
                <w:kern w:val="24"/>
                <w:sz w:val="20"/>
                <w:szCs w:val="20"/>
              </w:rPr>
              <w:t>216,6</w:t>
            </w:r>
          </w:p>
        </w:tc>
        <w:tc>
          <w:tcPr>
            <w:tcW w:w="791" w:type="pct"/>
            <w:vAlign w:val="center"/>
          </w:tcPr>
          <w:p w14:paraId="0D5A3CAB" w14:textId="77777777" w:rsidR="00AC6D27" w:rsidRPr="00462DD8" w:rsidRDefault="00AC6D27" w:rsidP="00191F82">
            <w:pPr>
              <w:jc w:val="center"/>
              <w:rPr>
                <w:sz w:val="20"/>
                <w:szCs w:val="20"/>
              </w:rPr>
            </w:pPr>
            <w:r w:rsidRPr="00462DD8">
              <w:rPr>
                <w:sz w:val="20"/>
                <w:szCs w:val="20"/>
              </w:rPr>
              <w:t>216,9</w:t>
            </w:r>
          </w:p>
        </w:tc>
      </w:tr>
      <w:tr w:rsidR="00AC6D27" w:rsidRPr="00140685" w14:paraId="72555087" w14:textId="77777777" w:rsidTr="00191F82">
        <w:trPr>
          <w:trHeight w:val="214"/>
          <w:jc w:val="center"/>
        </w:trPr>
        <w:tc>
          <w:tcPr>
            <w:tcW w:w="1840" w:type="pct"/>
            <w:shd w:val="clear" w:color="auto" w:fill="auto"/>
            <w:vAlign w:val="center"/>
          </w:tcPr>
          <w:p w14:paraId="045F1B17" w14:textId="77777777" w:rsidR="00AC6D27" w:rsidRPr="00462DD8" w:rsidRDefault="00AC6D27" w:rsidP="00191F82">
            <w:pPr>
              <w:rPr>
                <w:sz w:val="20"/>
                <w:szCs w:val="20"/>
              </w:rPr>
            </w:pPr>
            <w:r w:rsidRPr="00462DD8">
              <w:rPr>
                <w:i/>
                <w:color w:val="000000"/>
                <w:kern w:val="24"/>
                <w:sz w:val="20"/>
                <w:szCs w:val="20"/>
              </w:rPr>
              <w:t>%% к ВВП</w:t>
            </w:r>
          </w:p>
        </w:tc>
        <w:tc>
          <w:tcPr>
            <w:tcW w:w="789" w:type="pct"/>
            <w:vAlign w:val="center"/>
          </w:tcPr>
          <w:p w14:paraId="4F9EE5FF" w14:textId="77777777" w:rsidR="00AC6D27" w:rsidRPr="00462DD8" w:rsidRDefault="00AC6D27" w:rsidP="00191F82">
            <w:pPr>
              <w:jc w:val="center"/>
              <w:rPr>
                <w:sz w:val="20"/>
                <w:szCs w:val="20"/>
              </w:rPr>
            </w:pPr>
            <w:r w:rsidRPr="00462DD8">
              <w:rPr>
                <w:i/>
                <w:iCs/>
                <w:sz w:val="20"/>
                <w:szCs w:val="20"/>
              </w:rPr>
              <w:t>0,1</w:t>
            </w:r>
          </w:p>
        </w:tc>
        <w:tc>
          <w:tcPr>
            <w:tcW w:w="791" w:type="pct"/>
            <w:vAlign w:val="center"/>
          </w:tcPr>
          <w:p w14:paraId="1DEA3AA9" w14:textId="77777777" w:rsidR="00AC6D27" w:rsidRPr="00462DD8" w:rsidRDefault="00AC6D27" w:rsidP="00191F82">
            <w:pPr>
              <w:jc w:val="center"/>
              <w:rPr>
                <w:sz w:val="20"/>
                <w:szCs w:val="20"/>
              </w:rPr>
            </w:pPr>
            <w:r w:rsidRPr="00462DD8">
              <w:rPr>
                <w:i/>
                <w:color w:val="000000"/>
                <w:kern w:val="24"/>
                <w:sz w:val="20"/>
                <w:szCs w:val="20"/>
              </w:rPr>
              <w:t>0,3</w:t>
            </w:r>
          </w:p>
        </w:tc>
        <w:tc>
          <w:tcPr>
            <w:tcW w:w="789" w:type="pct"/>
            <w:vAlign w:val="center"/>
          </w:tcPr>
          <w:p w14:paraId="3DD922C3" w14:textId="77777777" w:rsidR="00AC6D27" w:rsidRPr="00462DD8" w:rsidRDefault="00AC6D27" w:rsidP="00191F82">
            <w:pPr>
              <w:jc w:val="center"/>
              <w:rPr>
                <w:sz w:val="20"/>
                <w:szCs w:val="20"/>
              </w:rPr>
            </w:pPr>
            <w:r w:rsidRPr="00462DD8">
              <w:rPr>
                <w:i/>
                <w:color w:val="000000"/>
                <w:kern w:val="24"/>
                <w:sz w:val="20"/>
                <w:szCs w:val="20"/>
              </w:rPr>
              <w:t>0,03</w:t>
            </w:r>
          </w:p>
        </w:tc>
        <w:tc>
          <w:tcPr>
            <w:tcW w:w="791" w:type="pct"/>
            <w:vAlign w:val="center"/>
          </w:tcPr>
          <w:p w14:paraId="4E17639D" w14:textId="77777777" w:rsidR="00AC6D27" w:rsidRPr="00462DD8" w:rsidRDefault="00AC6D27" w:rsidP="00191F82">
            <w:pPr>
              <w:jc w:val="center"/>
              <w:rPr>
                <w:sz w:val="20"/>
                <w:szCs w:val="20"/>
              </w:rPr>
            </w:pPr>
            <w:r w:rsidRPr="00462DD8">
              <w:rPr>
                <w:i/>
                <w:sz w:val="20"/>
                <w:szCs w:val="20"/>
              </w:rPr>
              <w:t>0,2</w:t>
            </w:r>
          </w:p>
        </w:tc>
      </w:tr>
    </w:tbl>
    <w:p w14:paraId="4DFF4AB8" w14:textId="77777777" w:rsidR="00AC6D27" w:rsidRPr="00916621" w:rsidRDefault="00AC6D27" w:rsidP="00AC6D27">
      <w:pPr>
        <w:keepLines/>
        <w:spacing w:after="120"/>
        <w:ind w:firstLine="708"/>
        <w:rPr>
          <w:rFonts w:eastAsia="Calibri"/>
          <w:sz w:val="20"/>
          <w:lang w:eastAsia="en-US"/>
        </w:rPr>
      </w:pPr>
      <w:r w:rsidRPr="00916621">
        <w:rPr>
          <w:i/>
          <w:sz w:val="20"/>
        </w:rPr>
        <w:t>Источник:</w:t>
      </w:r>
      <w:r w:rsidRPr="00916621">
        <w:rPr>
          <w:sz w:val="20"/>
        </w:rPr>
        <w:t xml:space="preserve"> Пояснительная записка к проекту федерального закона «О федеральном бюджете на 20</w:t>
      </w:r>
      <w:r>
        <w:rPr>
          <w:sz w:val="20"/>
        </w:rPr>
        <w:t>20</w:t>
      </w:r>
      <w:r w:rsidRPr="00916621">
        <w:rPr>
          <w:sz w:val="20"/>
        </w:rPr>
        <w:t xml:space="preserve"> год и на плановый период 202</w:t>
      </w:r>
      <w:r>
        <w:rPr>
          <w:sz w:val="20"/>
        </w:rPr>
        <w:t>1</w:t>
      </w:r>
      <w:r w:rsidRPr="00916621">
        <w:rPr>
          <w:sz w:val="20"/>
        </w:rPr>
        <w:t xml:space="preserve"> и 20</w:t>
      </w:r>
      <w:r>
        <w:rPr>
          <w:sz w:val="20"/>
        </w:rPr>
        <w:t>22</w:t>
      </w:r>
      <w:r w:rsidRPr="00916621">
        <w:rPr>
          <w:sz w:val="20"/>
        </w:rPr>
        <w:t xml:space="preserve"> годов», расчеты авторов.</w:t>
      </w:r>
    </w:p>
    <w:p w14:paraId="55E26276" w14:textId="4C7DBE84" w:rsidR="00AC6D27" w:rsidRDefault="00AC6D27" w:rsidP="00AC6D27">
      <w:pPr>
        <w:spacing w:after="60"/>
        <w:ind w:firstLine="709"/>
        <w:jc w:val="both"/>
      </w:pPr>
      <w:r w:rsidRPr="0075218B">
        <w:t xml:space="preserve">Изменение остатков средств на счетах по учету средств федерального бюджета </w:t>
      </w:r>
      <w:r>
        <w:t xml:space="preserve">в 2020-2022 гг. </w:t>
      </w:r>
      <w:r w:rsidRPr="0075218B">
        <w:t xml:space="preserve">запланировано в </w:t>
      </w:r>
      <w:r>
        <w:t xml:space="preserve">отрицательных значениях в размере </w:t>
      </w:r>
      <w:r w:rsidRPr="0075218B">
        <w:t>(-) 2</w:t>
      </w:r>
      <w:r w:rsidR="009E168F">
        <w:t xml:space="preserve"> </w:t>
      </w:r>
      <w:r w:rsidRPr="0075218B">
        <w:t>328</w:t>
      </w:r>
      <w:r>
        <w:t xml:space="preserve">,4 – </w:t>
      </w:r>
      <w:r w:rsidRPr="0075218B">
        <w:t>2</w:t>
      </w:r>
      <w:r w:rsidR="009E168F">
        <w:t xml:space="preserve"> </w:t>
      </w:r>
      <w:r w:rsidRPr="0075218B">
        <w:t>230</w:t>
      </w:r>
      <w:r>
        <w:t>,3 – 2</w:t>
      </w:r>
      <w:r w:rsidR="009E168F">
        <w:t xml:space="preserve"> </w:t>
      </w:r>
      <w:r>
        <w:t xml:space="preserve">031,5 млрд руб. соответственно. Поступление средств от </w:t>
      </w:r>
      <w:r w:rsidRPr="00A17D0E">
        <w:t xml:space="preserve">продажи акций и иных </w:t>
      </w:r>
      <w:r w:rsidRPr="00A17D0E">
        <w:lastRenderedPageBreak/>
        <w:t>форм участия в капитале, находящихся в государственной собственности</w:t>
      </w:r>
      <w:r>
        <w:t>, сократится с 13,2 млрд руб. в 2019 г. до 3,6 млрд руб. к 2022 г. Объем государственных внешних заимствований также увеличится с 207,2 млрд руб. в 2020 г. (3,1 млрд долл. США) до 216,9 млрд руб. (3,3 млрд дол</w:t>
      </w:r>
      <w:r w:rsidR="00464C7D">
        <w:t>л</w:t>
      </w:r>
      <w:r>
        <w:t>. США) в 2022 г., однако объем погашенных ценных бумаг превысит объем размещаемых на внешних рынках только в 2020 г. на 123,5 млрд руб., в 2021 г. и в 2022 г. сальдированный результат поступлений средств от размещения и расходов на погашение внешних заимствований будет отрицательным: в 2021 г. (-) 181,6 млрд руб., в 2022 г. (-) 49,7 млрд руб.</w:t>
      </w:r>
    </w:p>
    <w:p w14:paraId="68E83F1A" w14:textId="5BBA26C5" w:rsidR="00AC6D27" w:rsidRDefault="00AC6D27" w:rsidP="00AC6D27">
      <w:pPr>
        <w:spacing w:after="60"/>
        <w:ind w:firstLine="709"/>
        <w:jc w:val="both"/>
      </w:pPr>
      <w:r>
        <w:t xml:space="preserve">В период 2020-2022 гг. </w:t>
      </w:r>
      <w:r w:rsidRPr="00FA3786">
        <w:t xml:space="preserve">из средств ФНБ </w:t>
      </w:r>
      <w:r>
        <w:t xml:space="preserve">планируется направить </w:t>
      </w:r>
      <w:r w:rsidRPr="00FA3786">
        <w:t>на софинансирование пенсионных накоплений 4,5 млрд руб.</w:t>
      </w:r>
      <w:r>
        <w:t xml:space="preserve"> в 2020 г., </w:t>
      </w:r>
      <w:r w:rsidRPr="00FA3786">
        <w:t>4,3 млрд руб.</w:t>
      </w:r>
      <w:r>
        <w:t xml:space="preserve"> в 2021 г. и </w:t>
      </w:r>
      <w:r w:rsidRPr="00FA3786">
        <w:t>4,1 млрд руб.</w:t>
      </w:r>
      <w:r>
        <w:t xml:space="preserve"> в 2022 г. Таким образом, с учетом прогнозируемого поступления средств от </w:t>
      </w:r>
      <w:r w:rsidRPr="006174C9">
        <w:t>нефтегазовых доходов</w:t>
      </w:r>
      <w:r>
        <w:t xml:space="preserve"> за этот же период в объеме </w:t>
      </w:r>
      <w:r w:rsidRPr="006174C9">
        <w:t>2 857,0</w:t>
      </w:r>
      <w:r>
        <w:t xml:space="preserve"> - </w:t>
      </w:r>
      <w:r w:rsidRPr="006174C9">
        <w:t>2 332,9</w:t>
      </w:r>
      <w:r>
        <w:t xml:space="preserve"> - </w:t>
      </w:r>
      <w:r w:rsidRPr="006174C9">
        <w:t>2 234,6</w:t>
      </w:r>
      <w:r>
        <w:t xml:space="preserve"> млрд руб. соответственно, объем средств ФНБ на конец 2022 г. должен составить </w:t>
      </w:r>
      <w:r w:rsidRPr="006174C9">
        <w:t>16 196,3</w:t>
      </w:r>
      <w:r w:rsidR="00521A95">
        <w:t xml:space="preserve"> млрд руб. (12,6</w:t>
      </w:r>
      <w:r>
        <w:t xml:space="preserve">% ВВП) против </w:t>
      </w:r>
      <w:r w:rsidRPr="008D3A89">
        <w:t>8</w:t>
      </w:r>
      <w:r w:rsidR="009E168F">
        <w:t xml:space="preserve"> </w:t>
      </w:r>
      <w:r w:rsidR="00521A95">
        <w:t>172,3 млрд руб. (7,5</w:t>
      </w:r>
      <w:r w:rsidRPr="008D3A89">
        <w:t>% ВВП)</w:t>
      </w:r>
      <w:r>
        <w:t xml:space="preserve"> на конец 2019 г. </w:t>
      </w:r>
    </w:p>
    <w:p w14:paraId="30C9BA6A" w14:textId="2B6DB169" w:rsidR="00AC6D27" w:rsidRPr="008D3A89" w:rsidRDefault="00AC6D27" w:rsidP="00AC6D27">
      <w:pPr>
        <w:spacing w:after="60"/>
        <w:ind w:firstLine="709"/>
        <w:jc w:val="both"/>
      </w:pPr>
      <w:r>
        <w:t>Объем государственного долга в 2020-2022 гг. возрастет на 2,2 п.п. ВВП с 14,3% ВВП в 2019 г., однако останется на достаточно безопасно</w:t>
      </w:r>
      <w:r w:rsidR="001947E9">
        <w:t>м</w:t>
      </w:r>
      <w:r>
        <w:t xml:space="preserve"> для финансовой системы страны уровне в объеме 16,5% ВВП (21 204,0 млрд руб.) в 2022 г.</w:t>
      </w:r>
      <w:r w:rsidR="001947E9">
        <w:t xml:space="preserve"> П</w:t>
      </w:r>
      <w:r>
        <w:t>ри этом в общем объеме доля в</w:t>
      </w:r>
      <w:r w:rsidR="00521A95">
        <w:t>нешнего долга сократится с 27,2% в 2019 г. до 21,6</w:t>
      </w:r>
      <w:r>
        <w:t xml:space="preserve">% в 2022 г., что снизит зависимость расходов на обслуживание долга от колебаний курса национальной валюты.  </w:t>
      </w:r>
    </w:p>
    <w:p w14:paraId="4601328C" w14:textId="0C5CEEB0" w:rsidR="00AC6D27" w:rsidRPr="00870548" w:rsidRDefault="00AC6D27" w:rsidP="00AC6D27">
      <w:pPr>
        <w:spacing w:after="200"/>
        <w:ind w:firstLine="709"/>
        <w:jc w:val="both"/>
      </w:pPr>
      <w:r w:rsidRPr="004E375F">
        <w:t>В целом, динамика основных прогнозных параметров федерального бюджета, объемов заимствований и государственного долга на следующий 3-х летний период согласуется с задачей обеспечения бюджетной устойчивости. Даже в условиях возможного снижения мировых цен на нефть до базовой цены, установленной бюджетным правилом, дефицит бюджета, рассчитанный как сумма базовых нефтегазовых доходов и ненефтегазовых доходов за вычетом запланированных расходов федерального бюджета, составит: в 2020 г. (-) 1</w:t>
      </w:r>
      <w:r w:rsidR="009E168F">
        <w:t xml:space="preserve"> </w:t>
      </w:r>
      <w:r w:rsidRPr="004E375F">
        <w:t>456,9 млрд руб. (1,3% ВВП), в 2021 г. (-) 1</w:t>
      </w:r>
      <w:r w:rsidR="009E168F">
        <w:t xml:space="preserve"> </w:t>
      </w:r>
      <w:r w:rsidRPr="004E375F">
        <w:t>822,0 млрд руб. (1,5% ВВП), в 2022 г. (-) 1</w:t>
      </w:r>
      <w:r w:rsidR="009E168F">
        <w:t xml:space="preserve"> </w:t>
      </w:r>
      <w:r w:rsidR="00521A95">
        <w:t>740,7 млрд руб. (1,3</w:t>
      </w:r>
      <w:r w:rsidRPr="004E375F">
        <w:t xml:space="preserve">% ВВП), </w:t>
      </w:r>
      <w:r w:rsidRPr="00870548">
        <w:t xml:space="preserve">что некритично для бюджетной устойчивости с учетом объема накопленных средств ФНБ. </w:t>
      </w:r>
    </w:p>
    <w:p w14:paraId="1C6BE3AB" w14:textId="2476BAAA" w:rsidR="00FF6CB8" w:rsidRPr="00140685" w:rsidRDefault="00FF6CB8" w:rsidP="00916621">
      <w:pPr>
        <w:spacing w:after="120"/>
        <w:ind w:firstLine="709"/>
        <w:jc w:val="both"/>
        <w:rPr>
          <w:rFonts w:eastAsiaTheme="minorEastAsia"/>
          <w:lang w:eastAsia="en-US"/>
        </w:rPr>
      </w:pPr>
    </w:p>
    <w:p w14:paraId="5E56E394" w14:textId="395D9CEF" w:rsidR="00E5734A" w:rsidRPr="008E6B24" w:rsidRDefault="00E5734A" w:rsidP="00FF6CB8">
      <w:pPr>
        <w:spacing w:after="60"/>
        <w:ind w:firstLine="709"/>
        <w:jc w:val="both"/>
      </w:pPr>
      <w:r w:rsidRPr="008E6B24">
        <w:br w:type="page"/>
      </w:r>
    </w:p>
    <w:p w14:paraId="0EC70C46" w14:textId="59040C9E" w:rsidR="00995E45" w:rsidRPr="008E6B24" w:rsidRDefault="002D146E" w:rsidP="00163D81">
      <w:pPr>
        <w:keepNext/>
        <w:spacing w:before="240" w:after="360"/>
        <w:jc w:val="center"/>
        <w:outlineLvl w:val="0"/>
        <w:rPr>
          <w:b/>
          <w:kern w:val="28"/>
          <w:sz w:val="28"/>
          <w:szCs w:val="20"/>
        </w:rPr>
      </w:pPr>
      <w:bookmarkStart w:id="6" w:name="_Toc21436741"/>
      <w:r>
        <w:rPr>
          <w:b/>
          <w:kern w:val="28"/>
          <w:sz w:val="28"/>
          <w:szCs w:val="20"/>
        </w:rPr>
        <w:lastRenderedPageBreak/>
        <w:t>5</w:t>
      </w:r>
      <w:r w:rsidR="00995E45" w:rsidRPr="0002762F">
        <w:rPr>
          <w:b/>
          <w:kern w:val="28"/>
          <w:sz w:val="28"/>
          <w:szCs w:val="20"/>
        </w:rPr>
        <w:t xml:space="preserve"> Анализ структуры и динамики доходов</w:t>
      </w:r>
      <w:bookmarkEnd w:id="6"/>
    </w:p>
    <w:p w14:paraId="052E9D18" w14:textId="3B9A4370" w:rsidR="00995E45" w:rsidRPr="008E6B24" w:rsidRDefault="002D146E" w:rsidP="00916621">
      <w:pPr>
        <w:keepNext/>
        <w:spacing w:after="60"/>
        <w:jc w:val="center"/>
        <w:outlineLvl w:val="1"/>
        <w:rPr>
          <w:b/>
          <w:szCs w:val="20"/>
        </w:rPr>
      </w:pPr>
      <w:bookmarkStart w:id="7" w:name="_Toc21436742"/>
      <w:r>
        <w:rPr>
          <w:b/>
          <w:szCs w:val="20"/>
        </w:rPr>
        <w:t>5</w:t>
      </w:r>
      <w:r w:rsidR="0010335D" w:rsidRPr="00870548">
        <w:rPr>
          <w:b/>
          <w:szCs w:val="20"/>
        </w:rPr>
        <w:t>.</w:t>
      </w:r>
      <w:r w:rsidR="00DB55F4" w:rsidRPr="00870548">
        <w:rPr>
          <w:b/>
          <w:szCs w:val="20"/>
        </w:rPr>
        <w:t>1</w:t>
      </w:r>
      <w:r w:rsidR="00995E45" w:rsidRPr="00870548">
        <w:rPr>
          <w:b/>
          <w:szCs w:val="20"/>
        </w:rPr>
        <w:t xml:space="preserve"> </w:t>
      </w:r>
      <w:r w:rsidR="00B70F23" w:rsidRPr="00870548">
        <w:rPr>
          <w:b/>
          <w:szCs w:val="20"/>
        </w:rPr>
        <w:t xml:space="preserve">Основные параметры </w:t>
      </w:r>
      <w:r w:rsidR="00067A72" w:rsidRPr="00870548">
        <w:rPr>
          <w:b/>
          <w:szCs w:val="20"/>
        </w:rPr>
        <w:t>доход</w:t>
      </w:r>
      <w:r w:rsidR="00B70F23" w:rsidRPr="00870548">
        <w:rPr>
          <w:b/>
          <w:szCs w:val="20"/>
        </w:rPr>
        <w:t xml:space="preserve">ов. </w:t>
      </w:r>
      <w:r w:rsidR="00870548" w:rsidRPr="000F1A43">
        <w:rPr>
          <w:b/>
          <w:color w:val="000000"/>
        </w:rPr>
        <w:t>Налоговые доходы и доходы от внешнеэкономической деятельности</w:t>
      </w:r>
      <w:bookmarkEnd w:id="7"/>
    </w:p>
    <w:p w14:paraId="1A04DB09" w14:textId="0BBF7D3E" w:rsidR="00BF098E" w:rsidRDefault="00BF098E" w:rsidP="00BF098E">
      <w:pPr>
        <w:spacing w:after="60"/>
        <w:ind w:firstLine="709"/>
        <w:jc w:val="both"/>
        <w:rPr>
          <w:rFonts w:eastAsia="Calibri"/>
          <w:lang w:eastAsia="en-US"/>
        </w:rPr>
      </w:pPr>
      <w:r w:rsidRPr="0014371E">
        <w:rPr>
          <w:rFonts w:eastAsia="Calibri"/>
          <w:lang w:eastAsia="en-US"/>
        </w:rPr>
        <w:t xml:space="preserve">Общий уровень поступлений доходов федерального бюджета в долях ВВП, согласно </w:t>
      </w:r>
      <w:r>
        <w:rPr>
          <w:rFonts w:eastAsia="Calibri"/>
          <w:lang w:eastAsia="en-US"/>
        </w:rPr>
        <w:t>з</w:t>
      </w:r>
      <w:r w:rsidRPr="0014371E">
        <w:rPr>
          <w:rFonts w:eastAsia="Calibri"/>
          <w:lang w:eastAsia="en-US"/>
        </w:rPr>
        <w:t>аконопроекту, сократится с 18,5% ВВП в 201</w:t>
      </w:r>
      <w:r w:rsidRPr="00324FB4">
        <w:rPr>
          <w:rFonts w:eastAsia="Calibri"/>
          <w:lang w:eastAsia="en-US"/>
        </w:rPr>
        <w:t>9</w:t>
      </w:r>
      <w:r w:rsidRPr="0014371E">
        <w:rPr>
          <w:rFonts w:eastAsia="Calibri"/>
          <w:lang w:eastAsia="en-US"/>
        </w:rPr>
        <w:t xml:space="preserve"> году до 17</w:t>
      </w:r>
      <w:r>
        <w:rPr>
          <w:rFonts w:eastAsia="Calibri"/>
          <w:lang w:eastAsia="en-US"/>
        </w:rPr>
        <w:t>,</w:t>
      </w:r>
      <w:r w:rsidRPr="00324FB4">
        <w:rPr>
          <w:rFonts w:eastAsia="Calibri"/>
          <w:lang w:eastAsia="en-US"/>
        </w:rPr>
        <w:t>2</w:t>
      </w:r>
      <w:r w:rsidRPr="0014371E">
        <w:rPr>
          <w:rFonts w:eastAsia="Calibri"/>
          <w:lang w:eastAsia="en-US"/>
        </w:rPr>
        <w:t>% ВВП к 202</w:t>
      </w:r>
      <w:r w:rsidRPr="00324FB4">
        <w:rPr>
          <w:rFonts w:eastAsia="Calibri"/>
          <w:lang w:eastAsia="en-US"/>
        </w:rPr>
        <w:t>2</w:t>
      </w:r>
      <w:r w:rsidRPr="0014371E">
        <w:rPr>
          <w:rFonts w:eastAsia="Calibri"/>
          <w:lang w:eastAsia="en-US"/>
        </w:rPr>
        <w:t xml:space="preserve"> году. В </w:t>
      </w:r>
      <w:r w:rsidRPr="00916621">
        <w:rPr>
          <w:rFonts w:eastAsia="Calibri"/>
          <w:i/>
          <w:lang w:eastAsia="en-US"/>
        </w:rPr>
        <w:t>табл</w:t>
      </w:r>
      <w:r>
        <w:rPr>
          <w:rFonts w:eastAsia="Calibri"/>
          <w:i/>
          <w:lang w:eastAsia="en-US"/>
        </w:rPr>
        <w:t xml:space="preserve">ице </w:t>
      </w:r>
      <w:r w:rsidRPr="00BF098E">
        <w:rPr>
          <w:rFonts w:eastAsia="Calibri"/>
          <w:noProof/>
          <w:lang w:eastAsia="en-US"/>
        </w:rPr>
        <w:t>3</w:t>
      </w:r>
      <w:r>
        <w:rPr>
          <w:rFonts w:eastAsia="Calibri"/>
          <w:i/>
          <w:lang w:eastAsia="en-US"/>
        </w:rPr>
        <w:t xml:space="preserve"> </w:t>
      </w:r>
      <w:r w:rsidRPr="00916621">
        <w:rPr>
          <w:rFonts w:eastAsia="Calibri"/>
          <w:lang w:eastAsia="en-US"/>
        </w:rPr>
        <w:t>представлены</w:t>
      </w:r>
      <w:r w:rsidRPr="0014371E">
        <w:rPr>
          <w:rFonts w:eastAsia="Calibri"/>
          <w:lang w:eastAsia="en-US"/>
        </w:rPr>
        <w:t xml:space="preserve"> данные о структуре поступлений от основных налоговых доходов и таможенных пошлин в федеральный бюджет.</w:t>
      </w:r>
    </w:p>
    <w:p w14:paraId="34713A03" w14:textId="2193511D" w:rsidR="00BF098E" w:rsidRPr="00BF098E" w:rsidRDefault="00BF098E" w:rsidP="00BF098E">
      <w:pPr>
        <w:pStyle w:val="aff8"/>
        <w:rPr>
          <w:rFonts w:eastAsia="Calibri"/>
          <w:lang w:eastAsia="en-US"/>
        </w:rPr>
      </w:pPr>
      <w:r w:rsidRPr="00BF098E">
        <w:rPr>
          <w:rFonts w:eastAsia="Calibri"/>
          <w:lang w:eastAsia="en-US"/>
        </w:rPr>
        <w:t xml:space="preserve">Таблица </w:t>
      </w:r>
      <w:bookmarkStart w:id="8" w:name="_Ref21360685"/>
      <w:r w:rsidRPr="00BF098E">
        <w:rPr>
          <w:rFonts w:eastAsia="Calibri"/>
          <w:noProof/>
          <w:lang w:eastAsia="en-US"/>
        </w:rPr>
        <w:t>3</w:t>
      </w:r>
      <w:bookmarkEnd w:id="8"/>
    </w:p>
    <w:p w14:paraId="33F143AB" w14:textId="7DDDC5F7" w:rsidR="00BF098E" w:rsidRPr="008E6B24" w:rsidRDefault="00BF098E" w:rsidP="00BF098E">
      <w:pPr>
        <w:pStyle w:val="af7"/>
        <w:spacing w:before="0" w:after="60"/>
        <w:rPr>
          <w:rFonts w:eastAsia="Calibri"/>
          <w:lang w:eastAsia="en-US"/>
        </w:rPr>
      </w:pPr>
      <w:r w:rsidRPr="008E6B24">
        <w:rPr>
          <w:rFonts w:eastAsia="Calibri"/>
          <w:lang w:eastAsia="en-US"/>
        </w:rPr>
        <w:t>Поступления основных налоговых доходов и таможенных пошлин в федеральный бюджет в 201</w:t>
      </w:r>
      <w:r w:rsidR="00341B58">
        <w:rPr>
          <w:rFonts w:eastAsia="Calibri"/>
          <w:lang w:eastAsia="en-US"/>
        </w:rPr>
        <w:t>9</w:t>
      </w:r>
      <w:r w:rsidRPr="008E6B24">
        <w:rPr>
          <w:rFonts w:eastAsia="Calibri"/>
          <w:lang w:eastAsia="en-US"/>
        </w:rPr>
        <w:t>–202</w:t>
      </w:r>
      <w:r w:rsidR="00341B58">
        <w:rPr>
          <w:rFonts w:eastAsia="Calibri"/>
          <w:lang w:eastAsia="en-US"/>
        </w:rPr>
        <w:t>2</w:t>
      </w:r>
      <w:r w:rsidRPr="008E6B24">
        <w:rPr>
          <w:rFonts w:eastAsia="Calibri"/>
          <w:lang w:eastAsia="en-US"/>
        </w:rPr>
        <w:t xml:space="preserve"> гг.</w:t>
      </w:r>
    </w:p>
    <w:tbl>
      <w:tblPr>
        <w:tblStyle w:val="12"/>
        <w:tblW w:w="9159" w:type="dxa"/>
        <w:jc w:val="center"/>
        <w:tblLook w:val="04A0" w:firstRow="1" w:lastRow="0" w:firstColumn="1" w:lastColumn="0" w:noHBand="0" w:noVBand="1"/>
      </w:tblPr>
      <w:tblGrid>
        <w:gridCol w:w="1680"/>
        <w:gridCol w:w="851"/>
        <w:gridCol w:w="927"/>
        <w:gridCol w:w="1134"/>
        <w:gridCol w:w="851"/>
        <w:gridCol w:w="992"/>
        <w:gridCol w:w="866"/>
        <w:gridCol w:w="992"/>
        <w:gridCol w:w="866"/>
      </w:tblGrid>
      <w:tr w:rsidR="00BF098E" w:rsidRPr="00BF098E" w14:paraId="27838E24" w14:textId="77777777" w:rsidTr="00BF098E">
        <w:trPr>
          <w:trHeight w:val="315"/>
          <w:jc w:val="center"/>
        </w:trPr>
        <w:tc>
          <w:tcPr>
            <w:tcW w:w="1680" w:type="dxa"/>
            <w:vMerge w:val="restart"/>
            <w:hideMark/>
          </w:tcPr>
          <w:p w14:paraId="49BDC44C" w14:textId="77777777" w:rsidR="00BF098E" w:rsidRPr="00BF098E" w:rsidRDefault="00BF098E" w:rsidP="00C84D38">
            <w:pPr>
              <w:rPr>
                <w:rFonts w:ascii="Times New Roman" w:hAnsi="Times New Roman" w:cs="Times New Roman"/>
                <w:color w:val="000000"/>
                <w:sz w:val="20"/>
                <w:szCs w:val="20"/>
              </w:rPr>
            </w:pPr>
            <w:r w:rsidRPr="00BF098E">
              <w:rPr>
                <w:rFonts w:ascii="Times New Roman" w:hAnsi="Times New Roman" w:cs="Times New Roman"/>
                <w:color w:val="000000"/>
                <w:sz w:val="20"/>
                <w:szCs w:val="20"/>
              </w:rPr>
              <w:t> </w:t>
            </w:r>
          </w:p>
        </w:tc>
        <w:tc>
          <w:tcPr>
            <w:tcW w:w="3763" w:type="dxa"/>
            <w:gridSpan w:val="4"/>
            <w:hideMark/>
          </w:tcPr>
          <w:p w14:paraId="102074E6" w14:textId="77777777" w:rsidR="00BF098E" w:rsidRPr="00BF098E" w:rsidRDefault="00BF098E" w:rsidP="00C84D38">
            <w:pPr>
              <w:jc w:val="center"/>
              <w:rPr>
                <w:rFonts w:ascii="Times New Roman" w:hAnsi="Times New Roman" w:cs="Times New Roman"/>
                <w:b/>
                <w:bCs/>
                <w:color w:val="000000"/>
                <w:sz w:val="20"/>
                <w:szCs w:val="20"/>
              </w:rPr>
            </w:pPr>
            <w:r w:rsidRPr="00BF098E">
              <w:rPr>
                <w:rFonts w:ascii="Times New Roman" w:hAnsi="Times New Roman" w:cs="Times New Roman"/>
                <w:b/>
                <w:bCs/>
                <w:color w:val="000000"/>
                <w:sz w:val="20"/>
                <w:szCs w:val="20"/>
              </w:rPr>
              <w:t>% к ВВП</w:t>
            </w:r>
          </w:p>
        </w:tc>
        <w:tc>
          <w:tcPr>
            <w:tcW w:w="3716" w:type="dxa"/>
            <w:gridSpan w:val="4"/>
            <w:hideMark/>
          </w:tcPr>
          <w:p w14:paraId="48315480" w14:textId="77777777" w:rsidR="00BF098E" w:rsidRPr="00BF098E" w:rsidRDefault="00BF098E" w:rsidP="00C84D38">
            <w:pPr>
              <w:jc w:val="center"/>
              <w:rPr>
                <w:rFonts w:ascii="Times New Roman" w:hAnsi="Times New Roman" w:cs="Times New Roman"/>
                <w:b/>
                <w:bCs/>
                <w:color w:val="000000"/>
                <w:sz w:val="20"/>
                <w:szCs w:val="20"/>
              </w:rPr>
            </w:pPr>
            <w:r w:rsidRPr="00BF098E">
              <w:rPr>
                <w:rFonts w:ascii="Times New Roman" w:eastAsia="Calibri" w:hAnsi="Times New Roman" w:cs="Times New Roman"/>
                <w:b/>
                <w:bCs/>
                <w:color w:val="000000"/>
                <w:sz w:val="20"/>
                <w:szCs w:val="20"/>
              </w:rPr>
              <w:t>% к итогу</w:t>
            </w:r>
          </w:p>
        </w:tc>
      </w:tr>
      <w:tr w:rsidR="00BF098E" w:rsidRPr="00BF098E" w14:paraId="6C567497" w14:textId="77777777" w:rsidTr="00BF098E">
        <w:trPr>
          <w:trHeight w:val="315"/>
          <w:jc w:val="center"/>
        </w:trPr>
        <w:tc>
          <w:tcPr>
            <w:tcW w:w="1680" w:type="dxa"/>
            <w:vMerge/>
            <w:hideMark/>
          </w:tcPr>
          <w:p w14:paraId="7CF0B42C" w14:textId="77777777" w:rsidR="00BF098E" w:rsidRPr="00BF098E" w:rsidRDefault="00BF098E" w:rsidP="00C84D38">
            <w:pPr>
              <w:rPr>
                <w:rFonts w:ascii="Times New Roman" w:hAnsi="Times New Roman" w:cs="Times New Roman"/>
                <w:color w:val="000000"/>
                <w:sz w:val="20"/>
                <w:szCs w:val="20"/>
              </w:rPr>
            </w:pPr>
          </w:p>
        </w:tc>
        <w:tc>
          <w:tcPr>
            <w:tcW w:w="851" w:type="dxa"/>
            <w:hideMark/>
          </w:tcPr>
          <w:p w14:paraId="393CE58F" w14:textId="5DC6C28F" w:rsidR="00BF098E" w:rsidRPr="00BF098E" w:rsidRDefault="00BF098E" w:rsidP="00C84D38">
            <w:pPr>
              <w:jc w:val="center"/>
              <w:rPr>
                <w:rFonts w:ascii="Times New Roman" w:hAnsi="Times New Roman" w:cs="Times New Roman"/>
                <w:b/>
                <w:bCs/>
                <w:color w:val="000000"/>
                <w:sz w:val="20"/>
                <w:szCs w:val="20"/>
              </w:rPr>
            </w:pPr>
            <w:r w:rsidRPr="00BF098E">
              <w:rPr>
                <w:rFonts w:ascii="Times New Roman" w:eastAsia="Calibri" w:hAnsi="Times New Roman" w:cs="Times New Roman"/>
                <w:b/>
                <w:bCs/>
                <w:color w:val="000000"/>
                <w:sz w:val="20"/>
                <w:szCs w:val="20"/>
              </w:rPr>
              <w:t>2019</w:t>
            </w:r>
            <w:r>
              <w:rPr>
                <w:rFonts w:ascii="Times New Roman" w:eastAsia="Calibri" w:hAnsi="Times New Roman" w:cs="Times New Roman"/>
                <w:b/>
                <w:bCs/>
                <w:color w:val="000000"/>
                <w:sz w:val="20"/>
                <w:szCs w:val="20"/>
              </w:rPr>
              <w:t xml:space="preserve"> г.</w:t>
            </w:r>
          </w:p>
        </w:tc>
        <w:tc>
          <w:tcPr>
            <w:tcW w:w="927" w:type="dxa"/>
            <w:hideMark/>
          </w:tcPr>
          <w:p w14:paraId="703F763D" w14:textId="1E5F0B57" w:rsidR="00BF098E" w:rsidRPr="00BF098E" w:rsidRDefault="00BF098E" w:rsidP="00C84D38">
            <w:pPr>
              <w:jc w:val="center"/>
              <w:rPr>
                <w:rFonts w:ascii="Times New Roman" w:hAnsi="Times New Roman" w:cs="Times New Roman"/>
                <w:b/>
                <w:bCs/>
                <w:color w:val="000000"/>
                <w:sz w:val="20"/>
                <w:szCs w:val="20"/>
              </w:rPr>
            </w:pPr>
            <w:r w:rsidRPr="00BF098E">
              <w:rPr>
                <w:rFonts w:ascii="Times New Roman" w:eastAsia="Calibri" w:hAnsi="Times New Roman" w:cs="Times New Roman"/>
                <w:b/>
                <w:bCs/>
                <w:color w:val="000000"/>
                <w:sz w:val="20"/>
                <w:szCs w:val="20"/>
              </w:rPr>
              <w:t>2020</w:t>
            </w:r>
            <w:r>
              <w:rPr>
                <w:rFonts w:ascii="Times New Roman" w:eastAsia="Calibri" w:hAnsi="Times New Roman" w:cs="Times New Roman"/>
                <w:b/>
                <w:bCs/>
                <w:color w:val="000000"/>
                <w:sz w:val="20"/>
                <w:szCs w:val="20"/>
              </w:rPr>
              <w:t xml:space="preserve"> г.</w:t>
            </w:r>
          </w:p>
        </w:tc>
        <w:tc>
          <w:tcPr>
            <w:tcW w:w="1134" w:type="dxa"/>
            <w:hideMark/>
          </w:tcPr>
          <w:p w14:paraId="4DA7F374" w14:textId="65F6FB0E" w:rsidR="00BF098E" w:rsidRPr="00BF098E" w:rsidRDefault="00BF098E" w:rsidP="00C84D38">
            <w:pPr>
              <w:jc w:val="center"/>
              <w:rPr>
                <w:rFonts w:ascii="Times New Roman" w:hAnsi="Times New Roman" w:cs="Times New Roman"/>
                <w:b/>
                <w:bCs/>
                <w:color w:val="000000"/>
                <w:sz w:val="20"/>
                <w:szCs w:val="20"/>
              </w:rPr>
            </w:pPr>
            <w:r w:rsidRPr="00BF098E">
              <w:rPr>
                <w:rFonts w:ascii="Times New Roman" w:eastAsia="Calibri" w:hAnsi="Times New Roman" w:cs="Times New Roman"/>
                <w:b/>
                <w:bCs/>
                <w:color w:val="000000"/>
                <w:sz w:val="20"/>
                <w:szCs w:val="20"/>
              </w:rPr>
              <w:t>2021</w:t>
            </w:r>
            <w:r>
              <w:rPr>
                <w:rFonts w:ascii="Times New Roman" w:eastAsia="Calibri" w:hAnsi="Times New Roman" w:cs="Times New Roman"/>
                <w:b/>
                <w:bCs/>
                <w:color w:val="000000"/>
                <w:sz w:val="20"/>
                <w:szCs w:val="20"/>
              </w:rPr>
              <w:t xml:space="preserve"> г.</w:t>
            </w:r>
          </w:p>
        </w:tc>
        <w:tc>
          <w:tcPr>
            <w:tcW w:w="851" w:type="dxa"/>
            <w:hideMark/>
          </w:tcPr>
          <w:p w14:paraId="3F337531" w14:textId="3F5FB7BD" w:rsidR="00BF098E" w:rsidRPr="00BF098E" w:rsidRDefault="00BF098E" w:rsidP="00C84D38">
            <w:pPr>
              <w:jc w:val="center"/>
              <w:rPr>
                <w:rFonts w:ascii="Times New Roman" w:hAnsi="Times New Roman" w:cs="Times New Roman"/>
                <w:b/>
                <w:bCs/>
                <w:color w:val="000000"/>
                <w:sz w:val="20"/>
                <w:szCs w:val="20"/>
              </w:rPr>
            </w:pPr>
            <w:r w:rsidRPr="00BF098E">
              <w:rPr>
                <w:rFonts w:ascii="Times New Roman" w:eastAsia="Calibri" w:hAnsi="Times New Roman" w:cs="Times New Roman"/>
                <w:b/>
                <w:bCs/>
                <w:color w:val="000000"/>
                <w:sz w:val="20"/>
                <w:szCs w:val="20"/>
              </w:rPr>
              <w:t>2022</w:t>
            </w:r>
            <w:r>
              <w:rPr>
                <w:rFonts w:ascii="Times New Roman" w:eastAsia="Calibri" w:hAnsi="Times New Roman" w:cs="Times New Roman"/>
                <w:b/>
                <w:bCs/>
                <w:color w:val="000000"/>
                <w:sz w:val="20"/>
                <w:szCs w:val="20"/>
              </w:rPr>
              <w:t xml:space="preserve"> г.</w:t>
            </w:r>
          </w:p>
        </w:tc>
        <w:tc>
          <w:tcPr>
            <w:tcW w:w="992" w:type="dxa"/>
            <w:hideMark/>
          </w:tcPr>
          <w:p w14:paraId="3423C0A7" w14:textId="128F1C81" w:rsidR="00BF098E" w:rsidRPr="00BF098E" w:rsidRDefault="00BF098E" w:rsidP="00C84D38">
            <w:pPr>
              <w:jc w:val="center"/>
              <w:rPr>
                <w:rFonts w:ascii="Times New Roman" w:hAnsi="Times New Roman" w:cs="Times New Roman"/>
                <w:b/>
                <w:bCs/>
                <w:color w:val="000000"/>
                <w:sz w:val="20"/>
                <w:szCs w:val="20"/>
              </w:rPr>
            </w:pPr>
            <w:r w:rsidRPr="00BF098E">
              <w:rPr>
                <w:rFonts w:ascii="Times New Roman" w:eastAsia="Calibri" w:hAnsi="Times New Roman" w:cs="Times New Roman"/>
                <w:b/>
                <w:bCs/>
                <w:color w:val="000000"/>
                <w:sz w:val="20"/>
                <w:szCs w:val="20"/>
              </w:rPr>
              <w:t>2019</w:t>
            </w:r>
            <w:r>
              <w:rPr>
                <w:rFonts w:ascii="Times New Roman" w:eastAsia="Calibri" w:hAnsi="Times New Roman" w:cs="Times New Roman"/>
                <w:b/>
                <w:bCs/>
                <w:color w:val="000000"/>
                <w:sz w:val="20"/>
                <w:szCs w:val="20"/>
              </w:rPr>
              <w:t xml:space="preserve"> г.</w:t>
            </w:r>
          </w:p>
        </w:tc>
        <w:tc>
          <w:tcPr>
            <w:tcW w:w="866" w:type="dxa"/>
            <w:hideMark/>
          </w:tcPr>
          <w:p w14:paraId="5AA29711" w14:textId="6B24EC7E" w:rsidR="00BF098E" w:rsidRPr="00BF098E" w:rsidRDefault="00BF098E" w:rsidP="00C84D38">
            <w:pPr>
              <w:jc w:val="center"/>
              <w:rPr>
                <w:rFonts w:ascii="Times New Roman" w:hAnsi="Times New Roman" w:cs="Times New Roman"/>
                <w:b/>
                <w:bCs/>
                <w:color w:val="000000"/>
                <w:sz w:val="20"/>
                <w:szCs w:val="20"/>
              </w:rPr>
            </w:pPr>
            <w:r w:rsidRPr="00BF098E">
              <w:rPr>
                <w:rFonts w:ascii="Times New Roman" w:eastAsia="Calibri" w:hAnsi="Times New Roman" w:cs="Times New Roman"/>
                <w:b/>
                <w:bCs/>
                <w:color w:val="000000"/>
                <w:sz w:val="20"/>
                <w:szCs w:val="20"/>
              </w:rPr>
              <w:t>2020</w:t>
            </w:r>
            <w:r>
              <w:rPr>
                <w:rFonts w:ascii="Times New Roman" w:eastAsia="Calibri" w:hAnsi="Times New Roman" w:cs="Times New Roman"/>
                <w:b/>
                <w:bCs/>
                <w:color w:val="000000"/>
                <w:sz w:val="20"/>
                <w:szCs w:val="20"/>
              </w:rPr>
              <w:t xml:space="preserve"> г.</w:t>
            </w:r>
          </w:p>
        </w:tc>
        <w:tc>
          <w:tcPr>
            <w:tcW w:w="992" w:type="dxa"/>
            <w:hideMark/>
          </w:tcPr>
          <w:p w14:paraId="2A8A3D32" w14:textId="6220021A" w:rsidR="00BF098E" w:rsidRPr="00BF098E" w:rsidRDefault="00BF098E" w:rsidP="00C84D38">
            <w:pPr>
              <w:jc w:val="center"/>
              <w:rPr>
                <w:rFonts w:ascii="Times New Roman" w:hAnsi="Times New Roman" w:cs="Times New Roman"/>
                <w:b/>
                <w:bCs/>
                <w:color w:val="000000"/>
                <w:sz w:val="20"/>
                <w:szCs w:val="20"/>
              </w:rPr>
            </w:pPr>
            <w:r w:rsidRPr="00BF098E">
              <w:rPr>
                <w:rFonts w:ascii="Times New Roman" w:eastAsia="Calibri" w:hAnsi="Times New Roman" w:cs="Times New Roman"/>
                <w:b/>
                <w:bCs/>
                <w:color w:val="000000"/>
                <w:sz w:val="20"/>
                <w:szCs w:val="20"/>
              </w:rPr>
              <w:t>2021</w:t>
            </w:r>
            <w:r>
              <w:rPr>
                <w:rFonts w:ascii="Times New Roman" w:eastAsia="Calibri" w:hAnsi="Times New Roman" w:cs="Times New Roman"/>
                <w:b/>
                <w:bCs/>
                <w:color w:val="000000"/>
                <w:sz w:val="20"/>
                <w:szCs w:val="20"/>
              </w:rPr>
              <w:t xml:space="preserve"> г.</w:t>
            </w:r>
          </w:p>
        </w:tc>
        <w:tc>
          <w:tcPr>
            <w:tcW w:w="866" w:type="dxa"/>
            <w:hideMark/>
          </w:tcPr>
          <w:p w14:paraId="145A6EB9" w14:textId="22E2EDF7" w:rsidR="00BF098E" w:rsidRPr="00BF098E" w:rsidRDefault="00BF098E" w:rsidP="00C84D38">
            <w:pPr>
              <w:jc w:val="center"/>
              <w:rPr>
                <w:rFonts w:ascii="Times New Roman" w:hAnsi="Times New Roman" w:cs="Times New Roman"/>
                <w:b/>
                <w:bCs/>
                <w:color w:val="000000"/>
                <w:sz w:val="20"/>
                <w:szCs w:val="20"/>
              </w:rPr>
            </w:pPr>
            <w:r w:rsidRPr="00BF098E">
              <w:rPr>
                <w:rFonts w:ascii="Times New Roman" w:eastAsia="Calibri" w:hAnsi="Times New Roman" w:cs="Times New Roman"/>
                <w:b/>
                <w:bCs/>
                <w:color w:val="000000"/>
                <w:sz w:val="20"/>
                <w:szCs w:val="20"/>
              </w:rPr>
              <w:t>2022</w:t>
            </w:r>
            <w:r>
              <w:rPr>
                <w:rFonts w:ascii="Times New Roman" w:eastAsia="Calibri" w:hAnsi="Times New Roman" w:cs="Times New Roman"/>
                <w:b/>
                <w:bCs/>
                <w:color w:val="000000"/>
                <w:sz w:val="20"/>
                <w:szCs w:val="20"/>
              </w:rPr>
              <w:t xml:space="preserve"> г.</w:t>
            </w:r>
          </w:p>
        </w:tc>
      </w:tr>
      <w:tr w:rsidR="00BF098E" w:rsidRPr="00BF098E" w14:paraId="185C179F" w14:textId="77777777" w:rsidTr="00BF098E">
        <w:trPr>
          <w:trHeight w:val="315"/>
          <w:jc w:val="center"/>
        </w:trPr>
        <w:tc>
          <w:tcPr>
            <w:tcW w:w="1680" w:type="dxa"/>
            <w:vMerge/>
            <w:hideMark/>
          </w:tcPr>
          <w:p w14:paraId="4BC3A656" w14:textId="77777777" w:rsidR="00BF098E" w:rsidRPr="00BF098E" w:rsidRDefault="00BF098E" w:rsidP="00C84D38">
            <w:pPr>
              <w:rPr>
                <w:rFonts w:ascii="Times New Roman" w:hAnsi="Times New Roman" w:cs="Times New Roman"/>
                <w:color w:val="000000"/>
                <w:sz w:val="20"/>
                <w:szCs w:val="20"/>
              </w:rPr>
            </w:pPr>
          </w:p>
        </w:tc>
        <w:tc>
          <w:tcPr>
            <w:tcW w:w="851" w:type="dxa"/>
            <w:hideMark/>
          </w:tcPr>
          <w:p w14:paraId="2BD11739" w14:textId="77777777" w:rsidR="00BF098E" w:rsidRPr="00BF098E" w:rsidRDefault="00BF098E" w:rsidP="00C84D38">
            <w:pPr>
              <w:jc w:val="center"/>
              <w:rPr>
                <w:rFonts w:ascii="Times New Roman" w:hAnsi="Times New Roman" w:cs="Times New Roman"/>
                <w:b/>
                <w:bCs/>
                <w:color w:val="000000"/>
                <w:sz w:val="20"/>
                <w:szCs w:val="20"/>
              </w:rPr>
            </w:pPr>
            <w:r w:rsidRPr="00BF098E">
              <w:rPr>
                <w:rFonts w:ascii="Times New Roman" w:eastAsia="Calibri" w:hAnsi="Times New Roman" w:cs="Times New Roman"/>
                <w:b/>
                <w:bCs/>
                <w:color w:val="000000"/>
                <w:sz w:val="20"/>
                <w:szCs w:val="20"/>
              </w:rPr>
              <w:t>оценка</w:t>
            </w:r>
          </w:p>
        </w:tc>
        <w:tc>
          <w:tcPr>
            <w:tcW w:w="2912" w:type="dxa"/>
            <w:gridSpan w:val="3"/>
            <w:hideMark/>
          </w:tcPr>
          <w:p w14:paraId="0F74A15A" w14:textId="77777777" w:rsidR="00BF098E" w:rsidRPr="00BF098E" w:rsidRDefault="00BF098E" w:rsidP="00C84D38">
            <w:pPr>
              <w:jc w:val="center"/>
              <w:rPr>
                <w:rFonts w:ascii="Times New Roman" w:hAnsi="Times New Roman" w:cs="Times New Roman"/>
                <w:b/>
                <w:bCs/>
                <w:color w:val="000000"/>
                <w:sz w:val="20"/>
                <w:szCs w:val="20"/>
              </w:rPr>
            </w:pPr>
            <w:r w:rsidRPr="00BF098E">
              <w:rPr>
                <w:rFonts w:ascii="Times New Roman" w:eastAsia="Calibri" w:hAnsi="Times New Roman" w:cs="Times New Roman"/>
                <w:b/>
                <w:bCs/>
                <w:color w:val="000000"/>
                <w:sz w:val="20"/>
                <w:szCs w:val="20"/>
              </w:rPr>
              <w:t>прогноз</w:t>
            </w:r>
          </w:p>
        </w:tc>
        <w:tc>
          <w:tcPr>
            <w:tcW w:w="992" w:type="dxa"/>
            <w:hideMark/>
          </w:tcPr>
          <w:p w14:paraId="085EC3A7" w14:textId="77777777" w:rsidR="00BF098E" w:rsidRPr="00BF098E" w:rsidRDefault="00BF098E" w:rsidP="00C84D38">
            <w:pPr>
              <w:jc w:val="center"/>
              <w:rPr>
                <w:rFonts w:ascii="Times New Roman" w:hAnsi="Times New Roman" w:cs="Times New Roman"/>
                <w:b/>
                <w:bCs/>
                <w:color w:val="000000"/>
                <w:sz w:val="20"/>
                <w:szCs w:val="20"/>
              </w:rPr>
            </w:pPr>
            <w:r w:rsidRPr="00BF098E">
              <w:rPr>
                <w:rFonts w:ascii="Times New Roman" w:hAnsi="Times New Roman" w:cs="Times New Roman"/>
                <w:b/>
                <w:bCs/>
                <w:color w:val="000000"/>
                <w:sz w:val="20"/>
                <w:szCs w:val="20"/>
              </w:rPr>
              <w:t>оценка</w:t>
            </w:r>
          </w:p>
        </w:tc>
        <w:tc>
          <w:tcPr>
            <w:tcW w:w="2724" w:type="dxa"/>
            <w:gridSpan w:val="3"/>
            <w:hideMark/>
          </w:tcPr>
          <w:p w14:paraId="36849BDC" w14:textId="77777777" w:rsidR="00BF098E" w:rsidRPr="00BF098E" w:rsidRDefault="00BF098E" w:rsidP="00C84D38">
            <w:pPr>
              <w:jc w:val="center"/>
              <w:rPr>
                <w:rFonts w:ascii="Times New Roman" w:hAnsi="Times New Roman" w:cs="Times New Roman"/>
                <w:b/>
                <w:bCs/>
                <w:color w:val="000000"/>
                <w:sz w:val="20"/>
                <w:szCs w:val="20"/>
              </w:rPr>
            </w:pPr>
            <w:r w:rsidRPr="00BF098E">
              <w:rPr>
                <w:rFonts w:ascii="Times New Roman" w:eastAsia="Calibri" w:hAnsi="Times New Roman" w:cs="Times New Roman"/>
                <w:b/>
                <w:bCs/>
                <w:color w:val="000000"/>
                <w:sz w:val="20"/>
                <w:szCs w:val="20"/>
              </w:rPr>
              <w:t>прогноз</w:t>
            </w:r>
          </w:p>
        </w:tc>
      </w:tr>
      <w:tr w:rsidR="00BF098E" w:rsidRPr="00BF098E" w14:paraId="77D56911" w14:textId="77777777" w:rsidTr="00BF098E">
        <w:trPr>
          <w:trHeight w:val="315"/>
          <w:jc w:val="center"/>
        </w:trPr>
        <w:tc>
          <w:tcPr>
            <w:tcW w:w="1680" w:type="dxa"/>
            <w:noWrap/>
            <w:hideMark/>
          </w:tcPr>
          <w:p w14:paraId="2002FA4B" w14:textId="77777777" w:rsidR="00BF098E" w:rsidRPr="00BF098E" w:rsidRDefault="00BF098E" w:rsidP="00C84D38">
            <w:pPr>
              <w:jc w:val="both"/>
              <w:rPr>
                <w:rFonts w:ascii="Times New Roman" w:hAnsi="Times New Roman" w:cs="Times New Roman"/>
                <w:b/>
                <w:color w:val="000000"/>
                <w:sz w:val="20"/>
                <w:szCs w:val="20"/>
              </w:rPr>
            </w:pPr>
            <w:r w:rsidRPr="00BF098E">
              <w:rPr>
                <w:rFonts w:ascii="Times New Roman" w:hAnsi="Times New Roman" w:cs="Times New Roman"/>
                <w:b/>
                <w:color w:val="000000"/>
                <w:sz w:val="20"/>
                <w:szCs w:val="20"/>
              </w:rPr>
              <w:t>Доходы, всего</w:t>
            </w:r>
          </w:p>
        </w:tc>
        <w:tc>
          <w:tcPr>
            <w:tcW w:w="851" w:type="dxa"/>
            <w:noWrap/>
            <w:hideMark/>
          </w:tcPr>
          <w:p w14:paraId="2D48C652" w14:textId="77777777" w:rsidR="00BF098E" w:rsidRPr="00BF098E" w:rsidRDefault="00BF098E" w:rsidP="00C84D38">
            <w:pPr>
              <w:jc w:val="center"/>
              <w:rPr>
                <w:rFonts w:ascii="Times New Roman" w:hAnsi="Times New Roman" w:cs="Times New Roman"/>
                <w:b/>
                <w:color w:val="000000"/>
                <w:sz w:val="20"/>
                <w:szCs w:val="20"/>
              </w:rPr>
            </w:pPr>
            <w:r w:rsidRPr="00BF098E">
              <w:rPr>
                <w:rFonts w:ascii="Times New Roman" w:hAnsi="Times New Roman" w:cs="Times New Roman"/>
                <w:b/>
                <w:color w:val="000000"/>
                <w:sz w:val="20"/>
                <w:szCs w:val="20"/>
              </w:rPr>
              <w:t>18,5</w:t>
            </w:r>
          </w:p>
        </w:tc>
        <w:tc>
          <w:tcPr>
            <w:tcW w:w="927" w:type="dxa"/>
            <w:noWrap/>
            <w:hideMark/>
          </w:tcPr>
          <w:p w14:paraId="5BECFEAB" w14:textId="77777777" w:rsidR="00BF098E" w:rsidRPr="00BF098E" w:rsidRDefault="00BF098E" w:rsidP="00C84D38">
            <w:pPr>
              <w:jc w:val="center"/>
              <w:rPr>
                <w:rFonts w:ascii="Times New Roman" w:hAnsi="Times New Roman" w:cs="Times New Roman"/>
                <w:b/>
                <w:color w:val="000000"/>
                <w:sz w:val="20"/>
                <w:szCs w:val="20"/>
              </w:rPr>
            </w:pPr>
            <w:r w:rsidRPr="00BF098E">
              <w:rPr>
                <w:rFonts w:ascii="Times New Roman" w:hAnsi="Times New Roman" w:cs="Times New Roman"/>
                <w:b/>
                <w:color w:val="000000"/>
                <w:sz w:val="20"/>
                <w:szCs w:val="20"/>
              </w:rPr>
              <w:t>18,1</w:t>
            </w:r>
          </w:p>
        </w:tc>
        <w:tc>
          <w:tcPr>
            <w:tcW w:w="1134" w:type="dxa"/>
            <w:noWrap/>
            <w:hideMark/>
          </w:tcPr>
          <w:p w14:paraId="2DF2DFE2" w14:textId="77777777" w:rsidR="00BF098E" w:rsidRPr="00BF098E" w:rsidRDefault="00BF098E" w:rsidP="00C84D38">
            <w:pPr>
              <w:jc w:val="center"/>
              <w:rPr>
                <w:rFonts w:ascii="Times New Roman" w:hAnsi="Times New Roman" w:cs="Times New Roman"/>
                <w:b/>
                <w:color w:val="000000"/>
                <w:sz w:val="20"/>
                <w:szCs w:val="20"/>
              </w:rPr>
            </w:pPr>
            <w:r w:rsidRPr="00BF098E">
              <w:rPr>
                <w:rFonts w:ascii="Times New Roman" w:hAnsi="Times New Roman" w:cs="Times New Roman"/>
                <w:b/>
                <w:color w:val="000000"/>
                <w:sz w:val="20"/>
                <w:szCs w:val="20"/>
              </w:rPr>
              <w:t>17,7</w:t>
            </w:r>
          </w:p>
        </w:tc>
        <w:tc>
          <w:tcPr>
            <w:tcW w:w="851" w:type="dxa"/>
            <w:noWrap/>
            <w:hideMark/>
          </w:tcPr>
          <w:p w14:paraId="59839AF2" w14:textId="77777777" w:rsidR="00BF098E" w:rsidRPr="00BF098E" w:rsidRDefault="00BF098E" w:rsidP="00C84D38">
            <w:pPr>
              <w:jc w:val="center"/>
              <w:rPr>
                <w:rFonts w:ascii="Times New Roman" w:hAnsi="Times New Roman" w:cs="Times New Roman"/>
                <w:b/>
                <w:color w:val="000000"/>
                <w:sz w:val="20"/>
                <w:szCs w:val="20"/>
              </w:rPr>
            </w:pPr>
            <w:r w:rsidRPr="00BF098E">
              <w:rPr>
                <w:rFonts w:ascii="Times New Roman" w:hAnsi="Times New Roman" w:cs="Times New Roman"/>
                <w:b/>
                <w:color w:val="000000"/>
                <w:sz w:val="20"/>
                <w:szCs w:val="20"/>
              </w:rPr>
              <w:t>17,2</w:t>
            </w:r>
          </w:p>
        </w:tc>
        <w:tc>
          <w:tcPr>
            <w:tcW w:w="992" w:type="dxa"/>
            <w:noWrap/>
            <w:hideMark/>
          </w:tcPr>
          <w:p w14:paraId="28DC1872" w14:textId="77777777" w:rsidR="00BF098E" w:rsidRPr="00BF098E" w:rsidRDefault="00BF098E" w:rsidP="00C84D38">
            <w:pPr>
              <w:jc w:val="center"/>
              <w:rPr>
                <w:rFonts w:ascii="Times New Roman" w:hAnsi="Times New Roman" w:cs="Times New Roman"/>
                <w:b/>
                <w:color w:val="000000"/>
                <w:sz w:val="20"/>
                <w:szCs w:val="20"/>
              </w:rPr>
            </w:pPr>
            <w:r w:rsidRPr="00BF098E">
              <w:rPr>
                <w:rFonts w:ascii="Times New Roman" w:hAnsi="Times New Roman" w:cs="Times New Roman"/>
                <w:b/>
                <w:color w:val="000000"/>
                <w:sz w:val="20"/>
                <w:szCs w:val="20"/>
              </w:rPr>
              <w:t>100,0</w:t>
            </w:r>
          </w:p>
        </w:tc>
        <w:tc>
          <w:tcPr>
            <w:tcW w:w="866" w:type="dxa"/>
            <w:noWrap/>
            <w:hideMark/>
          </w:tcPr>
          <w:p w14:paraId="1EA2A1C9" w14:textId="77777777" w:rsidR="00BF098E" w:rsidRPr="00BF098E" w:rsidRDefault="00BF098E" w:rsidP="00C84D38">
            <w:pPr>
              <w:jc w:val="center"/>
              <w:rPr>
                <w:rFonts w:ascii="Times New Roman" w:hAnsi="Times New Roman" w:cs="Times New Roman"/>
                <w:b/>
                <w:color w:val="000000"/>
                <w:sz w:val="20"/>
                <w:szCs w:val="20"/>
              </w:rPr>
            </w:pPr>
            <w:r w:rsidRPr="00BF098E">
              <w:rPr>
                <w:rFonts w:ascii="Times New Roman" w:hAnsi="Times New Roman" w:cs="Times New Roman"/>
                <w:b/>
                <w:color w:val="000000"/>
                <w:sz w:val="20"/>
                <w:szCs w:val="20"/>
              </w:rPr>
              <w:t>100,0</w:t>
            </w:r>
          </w:p>
        </w:tc>
        <w:tc>
          <w:tcPr>
            <w:tcW w:w="992" w:type="dxa"/>
            <w:noWrap/>
            <w:hideMark/>
          </w:tcPr>
          <w:p w14:paraId="602563B9" w14:textId="77777777" w:rsidR="00BF098E" w:rsidRPr="00BF098E" w:rsidRDefault="00BF098E" w:rsidP="00C84D38">
            <w:pPr>
              <w:jc w:val="center"/>
              <w:rPr>
                <w:rFonts w:ascii="Times New Roman" w:hAnsi="Times New Roman" w:cs="Times New Roman"/>
                <w:b/>
                <w:color w:val="000000"/>
                <w:sz w:val="20"/>
                <w:szCs w:val="20"/>
              </w:rPr>
            </w:pPr>
            <w:r w:rsidRPr="00BF098E">
              <w:rPr>
                <w:rFonts w:ascii="Times New Roman" w:hAnsi="Times New Roman" w:cs="Times New Roman"/>
                <w:b/>
                <w:color w:val="000000"/>
                <w:sz w:val="20"/>
                <w:szCs w:val="20"/>
              </w:rPr>
              <w:t>100,0</w:t>
            </w:r>
          </w:p>
        </w:tc>
        <w:tc>
          <w:tcPr>
            <w:tcW w:w="866" w:type="dxa"/>
            <w:noWrap/>
            <w:hideMark/>
          </w:tcPr>
          <w:p w14:paraId="156FA9E5" w14:textId="77777777" w:rsidR="00BF098E" w:rsidRPr="00BF098E" w:rsidRDefault="00BF098E" w:rsidP="00C84D38">
            <w:pPr>
              <w:jc w:val="center"/>
              <w:rPr>
                <w:rFonts w:ascii="Times New Roman" w:hAnsi="Times New Roman" w:cs="Times New Roman"/>
                <w:b/>
                <w:color w:val="000000"/>
                <w:sz w:val="20"/>
                <w:szCs w:val="20"/>
              </w:rPr>
            </w:pPr>
            <w:r w:rsidRPr="00BF098E">
              <w:rPr>
                <w:rFonts w:ascii="Times New Roman" w:hAnsi="Times New Roman" w:cs="Times New Roman"/>
                <w:b/>
                <w:color w:val="000000"/>
                <w:sz w:val="20"/>
                <w:szCs w:val="20"/>
              </w:rPr>
              <w:t>100,0</w:t>
            </w:r>
          </w:p>
        </w:tc>
      </w:tr>
      <w:tr w:rsidR="00BF098E" w:rsidRPr="00BF098E" w14:paraId="0822D665" w14:textId="77777777" w:rsidTr="00BF098E">
        <w:trPr>
          <w:trHeight w:val="315"/>
          <w:jc w:val="center"/>
        </w:trPr>
        <w:tc>
          <w:tcPr>
            <w:tcW w:w="1680" w:type="dxa"/>
            <w:hideMark/>
          </w:tcPr>
          <w:p w14:paraId="512C97D4" w14:textId="77777777" w:rsidR="00BF098E" w:rsidRPr="00BF098E" w:rsidRDefault="00BF098E" w:rsidP="00C84D38">
            <w:pPr>
              <w:jc w:val="both"/>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Нефтегазовые доходы</w:t>
            </w:r>
          </w:p>
        </w:tc>
        <w:tc>
          <w:tcPr>
            <w:tcW w:w="851" w:type="dxa"/>
            <w:noWrap/>
            <w:vAlign w:val="center"/>
            <w:hideMark/>
          </w:tcPr>
          <w:p w14:paraId="36C97429"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7,6</w:t>
            </w:r>
          </w:p>
        </w:tc>
        <w:tc>
          <w:tcPr>
            <w:tcW w:w="927" w:type="dxa"/>
            <w:noWrap/>
            <w:vAlign w:val="center"/>
            <w:hideMark/>
          </w:tcPr>
          <w:p w14:paraId="697A220F"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6,6</w:t>
            </w:r>
          </w:p>
        </w:tc>
        <w:tc>
          <w:tcPr>
            <w:tcW w:w="1134" w:type="dxa"/>
            <w:noWrap/>
            <w:vAlign w:val="center"/>
            <w:hideMark/>
          </w:tcPr>
          <w:p w14:paraId="0D797923"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6,4</w:t>
            </w:r>
          </w:p>
        </w:tc>
        <w:tc>
          <w:tcPr>
            <w:tcW w:w="851" w:type="dxa"/>
            <w:noWrap/>
            <w:vAlign w:val="center"/>
            <w:hideMark/>
          </w:tcPr>
          <w:p w14:paraId="0828E579"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6,0</w:t>
            </w:r>
          </w:p>
        </w:tc>
        <w:tc>
          <w:tcPr>
            <w:tcW w:w="992" w:type="dxa"/>
            <w:noWrap/>
            <w:vAlign w:val="center"/>
            <w:hideMark/>
          </w:tcPr>
          <w:p w14:paraId="23F7F773"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40,8</w:t>
            </w:r>
          </w:p>
        </w:tc>
        <w:tc>
          <w:tcPr>
            <w:tcW w:w="866" w:type="dxa"/>
            <w:noWrap/>
            <w:vAlign w:val="center"/>
            <w:hideMark/>
          </w:tcPr>
          <w:p w14:paraId="7ADCBBDC"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36,7</w:t>
            </w:r>
          </w:p>
        </w:tc>
        <w:tc>
          <w:tcPr>
            <w:tcW w:w="992" w:type="dxa"/>
            <w:noWrap/>
            <w:vAlign w:val="center"/>
            <w:hideMark/>
          </w:tcPr>
          <w:p w14:paraId="011FD2E6"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36,1</w:t>
            </w:r>
          </w:p>
        </w:tc>
        <w:tc>
          <w:tcPr>
            <w:tcW w:w="866" w:type="dxa"/>
            <w:noWrap/>
            <w:vAlign w:val="center"/>
            <w:hideMark/>
          </w:tcPr>
          <w:p w14:paraId="3CEA6B4A"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35,0</w:t>
            </w:r>
          </w:p>
        </w:tc>
      </w:tr>
      <w:tr w:rsidR="00BF098E" w:rsidRPr="00BF098E" w14:paraId="62263F00" w14:textId="77777777" w:rsidTr="00BF098E">
        <w:trPr>
          <w:trHeight w:val="315"/>
          <w:jc w:val="center"/>
        </w:trPr>
        <w:tc>
          <w:tcPr>
            <w:tcW w:w="1680" w:type="dxa"/>
            <w:hideMark/>
          </w:tcPr>
          <w:p w14:paraId="3B879DD5" w14:textId="77777777" w:rsidR="00BF098E" w:rsidRPr="00BF098E" w:rsidRDefault="00BF098E" w:rsidP="00C84D38">
            <w:pPr>
              <w:jc w:val="both"/>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Ненефтегазовые доходы</w:t>
            </w:r>
          </w:p>
        </w:tc>
        <w:tc>
          <w:tcPr>
            <w:tcW w:w="851" w:type="dxa"/>
            <w:noWrap/>
            <w:vAlign w:val="center"/>
            <w:hideMark/>
          </w:tcPr>
          <w:p w14:paraId="5CBED69C"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10,9</w:t>
            </w:r>
          </w:p>
        </w:tc>
        <w:tc>
          <w:tcPr>
            <w:tcW w:w="927" w:type="dxa"/>
            <w:noWrap/>
            <w:vAlign w:val="center"/>
            <w:hideMark/>
          </w:tcPr>
          <w:p w14:paraId="203BFD89"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11,4</w:t>
            </w:r>
          </w:p>
        </w:tc>
        <w:tc>
          <w:tcPr>
            <w:tcW w:w="1134" w:type="dxa"/>
            <w:noWrap/>
            <w:vAlign w:val="center"/>
            <w:hideMark/>
          </w:tcPr>
          <w:p w14:paraId="387A2299"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11,3</w:t>
            </w:r>
          </w:p>
        </w:tc>
        <w:tc>
          <w:tcPr>
            <w:tcW w:w="851" w:type="dxa"/>
            <w:noWrap/>
            <w:vAlign w:val="center"/>
            <w:hideMark/>
          </w:tcPr>
          <w:p w14:paraId="408E1967"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11,1</w:t>
            </w:r>
          </w:p>
        </w:tc>
        <w:tc>
          <w:tcPr>
            <w:tcW w:w="992" w:type="dxa"/>
            <w:noWrap/>
            <w:vAlign w:val="center"/>
            <w:hideMark/>
          </w:tcPr>
          <w:p w14:paraId="26716BBF"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59,2</w:t>
            </w:r>
          </w:p>
        </w:tc>
        <w:tc>
          <w:tcPr>
            <w:tcW w:w="866" w:type="dxa"/>
            <w:noWrap/>
            <w:vAlign w:val="center"/>
            <w:hideMark/>
          </w:tcPr>
          <w:p w14:paraId="683F445E"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63,3</w:t>
            </w:r>
          </w:p>
        </w:tc>
        <w:tc>
          <w:tcPr>
            <w:tcW w:w="992" w:type="dxa"/>
            <w:noWrap/>
            <w:vAlign w:val="center"/>
            <w:hideMark/>
          </w:tcPr>
          <w:p w14:paraId="5E2EBD03"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63,9</w:t>
            </w:r>
          </w:p>
        </w:tc>
        <w:tc>
          <w:tcPr>
            <w:tcW w:w="866" w:type="dxa"/>
            <w:noWrap/>
            <w:vAlign w:val="center"/>
            <w:hideMark/>
          </w:tcPr>
          <w:p w14:paraId="42160763"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65,0</w:t>
            </w:r>
          </w:p>
        </w:tc>
      </w:tr>
      <w:tr w:rsidR="00BF098E" w:rsidRPr="00BF098E" w14:paraId="6104827C" w14:textId="77777777" w:rsidTr="00BF098E">
        <w:trPr>
          <w:trHeight w:val="315"/>
          <w:jc w:val="center"/>
        </w:trPr>
        <w:tc>
          <w:tcPr>
            <w:tcW w:w="1680" w:type="dxa"/>
            <w:hideMark/>
          </w:tcPr>
          <w:p w14:paraId="704BBB43" w14:textId="77777777" w:rsidR="00BF098E" w:rsidRPr="00BF098E" w:rsidRDefault="00BF098E" w:rsidP="00C84D38">
            <w:pPr>
              <w:jc w:val="both"/>
              <w:rPr>
                <w:rFonts w:ascii="Times New Roman" w:hAnsi="Times New Roman" w:cs="Times New Roman"/>
                <w:color w:val="000000"/>
                <w:sz w:val="20"/>
                <w:szCs w:val="20"/>
              </w:rPr>
            </w:pPr>
            <w:r w:rsidRPr="00BF098E">
              <w:rPr>
                <w:rFonts w:ascii="Times New Roman" w:hAnsi="Times New Roman" w:cs="Times New Roman"/>
                <w:color w:val="000000"/>
                <w:sz w:val="20"/>
                <w:szCs w:val="20"/>
              </w:rPr>
              <w:t xml:space="preserve">   НДС, всего</w:t>
            </w:r>
          </w:p>
        </w:tc>
        <w:tc>
          <w:tcPr>
            <w:tcW w:w="851" w:type="dxa"/>
            <w:noWrap/>
            <w:vAlign w:val="bottom"/>
            <w:hideMark/>
          </w:tcPr>
          <w:p w14:paraId="245BF87F"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6,5</w:t>
            </w:r>
          </w:p>
        </w:tc>
        <w:tc>
          <w:tcPr>
            <w:tcW w:w="927" w:type="dxa"/>
            <w:noWrap/>
            <w:vAlign w:val="bottom"/>
            <w:hideMark/>
          </w:tcPr>
          <w:p w14:paraId="7758DD0D"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6,6</w:t>
            </w:r>
          </w:p>
        </w:tc>
        <w:tc>
          <w:tcPr>
            <w:tcW w:w="1134" w:type="dxa"/>
            <w:noWrap/>
            <w:vAlign w:val="bottom"/>
            <w:hideMark/>
          </w:tcPr>
          <w:p w14:paraId="27252F6A"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6,6</w:t>
            </w:r>
          </w:p>
        </w:tc>
        <w:tc>
          <w:tcPr>
            <w:tcW w:w="851" w:type="dxa"/>
            <w:noWrap/>
            <w:vAlign w:val="bottom"/>
            <w:hideMark/>
          </w:tcPr>
          <w:p w14:paraId="5898BA5E"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6,7</w:t>
            </w:r>
          </w:p>
        </w:tc>
        <w:tc>
          <w:tcPr>
            <w:tcW w:w="992" w:type="dxa"/>
            <w:noWrap/>
            <w:vAlign w:val="bottom"/>
            <w:hideMark/>
          </w:tcPr>
          <w:p w14:paraId="76327F36"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35,0</w:t>
            </w:r>
          </w:p>
        </w:tc>
        <w:tc>
          <w:tcPr>
            <w:tcW w:w="866" w:type="dxa"/>
            <w:noWrap/>
            <w:vAlign w:val="bottom"/>
            <w:hideMark/>
          </w:tcPr>
          <w:p w14:paraId="0A473D5F"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36,7</w:t>
            </w:r>
          </w:p>
        </w:tc>
        <w:tc>
          <w:tcPr>
            <w:tcW w:w="992" w:type="dxa"/>
            <w:noWrap/>
            <w:vAlign w:val="bottom"/>
            <w:hideMark/>
          </w:tcPr>
          <w:p w14:paraId="6A0A17A3"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37,5</w:t>
            </w:r>
          </w:p>
        </w:tc>
        <w:tc>
          <w:tcPr>
            <w:tcW w:w="866" w:type="dxa"/>
            <w:noWrap/>
            <w:vAlign w:val="bottom"/>
            <w:hideMark/>
          </w:tcPr>
          <w:p w14:paraId="2039B5EA"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38,7</w:t>
            </w:r>
          </w:p>
        </w:tc>
      </w:tr>
      <w:tr w:rsidR="00BF098E" w:rsidRPr="00BF098E" w14:paraId="37CCD673" w14:textId="77777777" w:rsidTr="00BF098E">
        <w:trPr>
          <w:trHeight w:val="315"/>
          <w:jc w:val="center"/>
        </w:trPr>
        <w:tc>
          <w:tcPr>
            <w:tcW w:w="1680" w:type="dxa"/>
            <w:hideMark/>
          </w:tcPr>
          <w:p w14:paraId="050EBCE5" w14:textId="77777777" w:rsidR="00BF098E" w:rsidRPr="00BF098E" w:rsidRDefault="00BF098E" w:rsidP="00C84D38">
            <w:pPr>
              <w:jc w:val="right"/>
              <w:rPr>
                <w:rFonts w:ascii="Times New Roman" w:hAnsi="Times New Roman" w:cs="Times New Roman"/>
                <w:i/>
                <w:iCs/>
                <w:color w:val="000000"/>
                <w:sz w:val="20"/>
                <w:szCs w:val="20"/>
              </w:rPr>
            </w:pPr>
            <w:r w:rsidRPr="00BF098E">
              <w:rPr>
                <w:rFonts w:ascii="Times New Roman" w:hAnsi="Times New Roman" w:cs="Times New Roman"/>
                <w:i/>
                <w:iCs/>
                <w:color w:val="000000"/>
                <w:sz w:val="20"/>
                <w:szCs w:val="20"/>
              </w:rPr>
              <w:t xml:space="preserve"> НДС (внутренний)</w:t>
            </w:r>
          </w:p>
        </w:tc>
        <w:tc>
          <w:tcPr>
            <w:tcW w:w="851" w:type="dxa"/>
            <w:noWrap/>
            <w:vAlign w:val="bottom"/>
            <w:hideMark/>
          </w:tcPr>
          <w:p w14:paraId="21715B9C"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3,9</w:t>
            </w:r>
          </w:p>
        </w:tc>
        <w:tc>
          <w:tcPr>
            <w:tcW w:w="927" w:type="dxa"/>
            <w:noWrap/>
            <w:vAlign w:val="bottom"/>
            <w:hideMark/>
          </w:tcPr>
          <w:p w14:paraId="14D42EEA"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4,0</w:t>
            </w:r>
          </w:p>
        </w:tc>
        <w:tc>
          <w:tcPr>
            <w:tcW w:w="1134" w:type="dxa"/>
            <w:noWrap/>
            <w:vAlign w:val="bottom"/>
            <w:hideMark/>
          </w:tcPr>
          <w:p w14:paraId="2B18862D"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4,0</w:t>
            </w:r>
          </w:p>
        </w:tc>
        <w:tc>
          <w:tcPr>
            <w:tcW w:w="851" w:type="dxa"/>
            <w:noWrap/>
            <w:vAlign w:val="bottom"/>
            <w:hideMark/>
          </w:tcPr>
          <w:p w14:paraId="66E0248B"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4,0</w:t>
            </w:r>
          </w:p>
        </w:tc>
        <w:tc>
          <w:tcPr>
            <w:tcW w:w="992" w:type="dxa"/>
            <w:noWrap/>
            <w:vAlign w:val="bottom"/>
            <w:hideMark/>
          </w:tcPr>
          <w:p w14:paraId="3FE6CB2D"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20,9</w:t>
            </w:r>
          </w:p>
        </w:tc>
        <w:tc>
          <w:tcPr>
            <w:tcW w:w="866" w:type="dxa"/>
            <w:noWrap/>
            <w:vAlign w:val="bottom"/>
            <w:hideMark/>
          </w:tcPr>
          <w:p w14:paraId="140D5FA8"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22,1</w:t>
            </w:r>
          </w:p>
        </w:tc>
        <w:tc>
          <w:tcPr>
            <w:tcW w:w="992" w:type="dxa"/>
            <w:noWrap/>
            <w:vAlign w:val="bottom"/>
            <w:hideMark/>
          </w:tcPr>
          <w:p w14:paraId="601B6F7E"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22,4</w:t>
            </w:r>
          </w:p>
        </w:tc>
        <w:tc>
          <w:tcPr>
            <w:tcW w:w="866" w:type="dxa"/>
            <w:noWrap/>
            <w:vAlign w:val="bottom"/>
            <w:hideMark/>
          </w:tcPr>
          <w:p w14:paraId="17912F36"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23,0</w:t>
            </w:r>
          </w:p>
        </w:tc>
      </w:tr>
      <w:tr w:rsidR="00BF098E" w:rsidRPr="00BF098E" w14:paraId="1E45B40E" w14:textId="77777777" w:rsidTr="00BF098E">
        <w:trPr>
          <w:trHeight w:val="315"/>
          <w:jc w:val="center"/>
        </w:trPr>
        <w:tc>
          <w:tcPr>
            <w:tcW w:w="1680" w:type="dxa"/>
            <w:hideMark/>
          </w:tcPr>
          <w:p w14:paraId="484BDD95" w14:textId="77777777" w:rsidR="00BF098E" w:rsidRPr="00BF098E" w:rsidRDefault="00BF098E" w:rsidP="00C84D38">
            <w:pPr>
              <w:jc w:val="right"/>
              <w:rPr>
                <w:rFonts w:ascii="Times New Roman" w:hAnsi="Times New Roman" w:cs="Times New Roman"/>
                <w:i/>
                <w:iCs/>
                <w:color w:val="000000"/>
                <w:sz w:val="20"/>
                <w:szCs w:val="20"/>
              </w:rPr>
            </w:pPr>
            <w:r w:rsidRPr="00BF098E">
              <w:rPr>
                <w:rFonts w:ascii="Times New Roman" w:hAnsi="Times New Roman" w:cs="Times New Roman"/>
                <w:i/>
                <w:iCs/>
                <w:color w:val="000000"/>
                <w:sz w:val="20"/>
                <w:szCs w:val="20"/>
              </w:rPr>
              <w:t xml:space="preserve"> НДС (импорт)</w:t>
            </w:r>
          </w:p>
        </w:tc>
        <w:tc>
          <w:tcPr>
            <w:tcW w:w="851" w:type="dxa"/>
            <w:noWrap/>
            <w:vAlign w:val="bottom"/>
            <w:hideMark/>
          </w:tcPr>
          <w:p w14:paraId="218074DF"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2,6</w:t>
            </w:r>
          </w:p>
        </w:tc>
        <w:tc>
          <w:tcPr>
            <w:tcW w:w="927" w:type="dxa"/>
            <w:noWrap/>
            <w:vAlign w:val="bottom"/>
            <w:hideMark/>
          </w:tcPr>
          <w:p w14:paraId="58105D63"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2,6</w:t>
            </w:r>
          </w:p>
        </w:tc>
        <w:tc>
          <w:tcPr>
            <w:tcW w:w="1134" w:type="dxa"/>
            <w:noWrap/>
            <w:vAlign w:val="bottom"/>
            <w:hideMark/>
          </w:tcPr>
          <w:p w14:paraId="06DB78A8"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2,7</w:t>
            </w:r>
          </w:p>
        </w:tc>
        <w:tc>
          <w:tcPr>
            <w:tcW w:w="851" w:type="dxa"/>
            <w:noWrap/>
            <w:vAlign w:val="bottom"/>
            <w:hideMark/>
          </w:tcPr>
          <w:p w14:paraId="2CB088C5"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2,7</w:t>
            </w:r>
          </w:p>
        </w:tc>
        <w:tc>
          <w:tcPr>
            <w:tcW w:w="992" w:type="dxa"/>
            <w:noWrap/>
            <w:vAlign w:val="bottom"/>
            <w:hideMark/>
          </w:tcPr>
          <w:p w14:paraId="0B7BA8D7"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14,1</w:t>
            </w:r>
          </w:p>
        </w:tc>
        <w:tc>
          <w:tcPr>
            <w:tcW w:w="866" w:type="dxa"/>
            <w:noWrap/>
            <w:vAlign w:val="bottom"/>
            <w:hideMark/>
          </w:tcPr>
          <w:p w14:paraId="2208E738"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14,6</w:t>
            </w:r>
          </w:p>
        </w:tc>
        <w:tc>
          <w:tcPr>
            <w:tcW w:w="992" w:type="dxa"/>
            <w:noWrap/>
            <w:vAlign w:val="bottom"/>
            <w:hideMark/>
          </w:tcPr>
          <w:p w14:paraId="4A9B2224"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15,1</w:t>
            </w:r>
          </w:p>
        </w:tc>
        <w:tc>
          <w:tcPr>
            <w:tcW w:w="866" w:type="dxa"/>
            <w:noWrap/>
            <w:vAlign w:val="bottom"/>
            <w:hideMark/>
          </w:tcPr>
          <w:p w14:paraId="3C798DE7" w14:textId="77777777" w:rsidR="00BF098E" w:rsidRPr="00BF098E" w:rsidRDefault="00BF098E" w:rsidP="00C84D38">
            <w:pPr>
              <w:jc w:val="center"/>
              <w:rPr>
                <w:rFonts w:ascii="Times New Roman" w:hAnsi="Times New Roman" w:cs="Times New Roman"/>
                <w:i/>
                <w:color w:val="000000"/>
                <w:sz w:val="20"/>
                <w:szCs w:val="20"/>
              </w:rPr>
            </w:pPr>
            <w:r w:rsidRPr="00BF098E">
              <w:rPr>
                <w:rFonts w:ascii="Times New Roman" w:hAnsi="Times New Roman" w:cs="Times New Roman"/>
                <w:i/>
                <w:color w:val="000000"/>
                <w:sz w:val="20"/>
                <w:szCs w:val="20"/>
              </w:rPr>
              <w:t>15,7</w:t>
            </w:r>
          </w:p>
        </w:tc>
      </w:tr>
      <w:tr w:rsidR="00BF098E" w:rsidRPr="00BF098E" w14:paraId="1713E99A" w14:textId="77777777" w:rsidTr="00BF098E">
        <w:trPr>
          <w:trHeight w:val="315"/>
          <w:jc w:val="center"/>
        </w:trPr>
        <w:tc>
          <w:tcPr>
            <w:tcW w:w="1680" w:type="dxa"/>
            <w:noWrap/>
            <w:hideMark/>
          </w:tcPr>
          <w:p w14:paraId="73194E75" w14:textId="77777777" w:rsidR="00BF098E" w:rsidRPr="00BF098E" w:rsidRDefault="00BF098E" w:rsidP="00C84D38">
            <w:pPr>
              <w:jc w:val="both"/>
              <w:rPr>
                <w:rFonts w:ascii="Times New Roman" w:hAnsi="Times New Roman" w:cs="Times New Roman"/>
                <w:color w:val="000000"/>
                <w:sz w:val="20"/>
                <w:szCs w:val="20"/>
              </w:rPr>
            </w:pPr>
            <w:r w:rsidRPr="00BF098E">
              <w:rPr>
                <w:rFonts w:ascii="Times New Roman" w:hAnsi="Times New Roman" w:cs="Times New Roman"/>
                <w:color w:val="000000"/>
                <w:sz w:val="20"/>
                <w:szCs w:val="20"/>
              </w:rPr>
              <w:t xml:space="preserve">   Налог на прибыль</w:t>
            </w:r>
          </w:p>
        </w:tc>
        <w:tc>
          <w:tcPr>
            <w:tcW w:w="851" w:type="dxa"/>
            <w:noWrap/>
            <w:vAlign w:val="bottom"/>
            <w:hideMark/>
          </w:tcPr>
          <w:p w14:paraId="2CE3C263"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1,1</w:t>
            </w:r>
          </w:p>
        </w:tc>
        <w:tc>
          <w:tcPr>
            <w:tcW w:w="927" w:type="dxa"/>
            <w:noWrap/>
            <w:vAlign w:val="bottom"/>
            <w:hideMark/>
          </w:tcPr>
          <w:p w14:paraId="38A50863"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1,1</w:t>
            </w:r>
          </w:p>
        </w:tc>
        <w:tc>
          <w:tcPr>
            <w:tcW w:w="1134" w:type="dxa"/>
            <w:noWrap/>
            <w:vAlign w:val="bottom"/>
            <w:hideMark/>
          </w:tcPr>
          <w:p w14:paraId="2E3F8F30"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1,0</w:t>
            </w:r>
          </w:p>
        </w:tc>
        <w:tc>
          <w:tcPr>
            <w:tcW w:w="851" w:type="dxa"/>
            <w:noWrap/>
            <w:vAlign w:val="bottom"/>
            <w:hideMark/>
          </w:tcPr>
          <w:p w14:paraId="5764FA61"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1,0</w:t>
            </w:r>
          </w:p>
        </w:tc>
        <w:tc>
          <w:tcPr>
            <w:tcW w:w="992" w:type="dxa"/>
            <w:noWrap/>
            <w:vAlign w:val="bottom"/>
            <w:hideMark/>
          </w:tcPr>
          <w:p w14:paraId="57E64230"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5,9</w:t>
            </w:r>
          </w:p>
        </w:tc>
        <w:tc>
          <w:tcPr>
            <w:tcW w:w="866" w:type="dxa"/>
            <w:noWrap/>
            <w:vAlign w:val="bottom"/>
            <w:hideMark/>
          </w:tcPr>
          <w:p w14:paraId="37861B4E"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5,9</w:t>
            </w:r>
          </w:p>
        </w:tc>
        <w:tc>
          <w:tcPr>
            <w:tcW w:w="992" w:type="dxa"/>
            <w:noWrap/>
            <w:vAlign w:val="bottom"/>
            <w:hideMark/>
          </w:tcPr>
          <w:p w14:paraId="2ED26072"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5,8</w:t>
            </w:r>
          </w:p>
        </w:tc>
        <w:tc>
          <w:tcPr>
            <w:tcW w:w="866" w:type="dxa"/>
            <w:noWrap/>
            <w:vAlign w:val="bottom"/>
            <w:hideMark/>
          </w:tcPr>
          <w:p w14:paraId="57CAB879"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5,9</w:t>
            </w:r>
          </w:p>
        </w:tc>
      </w:tr>
      <w:tr w:rsidR="00BF098E" w:rsidRPr="00BF098E" w14:paraId="2F313CF9" w14:textId="77777777" w:rsidTr="00BF098E">
        <w:trPr>
          <w:trHeight w:val="315"/>
          <w:jc w:val="center"/>
        </w:trPr>
        <w:tc>
          <w:tcPr>
            <w:tcW w:w="1680" w:type="dxa"/>
            <w:hideMark/>
          </w:tcPr>
          <w:p w14:paraId="71F58525" w14:textId="77777777" w:rsidR="00BF098E" w:rsidRPr="00BF098E" w:rsidRDefault="00BF098E" w:rsidP="00C84D38">
            <w:pPr>
              <w:jc w:val="both"/>
              <w:rPr>
                <w:rFonts w:ascii="Times New Roman" w:hAnsi="Times New Roman" w:cs="Times New Roman"/>
                <w:color w:val="000000"/>
                <w:sz w:val="20"/>
                <w:szCs w:val="20"/>
              </w:rPr>
            </w:pPr>
            <w:r w:rsidRPr="00BF098E">
              <w:rPr>
                <w:rFonts w:ascii="Times New Roman" w:hAnsi="Times New Roman" w:cs="Times New Roman"/>
                <w:color w:val="000000"/>
                <w:sz w:val="20"/>
                <w:szCs w:val="20"/>
              </w:rPr>
              <w:t xml:space="preserve">   Импортные пошлины</w:t>
            </w:r>
          </w:p>
        </w:tc>
        <w:tc>
          <w:tcPr>
            <w:tcW w:w="851" w:type="dxa"/>
            <w:noWrap/>
            <w:vAlign w:val="bottom"/>
            <w:hideMark/>
          </w:tcPr>
          <w:p w14:paraId="7301D23A"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0,6</w:t>
            </w:r>
          </w:p>
        </w:tc>
        <w:tc>
          <w:tcPr>
            <w:tcW w:w="927" w:type="dxa"/>
            <w:noWrap/>
            <w:vAlign w:val="bottom"/>
            <w:hideMark/>
          </w:tcPr>
          <w:p w14:paraId="27EAE997"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0,6</w:t>
            </w:r>
          </w:p>
        </w:tc>
        <w:tc>
          <w:tcPr>
            <w:tcW w:w="1134" w:type="dxa"/>
            <w:noWrap/>
            <w:vAlign w:val="bottom"/>
            <w:hideMark/>
          </w:tcPr>
          <w:p w14:paraId="7A101CB2"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0,6</w:t>
            </w:r>
          </w:p>
        </w:tc>
        <w:tc>
          <w:tcPr>
            <w:tcW w:w="851" w:type="dxa"/>
            <w:noWrap/>
            <w:vAlign w:val="bottom"/>
            <w:hideMark/>
          </w:tcPr>
          <w:p w14:paraId="5729C682"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0,6</w:t>
            </w:r>
          </w:p>
        </w:tc>
        <w:tc>
          <w:tcPr>
            <w:tcW w:w="992" w:type="dxa"/>
            <w:noWrap/>
            <w:vAlign w:val="bottom"/>
            <w:hideMark/>
          </w:tcPr>
          <w:p w14:paraId="78B14E27"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3,4</w:t>
            </w:r>
          </w:p>
        </w:tc>
        <w:tc>
          <w:tcPr>
            <w:tcW w:w="866" w:type="dxa"/>
            <w:noWrap/>
            <w:vAlign w:val="bottom"/>
            <w:hideMark/>
          </w:tcPr>
          <w:p w14:paraId="451021B5"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3,2</w:t>
            </w:r>
          </w:p>
        </w:tc>
        <w:tc>
          <w:tcPr>
            <w:tcW w:w="992" w:type="dxa"/>
            <w:noWrap/>
            <w:vAlign w:val="bottom"/>
            <w:hideMark/>
          </w:tcPr>
          <w:p w14:paraId="16E9FA31"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3,3</w:t>
            </w:r>
          </w:p>
        </w:tc>
        <w:tc>
          <w:tcPr>
            <w:tcW w:w="866" w:type="dxa"/>
            <w:noWrap/>
            <w:vAlign w:val="bottom"/>
            <w:hideMark/>
          </w:tcPr>
          <w:p w14:paraId="292FF0AF"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3,4</w:t>
            </w:r>
          </w:p>
        </w:tc>
      </w:tr>
      <w:tr w:rsidR="00BF098E" w:rsidRPr="00BF098E" w14:paraId="79127C90" w14:textId="77777777" w:rsidTr="00BF098E">
        <w:trPr>
          <w:trHeight w:val="315"/>
          <w:jc w:val="center"/>
        </w:trPr>
        <w:tc>
          <w:tcPr>
            <w:tcW w:w="1680" w:type="dxa"/>
            <w:noWrap/>
            <w:hideMark/>
          </w:tcPr>
          <w:p w14:paraId="0EFCD64E" w14:textId="77777777" w:rsidR="00BF098E" w:rsidRPr="00BF098E" w:rsidRDefault="00BF098E" w:rsidP="00C84D38">
            <w:pPr>
              <w:jc w:val="both"/>
              <w:rPr>
                <w:rFonts w:ascii="Times New Roman" w:hAnsi="Times New Roman" w:cs="Times New Roman"/>
                <w:color w:val="000000"/>
                <w:sz w:val="20"/>
                <w:szCs w:val="20"/>
              </w:rPr>
            </w:pPr>
            <w:r w:rsidRPr="00BF098E">
              <w:rPr>
                <w:rFonts w:ascii="Times New Roman" w:hAnsi="Times New Roman" w:cs="Times New Roman"/>
                <w:color w:val="000000"/>
                <w:sz w:val="20"/>
                <w:szCs w:val="20"/>
              </w:rPr>
              <w:t xml:space="preserve">   Акцизы на импорт</w:t>
            </w:r>
          </w:p>
        </w:tc>
        <w:tc>
          <w:tcPr>
            <w:tcW w:w="851" w:type="dxa"/>
            <w:noWrap/>
            <w:vAlign w:val="bottom"/>
            <w:hideMark/>
          </w:tcPr>
          <w:p w14:paraId="14B62A82"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0,1</w:t>
            </w:r>
          </w:p>
        </w:tc>
        <w:tc>
          <w:tcPr>
            <w:tcW w:w="927" w:type="dxa"/>
            <w:noWrap/>
            <w:vAlign w:val="bottom"/>
            <w:hideMark/>
          </w:tcPr>
          <w:p w14:paraId="2B896B3C"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0,1</w:t>
            </w:r>
          </w:p>
        </w:tc>
        <w:tc>
          <w:tcPr>
            <w:tcW w:w="1134" w:type="dxa"/>
            <w:noWrap/>
            <w:vAlign w:val="bottom"/>
            <w:hideMark/>
          </w:tcPr>
          <w:p w14:paraId="51E3A481"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0,1</w:t>
            </w:r>
          </w:p>
        </w:tc>
        <w:tc>
          <w:tcPr>
            <w:tcW w:w="851" w:type="dxa"/>
            <w:noWrap/>
            <w:vAlign w:val="bottom"/>
            <w:hideMark/>
          </w:tcPr>
          <w:p w14:paraId="252ABC2F"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0,1</w:t>
            </w:r>
          </w:p>
        </w:tc>
        <w:tc>
          <w:tcPr>
            <w:tcW w:w="992" w:type="dxa"/>
            <w:noWrap/>
            <w:vAlign w:val="bottom"/>
            <w:hideMark/>
          </w:tcPr>
          <w:p w14:paraId="73823050"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0,5</w:t>
            </w:r>
          </w:p>
        </w:tc>
        <w:tc>
          <w:tcPr>
            <w:tcW w:w="866" w:type="dxa"/>
            <w:noWrap/>
            <w:vAlign w:val="bottom"/>
            <w:hideMark/>
          </w:tcPr>
          <w:p w14:paraId="648453B6"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0,6</w:t>
            </w:r>
          </w:p>
        </w:tc>
        <w:tc>
          <w:tcPr>
            <w:tcW w:w="992" w:type="dxa"/>
            <w:noWrap/>
            <w:vAlign w:val="bottom"/>
            <w:hideMark/>
          </w:tcPr>
          <w:p w14:paraId="438C67A0"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0,6</w:t>
            </w:r>
          </w:p>
        </w:tc>
        <w:tc>
          <w:tcPr>
            <w:tcW w:w="866" w:type="dxa"/>
            <w:noWrap/>
            <w:vAlign w:val="bottom"/>
            <w:hideMark/>
          </w:tcPr>
          <w:p w14:paraId="7C703E49"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0,6</w:t>
            </w:r>
          </w:p>
        </w:tc>
      </w:tr>
      <w:tr w:rsidR="00BF098E" w:rsidRPr="00BF098E" w14:paraId="769D6877" w14:textId="77777777" w:rsidTr="00BF098E">
        <w:trPr>
          <w:trHeight w:val="315"/>
          <w:jc w:val="center"/>
        </w:trPr>
        <w:tc>
          <w:tcPr>
            <w:tcW w:w="1680" w:type="dxa"/>
            <w:hideMark/>
          </w:tcPr>
          <w:p w14:paraId="55419EDE" w14:textId="77777777" w:rsidR="00BF098E" w:rsidRPr="00BF098E" w:rsidRDefault="00BF098E" w:rsidP="00C84D38">
            <w:pPr>
              <w:jc w:val="both"/>
              <w:rPr>
                <w:rFonts w:ascii="Times New Roman" w:hAnsi="Times New Roman" w:cs="Times New Roman"/>
                <w:color w:val="000000"/>
                <w:sz w:val="20"/>
                <w:szCs w:val="20"/>
              </w:rPr>
            </w:pPr>
            <w:r w:rsidRPr="00BF098E">
              <w:rPr>
                <w:rFonts w:ascii="Times New Roman" w:hAnsi="Times New Roman" w:cs="Times New Roman"/>
                <w:color w:val="000000"/>
                <w:sz w:val="20"/>
                <w:szCs w:val="20"/>
              </w:rPr>
              <w:t xml:space="preserve">   Акцизы (внутренние) </w:t>
            </w:r>
          </w:p>
        </w:tc>
        <w:tc>
          <w:tcPr>
            <w:tcW w:w="851" w:type="dxa"/>
            <w:noWrap/>
            <w:vAlign w:val="bottom"/>
            <w:hideMark/>
          </w:tcPr>
          <w:p w14:paraId="51787C8B"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0,9</w:t>
            </w:r>
          </w:p>
        </w:tc>
        <w:tc>
          <w:tcPr>
            <w:tcW w:w="927" w:type="dxa"/>
            <w:noWrap/>
            <w:vAlign w:val="bottom"/>
            <w:hideMark/>
          </w:tcPr>
          <w:p w14:paraId="164ECECB"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0,9</w:t>
            </w:r>
          </w:p>
        </w:tc>
        <w:tc>
          <w:tcPr>
            <w:tcW w:w="1134" w:type="dxa"/>
            <w:noWrap/>
            <w:vAlign w:val="bottom"/>
            <w:hideMark/>
          </w:tcPr>
          <w:p w14:paraId="6860039B"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0,8</w:t>
            </w:r>
          </w:p>
        </w:tc>
        <w:tc>
          <w:tcPr>
            <w:tcW w:w="851" w:type="dxa"/>
            <w:noWrap/>
            <w:vAlign w:val="bottom"/>
            <w:hideMark/>
          </w:tcPr>
          <w:p w14:paraId="4677448C"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0,7</w:t>
            </w:r>
          </w:p>
        </w:tc>
        <w:tc>
          <w:tcPr>
            <w:tcW w:w="992" w:type="dxa"/>
            <w:noWrap/>
            <w:vAlign w:val="bottom"/>
            <w:hideMark/>
          </w:tcPr>
          <w:p w14:paraId="688D96A2"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4,7</w:t>
            </w:r>
          </w:p>
        </w:tc>
        <w:tc>
          <w:tcPr>
            <w:tcW w:w="866" w:type="dxa"/>
            <w:noWrap/>
            <w:vAlign w:val="bottom"/>
            <w:hideMark/>
          </w:tcPr>
          <w:p w14:paraId="1AD8B4A6"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4,7</w:t>
            </w:r>
          </w:p>
        </w:tc>
        <w:tc>
          <w:tcPr>
            <w:tcW w:w="992" w:type="dxa"/>
            <w:noWrap/>
            <w:vAlign w:val="bottom"/>
            <w:hideMark/>
          </w:tcPr>
          <w:p w14:paraId="0696F815"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4,4</w:t>
            </w:r>
          </w:p>
        </w:tc>
        <w:tc>
          <w:tcPr>
            <w:tcW w:w="866" w:type="dxa"/>
            <w:noWrap/>
            <w:vAlign w:val="bottom"/>
            <w:hideMark/>
          </w:tcPr>
          <w:p w14:paraId="68B804CF"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4,1</w:t>
            </w:r>
          </w:p>
        </w:tc>
      </w:tr>
      <w:tr w:rsidR="00BF098E" w:rsidRPr="00BF098E" w14:paraId="48B5DF21" w14:textId="77777777" w:rsidTr="00BF098E">
        <w:trPr>
          <w:trHeight w:val="315"/>
          <w:jc w:val="center"/>
        </w:trPr>
        <w:tc>
          <w:tcPr>
            <w:tcW w:w="1680" w:type="dxa"/>
            <w:noWrap/>
            <w:hideMark/>
          </w:tcPr>
          <w:p w14:paraId="0FBD9352" w14:textId="77777777" w:rsidR="00BF098E" w:rsidRPr="00BF098E" w:rsidRDefault="00BF098E" w:rsidP="00C84D38">
            <w:pPr>
              <w:jc w:val="both"/>
              <w:rPr>
                <w:rFonts w:ascii="Times New Roman" w:hAnsi="Times New Roman" w:cs="Times New Roman"/>
                <w:color w:val="000000"/>
                <w:sz w:val="20"/>
                <w:szCs w:val="20"/>
              </w:rPr>
            </w:pPr>
            <w:r w:rsidRPr="00BF098E">
              <w:rPr>
                <w:rFonts w:ascii="Times New Roman" w:hAnsi="Times New Roman" w:cs="Times New Roman"/>
                <w:color w:val="000000"/>
                <w:sz w:val="20"/>
                <w:szCs w:val="20"/>
              </w:rPr>
              <w:t xml:space="preserve">   Прочие доходы</w:t>
            </w:r>
          </w:p>
        </w:tc>
        <w:tc>
          <w:tcPr>
            <w:tcW w:w="851" w:type="dxa"/>
            <w:noWrap/>
            <w:vAlign w:val="bottom"/>
            <w:hideMark/>
          </w:tcPr>
          <w:p w14:paraId="76C96E74"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2,0</w:t>
            </w:r>
          </w:p>
        </w:tc>
        <w:tc>
          <w:tcPr>
            <w:tcW w:w="927" w:type="dxa"/>
            <w:noWrap/>
            <w:vAlign w:val="bottom"/>
            <w:hideMark/>
          </w:tcPr>
          <w:p w14:paraId="289F44CA"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2,2</w:t>
            </w:r>
          </w:p>
        </w:tc>
        <w:tc>
          <w:tcPr>
            <w:tcW w:w="1134" w:type="dxa"/>
            <w:noWrap/>
            <w:vAlign w:val="bottom"/>
            <w:hideMark/>
          </w:tcPr>
          <w:p w14:paraId="011EBB8C"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2,1</w:t>
            </w:r>
          </w:p>
        </w:tc>
        <w:tc>
          <w:tcPr>
            <w:tcW w:w="851" w:type="dxa"/>
            <w:noWrap/>
            <w:vAlign w:val="bottom"/>
            <w:hideMark/>
          </w:tcPr>
          <w:p w14:paraId="130DAC40"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2,1</w:t>
            </w:r>
          </w:p>
        </w:tc>
        <w:tc>
          <w:tcPr>
            <w:tcW w:w="992" w:type="dxa"/>
            <w:noWrap/>
            <w:vAlign w:val="bottom"/>
            <w:hideMark/>
          </w:tcPr>
          <w:p w14:paraId="0E95C42F"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10,9</w:t>
            </w:r>
          </w:p>
        </w:tc>
        <w:tc>
          <w:tcPr>
            <w:tcW w:w="866" w:type="dxa"/>
            <w:noWrap/>
            <w:vAlign w:val="bottom"/>
            <w:hideMark/>
          </w:tcPr>
          <w:p w14:paraId="2293EF25"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12,1</w:t>
            </w:r>
          </w:p>
        </w:tc>
        <w:tc>
          <w:tcPr>
            <w:tcW w:w="992" w:type="dxa"/>
            <w:noWrap/>
            <w:vAlign w:val="bottom"/>
            <w:hideMark/>
          </w:tcPr>
          <w:p w14:paraId="204A12C8"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12,0</w:t>
            </w:r>
          </w:p>
        </w:tc>
        <w:tc>
          <w:tcPr>
            <w:tcW w:w="866" w:type="dxa"/>
            <w:noWrap/>
            <w:vAlign w:val="bottom"/>
            <w:hideMark/>
          </w:tcPr>
          <w:p w14:paraId="54BF448E" w14:textId="77777777" w:rsidR="00BF098E" w:rsidRPr="00BF098E" w:rsidRDefault="00BF098E" w:rsidP="00C84D38">
            <w:pPr>
              <w:jc w:val="center"/>
              <w:rPr>
                <w:rFonts w:ascii="Times New Roman" w:hAnsi="Times New Roman" w:cs="Times New Roman"/>
                <w:iCs/>
                <w:color w:val="000000"/>
                <w:sz w:val="20"/>
                <w:szCs w:val="20"/>
              </w:rPr>
            </w:pPr>
            <w:r w:rsidRPr="00BF098E">
              <w:rPr>
                <w:rFonts w:ascii="Times New Roman" w:hAnsi="Times New Roman" w:cs="Times New Roman"/>
                <w:iCs/>
                <w:color w:val="000000"/>
                <w:sz w:val="20"/>
                <w:szCs w:val="20"/>
              </w:rPr>
              <w:t>12,0</w:t>
            </w:r>
          </w:p>
        </w:tc>
      </w:tr>
    </w:tbl>
    <w:p w14:paraId="043DC790" w14:textId="77777777" w:rsidR="00BF098E" w:rsidRPr="00EC4546" w:rsidRDefault="00BF098E" w:rsidP="00BF098E">
      <w:pPr>
        <w:pStyle w:val="af0"/>
        <w:spacing w:before="0"/>
        <w:ind w:firstLine="709"/>
        <w:rPr>
          <w:rFonts w:eastAsia="Calibri"/>
          <w:sz w:val="20"/>
          <w:lang w:eastAsia="en-US"/>
        </w:rPr>
      </w:pPr>
      <w:r w:rsidRPr="00EC4546">
        <w:rPr>
          <w:i/>
          <w:sz w:val="20"/>
        </w:rPr>
        <w:t>Источник:</w:t>
      </w:r>
      <w:r w:rsidRPr="00EC4546">
        <w:rPr>
          <w:sz w:val="20"/>
        </w:rPr>
        <w:t xml:space="preserve"> Пояснительная записка к проекту федерального закона «О федеральном бюджете на 20</w:t>
      </w:r>
      <w:r w:rsidRPr="00324FB4">
        <w:rPr>
          <w:sz w:val="20"/>
        </w:rPr>
        <w:t xml:space="preserve">20 </w:t>
      </w:r>
      <w:r w:rsidRPr="00EC4546">
        <w:rPr>
          <w:sz w:val="20"/>
        </w:rPr>
        <w:t>год и на плановый период 20</w:t>
      </w:r>
      <w:r w:rsidRPr="00324FB4">
        <w:rPr>
          <w:sz w:val="20"/>
        </w:rPr>
        <w:t>21</w:t>
      </w:r>
      <w:r w:rsidRPr="00EC4546">
        <w:rPr>
          <w:sz w:val="20"/>
        </w:rPr>
        <w:t xml:space="preserve"> и 202</w:t>
      </w:r>
      <w:r w:rsidRPr="00324FB4">
        <w:rPr>
          <w:sz w:val="20"/>
        </w:rPr>
        <w:t>2</w:t>
      </w:r>
      <w:r w:rsidRPr="00EC4546">
        <w:rPr>
          <w:sz w:val="20"/>
        </w:rPr>
        <w:t xml:space="preserve"> годов», расчеты авторов.</w:t>
      </w:r>
    </w:p>
    <w:p w14:paraId="511D993B" w14:textId="77777777" w:rsidR="00BF098E" w:rsidRPr="008E6B24" w:rsidRDefault="00BF098E" w:rsidP="00BF098E">
      <w:pPr>
        <w:spacing w:after="60"/>
        <w:ind w:firstLine="709"/>
        <w:jc w:val="both"/>
      </w:pPr>
      <w:r w:rsidRPr="008E6B24">
        <w:t>В 20</w:t>
      </w:r>
      <w:r w:rsidRPr="00825C8C">
        <w:t>20</w:t>
      </w:r>
      <w:r w:rsidRPr="008E6B24">
        <w:t>-202</w:t>
      </w:r>
      <w:r w:rsidRPr="00825C8C">
        <w:t>2</w:t>
      </w:r>
      <w:r w:rsidRPr="008E6B24">
        <w:t xml:space="preserve"> гг. предполагается сокращение объема нефтегазовых доходов к уровню 201</w:t>
      </w:r>
      <w:r w:rsidRPr="00825C8C">
        <w:t>9</w:t>
      </w:r>
      <w:r>
        <w:t xml:space="preserve"> г.</w:t>
      </w:r>
      <w:r w:rsidRPr="008E6B24">
        <w:t xml:space="preserve"> за счет прогнозируемого снижения мировых цен на нефть. Это и </w:t>
      </w:r>
      <w:r>
        <w:t>является</w:t>
      </w:r>
      <w:r w:rsidRPr="008E6B24">
        <w:t xml:space="preserve"> основным фактором снижения общего уровня доходов федерального бюджета.</w:t>
      </w:r>
    </w:p>
    <w:p w14:paraId="778C55EE" w14:textId="77777777" w:rsidR="00BF098E" w:rsidRDefault="00BF098E" w:rsidP="00BF098E">
      <w:pPr>
        <w:spacing w:after="60"/>
        <w:ind w:firstLine="709"/>
        <w:jc w:val="both"/>
      </w:pPr>
      <w:r w:rsidRPr="008E6B24">
        <w:t xml:space="preserve">Поступления от основного источника ненефтегазовых доходов – НДС – </w:t>
      </w:r>
      <w:r>
        <w:t>по прогнозу</w:t>
      </w:r>
      <w:r w:rsidRPr="008E6B24">
        <w:t xml:space="preserve"> </w:t>
      </w:r>
      <w:r>
        <w:t>будут расти в связи с повышением основной ставки НДС с 18% до 20%</w:t>
      </w:r>
      <w:r w:rsidRPr="00825C8C">
        <w:t xml:space="preserve"> </w:t>
      </w:r>
      <w:r>
        <w:t>и улучшением качества налогового администрирования.</w:t>
      </w:r>
    </w:p>
    <w:p w14:paraId="5DC98212" w14:textId="77777777" w:rsidR="00BF098E" w:rsidRPr="008E6B24" w:rsidRDefault="00BF098E" w:rsidP="00BF098E">
      <w:pPr>
        <w:spacing w:after="60"/>
        <w:ind w:firstLine="709"/>
        <w:jc w:val="both"/>
      </w:pPr>
      <w:r w:rsidRPr="008E6B24">
        <w:t xml:space="preserve">Доходы от налога на прибыль, «импортных» пошлин и акцизов </w:t>
      </w:r>
      <w:r>
        <w:t xml:space="preserve">на импортные товары </w:t>
      </w:r>
      <w:r w:rsidRPr="008E6B24">
        <w:t>в целом прогнозируются в долях ВВП для всего периода 20</w:t>
      </w:r>
      <w:r>
        <w:t>20</w:t>
      </w:r>
      <w:r w:rsidRPr="008E6B24">
        <w:t>-202</w:t>
      </w:r>
      <w:r>
        <w:t>2</w:t>
      </w:r>
      <w:r w:rsidRPr="008E6B24">
        <w:t xml:space="preserve"> гг.</w:t>
      </w:r>
      <w:r>
        <w:t>, в рамках традиционно используемой Минфином методики расчёта,</w:t>
      </w:r>
      <w:r w:rsidRPr="008E6B24">
        <w:t xml:space="preserve"> на уровне 201</w:t>
      </w:r>
      <w:r>
        <w:t>9</w:t>
      </w:r>
      <w:r w:rsidRPr="008E6B24">
        <w:t xml:space="preserve"> г.</w:t>
      </w:r>
      <w:r>
        <w:t xml:space="preserve"> В то же время динамика поступлений акцизов с внутреннего производства будет уступать росту экономики. </w:t>
      </w:r>
    </w:p>
    <w:p w14:paraId="7EE22989" w14:textId="7BA70869" w:rsidR="00BF098E" w:rsidRPr="00EC4546" w:rsidRDefault="00BF098E" w:rsidP="00BF098E">
      <w:pPr>
        <w:spacing w:before="120" w:after="60"/>
        <w:ind w:firstLine="709"/>
        <w:jc w:val="both"/>
        <w:rPr>
          <w:rFonts w:eastAsia="Calibri"/>
          <w:i/>
          <w:lang w:eastAsia="en-US"/>
        </w:rPr>
      </w:pPr>
      <w:r w:rsidRPr="00EC4546">
        <w:rPr>
          <w:rFonts w:eastAsia="Calibri"/>
          <w:i/>
          <w:lang w:eastAsia="en-US"/>
        </w:rPr>
        <w:t>Налог на прибыль организаций</w:t>
      </w:r>
    </w:p>
    <w:p w14:paraId="52EE13CB" w14:textId="601833A9" w:rsidR="00870548" w:rsidRPr="008C5B19" w:rsidRDefault="00870548" w:rsidP="00DC4E99">
      <w:pPr>
        <w:spacing w:after="60"/>
        <w:ind w:firstLine="709"/>
        <w:jc w:val="both"/>
      </w:pPr>
      <w:r w:rsidRPr="008C5B19">
        <w:t xml:space="preserve">Прогноз доходов федерального бюджета на 2020-2022 гг. основан на базовом сценарии социально-экономического развития РФ, построенном в предположении о продлении санкционного режима и продолжении замедления мировой экономики, а </w:t>
      </w:r>
      <w:r w:rsidRPr="008C5B19">
        <w:lastRenderedPageBreak/>
        <w:t>также сохранении политики Центрального банка по сдерживанию инфляции в течение прогнозного периода.</w:t>
      </w:r>
    </w:p>
    <w:p w14:paraId="127A2C83" w14:textId="1716241D" w:rsidR="00870548" w:rsidRPr="008C5B19" w:rsidRDefault="00870548" w:rsidP="00DF020C">
      <w:pPr>
        <w:spacing w:after="60"/>
        <w:ind w:firstLine="709"/>
        <w:jc w:val="both"/>
      </w:pPr>
      <w:r w:rsidRPr="008C5B19">
        <w:t xml:space="preserve">Исходя из этого сценария, </w:t>
      </w:r>
      <w:r w:rsidR="00DF020C">
        <w:t>законопроект</w:t>
      </w:r>
      <w:r w:rsidRPr="008C5B19">
        <w:t xml:space="preserve"> прогнозирует поступления налога на прибыль организаций в </w:t>
      </w:r>
      <w:r w:rsidR="00DF020C">
        <w:t>ф</w:t>
      </w:r>
      <w:r w:rsidRPr="008C5B19">
        <w:t>едеральный бюджет в 2020 г. – в размере 1</w:t>
      </w:r>
      <w:r w:rsidR="009E168F">
        <w:t xml:space="preserve"> </w:t>
      </w:r>
      <w:r w:rsidRPr="008C5B19">
        <w:t>210,3 млрд руб. (1,07% ВВП), в 2021 г. – 1</w:t>
      </w:r>
      <w:r w:rsidR="009E168F">
        <w:t xml:space="preserve"> </w:t>
      </w:r>
      <w:r w:rsidRPr="008C5B19">
        <w:t>241,2 млрд руб. (1,03% ВВП), в 2022 г. – 1305,7 млрд руб. (1,02% ВВП). Размер поступлений налога на прибыль относительно ВВП постепенно снижается по сравнению с 2019 г. (по предварительной оценке – 1</w:t>
      </w:r>
      <w:r w:rsidR="009E168F">
        <w:t xml:space="preserve"> </w:t>
      </w:r>
      <w:r w:rsidRPr="008C5B19">
        <w:t>182,2 млрд руб., 1,09% ВВП), но остаётся заметно выше, чем в 2017-2018 гг.</w:t>
      </w:r>
    </w:p>
    <w:p w14:paraId="740A684A" w14:textId="16147B01" w:rsidR="00870548" w:rsidRPr="008C5B19" w:rsidRDefault="00870548" w:rsidP="00DF020C">
      <w:pPr>
        <w:spacing w:after="60"/>
        <w:ind w:firstLine="709"/>
        <w:jc w:val="both"/>
      </w:pPr>
      <w:r w:rsidRPr="008C5B19">
        <w:t>Произошедшее повышение объясняется ростом налоговой базы, обусловленной как относительно благоприятной макроэкономической конъюнктурой (увеличение доли прибыли в ВВП и доли прибыльных предприятий), так и налоговыми мерами (ограничение на перенос убытков). По причине ограниченного влияния указанных факторов дальнейший рост налога на прибыль относительно ВВП маловероятен. Поскольку не планируется значительных изменений устройства налога (в частности, сохраняется норматив зачисления налога на прибыль в федеральный бюджет в размере 3%), увеличение поступлений ожидается, прежде всего, вследствие роста номинального ВВП. В связи с возможным снижением мировых цен на нефть, прогнозируется снижение поступлений доходов при выполнении соглашения о разделе продукции – всего на 38,6 млрд руб. (0,03% ВВП)</w:t>
      </w:r>
      <w:r w:rsidR="00DF020C">
        <w:t>.</w:t>
      </w:r>
    </w:p>
    <w:p w14:paraId="4E4FE2C2" w14:textId="3C6BDE5B" w:rsidR="00870548" w:rsidRPr="008C5B19" w:rsidRDefault="00870548" w:rsidP="00DF020C">
      <w:pPr>
        <w:spacing w:after="60"/>
        <w:ind w:firstLine="709"/>
        <w:jc w:val="both"/>
      </w:pPr>
      <w:r w:rsidRPr="008C5B19">
        <w:t>По нашим оценкам, при условии выполнения основных предпосылок макроэкономического прогноза, поступления налога на прибыль в федеральный бюджет вероятно окажутся немного выше оценки для 2019 г. и прогноза для 2020 г., составив 1</w:t>
      </w:r>
      <w:r w:rsidR="009E168F">
        <w:t xml:space="preserve"> </w:t>
      </w:r>
      <w:r w:rsidRPr="008C5B19">
        <w:t>207 млрд руб. по итогам 2019 г. и 1</w:t>
      </w:r>
      <w:r w:rsidR="009E168F">
        <w:t xml:space="preserve"> </w:t>
      </w:r>
      <w:r w:rsidRPr="008C5B19">
        <w:t>256 млрд руб. в 2020 г. (1,11% ВВП). В последующие годы также ожидается более умеренное снижение поступлений относительно ВВП: в 2021 г. – 1</w:t>
      </w:r>
      <w:r w:rsidR="009E168F">
        <w:t xml:space="preserve"> </w:t>
      </w:r>
      <w:r w:rsidRPr="008C5B19">
        <w:t>241,2 млрд руб. (1,09% ВВП), в 2022 г. – 1</w:t>
      </w:r>
      <w:r w:rsidR="009E168F">
        <w:t xml:space="preserve"> </w:t>
      </w:r>
      <w:r w:rsidRPr="008C5B19">
        <w:t>305,7 млрд руб. (1,08% ВВП).</w:t>
      </w:r>
    </w:p>
    <w:p w14:paraId="453734A8" w14:textId="77777777" w:rsidR="00DC4E99" w:rsidRPr="008E6B24" w:rsidRDefault="00DC4E99" w:rsidP="00DC4E99">
      <w:pPr>
        <w:spacing w:before="120" w:after="60"/>
        <w:ind w:firstLine="709"/>
        <w:jc w:val="both"/>
        <w:rPr>
          <w:rFonts w:eastAsia="Calibri"/>
          <w:i/>
          <w:lang w:eastAsia="en-US"/>
        </w:rPr>
      </w:pPr>
      <w:r w:rsidRPr="008E6B24">
        <w:rPr>
          <w:rFonts w:eastAsia="Calibri"/>
          <w:i/>
          <w:lang w:eastAsia="en-US"/>
        </w:rPr>
        <w:t>Налог на добавленную стоимость</w:t>
      </w:r>
    </w:p>
    <w:p w14:paraId="69BAFA53" w14:textId="166F531A" w:rsidR="00870548" w:rsidRDefault="00870548" w:rsidP="00DC4E99">
      <w:pPr>
        <w:spacing w:after="60"/>
        <w:ind w:firstLine="709"/>
        <w:jc w:val="both"/>
      </w:pPr>
      <w:r w:rsidRPr="00CA6118">
        <w:t>Прогноз доходов бюджета от НДС на период 2019 – 202</w:t>
      </w:r>
      <w:r w:rsidR="00EA264C">
        <w:t>2</w:t>
      </w:r>
      <w:r w:rsidRPr="00CA6118">
        <w:t xml:space="preserve"> гг. представляется </w:t>
      </w:r>
      <w:r>
        <w:t>адекватным и лишь немного (на 3-4%) превышает прогнозы ИЭП</w:t>
      </w:r>
      <w:r w:rsidR="00EA264C">
        <w:t>/</w:t>
      </w:r>
      <w:r w:rsidR="00DF020C">
        <w:t>РАНХиГС (</w:t>
      </w:r>
      <w:r w:rsidR="00DF020C" w:rsidRPr="00C84D38">
        <w:rPr>
          <w:i/>
        </w:rPr>
        <w:t>таблица</w:t>
      </w:r>
      <w:r w:rsidR="003A7722" w:rsidRPr="00C84D38">
        <w:rPr>
          <w:i/>
        </w:rPr>
        <w:t xml:space="preserve"> </w:t>
      </w:r>
      <w:r w:rsidR="00C84D38" w:rsidRPr="00C84D38">
        <w:rPr>
          <w:i/>
          <w:noProof/>
        </w:rPr>
        <w:t>4</w:t>
      </w:r>
      <w:r w:rsidR="00DF020C">
        <w:t>)</w:t>
      </w:r>
      <w:r w:rsidRPr="00CA6118">
        <w:t xml:space="preserve">. </w:t>
      </w:r>
    </w:p>
    <w:p w14:paraId="452237CA" w14:textId="16843468" w:rsidR="00870548" w:rsidRPr="000F4809" w:rsidRDefault="00870548" w:rsidP="00DF020C">
      <w:pPr>
        <w:spacing w:after="60"/>
        <w:ind w:firstLine="709"/>
        <w:jc w:val="both"/>
      </w:pPr>
      <w:r>
        <w:t xml:space="preserve">В 2018 году существенно вырос уровень собираемости, что стало очередным результатом процесса совершенствования автоматизации администрирования, осуществляемого на протяжении последних лет. Так, если в 2015 году коэффициент </w:t>
      </w:r>
      <w:r>
        <w:rPr>
          <w:lang w:val="en-US"/>
        </w:rPr>
        <w:t>C</w:t>
      </w:r>
      <w:r w:rsidRPr="00CE3574">
        <w:t>-</w:t>
      </w:r>
      <w:r>
        <w:rPr>
          <w:lang w:val="en-US"/>
        </w:rPr>
        <w:t>efficiency</w:t>
      </w:r>
      <w:r>
        <w:t xml:space="preserve"> (собираемости) составлял 43,4%, то в 2018 – уже 53%</w:t>
      </w:r>
      <w:r w:rsidRPr="00CE3574">
        <w:t xml:space="preserve">, </w:t>
      </w:r>
      <w:r>
        <w:t xml:space="preserve">а скорректированный с учетом льготной ставки коэффициент </w:t>
      </w:r>
      <w:r>
        <w:rPr>
          <w:lang w:val="en-US"/>
        </w:rPr>
        <w:t>C</w:t>
      </w:r>
      <w:r w:rsidRPr="00CE3574">
        <w:t>-</w:t>
      </w:r>
      <w:r>
        <w:rPr>
          <w:lang w:val="en-US"/>
        </w:rPr>
        <w:t>efficiency</w:t>
      </w:r>
      <w:r>
        <w:t xml:space="preserve"> за этот период вырос почти на 10 п.п.: с 45,7% в 2015 году до 55</w:t>
      </w:r>
      <w:r w:rsidR="00DF020C">
        <w:t>,</w:t>
      </w:r>
      <w:r>
        <w:t>4% в 2018 году. Однако можно ожидать, что основной эффект от автоматизации уже достигнут, поэтому было бы слишком оптимистично рассчитывать на высокие темпы роста собираемости и дал</w:t>
      </w:r>
      <w:r w:rsidR="00BF3C2F">
        <w:t>ьше</w:t>
      </w:r>
      <w:r>
        <w:t xml:space="preserve">. </w:t>
      </w:r>
    </w:p>
    <w:p w14:paraId="5A1C5815" w14:textId="60D86A25" w:rsidR="00870548" w:rsidRPr="003A7722" w:rsidRDefault="00870548" w:rsidP="003A7722">
      <w:pPr>
        <w:pStyle w:val="aff8"/>
      </w:pPr>
      <w:r w:rsidRPr="003A7722">
        <w:t>Таблица</w:t>
      </w:r>
      <w:r w:rsidR="00DF020C">
        <w:rPr>
          <w:i w:val="0"/>
        </w:rPr>
        <w:t xml:space="preserve"> </w:t>
      </w:r>
      <w:bookmarkStart w:id="9" w:name="_Ref21339410"/>
      <w:r w:rsidR="00C84D38">
        <w:rPr>
          <w:noProof/>
        </w:rPr>
        <w:t>4</w:t>
      </w:r>
      <w:bookmarkEnd w:id="9"/>
    </w:p>
    <w:p w14:paraId="4CC320F7" w14:textId="3E435B61" w:rsidR="00870548" w:rsidRPr="003A7722" w:rsidRDefault="00870548" w:rsidP="003A7722">
      <w:pPr>
        <w:spacing w:line="360" w:lineRule="auto"/>
        <w:jc w:val="center"/>
        <w:rPr>
          <w:b/>
        </w:rPr>
      </w:pPr>
      <w:r w:rsidRPr="003A7722">
        <w:rPr>
          <w:b/>
        </w:rPr>
        <w:t>Сопоставление прогнозов поступления НДС</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062"/>
        <w:gridCol w:w="1052"/>
        <w:gridCol w:w="1052"/>
        <w:gridCol w:w="1052"/>
        <w:gridCol w:w="1052"/>
      </w:tblGrid>
      <w:tr w:rsidR="00870548" w:rsidRPr="00870548" w14:paraId="3ADDAF7E" w14:textId="77777777" w:rsidTr="00BF098E">
        <w:trPr>
          <w:trHeight w:val="300"/>
          <w:tblHeader/>
          <w:jc w:val="center"/>
        </w:trPr>
        <w:tc>
          <w:tcPr>
            <w:tcW w:w="4073" w:type="dxa"/>
            <w:shd w:val="clear" w:color="auto" w:fill="auto"/>
            <w:noWrap/>
            <w:vAlign w:val="bottom"/>
            <w:hideMark/>
          </w:tcPr>
          <w:p w14:paraId="6D6F85E7" w14:textId="77777777" w:rsidR="00870548" w:rsidRPr="00870548" w:rsidRDefault="00870548" w:rsidP="00870548">
            <w:pPr>
              <w:rPr>
                <w:color w:val="000000"/>
                <w:sz w:val="20"/>
                <w:szCs w:val="20"/>
              </w:rPr>
            </w:pPr>
          </w:p>
        </w:tc>
        <w:tc>
          <w:tcPr>
            <w:tcW w:w="1062" w:type="dxa"/>
            <w:shd w:val="clear" w:color="auto" w:fill="auto"/>
            <w:noWrap/>
            <w:vAlign w:val="center"/>
            <w:hideMark/>
          </w:tcPr>
          <w:p w14:paraId="6A70DCD6" w14:textId="7662C595" w:rsidR="00870548" w:rsidRPr="00870548" w:rsidRDefault="00870548" w:rsidP="00870548">
            <w:pPr>
              <w:jc w:val="center"/>
              <w:rPr>
                <w:b/>
                <w:bCs/>
                <w:sz w:val="20"/>
                <w:szCs w:val="20"/>
              </w:rPr>
            </w:pPr>
            <w:r w:rsidRPr="00870548">
              <w:rPr>
                <w:b/>
                <w:bCs/>
                <w:sz w:val="20"/>
                <w:szCs w:val="20"/>
              </w:rPr>
              <w:t>2018</w:t>
            </w:r>
            <w:r>
              <w:rPr>
                <w:b/>
                <w:bCs/>
                <w:sz w:val="20"/>
                <w:szCs w:val="20"/>
              </w:rPr>
              <w:t xml:space="preserve"> г.</w:t>
            </w:r>
          </w:p>
          <w:p w14:paraId="06D4E991" w14:textId="77777777" w:rsidR="00870548" w:rsidRPr="00870548" w:rsidRDefault="00870548" w:rsidP="00870548">
            <w:pPr>
              <w:jc w:val="center"/>
              <w:rPr>
                <w:b/>
                <w:bCs/>
                <w:sz w:val="20"/>
                <w:szCs w:val="20"/>
              </w:rPr>
            </w:pPr>
            <w:r w:rsidRPr="00870548">
              <w:rPr>
                <w:b/>
                <w:bCs/>
                <w:sz w:val="20"/>
                <w:szCs w:val="20"/>
              </w:rPr>
              <w:t>(факт)</w:t>
            </w:r>
          </w:p>
        </w:tc>
        <w:tc>
          <w:tcPr>
            <w:tcW w:w="1052" w:type="dxa"/>
            <w:shd w:val="clear" w:color="auto" w:fill="auto"/>
            <w:noWrap/>
            <w:vAlign w:val="center"/>
            <w:hideMark/>
          </w:tcPr>
          <w:p w14:paraId="311121C4" w14:textId="3E6C8973" w:rsidR="00870548" w:rsidRPr="00870548" w:rsidRDefault="00870548" w:rsidP="00870548">
            <w:pPr>
              <w:jc w:val="center"/>
              <w:rPr>
                <w:b/>
                <w:bCs/>
                <w:sz w:val="20"/>
                <w:szCs w:val="20"/>
              </w:rPr>
            </w:pPr>
            <w:r w:rsidRPr="00870548">
              <w:rPr>
                <w:b/>
                <w:bCs/>
                <w:sz w:val="20"/>
                <w:szCs w:val="20"/>
              </w:rPr>
              <w:t>2019</w:t>
            </w:r>
            <w:r>
              <w:rPr>
                <w:b/>
                <w:bCs/>
                <w:sz w:val="20"/>
                <w:szCs w:val="20"/>
              </w:rPr>
              <w:t xml:space="preserve"> г.</w:t>
            </w:r>
          </w:p>
        </w:tc>
        <w:tc>
          <w:tcPr>
            <w:tcW w:w="1052" w:type="dxa"/>
            <w:shd w:val="clear" w:color="auto" w:fill="auto"/>
            <w:noWrap/>
            <w:vAlign w:val="center"/>
            <w:hideMark/>
          </w:tcPr>
          <w:p w14:paraId="7949179E" w14:textId="2DD4004D" w:rsidR="00870548" w:rsidRPr="00870548" w:rsidRDefault="00870548" w:rsidP="00870548">
            <w:pPr>
              <w:jc w:val="center"/>
              <w:rPr>
                <w:b/>
                <w:bCs/>
                <w:sz w:val="20"/>
                <w:szCs w:val="20"/>
              </w:rPr>
            </w:pPr>
            <w:r w:rsidRPr="00870548">
              <w:rPr>
                <w:b/>
                <w:bCs/>
                <w:sz w:val="20"/>
                <w:szCs w:val="20"/>
              </w:rPr>
              <w:t>2020</w:t>
            </w:r>
            <w:r>
              <w:rPr>
                <w:b/>
                <w:bCs/>
                <w:sz w:val="20"/>
                <w:szCs w:val="20"/>
              </w:rPr>
              <w:t xml:space="preserve"> г.</w:t>
            </w:r>
          </w:p>
        </w:tc>
        <w:tc>
          <w:tcPr>
            <w:tcW w:w="1052" w:type="dxa"/>
            <w:shd w:val="clear" w:color="auto" w:fill="auto"/>
            <w:noWrap/>
            <w:vAlign w:val="center"/>
            <w:hideMark/>
          </w:tcPr>
          <w:p w14:paraId="041C0A2E" w14:textId="00C806CD" w:rsidR="00870548" w:rsidRPr="00870548" w:rsidRDefault="00870548" w:rsidP="00870548">
            <w:pPr>
              <w:jc w:val="center"/>
              <w:rPr>
                <w:b/>
                <w:bCs/>
                <w:sz w:val="20"/>
                <w:szCs w:val="20"/>
              </w:rPr>
            </w:pPr>
            <w:r w:rsidRPr="00870548">
              <w:rPr>
                <w:b/>
                <w:bCs/>
                <w:sz w:val="20"/>
                <w:szCs w:val="20"/>
              </w:rPr>
              <w:t>2021</w:t>
            </w:r>
            <w:r>
              <w:rPr>
                <w:b/>
                <w:bCs/>
                <w:sz w:val="20"/>
                <w:szCs w:val="20"/>
              </w:rPr>
              <w:t xml:space="preserve"> г.</w:t>
            </w:r>
          </w:p>
        </w:tc>
        <w:tc>
          <w:tcPr>
            <w:tcW w:w="1052" w:type="dxa"/>
            <w:shd w:val="clear" w:color="auto" w:fill="auto"/>
            <w:noWrap/>
            <w:vAlign w:val="center"/>
            <w:hideMark/>
          </w:tcPr>
          <w:p w14:paraId="42BF2AE7" w14:textId="1E653856" w:rsidR="00870548" w:rsidRPr="00870548" w:rsidRDefault="00870548" w:rsidP="00870548">
            <w:pPr>
              <w:jc w:val="center"/>
              <w:rPr>
                <w:b/>
                <w:bCs/>
                <w:sz w:val="20"/>
                <w:szCs w:val="20"/>
              </w:rPr>
            </w:pPr>
            <w:r w:rsidRPr="00870548">
              <w:rPr>
                <w:b/>
                <w:bCs/>
                <w:sz w:val="20"/>
                <w:szCs w:val="20"/>
              </w:rPr>
              <w:t>2022</w:t>
            </w:r>
            <w:r>
              <w:rPr>
                <w:b/>
                <w:bCs/>
                <w:sz w:val="20"/>
                <w:szCs w:val="20"/>
              </w:rPr>
              <w:t xml:space="preserve"> г.</w:t>
            </w:r>
          </w:p>
        </w:tc>
      </w:tr>
      <w:tr w:rsidR="00870548" w:rsidRPr="00870548" w14:paraId="620FBDDA" w14:textId="77777777" w:rsidTr="00870548">
        <w:trPr>
          <w:trHeight w:val="300"/>
          <w:jc w:val="center"/>
        </w:trPr>
        <w:tc>
          <w:tcPr>
            <w:tcW w:w="4073" w:type="dxa"/>
            <w:shd w:val="clear" w:color="auto" w:fill="auto"/>
            <w:noWrap/>
            <w:vAlign w:val="center"/>
            <w:hideMark/>
          </w:tcPr>
          <w:p w14:paraId="65A24ADD" w14:textId="391568F0" w:rsidR="00870548" w:rsidRPr="00870548" w:rsidRDefault="00870548" w:rsidP="00870548">
            <w:pPr>
              <w:rPr>
                <w:sz w:val="20"/>
                <w:szCs w:val="20"/>
              </w:rPr>
            </w:pPr>
            <w:r w:rsidRPr="00870548">
              <w:rPr>
                <w:sz w:val="20"/>
                <w:szCs w:val="20"/>
              </w:rPr>
              <w:t>ВВП (законопроект), млрд</w:t>
            </w:r>
            <w:r>
              <w:rPr>
                <w:sz w:val="20"/>
                <w:szCs w:val="20"/>
              </w:rPr>
              <w:t xml:space="preserve"> </w:t>
            </w:r>
            <w:r w:rsidRPr="00870548">
              <w:rPr>
                <w:sz w:val="20"/>
                <w:szCs w:val="20"/>
              </w:rPr>
              <w:t>руб.</w:t>
            </w:r>
          </w:p>
        </w:tc>
        <w:tc>
          <w:tcPr>
            <w:tcW w:w="1062" w:type="dxa"/>
            <w:shd w:val="clear" w:color="auto" w:fill="auto"/>
            <w:noWrap/>
            <w:vAlign w:val="center"/>
            <w:hideMark/>
          </w:tcPr>
          <w:p w14:paraId="1E1EF52D" w14:textId="21F865A3" w:rsidR="00870548" w:rsidRPr="00870548" w:rsidRDefault="00870548" w:rsidP="00870548">
            <w:pPr>
              <w:jc w:val="center"/>
              <w:rPr>
                <w:sz w:val="20"/>
                <w:szCs w:val="20"/>
              </w:rPr>
            </w:pPr>
            <w:r w:rsidRPr="00870548">
              <w:rPr>
                <w:sz w:val="20"/>
                <w:szCs w:val="20"/>
              </w:rPr>
              <w:t>103</w:t>
            </w:r>
            <w:r w:rsidR="009E168F">
              <w:rPr>
                <w:sz w:val="20"/>
                <w:szCs w:val="20"/>
              </w:rPr>
              <w:t xml:space="preserve"> </w:t>
            </w:r>
            <w:r w:rsidRPr="00870548">
              <w:rPr>
                <w:sz w:val="20"/>
                <w:szCs w:val="20"/>
              </w:rPr>
              <w:t>876</w:t>
            </w:r>
          </w:p>
        </w:tc>
        <w:tc>
          <w:tcPr>
            <w:tcW w:w="1052" w:type="dxa"/>
            <w:shd w:val="clear" w:color="auto" w:fill="auto"/>
            <w:noWrap/>
            <w:vAlign w:val="center"/>
            <w:hideMark/>
          </w:tcPr>
          <w:p w14:paraId="24B0809D" w14:textId="3C22EA37" w:rsidR="00870548" w:rsidRPr="00870548" w:rsidRDefault="00870548" w:rsidP="00870548">
            <w:pPr>
              <w:jc w:val="center"/>
              <w:rPr>
                <w:sz w:val="20"/>
                <w:szCs w:val="20"/>
              </w:rPr>
            </w:pPr>
            <w:r w:rsidRPr="00870548">
              <w:rPr>
                <w:sz w:val="20"/>
                <w:szCs w:val="20"/>
              </w:rPr>
              <w:t>108</w:t>
            </w:r>
            <w:r w:rsidR="009E168F">
              <w:rPr>
                <w:sz w:val="20"/>
                <w:szCs w:val="20"/>
              </w:rPr>
              <w:t xml:space="preserve"> </w:t>
            </w:r>
            <w:r w:rsidRPr="00870548">
              <w:rPr>
                <w:sz w:val="20"/>
                <w:szCs w:val="20"/>
              </w:rPr>
              <w:t>414</w:t>
            </w:r>
          </w:p>
        </w:tc>
        <w:tc>
          <w:tcPr>
            <w:tcW w:w="1052" w:type="dxa"/>
            <w:shd w:val="clear" w:color="auto" w:fill="auto"/>
            <w:noWrap/>
            <w:vAlign w:val="center"/>
            <w:hideMark/>
          </w:tcPr>
          <w:p w14:paraId="2242C288" w14:textId="77E9A0BF" w:rsidR="00870548" w:rsidRPr="00870548" w:rsidRDefault="00870548" w:rsidP="00870548">
            <w:pPr>
              <w:jc w:val="center"/>
              <w:rPr>
                <w:sz w:val="20"/>
                <w:szCs w:val="20"/>
              </w:rPr>
            </w:pPr>
            <w:r w:rsidRPr="00870548">
              <w:rPr>
                <w:sz w:val="20"/>
                <w:szCs w:val="20"/>
              </w:rPr>
              <w:t>112</w:t>
            </w:r>
            <w:r w:rsidR="009E168F">
              <w:rPr>
                <w:sz w:val="20"/>
                <w:szCs w:val="20"/>
              </w:rPr>
              <w:t xml:space="preserve"> </w:t>
            </w:r>
            <w:r w:rsidRPr="00870548">
              <w:rPr>
                <w:sz w:val="20"/>
                <w:szCs w:val="20"/>
              </w:rPr>
              <w:t>863</w:t>
            </w:r>
          </w:p>
        </w:tc>
        <w:tc>
          <w:tcPr>
            <w:tcW w:w="1052" w:type="dxa"/>
            <w:shd w:val="clear" w:color="auto" w:fill="auto"/>
            <w:noWrap/>
            <w:vAlign w:val="center"/>
            <w:hideMark/>
          </w:tcPr>
          <w:p w14:paraId="762D976C" w14:textId="24A9D487" w:rsidR="00870548" w:rsidRPr="00870548" w:rsidRDefault="00870548" w:rsidP="00870548">
            <w:pPr>
              <w:jc w:val="center"/>
              <w:rPr>
                <w:sz w:val="20"/>
                <w:szCs w:val="20"/>
              </w:rPr>
            </w:pPr>
            <w:r w:rsidRPr="00870548">
              <w:rPr>
                <w:sz w:val="20"/>
                <w:szCs w:val="20"/>
              </w:rPr>
              <w:t>120</w:t>
            </w:r>
            <w:r w:rsidR="009E168F">
              <w:rPr>
                <w:sz w:val="20"/>
                <w:szCs w:val="20"/>
              </w:rPr>
              <w:t xml:space="preserve"> </w:t>
            </w:r>
            <w:r w:rsidRPr="00870548">
              <w:rPr>
                <w:sz w:val="20"/>
                <w:szCs w:val="20"/>
              </w:rPr>
              <w:t>364</w:t>
            </w:r>
          </w:p>
        </w:tc>
        <w:tc>
          <w:tcPr>
            <w:tcW w:w="1052" w:type="dxa"/>
            <w:shd w:val="clear" w:color="auto" w:fill="auto"/>
            <w:noWrap/>
            <w:vAlign w:val="center"/>
            <w:hideMark/>
          </w:tcPr>
          <w:p w14:paraId="4E16F708" w14:textId="3D70A626" w:rsidR="00870548" w:rsidRPr="00870548" w:rsidRDefault="00870548" w:rsidP="00870548">
            <w:pPr>
              <w:jc w:val="center"/>
              <w:rPr>
                <w:sz w:val="20"/>
                <w:szCs w:val="20"/>
              </w:rPr>
            </w:pPr>
            <w:r w:rsidRPr="00870548">
              <w:rPr>
                <w:sz w:val="20"/>
                <w:szCs w:val="20"/>
              </w:rPr>
              <w:t>128</w:t>
            </w:r>
            <w:r w:rsidR="009E168F">
              <w:rPr>
                <w:sz w:val="20"/>
                <w:szCs w:val="20"/>
              </w:rPr>
              <w:t xml:space="preserve"> </w:t>
            </w:r>
            <w:r w:rsidRPr="00870548">
              <w:rPr>
                <w:sz w:val="20"/>
                <w:szCs w:val="20"/>
              </w:rPr>
              <w:t>508</w:t>
            </w:r>
          </w:p>
        </w:tc>
      </w:tr>
      <w:tr w:rsidR="00870548" w:rsidRPr="00870548" w14:paraId="7490C11D" w14:textId="77777777" w:rsidTr="00870548">
        <w:trPr>
          <w:trHeight w:val="300"/>
          <w:jc w:val="center"/>
        </w:trPr>
        <w:tc>
          <w:tcPr>
            <w:tcW w:w="4073" w:type="dxa"/>
            <w:shd w:val="clear" w:color="auto" w:fill="auto"/>
            <w:noWrap/>
            <w:vAlign w:val="center"/>
            <w:hideMark/>
          </w:tcPr>
          <w:p w14:paraId="10F34D22" w14:textId="05678AB8" w:rsidR="00870548" w:rsidRPr="00870548" w:rsidRDefault="00870548" w:rsidP="00DC4E99">
            <w:pPr>
              <w:rPr>
                <w:sz w:val="20"/>
                <w:szCs w:val="20"/>
              </w:rPr>
            </w:pPr>
            <w:r w:rsidRPr="00870548">
              <w:rPr>
                <w:sz w:val="20"/>
                <w:szCs w:val="20"/>
              </w:rPr>
              <w:t>Курс доллара (</w:t>
            </w:r>
            <w:r>
              <w:rPr>
                <w:sz w:val="20"/>
                <w:szCs w:val="20"/>
              </w:rPr>
              <w:t>МЭР</w:t>
            </w:r>
            <w:r w:rsidRPr="00870548">
              <w:rPr>
                <w:sz w:val="20"/>
                <w:szCs w:val="20"/>
              </w:rPr>
              <w:t>)</w:t>
            </w:r>
            <w:r>
              <w:rPr>
                <w:sz w:val="20"/>
                <w:szCs w:val="20"/>
              </w:rPr>
              <w:t>, руб.</w:t>
            </w:r>
          </w:p>
        </w:tc>
        <w:tc>
          <w:tcPr>
            <w:tcW w:w="1062" w:type="dxa"/>
            <w:shd w:val="clear" w:color="auto" w:fill="auto"/>
            <w:noWrap/>
            <w:vAlign w:val="center"/>
            <w:hideMark/>
          </w:tcPr>
          <w:p w14:paraId="60E2CB45" w14:textId="77777777" w:rsidR="00870548" w:rsidRPr="00870548" w:rsidRDefault="00870548" w:rsidP="00870548">
            <w:pPr>
              <w:jc w:val="center"/>
              <w:rPr>
                <w:sz w:val="20"/>
                <w:szCs w:val="20"/>
              </w:rPr>
            </w:pPr>
            <w:r w:rsidRPr="00870548">
              <w:rPr>
                <w:sz w:val="20"/>
                <w:szCs w:val="20"/>
              </w:rPr>
              <w:t>62,5</w:t>
            </w:r>
          </w:p>
        </w:tc>
        <w:tc>
          <w:tcPr>
            <w:tcW w:w="1052" w:type="dxa"/>
            <w:shd w:val="clear" w:color="auto" w:fill="auto"/>
            <w:noWrap/>
            <w:vAlign w:val="center"/>
            <w:hideMark/>
          </w:tcPr>
          <w:p w14:paraId="779CFF90" w14:textId="77777777" w:rsidR="00870548" w:rsidRPr="00870548" w:rsidRDefault="00870548" w:rsidP="00870548">
            <w:pPr>
              <w:jc w:val="center"/>
              <w:rPr>
                <w:sz w:val="20"/>
                <w:szCs w:val="20"/>
              </w:rPr>
            </w:pPr>
            <w:r w:rsidRPr="00870548">
              <w:rPr>
                <w:sz w:val="20"/>
                <w:szCs w:val="20"/>
              </w:rPr>
              <w:t>65,4</w:t>
            </w:r>
          </w:p>
        </w:tc>
        <w:tc>
          <w:tcPr>
            <w:tcW w:w="1052" w:type="dxa"/>
            <w:shd w:val="clear" w:color="auto" w:fill="auto"/>
            <w:noWrap/>
            <w:vAlign w:val="center"/>
            <w:hideMark/>
          </w:tcPr>
          <w:p w14:paraId="5D052DEC" w14:textId="77777777" w:rsidR="00870548" w:rsidRPr="00870548" w:rsidRDefault="00870548" w:rsidP="00870548">
            <w:pPr>
              <w:jc w:val="center"/>
              <w:rPr>
                <w:sz w:val="20"/>
                <w:szCs w:val="20"/>
              </w:rPr>
            </w:pPr>
            <w:r w:rsidRPr="00870548">
              <w:rPr>
                <w:sz w:val="20"/>
                <w:szCs w:val="20"/>
              </w:rPr>
              <w:t>65,7</w:t>
            </w:r>
          </w:p>
        </w:tc>
        <w:tc>
          <w:tcPr>
            <w:tcW w:w="1052" w:type="dxa"/>
            <w:shd w:val="clear" w:color="auto" w:fill="auto"/>
            <w:noWrap/>
            <w:vAlign w:val="center"/>
            <w:hideMark/>
          </w:tcPr>
          <w:p w14:paraId="2ABFA541" w14:textId="77777777" w:rsidR="00870548" w:rsidRPr="00870548" w:rsidRDefault="00870548" w:rsidP="00870548">
            <w:pPr>
              <w:jc w:val="center"/>
              <w:rPr>
                <w:sz w:val="20"/>
                <w:szCs w:val="20"/>
              </w:rPr>
            </w:pPr>
            <w:r w:rsidRPr="00870548">
              <w:rPr>
                <w:sz w:val="20"/>
                <w:szCs w:val="20"/>
              </w:rPr>
              <w:t>66,1</w:t>
            </w:r>
          </w:p>
        </w:tc>
        <w:tc>
          <w:tcPr>
            <w:tcW w:w="1052" w:type="dxa"/>
            <w:shd w:val="clear" w:color="auto" w:fill="auto"/>
            <w:noWrap/>
            <w:vAlign w:val="center"/>
            <w:hideMark/>
          </w:tcPr>
          <w:p w14:paraId="15338562" w14:textId="77777777" w:rsidR="00870548" w:rsidRPr="00870548" w:rsidRDefault="00870548" w:rsidP="00870548">
            <w:pPr>
              <w:jc w:val="center"/>
              <w:rPr>
                <w:sz w:val="20"/>
                <w:szCs w:val="20"/>
              </w:rPr>
            </w:pPr>
            <w:r w:rsidRPr="00870548">
              <w:rPr>
                <w:sz w:val="20"/>
                <w:szCs w:val="20"/>
              </w:rPr>
              <w:t>66,5</w:t>
            </w:r>
          </w:p>
        </w:tc>
      </w:tr>
      <w:tr w:rsidR="00870548" w:rsidRPr="00870548" w14:paraId="5AAC5EE8" w14:textId="77777777" w:rsidTr="00870548">
        <w:trPr>
          <w:trHeight w:val="300"/>
          <w:jc w:val="center"/>
        </w:trPr>
        <w:tc>
          <w:tcPr>
            <w:tcW w:w="4073" w:type="dxa"/>
            <w:shd w:val="clear" w:color="auto" w:fill="auto"/>
            <w:noWrap/>
            <w:vAlign w:val="center"/>
            <w:hideMark/>
          </w:tcPr>
          <w:p w14:paraId="704D5E6F" w14:textId="18D5DD42" w:rsidR="00870548" w:rsidRPr="00870548" w:rsidRDefault="00870548" w:rsidP="00DC4E99">
            <w:pPr>
              <w:rPr>
                <w:sz w:val="20"/>
                <w:szCs w:val="20"/>
              </w:rPr>
            </w:pPr>
            <w:r w:rsidRPr="00870548">
              <w:rPr>
                <w:sz w:val="20"/>
                <w:szCs w:val="20"/>
              </w:rPr>
              <w:t>Импорт (</w:t>
            </w:r>
            <w:r>
              <w:rPr>
                <w:sz w:val="20"/>
                <w:szCs w:val="20"/>
              </w:rPr>
              <w:t>МЭР</w:t>
            </w:r>
            <w:r w:rsidRPr="00870548">
              <w:rPr>
                <w:sz w:val="20"/>
                <w:szCs w:val="20"/>
              </w:rPr>
              <w:t>), млрд долл.</w:t>
            </w:r>
          </w:p>
        </w:tc>
        <w:tc>
          <w:tcPr>
            <w:tcW w:w="1062" w:type="dxa"/>
            <w:shd w:val="clear" w:color="auto" w:fill="auto"/>
            <w:noWrap/>
            <w:vAlign w:val="center"/>
            <w:hideMark/>
          </w:tcPr>
          <w:p w14:paraId="632CAD8D" w14:textId="77777777" w:rsidR="00870548" w:rsidRPr="00870548" w:rsidRDefault="00870548" w:rsidP="00870548">
            <w:pPr>
              <w:jc w:val="center"/>
              <w:rPr>
                <w:sz w:val="20"/>
                <w:szCs w:val="20"/>
              </w:rPr>
            </w:pPr>
            <w:r w:rsidRPr="00870548">
              <w:rPr>
                <w:sz w:val="20"/>
                <w:szCs w:val="20"/>
              </w:rPr>
              <w:t>240,5 *</w:t>
            </w:r>
          </w:p>
        </w:tc>
        <w:tc>
          <w:tcPr>
            <w:tcW w:w="1052" w:type="dxa"/>
            <w:shd w:val="clear" w:color="auto" w:fill="auto"/>
            <w:noWrap/>
            <w:vAlign w:val="center"/>
            <w:hideMark/>
          </w:tcPr>
          <w:p w14:paraId="440AE359" w14:textId="77777777" w:rsidR="00870548" w:rsidRPr="00870548" w:rsidRDefault="00870548" w:rsidP="00870548">
            <w:pPr>
              <w:jc w:val="center"/>
              <w:rPr>
                <w:sz w:val="20"/>
                <w:szCs w:val="20"/>
              </w:rPr>
            </w:pPr>
            <w:r w:rsidRPr="00870548">
              <w:rPr>
                <w:sz w:val="20"/>
                <w:szCs w:val="20"/>
              </w:rPr>
              <w:t>247,7</w:t>
            </w:r>
          </w:p>
        </w:tc>
        <w:tc>
          <w:tcPr>
            <w:tcW w:w="1052" w:type="dxa"/>
            <w:shd w:val="clear" w:color="auto" w:fill="auto"/>
            <w:noWrap/>
            <w:vAlign w:val="center"/>
            <w:hideMark/>
          </w:tcPr>
          <w:p w14:paraId="70C0A119" w14:textId="77777777" w:rsidR="00870548" w:rsidRPr="00870548" w:rsidRDefault="00870548" w:rsidP="00870548">
            <w:pPr>
              <w:jc w:val="center"/>
              <w:rPr>
                <w:sz w:val="20"/>
                <w:szCs w:val="20"/>
              </w:rPr>
            </w:pPr>
            <w:r w:rsidRPr="00870548">
              <w:rPr>
                <w:sz w:val="20"/>
                <w:szCs w:val="20"/>
              </w:rPr>
              <w:t>259,2</w:t>
            </w:r>
          </w:p>
        </w:tc>
        <w:tc>
          <w:tcPr>
            <w:tcW w:w="1052" w:type="dxa"/>
            <w:shd w:val="clear" w:color="auto" w:fill="auto"/>
            <w:noWrap/>
            <w:vAlign w:val="center"/>
            <w:hideMark/>
          </w:tcPr>
          <w:p w14:paraId="28F13F22" w14:textId="77777777" w:rsidR="00870548" w:rsidRPr="00870548" w:rsidRDefault="00870548" w:rsidP="00870548">
            <w:pPr>
              <w:jc w:val="center"/>
              <w:rPr>
                <w:sz w:val="20"/>
                <w:szCs w:val="20"/>
              </w:rPr>
            </w:pPr>
            <w:r w:rsidRPr="00870548">
              <w:rPr>
                <w:sz w:val="20"/>
                <w:szCs w:val="20"/>
              </w:rPr>
              <w:t>276,0</w:t>
            </w:r>
          </w:p>
        </w:tc>
        <w:tc>
          <w:tcPr>
            <w:tcW w:w="1052" w:type="dxa"/>
            <w:shd w:val="clear" w:color="auto" w:fill="auto"/>
            <w:noWrap/>
            <w:vAlign w:val="center"/>
            <w:hideMark/>
          </w:tcPr>
          <w:p w14:paraId="4A0FC95A" w14:textId="77777777" w:rsidR="00870548" w:rsidRPr="00870548" w:rsidRDefault="00870548" w:rsidP="00870548">
            <w:pPr>
              <w:jc w:val="center"/>
              <w:rPr>
                <w:sz w:val="20"/>
                <w:szCs w:val="20"/>
              </w:rPr>
            </w:pPr>
            <w:r w:rsidRPr="00870548">
              <w:rPr>
                <w:sz w:val="20"/>
                <w:szCs w:val="20"/>
              </w:rPr>
              <w:t>296,0</w:t>
            </w:r>
          </w:p>
        </w:tc>
      </w:tr>
      <w:tr w:rsidR="00870548" w:rsidRPr="00870548" w14:paraId="21542D86" w14:textId="77777777" w:rsidTr="00870548">
        <w:trPr>
          <w:trHeight w:val="300"/>
          <w:jc w:val="center"/>
        </w:trPr>
        <w:tc>
          <w:tcPr>
            <w:tcW w:w="9343" w:type="dxa"/>
            <w:gridSpan w:val="6"/>
            <w:shd w:val="clear" w:color="auto" w:fill="auto"/>
            <w:noWrap/>
            <w:vAlign w:val="center"/>
            <w:hideMark/>
          </w:tcPr>
          <w:p w14:paraId="21C1C2A0" w14:textId="77777777" w:rsidR="00870548" w:rsidRPr="00870548" w:rsidRDefault="00870548" w:rsidP="00870548">
            <w:pPr>
              <w:jc w:val="right"/>
              <w:rPr>
                <w:i/>
                <w:sz w:val="20"/>
                <w:szCs w:val="20"/>
              </w:rPr>
            </w:pPr>
            <w:r w:rsidRPr="00870548">
              <w:rPr>
                <w:i/>
                <w:sz w:val="20"/>
                <w:szCs w:val="20"/>
              </w:rPr>
              <w:t>* Данные таможенной статистики</w:t>
            </w:r>
          </w:p>
        </w:tc>
      </w:tr>
      <w:tr w:rsidR="00870548" w:rsidRPr="00870548" w14:paraId="37C50427" w14:textId="77777777" w:rsidTr="00870548">
        <w:trPr>
          <w:trHeight w:val="300"/>
          <w:jc w:val="center"/>
        </w:trPr>
        <w:tc>
          <w:tcPr>
            <w:tcW w:w="9343" w:type="dxa"/>
            <w:gridSpan w:val="6"/>
            <w:shd w:val="clear" w:color="auto" w:fill="auto"/>
            <w:noWrap/>
            <w:vAlign w:val="center"/>
            <w:hideMark/>
          </w:tcPr>
          <w:p w14:paraId="35632667" w14:textId="5F95DA28" w:rsidR="00870548" w:rsidRPr="00870548" w:rsidRDefault="00870548" w:rsidP="003A7722">
            <w:pPr>
              <w:pStyle w:val="afc"/>
              <w:ind w:left="709" w:firstLine="0"/>
              <w:rPr>
                <w:b/>
                <w:sz w:val="20"/>
              </w:rPr>
            </w:pPr>
            <w:r w:rsidRPr="00870548">
              <w:rPr>
                <w:b/>
                <w:sz w:val="20"/>
              </w:rPr>
              <w:t xml:space="preserve">Прогноз ИЭП и </w:t>
            </w:r>
            <w:r w:rsidR="00DF020C" w:rsidRPr="00870548">
              <w:rPr>
                <w:b/>
                <w:sz w:val="20"/>
              </w:rPr>
              <w:t>РАНХ</w:t>
            </w:r>
            <w:r w:rsidR="00DF020C">
              <w:rPr>
                <w:b/>
                <w:sz w:val="20"/>
              </w:rPr>
              <w:t>и</w:t>
            </w:r>
            <w:r w:rsidR="00DF020C" w:rsidRPr="00870548">
              <w:rPr>
                <w:b/>
                <w:sz w:val="20"/>
              </w:rPr>
              <w:t>ГС</w:t>
            </w:r>
          </w:p>
        </w:tc>
      </w:tr>
      <w:tr w:rsidR="00870548" w:rsidRPr="00870548" w14:paraId="30F784A2" w14:textId="77777777" w:rsidTr="00870548">
        <w:trPr>
          <w:trHeight w:val="300"/>
          <w:jc w:val="center"/>
        </w:trPr>
        <w:tc>
          <w:tcPr>
            <w:tcW w:w="4073" w:type="dxa"/>
            <w:shd w:val="clear" w:color="auto" w:fill="auto"/>
            <w:noWrap/>
            <w:vAlign w:val="center"/>
            <w:hideMark/>
          </w:tcPr>
          <w:p w14:paraId="1C3D11A1" w14:textId="77777777" w:rsidR="00870548" w:rsidRPr="00870548" w:rsidRDefault="00870548" w:rsidP="00870548">
            <w:pPr>
              <w:rPr>
                <w:sz w:val="20"/>
                <w:szCs w:val="20"/>
              </w:rPr>
            </w:pPr>
            <w:r w:rsidRPr="00870548">
              <w:rPr>
                <w:sz w:val="20"/>
                <w:szCs w:val="20"/>
              </w:rPr>
              <w:t>Конечное потребление (% к ВВП)</w:t>
            </w:r>
          </w:p>
        </w:tc>
        <w:tc>
          <w:tcPr>
            <w:tcW w:w="1062" w:type="dxa"/>
            <w:shd w:val="clear" w:color="auto" w:fill="auto"/>
            <w:noWrap/>
            <w:vAlign w:val="center"/>
            <w:hideMark/>
          </w:tcPr>
          <w:p w14:paraId="6DDA0F93" w14:textId="77777777" w:rsidR="00870548" w:rsidRPr="00870548" w:rsidRDefault="00870548" w:rsidP="00870548">
            <w:pPr>
              <w:jc w:val="center"/>
              <w:rPr>
                <w:sz w:val="20"/>
                <w:szCs w:val="20"/>
              </w:rPr>
            </w:pPr>
            <w:r w:rsidRPr="00870548">
              <w:rPr>
                <w:sz w:val="20"/>
                <w:szCs w:val="20"/>
              </w:rPr>
              <w:t>66,7</w:t>
            </w:r>
          </w:p>
        </w:tc>
        <w:tc>
          <w:tcPr>
            <w:tcW w:w="1052" w:type="dxa"/>
            <w:shd w:val="clear" w:color="auto" w:fill="auto"/>
            <w:noWrap/>
            <w:vAlign w:val="center"/>
            <w:hideMark/>
          </w:tcPr>
          <w:p w14:paraId="61945C2F" w14:textId="77777777" w:rsidR="00870548" w:rsidRPr="00870548" w:rsidRDefault="00870548" w:rsidP="00870548">
            <w:pPr>
              <w:jc w:val="center"/>
              <w:rPr>
                <w:sz w:val="20"/>
                <w:szCs w:val="20"/>
              </w:rPr>
            </w:pPr>
            <w:r w:rsidRPr="00870548">
              <w:rPr>
                <w:sz w:val="20"/>
                <w:szCs w:val="20"/>
              </w:rPr>
              <w:t>67,6</w:t>
            </w:r>
          </w:p>
        </w:tc>
        <w:tc>
          <w:tcPr>
            <w:tcW w:w="1052" w:type="dxa"/>
            <w:shd w:val="clear" w:color="auto" w:fill="auto"/>
            <w:noWrap/>
            <w:vAlign w:val="center"/>
            <w:hideMark/>
          </w:tcPr>
          <w:p w14:paraId="13A15291" w14:textId="77777777" w:rsidR="00870548" w:rsidRPr="00870548" w:rsidRDefault="00870548" w:rsidP="00870548">
            <w:pPr>
              <w:jc w:val="center"/>
              <w:rPr>
                <w:sz w:val="20"/>
                <w:szCs w:val="20"/>
              </w:rPr>
            </w:pPr>
            <w:r w:rsidRPr="00870548">
              <w:rPr>
                <w:sz w:val="20"/>
                <w:szCs w:val="20"/>
              </w:rPr>
              <w:t>67,5</w:t>
            </w:r>
          </w:p>
        </w:tc>
        <w:tc>
          <w:tcPr>
            <w:tcW w:w="1052" w:type="dxa"/>
            <w:shd w:val="clear" w:color="auto" w:fill="auto"/>
            <w:noWrap/>
            <w:vAlign w:val="center"/>
            <w:hideMark/>
          </w:tcPr>
          <w:p w14:paraId="2EE92FD6" w14:textId="77777777" w:rsidR="00870548" w:rsidRPr="00870548" w:rsidRDefault="00870548" w:rsidP="00870548">
            <w:pPr>
              <w:jc w:val="center"/>
              <w:rPr>
                <w:sz w:val="20"/>
                <w:szCs w:val="20"/>
              </w:rPr>
            </w:pPr>
            <w:r w:rsidRPr="00870548">
              <w:rPr>
                <w:sz w:val="20"/>
                <w:szCs w:val="20"/>
              </w:rPr>
              <w:t>67,2</w:t>
            </w:r>
          </w:p>
        </w:tc>
        <w:tc>
          <w:tcPr>
            <w:tcW w:w="1052" w:type="dxa"/>
            <w:shd w:val="clear" w:color="auto" w:fill="auto"/>
            <w:noWrap/>
            <w:vAlign w:val="center"/>
            <w:hideMark/>
          </w:tcPr>
          <w:p w14:paraId="42DCF032" w14:textId="77777777" w:rsidR="00870548" w:rsidRPr="00870548" w:rsidRDefault="00870548" w:rsidP="00870548">
            <w:pPr>
              <w:jc w:val="center"/>
              <w:rPr>
                <w:sz w:val="20"/>
                <w:szCs w:val="20"/>
              </w:rPr>
            </w:pPr>
            <w:r w:rsidRPr="00870548">
              <w:rPr>
                <w:sz w:val="20"/>
                <w:szCs w:val="20"/>
              </w:rPr>
              <w:t>67,1</w:t>
            </w:r>
          </w:p>
        </w:tc>
      </w:tr>
      <w:tr w:rsidR="00870548" w:rsidRPr="00870548" w14:paraId="38F53EF3" w14:textId="77777777" w:rsidTr="00870548">
        <w:trPr>
          <w:trHeight w:val="300"/>
          <w:jc w:val="center"/>
        </w:trPr>
        <w:tc>
          <w:tcPr>
            <w:tcW w:w="4073" w:type="dxa"/>
            <w:shd w:val="clear" w:color="auto" w:fill="auto"/>
            <w:noWrap/>
            <w:vAlign w:val="center"/>
            <w:hideMark/>
          </w:tcPr>
          <w:p w14:paraId="22A805DB" w14:textId="12DF1EAE" w:rsidR="00870548" w:rsidRPr="00870548" w:rsidRDefault="00870548" w:rsidP="00870548">
            <w:pPr>
              <w:rPr>
                <w:sz w:val="20"/>
                <w:szCs w:val="20"/>
              </w:rPr>
            </w:pPr>
            <w:r w:rsidRPr="00870548">
              <w:rPr>
                <w:sz w:val="20"/>
                <w:szCs w:val="20"/>
              </w:rPr>
              <w:t>Прогноз внешнего НДС, млрд</w:t>
            </w:r>
            <w:r>
              <w:rPr>
                <w:sz w:val="20"/>
                <w:szCs w:val="20"/>
              </w:rPr>
              <w:t xml:space="preserve"> </w:t>
            </w:r>
            <w:r w:rsidRPr="00870548">
              <w:rPr>
                <w:sz w:val="20"/>
                <w:szCs w:val="20"/>
              </w:rPr>
              <w:t>руб.</w:t>
            </w:r>
          </w:p>
        </w:tc>
        <w:tc>
          <w:tcPr>
            <w:tcW w:w="1062" w:type="dxa"/>
            <w:shd w:val="clear" w:color="auto" w:fill="auto"/>
            <w:noWrap/>
            <w:vAlign w:val="center"/>
            <w:hideMark/>
          </w:tcPr>
          <w:p w14:paraId="22F57595" w14:textId="29196650" w:rsidR="00870548" w:rsidRPr="00870548" w:rsidRDefault="00870548" w:rsidP="00870548">
            <w:pPr>
              <w:jc w:val="center"/>
              <w:rPr>
                <w:sz w:val="20"/>
                <w:szCs w:val="20"/>
              </w:rPr>
            </w:pPr>
            <w:r w:rsidRPr="00870548">
              <w:rPr>
                <w:sz w:val="20"/>
                <w:szCs w:val="20"/>
              </w:rPr>
              <w:t>2</w:t>
            </w:r>
            <w:r w:rsidR="009E168F">
              <w:rPr>
                <w:sz w:val="20"/>
                <w:szCs w:val="20"/>
              </w:rPr>
              <w:t xml:space="preserve"> </w:t>
            </w:r>
            <w:r w:rsidRPr="00870548">
              <w:rPr>
                <w:sz w:val="20"/>
                <w:szCs w:val="20"/>
              </w:rPr>
              <w:t>442</w:t>
            </w:r>
          </w:p>
        </w:tc>
        <w:tc>
          <w:tcPr>
            <w:tcW w:w="1052" w:type="dxa"/>
            <w:shd w:val="clear" w:color="auto" w:fill="auto"/>
            <w:noWrap/>
            <w:vAlign w:val="center"/>
            <w:hideMark/>
          </w:tcPr>
          <w:p w14:paraId="3DAC927F" w14:textId="1BD69FE1" w:rsidR="00870548" w:rsidRPr="00870548" w:rsidRDefault="00870548" w:rsidP="00870548">
            <w:pPr>
              <w:jc w:val="center"/>
              <w:rPr>
                <w:sz w:val="20"/>
                <w:szCs w:val="20"/>
              </w:rPr>
            </w:pPr>
            <w:r w:rsidRPr="00870548">
              <w:rPr>
                <w:sz w:val="20"/>
                <w:szCs w:val="20"/>
              </w:rPr>
              <w:t>2</w:t>
            </w:r>
            <w:r w:rsidR="009E168F">
              <w:rPr>
                <w:sz w:val="20"/>
                <w:szCs w:val="20"/>
              </w:rPr>
              <w:t xml:space="preserve"> </w:t>
            </w:r>
            <w:r w:rsidRPr="00870548">
              <w:rPr>
                <w:sz w:val="20"/>
                <w:szCs w:val="20"/>
              </w:rPr>
              <w:t>793</w:t>
            </w:r>
          </w:p>
        </w:tc>
        <w:tc>
          <w:tcPr>
            <w:tcW w:w="1052" w:type="dxa"/>
            <w:shd w:val="clear" w:color="auto" w:fill="auto"/>
            <w:noWrap/>
            <w:vAlign w:val="center"/>
            <w:hideMark/>
          </w:tcPr>
          <w:p w14:paraId="207CE2E9" w14:textId="6F26811F" w:rsidR="00870548" w:rsidRPr="00870548" w:rsidRDefault="00870548" w:rsidP="00870548">
            <w:pPr>
              <w:jc w:val="center"/>
              <w:rPr>
                <w:sz w:val="20"/>
                <w:szCs w:val="20"/>
              </w:rPr>
            </w:pPr>
            <w:r w:rsidRPr="00870548">
              <w:rPr>
                <w:sz w:val="20"/>
                <w:szCs w:val="20"/>
              </w:rPr>
              <w:t>2</w:t>
            </w:r>
            <w:r w:rsidR="009E168F">
              <w:rPr>
                <w:sz w:val="20"/>
                <w:szCs w:val="20"/>
              </w:rPr>
              <w:t xml:space="preserve"> </w:t>
            </w:r>
            <w:r w:rsidRPr="00870548">
              <w:rPr>
                <w:sz w:val="20"/>
                <w:szCs w:val="20"/>
              </w:rPr>
              <w:t>936</w:t>
            </w:r>
          </w:p>
        </w:tc>
        <w:tc>
          <w:tcPr>
            <w:tcW w:w="1052" w:type="dxa"/>
            <w:shd w:val="clear" w:color="auto" w:fill="auto"/>
            <w:noWrap/>
            <w:vAlign w:val="center"/>
            <w:hideMark/>
          </w:tcPr>
          <w:p w14:paraId="7219D723" w14:textId="7A756B9E" w:rsidR="00870548" w:rsidRPr="00870548" w:rsidRDefault="00870548" w:rsidP="00870548">
            <w:pPr>
              <w:jc w:val="center"/>
              <w:rPr>
                <w:sz w:val="20"/>
                <w:szCs w:val="20"/>
              </w:rPr>
            </w:pPr>
            <w:r w:rsidRPr="00870548">
              <w:rPr>
                <w:sz w:val="20"/>
                <w:szCs w:val="20"/>
              </w:rPr>
              <w:t>3</w:t>
            </w:r>
            <w:r w:rsidR="009E168F">
              <w:rPr>
                <w:sz w:val="20"/>
                <w:szCs w:val="20"/>
              </w:rPr>
              <w:t xml:space="preserve"> </w:t>
            </w:r>
            <w:r w:rsidRPr="00870548">
              <w:rPr>
                <w:sz w:val="20"/>
                <w:szCs w:val="20"/>
              </w:rPr>
              <w:t>146</w:t>
            </w:r>
          </w:p>
        </w:tc>
        <w:tc>
          <w:tcPr>
            <w:tcW w:w="1052" w:type="dxa"/>
            <w:shd w:val="clear" w:color="auto" w:fill="auto"/>
            <w:noWrap/>
            <w:vAlign w:val="center"/>
            <w:hideMark/>
          </w:tcPr>
          <w:p w14:paraId="645F5964" w14:textId="6E06E455" w:rsidR="00870548" w:rsidRPr="00870548" w:rsidRDefault="00870548" w:rsidP="00870548">
            <w:pPr>
              <w:jc w:val="center"/>
              <w:rPr>
                <w:sz w:val="20"/>
                <w:szCs w:val="20"/>
              </w:rPr>
            </w:pPr>
            <w:r w:rsidRPr="00870548">
              <w:rPr>
                <w:sz w:val="20"/>
                <w:szCs w:val="20"/>
              </w:rPr>
              <w:t>3</w:t>
            </w:r>
            <w:r w:rsidR="009E168F">
              <w:rPr>
                <w:sz w:val="20"/>
                <w:szCs w:val="20"/>
              </w:rPr>
              <w:t xml:space="preserve"> </w:t>
            </w:r>
            <w:r w:rsidRPr="00870548">
              <w:rPr>
                <w:sz w:val="20"/>
                <w:szCs w:val="20"/>
              </w:rPr>
              <w:t>394</w:t>
            </w:r>
          </w:p>
        </w:tc>
      </w:tr>
      <w:tr w:rsidR="00870548" w:rsidRPr="00870548" w14:paraId="7D4FBA85" w14:textId="77777777" w:rsidTr="00870548">
        <w:trPr>
          <w:trHeight w:val="300"/>
          <w:jc w:val="center"/>
        </w:trPr>
        <w:tc>
          <w:tcPr>
            <w:tcW w:w="4073" w:type="dxa"/>
            <w:shd w:val="clear" w:color="auto" w:fill="auto"/>
            <w:noWrap/>
            <w:vAlign w:val="center"/>
            <w:hideMark/>
          </w:tcPr>
          <w:p w14:paraId="337CC027" w14:textId="14A8AD24" w:rsidR="00870548" w:rsidRPr="00870548" w:rsidRDefault="00870548" w:rsidP="00870548">
            <w:pPr>
              <w:rPr>
                <w:sz w:val="20"/>
                <w:szCs w:val="20"/>
              </w:rPr>
            </w:pPr>
            <w:r w:rsidRPr="00870548">
              <w:rPr>
                <w:sz w:val="20"/>
                <w:szCs w:val="20"/>
              </w:rPr>
              <w:lastRenderedPageBreak/>
              <w:t>Прогноз внутреннего НДС, млрд</w:t>
            </w:r>
            <w:r>
              <w:rPr>
                <w:sz w:val="20"/>
                <w:szCs w:val="20"/>
              </w:rPr>
              <w:t xml:space="preserve"> </w:t>
            </w:r>
            <w:r w:rsidRPr="00870548">
              <w:rPr>
                <w:sz w:val="20"/>
                <w:szCs w:val="20"/>
              </w:rPr>
              <w:t>руб.</w:t>
            </w:r>
          </w:p>
        </w:tc>
        <w:tc>
          <w:tcPr>
            <w:tcW w:w="1062" w:type="dxa"/>
            <w:shd w:val="clear" w:color="auto" w:fill="auto"/>
            <w:noWrap/>
            <w:vAlign w:val="center"/>
            <w:hideMark/>
          </w:tcPr>
          <w:p w14:paraId="53E463C5" w14:textId="4D4BBB09" w:rsidR="00870548" w:rsidRPr="00870548" w:rsidRDefault="00870548" w:rsidP="00870548">
            <w:pPr>
              <w:jc w:val="center"/>
              <w:rPr>
                <w:sz w:val="20"/>
                <w:szCs w:val="20"/>
              </w:rPr>
            </w:pPr>
            <w:r w:rsidRPr="00870548">
              <w:rPr>
                <w:sz w:val="20"/>
                <w:szCs w:val="20"/>
              </w:rPr>
              <w:t>3</w:t>
            </w:r>
            <w:r w:rsidR="009E168F">
              <w:rPr>
                <w:sz w:val="20"/>
                <w:szCs w:val="20"/>
              </w:rPr>
              <w:t xml:space="preserve"> </w:t>
            </w:r>
            <w:r w:rsidRPr="00870548">
              <w:rPr>
                <w:sz w:val="20"/>
                <w:szCs w:val="20"/>
              </w:rPr>
              <w:t>575</w:t>
            </w:r>
          </w:p>
        </w:tc>
        <w:tc>
          <w:tcPr>
            <w:tcW w:w="1052" w:type="dxa"/>
            <w:shd w:val="clear" w:color="auto" w:fill="auto"/>
            <w:noWrap/>
            <w:vAlign w:val="center"/>
            <w:hideMark/>
          </w:tcPr>
          <w:p w14:paraId="7BD460F8" w14:textId="23ADC0A1" w:rsidR="00870548" w:rsidRPr="00870548" w:rsidRDefault="00870548" w:rsidP="00870548">
            <w:pPr>
              <w:jc w:val="center"/>
              <w:rPr>
                <w:sz w:val="20"/>
                <w:szCs w:val="20"/>
              </w:rPr>
            </w:pPr>
            <w:r w:rsidRPr="00870548">
              <w:rPr>
                <w:sz w:val="20"/>
                <w:szCs w:val="20"/>
              </w:rPr>
              <w:t>4</w:t>
            </w:r>
            <w:r w:rsidR="009E168F">
              <w:rPr>
                <w:sz w:val="20"/>
                <w:szCs w:val="20"/>
              </w:rPr>
              <w:t xml:space="preserve"> </w:t>
            </w:r>
            <w:r w:rsidRPr="00870548">
              <w:rPr>
                <w:sz w:val="20"/>
                <w:szCs w:val="20"/>
              </w:rPr>
              <w:t>195</w:t>
            </w:r>
          </w:p>
        </w:tc>
        <w:tc>
          <w:tcPr>
            <w:tcW w:w="1052" w:type="dxa"/>
            <w:shd w:val="clear" w:color="auto" w:fill="auto"/>
            <w:noWrap/>
            <w:vAlign w:val="center"/>
            <w:hideMark/>
          </w:tcPr>
          <w:p w14:paraId="1D98F338" w14:textId="3E2515B3" w:rsidR="00870548" w:rsidRPr="00870548" w:rsidRDefault="00870548" w:rsidP="00870548">
            <w:pPr>
              <w:jc w:val="center"/>
              <w:rPr>
                <w:sz w:val="20"/>
                <w:szCs w:val="20"/>
              </w:rPr>
            </w:pPr>
            <w:r w:rsidRPr="00870548">
              <w:rPr>
                <w:sz w:val="20"/>
                <w:szCs w:val="20"/>
              </w:rPr>
              <w:t>4</w:t>
            </w:r>
            <w:r w:rsidR="009E168F">
              <w:rPr>
                <w:sz w:val="20"/>
                <w:szCs w:val="20"/>
              </w:rPr>
              <w:t xml:space="preserve"> </w:t>
            </w:r>
            <w:r w:rsidRPr="00870548">
              <w:rPr>
                <w:sz w:val="20"/>
                <w:szCs w:val="20"/>
              </w:rPr>
              <w:t>328</w:t>
            </w:r>
          </w:p>
        </w:tc>
        <w:tc>
          <w:tcPr>
            <w:tcW w:w="1052" w:type="dxa"/>
            <w:shd w:val="clear" w:color="auto" w:fill="auto"/>
            <w:noWrap/>
            <w:vAlign w:val="center"/>
            <w:hideMark/>
          </w:tcPr>
          <w:p w14:paraId="0FB77F31" w14:textId="3EB52A90" w:rsidR="00870548" w:rsidRPr="00870548" w:rsidRDefault="00870548" w:rsidP="00870548">
            <w:pPr>
              <w:jc w:val="center"/>
              <w:rPr>
                <w:sz w:val="20"/>
                <w:szCs w:val="20"/>
              </w:rPr>
            </w:pPr>
            <w:r w:rsidRPr="00870548">
              <w:rPr>
                <w:sz w:val="20"/>
                <w:szCs w:val="20"/>
              </w:rPr>
              <w:t>4</w:t>
            </w:r>
            <w:r w:rsidR="009E168F">
              <w:rPr>
                <w:sz w:val="20"/>
                <w:szCs w:val="20"/>
              </w:rPr>
              <w:t xml:space="preserve"> </w:t>
            </w:r>
            <w:r w:rsidRPr="00870548">
              <w:rPr>
                <w:sz w:val="20"/>
                <w:szCs w:val="20"/>
              </w:rPr>
              <w:t>567</w:t>
            </w:r>
          </w:p>
        </w:tc>
        <w:tc>
          <w:tcPr>
            <w:tcW w:w="1052" w:type="dxa"/>
            <w:shd w:val="clear" w:color="auto" w:fill="auto"/>
            <w:noWrap/>
            <w:vAlign w:val="center"/>
            <w:hideMark/>
          </w:tcPr>
          <w:p w14:paraId="0D973818" w14:textId="4D232E74" w:rsidR="00870548" w:rsidRPr="00870548" w:rsidRDefault="00870548" w:rsidP="00870548">
            <w:pPr>
              <w:jc w:val="center"/>
              <w:rPr>
                <w:sz w:val="20"/>
                <w:szCs w:val="20"/>
              </w:rPr>
            </w:pPr>
            <w:r w:rsidRPr="00870548">
              <w:rPr>
                <w:sz w:val="20"/>
                <w:szCs w:val="20"/>
              </w:rPr>
              <w:t>4</w:t>
            </w:r>
            <w:r w:rsidR="009E168F">
              <w:rPr>
                <w:sz w:val="20"/>
                <w:szCs w:val="20"/>
              </w:rPr>
              <w:t xml:space="preserve"> </w:t>
            </w:r>
            <w:r w:rsidRPr="00870548">
              <w:rPr>
                <w:sz w:val="20"/>
                <w:szCs w:val="20"/>
              </w:rPr>
              <w:t>828</w:t>
            </w:r>
          </w:p>
        </w:tc>
      </w:tr>
      <w:tr w:rsidR="00870548" w:rsidRPr="00870548" w14:paraId="370715D5" w14:textId="77777777" w:rsidTr="00870548">
        <w:trPr>
          <w:trHeight w:val="300"/>
          <w:jc w:val="center"/>
        </w:trPr>
        <w:tc>
          <w:tcPr>
            <w:tcW w:w="4073" w:type="dxa"/>
            <w:shd w:val="clear" w:color="auto" w:fill="auto"/>
            <w:noWrap/>
            <w:vAlign w:val="center"/>
            <w:hideMark/>
          </w:tcPr>
          <w:p w14:paraId="76B37D4B" w14:textId="2606ECD6" w:rsidR="00870548" w:rsidRPr="00870548" w:rsidRDefault="00870548" w:rsidP="00870548">
            <w:pPr>
              <w:rPr>
                <w:sz w:val="20"/>
                <w:szCs w:val="20"/>
              </w:rPr>
            </w:pPr>
            <w:r w:rsidRPr="00870548">
              <w:rPr>
                <w:sz w:val="20"/>
                <w:szCs w:val="20"/>
              </w:rPr>
              <w:t>Прогноз общего НДС, млрд</w:t>
            </w:r>
            <w:r>
              <w:rPr>
                <w:sz w:val="20"/>
                <w:szCs w:val="20"/>
              </w:rPr>
              <w:t xml:space="preserve"> </w:t>
            </w:r>
            <w:r w:rsidRPr="00870548">
              <w:rPr>
                <w:sz w:val="20"/>
                <w:szCs w:val="20"/>
              </w:rPr>
              <w:t>руб.</w:t>
            </w:r>
          </w:p>
        </w:tc>
        <w:tc>
          <w:tcPr>
            <w:tcW w:w="1062" w:type="dxa"/>
            <w:shd w:val="clear" w:color="auto" w:fill="auto"/>
            <w:noWrap/>
            <w:vAlign w:val="center"/>
            <w:hideMark/>
          </w:tcPr>
          <w:p w14:paraId="5EDAA58C" w14:textId="5DD1C57C" w:rsidR="00870548" w:rsidRPr="00870548" w:rsidRDefault="00870548" w:rsidP="00870548">
            <w:pPr>
              <w:jc w:val="center"/>
              <w:rPr>
                <w:sz w:val="20"/>
                <w:szCs w:val="20"/>
              </w:rPr>
            </w:pPr>
            <w:r w:rsidRPr="00870548">
              <w:rPr>
                <w:sz w:val="20"/>
                <w:szCs w:val="20"/>
              </w:rPr>
              <w:t>6</w:t>
            </w:r>
            <w:r w:rsidR="009E168F">
              <w:rPr>
                <w:sz w:val="20"/>
                <w:szCs w:val="20"/>
              </w:rPr>
              <w:t xml:space="preserve"> </w:t>
            </w:r>
            <w:r w:rsidRPr="00870548">
              <w:rPr>
                <w:sz w:val="20"/>
                <w:szCs w:val="20"/>
              </w:rPr>
              <w:t>017</w:t>
            </w:r>
          </w:p>
        </w:tc>
        <w:tc>
          <w:tcPr>
            <w:tcW w:w="1052" w:type="dxa"/>
            <w:shd w:val="clear" w:color="auto" w:fill="auto"/>
            <w:noWrap/>
            <w:vAlign w:val="center"/>
            <w:hideMark/>
          </w:tcPr>
          <w:p w14:paraId="050DDD14" w14:textId="19787D5F" w:rsidR="00870548" w:rsidRPr="00870548" w:rsidRDefault="00870548" w:rsidP="00870548">
            <w:pPr>
              <w:jc w:val="center"/>
              <w:rPr>
                <w:sz w:val="20"/>
                <w:szCs w:val="20"/>
              </w:rPr>
            </w:pPr>
            <w:r w:rsidRPr="00870548">
              <w:rPr>
                <w:sz w:val="20"/>
                <w:szCs w:val="20"/>
              </w:rPr>
              <w:t>6</w:t>
            </w:r>
            <w:r w:rsidR="009E168F">
              <w:rPr>
                <w:sz w:val="20"/>
                <w:szCs w:val="20"/>
              </w:rPr>
              <w:t xml:space="preserve"> </w:t>
            </w:r>
            <w:r w:rsidRPr="00870548">
              <w:rPr>
                <w:sz w:val="20"/>
                <w:szCs w:val="20"/>
              </w:rPr>
              <w:t>988</w:t>
            </w:r>
          </w:p>
        </w:tc>
        <w:tc>
          <w:tcPr>
            <w:tcW w:w="1052" w:type="dxa"/>
            <w:shd w:val="clear" w:color="auto" w:fill="auto"/>
            <w:noWrap/>
            <w:vAlign w:val="center"/>
            <w:hideMark/>
          </w:tcPr>
          <w:p w14:paraId="7FE70D59" w14:textId="69550144" w:rsidR="00870548" w:rsidRPr="00870548" w:rsidRDefault="00870548" w:rsidP="00870548">
            <w:pPr>
              <w:jc w:val="center"/>
              <w:rPr>
                <w:sz w:val="20"/>
                <w:szCs w:val="20"/>
              </w:rPr>
            </w:pPr>
            <w:r w:rsidRPr="00870548">
              <w:rPr>
                <w:sz w:val="20"/>
                <w:szCs w:val="20"/>
              </w:rPr>
              <w:t>7</w:t>
            </w:r>
            <w:r w:rsidR="009E168F">
              <w:rPr>
                <w:sz w:val="20"/>
                <w:szCs w:val="20"/>
              </w:rPr>
              <w:t xml:space="preserve"> </w:t>
            </w:r>
            <w:r w:rsidRPr="00870548">
              <w:rPr>
                <w:sz w:val="20"/>
                <w:szCs w:val="20"/>
              </w:rPr>
              <w:t>264</w:t>
            </w:r>
          </w:p>
        </w:tc>
        <w:tc>
          <w:tcPr>
            <w:tcW w:w="1052" w:type="dxa"/>
            <w:shd w:val="clear" w:color="auto" w:fill="auto"/>
            <w:noWrap/>
            <w:vAlign w:val="center"/>
            <w:hideMark/>
          </w:tcPr>
          <w:p w14:paraId="5DF7FB4D" w14:textId="2400B8C5" w:rsidR="00870548" w:rsidRPr="00870548" w:rsidRDefault="00870548" w:rsidP="00870548">
            <w:pPr>
              <w:jc w:val="center"/>
              <w:rPr>
                <w:sz w:val="20"/>
                <w:szCs w:val="20"/>
              </w:rPr>
            </w:pPr>
            <w:r w:rsidRPr="00870548">
              <w:rPr>
                <w:sz w:val="20"/>
                <w:szCs w:val="20"/>
              </w:rPr>
              <w:t>7</w:t>
            </w:r>
            <w:r w:rsidR="009E168F">
              <w:rPr>
                <w:sz w:val="20"/>
                <w:szCs w:val="20"/>
              </w:rPr>
              <w:t xml:space="preserve"> </w:t>
            </w:r>
            <w:r w:rsidRPr="00870548">
              <w:rPr>
                <w:sz w:val="20"/>
                <w:szCs w:val="20"/>
              </w:rPr>
              <w:t>713</w:t>
            </w:r>
          </w:p>
        </w:tc>
        <w:tc>
          <w:tcPr>
            <w:tcW w:w="1052" w:type="dxa"/>
            <w:shd w:val="clear" w:color="auto" w:fill="auto"/>
            <w:noWrap/>
            <w:vAlign w:val="center"/>
            <w:hideMark/>
          </w:tcPr>
          <w:p w14:paraId="0D70AF70" w14:textId="0D572221" w:rsidR="00870548" w:rsidRPr="00870548" w:rsidRDefault="00870548" w:rsidP="00870548">
            <w:pPr>
              <w:jc w:val="center"/>
              <w:rPr>
                <w:sz w:val="20"/>
                <w:szCs w:val="20"/>
              </w:rPr>
            </w:pPr>
            <w:r w:rsidRPr="00870548">
              <w:rPr>
                <w:sz w:val="20"/>
                <w:szCs w:val="20"/>
              </w:rPr>
              <w:t>8</w:t>
            </w:r>
            <w:r w:rsidR="009E168F">
              <w:rPr>
                <w:sz w:val="20"/>
                <w:szCs w:val="20"/>
              </w:rPr>
              <w:t xml:space="preserve"> </w:t>
            </w:r>
            <w:r w:rsidRPr="00870548">
              <w:rPr>
                <w:sz w:val="20"/>
                <w:szCs w:val="20"/>
              </w:rPr>
              <w:t>222</w:t>
            </w:r>
          </w:p>
        </w:tc>
      </w:tr>
      <w:tr w:rsidR="00870548" w:rsidRPr="00870548" w14:paraId="72A58001" w14:textId="77777777" w:rsidTr="00870548">
        <w:trPr>
          <w:trHeight w:val="300"/>
          <w:jc w:val="center"/>
        </w:trPr>
        <w:tc>
          <w:tcPr>
            <w:tcW w:w="4073" w:type="dxa"/>
            <w:shd w:val="clear" w:color="auto" w:fill="auto"/>
            <w:noWrap/>
            <w:vAlign w:val="center"/>
            <w:hideMark/>
          </w:tcPr>
          <w:p w14:paraId="25DD646C" w14:textId="77777777" w:rsidR="00870548" w:rsidRPr="00870548" w:rsidRDefault="00870548" w:rsidP="00870548">
            <w:pPr>
              <w:rPr>
                <w:sz w:val="20"/>
                <w:szCs w:val="20"/>
              </w:rPr>
            </w:pPr>
            <w:r w:rsidRPr="00870548">
              <w:rPr>
                <w:sz w:val="20"/>
                <w:szCs w:val="20"/>
              </w:rPr>
              <w:t>Прогноз внешнего НДС, % ВВП</w:t>
            </w:r>
          </w:p>
        </w:tc>
        <w:tc>
          <w:tcPr>
            <w:tcW w:w="1062" w:type="dxa"/>
            <w:shd w:val="clear" w:color="auto" w:fill="auto"/>
            <w:noWrap/>
            <w:vAlign w:val="center"/>
            <w:hideMark/>
          </w:tcPr>
          <w:p w14:paraId="3962471F" w14:textId="72B88E67" w:rsidR="00870548" w:rsidRPr="00870548" w:rsidRDefault="00870548" w:rsidP="00870548">
            <w:pPr>
              <w:jc w:val="center"/>
              <w:rPr>
                <w:sz w:val="20"/>
                <w:szCs w:val="20"/>
              </w:rPr>
            </w:pPr>
            <w:r w:rsidRPr="00870548">
              <w:rPr>
                <w:sz w:val="20"/>
                <w:szCs w:val="20"/>
              </w:rPr>
              <w:t>2,4</w:t>
            </w:r>
          </w:p>
        </w:tc>
        <w:tc>
          <w:tcPr>
            <w:tcW w:w="1052" w:type="dxa"/>
            <w:shd w:val="clear" w:color="auto" w:fill="auto"/>
            <w:noWrap/>
            <w:vAlign w:val="center"/>
            <w:hideMark/>
          </w:tcPr>
          <w:p w14:paraId="0A4F3978" w14:textId="2D3BFC41" w:rsidR="00870548" w:rsidRPr="00870548" w:rsidRDefault="00870548" w:rsidP="00870548">
            <w:pPr>
              <w:jc w:val="center"/>
              <w:rPr>
                <w:sz w:val="20"/>
                <w:szCs w:val="20"/>
              </w:rPr>
            </w:pPr>
            <w:r w:rsidRPr="00870548">
              <w:rPr>
                <w:sz w:val="20"/>
                <w:szCs w:val="20"/>
              </w:rPr>
              <w:t>2,6</w:t>
            </w:r>
          </w:p>
        </w:tc>
        <w:tc>
          <w:tcPr>
            <w:tcW w:w="1052" w:type="dxa"/>
            <w:shd w:val="clear" w:color="auto" w:fill="auto"/>
            <w:noWrap/>
            <w:vAlign w:val="center"/>
            <w:hideMark/>
          </w:tcPr>
          <w:p w14:paraId="1C5C75D4" w14:textId="714926BF" w:rsidR="00870548" w:rsidRPr="00870548" w:rsidRDefault="00870548" w:rsidP="00870548">
            <w:pPr>
              <w:jc w:val="center"/>
              <w:rPr>
                <w:sz w:val="20"/>
                <w:szCs w:val="20"/>
              </w:rPr>
            </w:pPr>
            <w:r w:rsidRPr="00870548">
              <w:rPr>
                <w:sz w:val="20"/>
                <w:szCs w:val="20"/>
              </w:rPr>
              <w:t>2,6</w:t>
            </w:r>
          </w:p>
        </w:tc>
        <w:tc>
          <w:tcPr>
            <w:tcW w:w="1052" w:type="dxa"/>
            <w:shd w:val="clear" w:color="auto" w:fill="auto"/>
            <w:noWrap/>
            <w:vAlign w:val="center"/>
            <w:hideMark/>
          </w:tcPr>
          <w:p w14:paraId="22211990" w14:textId="1E606520" w:rsidR="00870548" w:rsidRPr="00870548" w:rsidRDefault="00870548" w:rsidP="00870548">
            <w:pPr>
              <w:jc w:val="center"/>
              <w:rPr>
                <w:sz w:val="20"/>
                <w:szCs w:val="20"/>
              </w:rPr>
            </w:pPr>
            <w:r w:rsidRPr="00870548">
              <w:rPr>
                <w:sz w:val="20"/>
                <w:szCs w:val="20"/>
              </w:rPr>
              <w:t>2,6</w:t>
            </w:r>
          </w:p>
        </w:tc>
        <w:tc>
          <w:tcPr>
            <w:tcW w:w="1052" w:type="dxa"/>
            <w:shd w:val="clear" w:color="auto" w:fill="auto"/>
            <w:noWrap/>
            <w:vAlign w:val="center"/>
            <w:hideMark/>
          </w:tcPr>
          <w:p w14:paraId="6ADE7117" w14:textId="73143A4A" w:rsidR="00870548" w:rsidRPr="00870548" w:rsidRDefault="00870548" w:rsidP="00870548">
            <w:pPr>
              <w:jc w:val="center"/>
              <w:rPr>
                <w:sz w:val="20"/>
                <w:szCs w:val="20"/>
              </w:rPr>
            </w:pPr>
            <w:r w:rsidRPr="00870548">
              <w:rPr>
                <w:sz w:val="20"/>
                <w:szCs w:val="20"/>
              </w:rPr>
              <w:t>2,6</w:t>
            </w:r>
          </w:p>
        </w:tc>
      </w:tr>
      <w:tr w:rsidR="00870548" w:rsidRPr="00870548" w14:paraId="0839D5BD" w14:textId="77777777" w:rsidTr="00870548">
        <w:trPr>
          <w:trHeight w:val="300"/>
          <w:jc w:val="center"/>
        </w:trPr>
        <w:tc>
          <w:tcPr>
            <w:tcW w:w="4073" w:type="dxa"/>
            <w:shd w:val="clear" w:color="auto" w:fill="auto"/>
            <w:noWrap/>
            <w:vAlign w:val="center"/>
            <w:hideMark/>
          </w:tcPr>
          <w:p w14:paraId="522CA1EB" w14:textId="77777777" w:rsidR="00870548" w:rsidRPr="00870548" w:rsidRDefault="00870548" w:rsidP="00870548">
            <w:pPr>
              <w:rPr>
                <w:sz w:val="20"/>
                <w:szCs w:val="20"/>
              </w:rPr>
            </w:pPr>
            <w:r w:rsidRPr="00870548">
              <w:rPr>
                <w:sz w:val="20"/>
                <w:szCs w:val="20"/>
              </w:rPr>
              <w:t>Прогноз внутреннего НДС, % ВВП</w:t>
            </w:r>
          </w:p>
        </w:tc>
        <w:tc>
          <w:tcPr>
            <w:tcW w:w="1062" w:type="dxa"/>
            <w:shd w:val="clear" w:color="auto" w:fill="auto"/>
            <w:noWrap/>
            <w:vAlign w:val="center"/>
            <w:hideMark/>
          </w:tcPr>
          <w:p w14:paraId="154CA272" w14:textId="6A0D1587" w:rsidR="00870548" w:rsidRPr="00870548" w:rsidRDefault="00870548" w:rsidP="00870548">
            <w:pPr>
              <w:jc w:val="center"/>
              <w:rPr>
                <w:sz w:val="20"/>
                <w:szCs w:val="20"/>
              </w:rPr>
            </w:pPr>
            <w:r w:rsidRPr="00870548">
              <w:rPr>
                <w:sz w:val="20"/>
                <w:szCs w:val="20"/>
              </w:rPr>
              <w:t>3,4</w:t>
            </w:r>
          </w:p>
        </w:tc>
        <w:tc>
          <w:tcPr>
            <w:tcW w:w="1052" w:type="dxa"/>
            <w:shd w:val="clear" w:color="auto" w:fill="auto"/>
            <w:noWrap/>
            <w:vAlign w:val="center"/>
            <w:hideMark/>
          </w:tcPr>
          <w:p w14:paraId="38009C5F" w14:textId="12FFC492" w:rsidR="00870548" w:rsidRPr="00870548" w:rsidRDefault="00870548" w:rsidP="00870548">
            <w:pPr>
              <w:jc w:val="center"/>
              <w:rPr>
                <w:sz w:val="20"/>
                <w:szCs w:val="20"/>
              </w:rPr>
            </w:pPr>
            <w:r w:rsidRPr="00870548">
              <w:rPr>
                <w:sz w:val="20"/>
                <w:szCs w:val="20"/>
              </w:rPr>
              <w:t>3,9</w:t>
            </w:r>
          </w:p>
        </w:tc>
        <w:tc>
          <w:tcPr>
            <w:tcW w:w="1052" w:type="dxa"/>
            <w:shd w:val="clear" w:color="auto" w:fill="auto"/>
            <w:noWrap/>
            <w:vAlign w:val="center"/>
            <w:hideMark/>
          </w:tcPr>
          <w:p w14:paraId="0A7BC1C1" w14:textId="7924D76C" w:rsidR="00870548" w:rsidRPr="00870548" w:rsidRDefault="00870548" w:rsidP="00870548">
            <w:pPr>
              <w:jc w:val="center"/>
              <w:rPr>
                <w:sz w:val="20"/>
                <w:szCs w:val="20"/>
              </w:rPr>
            </w:pPr>
            <w:r w:rsidRPr="00870548">
              <w:rPr>
                <w:sz w:val="20"/>
                <w:szCs w:val="20"/>
              </w:rPr>
              <w:t>3,8</w:t>
            </w:r>
          </w:p>
        </w:tc>
        <w:tc>
          <w:tcPr>
            <w:tcW w:w="1052" w:type="dxa"/>
            <w:shd w:val="clear" w:color="auto" w:fill="auto"/>
            <w:noWrap/>
            <w:vAlign w:val="center"/>
            <w:hideMark/>
          </w:tcPr>
          <w:p w14:paraId="48C4C967" w14:textId="156947E4" w:rsidR="00870548" w:rsidRPr="00870548" w:rsidRDefault="00870548" w:rsidP="00870548">
            <w:pPr>
              <w:jc w:val="center"/>
              <w:rPr>
                <w:sz w:val="20"/>
                <w:szCs w:val="20"/>
              </w:rPr>
            </w:pPr>
            <w:r w:rsidRPr="00870548">
              <w:rPr>
                <w:sz w:val="20"/>
                <w:szCs w:val="20"/>
              </w:rPr>
              <w:t>3,8</w:t>
            </w:r>
          </w:p>
        </w:tc>
        <w:tc>
          <w:tcPr>
            <w:tcW w:w="1052" w:type="dxa"/>
            <w:shd w:val="clear" w:color="auto" w:fill="auto"/>
            <w:noWrap/>
            <w:vAlign w:val="center"/>
            <w:hideMark/>
          </w:tcPr>
          <w:p w14:paraId="406F486A" w14:textId="02F7C0D6" w:rsidR="00870548" w:rsidRPr="00870548" w:rsidRDefault="00870548" w:rsidP="00870548">
            <w:pPr>
              <w:jc w:val="center"/>
              <w:rPr>
                <w:sz w:val="20"/>
                <w:szCs w:val="20"/>
              </w:rPr>
            </w:pPr>
            <w:r w:rsidRPr="00870548">
              <w:rPr>
                <w:sz w:val="20"/>
                <w:szCs w:val="20"/>
              </w:rPr>
              <w:t>3,8</w:t>
            </w:r>
          </w:p>
        </w:tc>
      </w:tr>
      <w:tr w:rsidR="00870548" w:rsidRPr="00870548" w14:paraId="24B6A7B4" w14:textId="77777777" w:rsidTr="00870548">
        <w:trPr>
          <w:trHeight w:val="300"/>
          <w:jc w:val="center"/>
        </w:trPr>
        <w:tc>
          <w:tcPr>
            <w:tcW w:w="4073" w:type="dxa"/>
            <w:shd w:val="clear" w:color="auto" w:fill="auto"/>
            <w:noWrap/>
            <w:vAlign w:val="center"/>
            <w:hideMark/>
          </w:tcPr>
          <w:p w14:paraId="2DC97539" w14:textId="77777777" w:rsidR="00870548" w:rsidRPr="00870548" w:rsidRDefault="00870548" w:rsidP="00870548">
            <w:pPr>
              <w:rPr>
                <w:sz w:val="20"/>
                <w:szCs w:val="20"/>
              </w:rPr>
            </w:pPr>
            <w:r w:rsidRPr="00870548">
              <w:rPr>
                <w:sz w:val="20"/>
                <w:szCs w:val="20"/>
              </w:rPr>
              <w:t>Прогноз общего НДС, % ВВП</w:t>
            </w:r>
          </w:p>
        </w:tc>
        <w:tc>
          <w:tcPr>
            <w:tcW w:w="1062" w:type="dxa"/>
            <w:shd w:val="clear" w:color="auto" w:fill="auto"/>
            <w:noWrap/>
            <w:vAlign w:val="center"/>
            <w:hideMark/>
          </w:tcPr>
          <w:p w14:paraId="24A2E313" w14:textId="75AD7E66" w:rsidR="00870548" w:rsidRPr="00870548" w:rsidRDefault="00870548" w:rsidP="00870548">
            <w:pPr>
              <w:jc w:val="center"/>
              <w:rPr>
                <w:sz w:val="20"/>
                <w:szCs w:val="20"/>
              </w:rPr>
            </w:pPr>
            <w:r w:rsidRPr="00870548">
              <w:rPr>
                <w:sz w:val="20"/>
                <w:szCs w:val="20"/>
              </w:rPr>
              <w:t>5,8</w:t>
            </w:r>
          </w:p>
        </w:tc>
        <w:tc>
          <w:tcPr>
            <w:tcW w:w="1052" w:type="dxa"/>
            <w:shd w:val="clear" w:color="auto" w:fill="auto"/>
            <w:noWrap/>
            <w:vAlign w:val="center"/>
            <w:hideMark/>
          </w:tcPr>
          <w:p w14:paraId="17EE21CD" w14:textId="1BD6F2CA" w:rsidR="00870548" w:rsidRPr="00870548" w:rsidRDefault="00870548" w:rsidP="00870548">
            <w:pPr>
              <w:jc w:val="center"/>
              <w:rPr>
                <w:sz w:val="20"/>
                <w:szCs w:val="20"/>
              </w:rPr>
            </w:pPr>
            <w:r w:rsidRPr="00870548">
              <w:rPr>
                <w:sz w:val="20"/>
                <w:szCs w:val="20"/>
              </w:rPr>
              <w:t>6,4</w:t>
            </w:r>
          </w:p>
        </w:tc>
        <w:tc>
          <w:tcPr>
            <w:tcW w:w="1052" w:type="dxa"/>
            <w:shd w:val="clear" w:color="auto" w:fill="auto"/>
            <w:noWrap/>
            <w:vAlign w:val="center"/>
            <w:hideMark/>
          </w:tcPr>
          <w:p w14:paraId="25937D68" w14:textId="202CF0CC" w:rsidR="00870548" w:rsidRPr="00870548" w:rsidRDefault="00870548" w:rsidP="00870548">
            <w:pPr>
              <w:jc w:val="center"/>
              <w:rPr>
                <w:sz w:val="20"/>
                <w:szCs w:val="20"/>
              </w:rPr>
            </w:pPr>
            <w:r w:rsidRPr="00870548">
              <w:rPr>
                <w:sz w:val="20"/>
                <w:szCs w:val="20"/>
              </w:rPr>
              <w:t>6,4</w:t>
            </w:r>
          </w:p>
        </w:tc>
        <w:tc>
          <w:tcPr>
            <w:tcW w:w="1052" w:type="dxa"/>
            <w:shd w:val="clear" w:color="auto" w:fill="auto"/>
            <w:noWrap/>
            <w:vAlign w:val="center"/>
            <w:hideMark/>
          </w:tcPr>
          <w:p w14:paraId="263EC0A5" w14:textId="771E8B89" w:rsidR="00870548" w:rsidRPr="00870548" w:rsidRDefault="00870548" w:rsidP="00870548">
            <w:pPr>
              <w:jc w:val="center"/>
              <w:rPr>
                <w:sz w:val="20"/>
                <w:szCs w:val="20"/>
              </w:rPr>
            </w:pPr>
            <w:r w:rsidRPr="00870548">
              <w:rPr>
                <w:sz w:val="20"/>
                <w:szCs w:val="20"/>
              </w:rPr>
              <w:t>6,4</w:t>
            </w:r>
          </w:p>
        </w:tc>
        <w:tc>
          <w:tcPr>
            <w:tcW w:w="1052" w:type="dxa"/>
            <w:shd w:val="clear" w:color="auto" w:fill="auto"/>
            <w:noWrap/>
            <w:vAlign w:val="center"/>
            <w:hideMark/>
          </w:tcPr>
          <w:p w14:paraId="507146D1" w14:textId="69DC0745" w:rsidR="00870548" w:rsidRPr="00870548" w:rsidRDefault="00870548" w:rsidP="00870548">
            <w:pPr>
              <w:jc w:val="center"/>
              <w:rPr>
                <w:sz w:val="20"/>
                <w:szCs w:val="20"/>
              </w:rPr>
            </w:pPr>
            <w:r w:rsidRPr="00870548">
              <w:rPr>
                <w:sz w:val="20"/>
                <w:szCs w:val="20"/>
              </w:rPr>
              <w:t>6,4</w:t>
            </w:r>
          </w:p>
        </w:tc>
      </w:tr>
      <w:tr w:rsidR="00870548" w:rsidRPr="00870548" w14:paraId="251DEB6E" w14:textId="77777777" w:rsidTr="00870548">
        <w:trPr>
          <w:trHeight w:val="300"/>
          <w:jc w:val="center"/>
        </w:trPr>
        <w:tc>
          <w:tcPr>
            <w:tcW w:w="9343" w:type="dxa"/>
            <w:gridSpan w:val="6"/>
            <w:shd w:val="clear" w:color="auto" w:fill="auto"/>
            <w:noWrap/>
            <w:vAlign w:val="bottom"/>
            <w:hideMark/>
          </w:tcPr>
          <w:p w14:paraId="0E4C6DD3" w14:textId="77777777" w:rsidR="00870548" w:rsidRPr="00870548" w:rsidRDefault="00870548" w:rsidP="003A7722">
            <w:pPr>
              <w:ind w:left="709"/>
              <w:rPr>
                <w:b/>
                <w:color w:val="000000"/>
                <w:sz w:val="20"/>
                <w:szCs w:val="20"/>
              </w:rPr>
            </w:pPr>
            <w:r w:rsidRPr="00870548">
              <w:rPr>
                <w:b/>
                <w:sz w:val="20"/>
                <w:szCs w:val="20"/>
              </w:rPr>
              <w:t>Прогноз, представленный в проекте бюджета</w:t>
            </w:r>
          </w:p>
        </w:tc>
      </w:tr>
      <w:tr w:rsidR="00870548" w:rsidRPr="00870548" w14:paraId="26B259CF" w14:textId="77777777" w:rsidTr="00870548">
        <w:trPr>
          <w:trHeight w:val="300"/>
          <w:jc w:val="center"/>
        </w:trPr>
        <w:tc>
          <w:tcPr>
            <w:tcW w:w="4073" w:type="dxa"/>
            <w:shd w:val="clear" w:color="auto" w:fill="auto"/>
            <w:noWrap/>
            <w:vAlign w:val="center"/>
            <w:hideMark/>
          </w:tcPr>
          <w:p w14:paraId="07DDA226" w14:textId="390FCFB0" w:rsidR="00870548" w:rsidRPr="00870548" w:rsidRDefault="00870548" w:rsidP="00870548">
            <w:pPr>
              <w:rPr>
                <w:sz w:val="20"/>
                <w:szCs w:val="20"/>
              </w:rPr>
            </w:pPr>
            <w:r w:rsidRPr="00870548">
              <w:rPr>
                <w:sz w:val="20"/>
                <w:szCs w:val="20"/>
              </w:rPr>
              <w:t>Прогноз внешнего НДС, млрд</w:t>
            </w:r>
            <w:r>
              <w:rPr>
                <w:sz w:val="20"/>
                <w:szCs w:val="20"/>
              </w:rPr>
              <w:t xml:space="preserve"> </w:t>
            </w:r>
            <w:r w:rsidRPr="00870548">
              <w:rPr>
                <w:sz w:val="20"/>
                <w:szCs w:val="20"/>
              </w:rPr>
              <w:t>руб.</w:t>
            </w:r>
          </w:p>
        </w:tc>
        <w:tc>
          <w:tcPr>
            <w:tcW w:w="1062" w:type="dxa"/>
            <w:shd w:val="clear" w:color="auto" w:fill="auto"/>
            <w:noWrap/>
            <w:vAlign w:val="center"/>
            <w:hideMark/>
          </w:tcPr>
          <w:p w14:paraId="5CA22E58" w14:textId="77777777" w:rsidR="00870548" w:rsidRPr="00870548" w:rsidRDefault="00870548" w:rsidP="00870548">
            <w:pPr>
              <w:jc w:val="center"/>
              <w:rPr>
                <w:sz w:val="20"/>
                <w:szCs w:val="20"/>
              </w:rPr>
            </w:pPr>
          </w:p>
        </w:tc>
        <w:tc>
          <w:tcPr>
            <w:tcW w:w="1052" w:type="dxa"/>
            <w:shd w:val="clear" w:color="auto" w:fill="auto"/>
            <w:noWrap/>
            <w:vAlign w:val="center"/>
            <w:hideMark/>
          </w:tcPr>
          <w:p w14:paraId="54D8DC0E" w14:textId="77777777" w:rsidR="00870548" w:rsidRPr="00870548" w:rsidRDefault="00870548" w:rsidP="00870548">
            <w:pPr>
              <w:jc w:val="center"/>
              <w:rPr>
                <w:sz w:val="20"/>
                <w:szCs w:val="20"/>
              </w:rPr>
            </w:pPr>
          </w:p>
        </w:tc>
        <w:tc>
          <w:tcPr>
            <w:tcW w:w="1052" w:type="dxa"/>
            <w:shd w:val="clear" w:color="auto" w:fill="auto"/>
            <w:noWrap/>
            <w:vAlign w:val="bottom"/>
            <w:hideMark/>
          </w:tcPr>
          <w:p w14:paraId="1E7EE91E" w14:textId="0303BDD0" w:rsidR="00870548" w:rsidRPr="00870548" w:rsidRDefault="00870548" w:rsidP="00870548">
            <w:pPr>
              <w:jc w:val="center"/>
              <w:rPr>
                <w:sz w:val="20"/>
                <w:szCs w:val="20"/>
              </w:rPr>
            </w:pPr>
            <w:r w:rsidRPr="00870548">
              <w:rPr>
                <w:sz w:val="20"/>
                <w:szCs w:val="20"/>
              </w:rPr>
              <w:t>2</w:t>
            </w:r>
            <w:r w:rsidR="009E168F">
              <w:rPr>
                <w:sz w:val="20"/>
                <w:szCs w:val="20"/>
              </w:rPr>
              <w:t xml:space="preserve"> </w:t>
            </w:r>
            <w:r w:rsidRPr="00870548">
              <w:rPr>
                <w:sz w:val="20"/>
                <w:szCs w:val="20"/>
              </w:rPr>
              <w:t>984</w:t>
            </w:r>
          </w:p>
        </w:tc>
        <w:tc>
          <w:tcPr>
            <w:tcW w:w="1052" w:type="dxa"/>
            <w:shd w:val="clear" w:color="auto" w:fill="auto"/>
            <w:noWrap/>
            <w:vAlign w:val="bottom"/>
            <w:hideMark/>
          </w:tcPr>
          <w:p w14:paraId="05C1EA2F" w14:textId="2F396508" w:rsidR="00870548" w:rsidRPr="00870548" w:rsidRDefault="00870548" w:rsidP="00870548">
            <w:pPr>
              <w:jc w:val="center"/>
              <w:rPr>
                <w:sz w:val="20"/>
                <w:szCs w:val="20"/>
              </w:rPr>
            </w:pPr>
            <w:r w:rsidRPr="00870548">
              <w:rPr>
                <w:sz w:val="20"/>
                <w:szCs w:val="20"/>
              </w:rPr>
              <w:t>3</w:t>
            </w:r>
            <w:r w:rsidR="009E168F">
              <w:rPr>
                <w:sz w:val="20"/>
                <w:szCs w:val="20"/>
              </w:rPr>
              <w:t xml:space="preserve"> </w:t>
            </w:r>
            <w:r w:rsidRPr="00870548">
              <w:rPr>
                <w:sz w:val="20"/>
                <w:szCs w:val="20"/>
              </w:rPr>
              <w:t>209</w:t>
            </w:r>
          </w:p>
        </w:tc>
        <w:tc>
          <w:tcPr>
            <w:tcW w:w="1052" w:type="dxa"/>
            <w:shd w:val="clear" w:color="auto" w:fill="auto"/>
            <w:noWrap/>
            <w:vAlign w:val="bottom"/>
            <w:hideMark/>
          </w:tcPr>
          <w:p w14:paraId="7B41CF15" w14:textId="77777777" w:rsidR="00870548" w:rsidRPr="00870548" w:rsidRDefault="00870548" w:rsidP="00870548">
            <w:pPr>
              <w:jc w:val="center"/>
              <w:rPr>
                <w:sz w:val="20"/>
                <w:szCs w:val="20"/>
              </w:rPr>
            </w:pPr>
            <w:r w:rsidRPr="00870548">
              <w:rPr>
                <w:sz w:val="20"/>
                <w:szCs w:val="20"/>
              </w:rPr>
              <w:t>3473</w:t>
            </w:r>
          </w:p>
        </w:tc>
      </w:tr>
      <w:tr w:rsidR="00870548" w:rsidRPr="00870548" w14:paraId="6A934A14" w14:textId="77777777" w:rsidTr="00870548">
        <w:trPr>
          <w:trHeight w:val="300"/>
          <w:jc w:val="center"/>
        </w:trPr>
        <w:tc>
          <w:tcPr>
            <w:tcW w:w="4073" w:type="dxa"/>
            <w:shd w:val="clear" w:color="auto" w:fill="auto"/>
            <w:noWrap/>
            <w:vAlign w:val="center"/>
            <w:hideMark/>
          </w:tcPr>
          <w:p w14:paraId="232C135F" w14:textId="2E9F62D0" w:rsidR="00870548" w:rsidRPr="00870548" w:rsidRDefault="00870548" w:rsidP="00870548">
            <w:pPr>
              <w:rPr>
                <w:sz w:val="20"/>
                <w:szCs w:val="20"/>
              </w:rPr>
            </w:pPr>
            <w:r w:rsidRPr="00870548">
              <w:rPr>
                <w:sz w:val="20"/>
                <w:szCs w:val="20"/>
              </w:rPr>
              <w:t>Прогноз внутреннего НДС, млрд</w:t>
            </w:r>
            <w:r>
              <w:rPr>
                <w:sz w:val="20"/>
                <w:szCs w:val="20"/>
              </w:rPr>
              <w:t xml:space="preserve"> </w:t>
            </w:r>
            <w:r w:rsidRPr="00870548">
              <w:rPr>
                <w:sz w:val="20"/>
                <w:szCs w:val="20"/>
              </w:rPr>
              <w:t>руб.</w:t>
            </w:r>
          </w:p>
        </w:tc>
        <w:tc>
          <w:tcPr>
            <w:tcW w:w="1062" w:type="dxa"/>
            <w:shd w:val="clear" w:color="auto" w:fill="auto"/>
            <w:noWrap/>
            <w:vAlign w:val="center"/>
            <w:hideMark/>
          </w:tcPr>
          <w:p w14:paraId="6CEFEDB0" w14:textId="77777777" w:rsidR="00870548" w:rsidRPr="00870548" w:rsidRDefault="00870548" w:rsidP="00870548">
            <w:pPr>
              <w:jc w:val="center"/>
              <w:rPr>
                <w:sz w:val="20"/>
                <w:szCs w:val="20"/>
              </w:rPr>
            </w:pPr>
          </w:p>
        </w:tc>
        <w:tc>
          <w:tcPr>
            <w:tcW w:w="1052" w:type="dxa"/>
            <w:shd w:val="clear" w:color="auto" w:fill="auto"/>
            <w:noWrap/>
            <w:vAlign w:val="center"/>
            <w:hideMark/>
          </w:tcPr>
          <w:p w14:paraId="4B7E7265" w14:textId="77777777" w:rsidR="00870548" w:rsidRPr="00870548" w:rsidRDefault="00870548" w:rsidP="00870548">
            <w:pPr>
              <w:jc w:val="center"/>
              <w:rPr>
                <w:sz w:val="20"/>
                <w:szCs w:val="20"/>
              </w:rPr>
            </w:pPr>
          </w:p>
        </w:tc>
        <w:tc>
          <w:tcPr>
            <w:tcW w:w="1052" w:type="dxa"/>
            <w:shd w:val="clear" w:color="auto" w:fill="auto"/>
            <w:noWrap/>
            <w:vAlign w:val="bottom"/>
            <w:hideMark/>
          </w:tcPr>
          <w:p w14:paraId="4CF77777" w14:textId="09546EC7" w:rsidR="00870548" w:rsidRPr="00870548" w:rsidRDefault="00870548" w:rsidP="00870548">
            <w:pPr>
              <w:jc w:val="center"/>
              <w:rPr>
                <w:sz w:val="20"/>
                <w:szCs w:val="20"/>
              </w:rPr>
            </w:pPr>
            <w:r w:rsidRPr="00870548">
              <w:rPr>
                <w:sz w:val="20"/>
                <w:szCs w:val="20"/>
              </w:rPr>
              <w:t>4</w:t>
            </w:r>
            <w:r w:rsidR="009E168F">
              <w:rPr>
                <w:sz w:val="20"/>
                <w:szCs w:val="20"/>
              </w:rPr>
              <w:t xml:space="preserve"> </w:t>
            </w:r>
            <w:r w:rsidRPr="00870548">
              <w:rPr>
                <w:sz w:val="20"/>
                <w:szCs w:val="20"/>
              </w:rPr>
              <w:t>509</w:t>
            </w:r>
          </w:p>
        </w:tc>
        <w:tc>
          <w:tcPr>
            <w:tcW w:w="1052" w:type="dxa"/>
            <w:shd w:val="clear" w:color="auto" w:fill="auto"/>
            <w:noWrap/>
            <w:vAlign w:val="bottom"/>
            <w:hideMark/>
          </w:tcPr>
          <w:p w14:paraId="4CAEE3DA" w14:textId="410CB739" w:rsidR="00870548" w:rsidRPr="00870548" w:rsidRDefault="00870548" w:rsidP="00870548">
            <w:pPr>
              <w:jc w:val="center"/>
              <w:rPr>
                <w:sz w:val="20"/>
                <w:szCs w:val="20"/>
              </w:rPr>
            </w:pPr>
            <w:r w:rsidRPr="00870548">
              <w:rPr>
                <w:sz w:val="20"/>
                <w:szCs w:val="20"/>
              </w:rPr>
              <w:t>4</w:t>
            </w:r>
            <w:r w:rsidR="009E168F">
              <w:rPr>
                <w:sz w:val="20"/>
                <w:szCs w:val="20"/>
              </w:rPr>
              <w:t xml:space="preserve"> </w:t>
            </w:r>
            <w:r w:rsidRPr="00870548">
              <w:rPr>
                <w:sz w:val="20"/>
                <w:szCs w:val="20"/>
              </w:rPr>
              <w:t>782</w:t>
            </w:r>
          </w:p>
        </w:tc>
        <w:tc>
          <w:tcPr>
            <w:tcW w:w="1052" w:type="dxa"/>
            <w:shd w:val="clear" w:color="auto" w:fill="auto"/>
            <w:noWrap/>
            <w:vAlign w:val="bottom"/>
            <w:hideMark/>
          </w:tcPr>
          <w:p w14:paraId="6C67F0F1" w14:textId="4B6EE2FB" w:rsidR="00870548" w:rsidRPr="00870548" w:rsidRDefault="00870548" w:rsidP="00870548">
            <w:pPr>
              <w:jc w:val="center"/>
              <w:rPr>
                <w:sz w:val="20"/>
                <w:szCs w:val="20"/>
              </w:rPr>
            </w:pPr>
            <w:r w:rsidRPr="00870548">
              <w:rPr>
                <w:sz w:val="20"/>
                <w:szCs w:val="20"/>
              </w:rPr>
              <w:t>5</w:t>
            </w:r>
            <w:r w:rsidR="009E168F">
              <w:rPr>
                <w:sz w:val="20"/>
                <w:szCs w:val="20"/>
              </w:rPr>
              <w:t xml:space="preserve"> </w:t>
            </w:r>
            <w:r w:rsidRPr="00870548">
              <w:rPr>
                <w:sz w:val="20"/>
                <w:szCs w:val="20"/>
              </w:rPr>
              <w:t>090</w:t>
            </w:r>
          </w:p>
        </w:tc>
      </w:tr>
      <w:tr w:rsidR="00870548" w:rsidRPr="00870548" w14:paraId="71F9D484" w14:textId="77777777" w:rsidTr="00870548">
        <w:trPr>
          <w:trHeight w:val="300"/>
          <w:jc w:val="center"/>
        </w:trPr>
        <w:tc>
          <w:tcPr>
            <w:tcW w:w="4073" w:type="dxa"/>
            <w:shd w:val="clear" w:color="auto" w:fill="auto"/>
            <w:noWrap/>
            <w:vAlign w:val="center"/>
            <w:hideMark/>
          </w:tcPr>
          <w:p w14:paraId="2F8DDD46" w14:textId="2F6D7292" w:rsidR="00870548" w:rsidRPr="00870548" w:rsidRDefault="00870548" w:rsidP="00870548">
            <w:pPr>
              <w:rPr>
                <w:sz w:val="20"/>
                <w:szCs w:val="20"/>
              </w:rPr>
            </w:pPr>
            <w:r w:rsidRPr="00870548">
              <w:rPr>
                <w:sz w:val="20"/>
                <w:szCs w:val="20"/>
              </w:rPr>
              <w:t>Прогноз общего НДС</w:t>
            </w:r>
            <w:r>
              <w:rPr>
                <w:sz w:val="20"/>
                <w:szCs w:val="20"/>
              </w:rPr>
              <w:t xml:space="preserve">, </w:t>
            </w:r>
            <w:r w:rsidRPr="00870548">
              <w:rPr>
                <w:sz w:val="20"/>
                <w:szCs w:val="20"/>
              </w:rPr>
              <w:t>млрд</w:t>
            </w:r>
            <w:r>
              <w:rPr>
                <w:sz w:val="20"/>
                <w:szCs w:val="20"/>
              </w:rPr>
              <w:t xml:space="preserve"> </w:t>
            </w:r>
            <w:r w:rsidRPr="00870548">
              <w:rPr>
                <w:sz w:val="20"/>
                <w:szCs w:val="20"/>
              </w:rPr>
              <w:t>руб.</w:t>
            </w:r>
          </w:p>
        </w:tc>
        <w:tc>
          <w:tcPr>
            <w:tcW w:w="1062" w:type="dxa"/>
            <w:shd w:val="clear" w:color="auto" w:fill="auto"/>
            <w:noWrap/>
            <w:vAlign w:val="center"/>
            <w:hideMark/>
          </w:tcPr>
          <w:p w14:paraId="706E9181" w14:textId="77777777" w:rsidR="00870548" w:rsidRPr="00870548" w:rsidRDefault="00870548" w:rsidP="00870548">
            <w:pPr>
              <w:jc w:val="center"/>
              <w:rPr>
                <w:sz w:val="20"/>
                <w:szCs w:val="20"/>
              </w:rPr>
            </w:pPr>
          </w:p>
        </w:tc>
        <w:tc>
          <w:tcPr>
            <w:tcW w:w="1052" w:type="dxa"/>
            <w:shd w:val="clear" w:color="auto" w:fill="auto"/>
            <w:noWrap/>
            <w:vAlign w:val="center"/>
            <w:hideMark/>
          </w:tcPr>
          <w:p w14:paraId="5CD10237" w14:textId="77777777" w:rsidR="00870548" w:rsidRPr="00870548" w:rsidRDefault="00870548" w:rsidP="00870548">
            <w:pPr>
              <w:jc w:val="center"/>
              <w:rPr>
                <w:sz w:val="20"/>
                <w:szCs w:val="20"/>
              </w:rPr>
            </w:pPr>
          </w:p>
        </w:tc>
        <w:tc>
          <w:tcPr>
            <w:tcW w:w="1052" w:type="dxa"/>
            <w:shd w:val="clear" w:color="auto" w:fill="auto"/>
            <w:noWrap/>
            <w:vAlign w:val="bottom"/>
            <w:hideMark/>
          </w:tcPr>
          <w:p w14:paraId="594ED7AA" w14:textId="51B2DF9F" w:rsidR="00870548" w:rsidRPr="00870548" w:rsidRDefault="00870548" w:rsidP="00870548">
            <w:pPr>
              <w:jc w:val="center"/>
              <w:rPr>
                <w:sz w:val="20"/>
                <w:szCs w:val="20"/>
              </w:rPr>
            </w:pPr>
            <w:r w:rsidRPr="00870548">
              <w:rPr>
                <w:sz w:val="20"/>
                <w:szCs w:val="20"/>
              </w:rPr>
              <w:t>7</w:t>
            </w:r>
            <w:r w:rsidR="009E168F">
              <w:rPr>
                <w:sz w:val="20"/>
                <w:szCs w:val="20"/>
              </w:rPr>
              <w:t xml:space="preserve"> </w:t>
            </w:r>
            <w:r w:rsidRPr="00870548">
              <w:rPr>
                <w:sz w:val="20"/>
                <w:szCs w:val="20"/>
              </w:rPr>
              <w:t>492</w:t>
            </w:r>
          </w:p>
        </w:tc>
        <w:tc>
          <w:tcPr>
            <w:tcW w:w="1052" w:type="dxa"/>
            <w:shd w:val="clear" w:color="auto" w:fill="auto"/>
            <w:noWrap/>
            <w:vAlign w:val="bottom"/>
            <w:hideMark/>
          </w:tcPr>
          <w:p w14:paraId="40B46CE0" w14:textId="6C6415B5" w:rsidR="00870548" w:rsidRPr="00870548" w:rsidRDefault="00870548" w:rsidP="00870548">
            <w:pPr>
              <w:jc w:val="center"/>
              <w:rPr>
                <w:sz w:val="20"/>
                <w:szCs w:val="20"/>
              </w:rPr>
            </w:pPr>
            <w:r w:rsidRPr="00870548">
              <w:rPr>
                <w:sz w:val="20"/>
                <w:szCs w:val="20"/>
              </w:rPr>
              <w:t>7</w:t>
            </w:r>
            <w:r w:rsidR="009E168F">
              <w:rPr>
                <w:sz w:val="20"/>
                <w:szCs w:val="20"/>
              </w:rPr>
              <w:t xml:space="preserve"> </w:t>
            </w:r>
            <w:r w:rsidRPr="00870548">
              <w:rPr>
                <w:sz w:val="20"/>
                <w:szCs w:val="20"/>
              </w:rPr>
              <w:t>991</w:t>
            </w:r>
          </w:p>
        </w:tc>
        <w:tc>
          <w:tcPr>
            <w:tcW w:w="1052" w:type="dxa"/>
            <w:shd w:val="clear" w:color="auto" w:fill="auto"/>
            <w:noWrap/>
            <w:vAlign w:val="bottom"/>
            <w:hideMark/>
          </w:tcPr>
          <w:p w14:paraId="64C1983A" w14:textId="50759C89" w:rsidR="00870548" w:rsidRPr="00870548" w:rsidRDefault="00870548" w:rsidP="00870548">
            <w:pPr>
              <w:jc w:val="center"/>
              <w:rPr>
                <w:sz w:val="20"/>
                <w:szCs w:val="20"/>
              </w:rPr>
            </w:pPr>
            <w:r w:rsidRPr="00870548">
              <w:rPr>
                <w:sz w:val="20"/>
                <w:szCs w:val="20"/>
              </w:rPr>
              <w:t>8</w:t>
            </w:r>
            <w:r w:rsidR="009E168F">
              <w:rPr>
                <w:sz w:val="20"/>
                <w:szCs w:val="20"/>
              </w:rPr>
              <w:t xml:space="preserve"> </w:t>
            </w:r>
            <w:r w:rsidRPr="00870548">
              <w:rPr>
                <w:sz w:val="20"/>
                <w:szCs w:val="20"/>
              </w:rPr>
              <w:t>563</w:t>
            </w:r>
          </w:p>
        </w:tc>
      </w:tr>
      <w:tr w:rsidR="00870548" w:rsidRPr="00870548" w14:paraId="3BDD115B" w14:textId="77777777" w:rsidTr="00870548">
        <w:trPr>
          <w:trHeight w:val="300"/>
          <w:jc w:val="center"/>
        </w:trPr>
        <w:tc>
          <w:tcPr>
            <w:tcW w:w="4073" w:type="dxa"/>
            <w:shd w:val="clear" w:color="auto" w:fill="auto"/>
            <w:noWrap/>
            <w:vAlign w:val="center"/>
            <w:hideMark/>
          </w:tcPr>
          <w:p w14:paraId="185AB7ED" w14:textId="339E912B" w:rsidR="00870548" w:rsidRPr="00870548" w:rsidRDefault="00870548" w:rsidP="00870548">
            <w:pPr>
              <w:rPr>
                <w:sz w:val="20"/>
                <w:szCs w:val="20"/>
              </w:rPr>
            </w:pPr>
            <w:r w:rsidRPr="00870548">
              <w:rPr>
                <w:sz w:val="20"/>
                <w:szCs w:val="20"/>
              </w:rPr>
              <w:t>Прогноз внешнего НДС, % ВВП</w:t>
            </w:r>
          </w:p>
        </w:tc>
        <w:tc>
          <w:tcPr>
            <w:tcW w:w="1062" w:type="dxa"/>
            <w:shd w:val="clear" w:color="auto" w:fill="auto"/>
            <w:noWrap/>
            <w:vAlign w:val="bottom"/>
            <w:hideMark/>
          </w:tcPr>
          <w:p w14:paraId="6B4ECF32" w14:textId="77777777" w:rsidR="00870548" w:rsidRPr="00870548" w:rsidRDefault="00870548" w:rsidP="00870548">
            <w:pPr>
              <w:jc w:val="center"/>
              <w:rPr>
                <w:sz w:val="20"/>
                <w:szCs w:val="20"/>
              </w:rPr>
            </w:pPr>
          </w:p>
        </w:tc>
        <w:tc>
          <w:tcPr>
            <w:tcW w:w="1052" w:type="dxa"/>
            <w:shd w:val="clear" w:color="auto" w:fill="auto"/>
            <w:noWrap/>
            <w:vAlign w:val="bottom"/>
            <w:hideMark/>
          </w:tcPr>
          <w:p w14:paraId="496F91AC" w14:textId="77777777" w:rsidR="00870548" w:rsidRPr="00870548" w:rsidRDefault="00870548" w:rsidP="00870548">
            <w:pPr>
              <w:jc w:val="center"/>
              <w:rPr>
                <w:sz w:val="20"/>
                <w:szCs w:val="20"/>
              </w:rPr>
            </w:pPr>
          </w:p>
        </w:tc>
        <w:tc>
          <w:tcPr>
            <w:tcW w:w="1052" w:type="dxa"/>
            <w:shd w:val="clear" w:color="auto" w:fill="auto"/>
            <w:noWrap/>
            <w:vAlign w:val="bottom"/>
            <w:hideMark/>
          </w:tcPr>
          <w:p w14:paraId="58344B86" w14:textId="6533DCA9" w:rsidR="00870548" w:rsidRPr="00870548" w:rsidRDefault="00870548" w:rsidP="00870548">
            <w:pPr>
              <w:jc w:val="center"/>
              <w:rPr>
                <w:sz w:val="20"/>
                <w:szCs w:val="20"/>
              </w:rPr>
            </w:pPr>
            <w:r w:rsidRPr="00870548">
              <w:rPr>
                <w:sz w:val="20"/>
                <w:szCs w:val="20"/>
              </w:rPr>
              <w:t>2,6</w:t>
            </w:r>
          </w:p>
        </w:tc>
        <w:tc>
          <w:tcPr>
            <w:tcW w:w="1052" w:type="dxa"/>
            <w:shd w:val="clear" w:color="auto" w:fill="auto"/>
            <w:noWrap/>
            <w:vAlign w:val="bottom"/>
            <w:hideMark/>
          </w:tcPr>
          <w:p w14:paraId="69423DED" w14:textId="11A52886" w:rsidR="00870548" w:rsidRPr="00870548" w:rsidRDefault="00870548" w:rsidP="00870548">
            <w:pPr>
              <w:jc w:val="center"/>
              <w:rPr>
                <w:sz w:val="20"/>
                <w:szCs w:val="20"/>
              </w:rPr>
            </w:pPr>
            <w:r w:rsidRPr="00870548">
              <w:rPr>
                <w:sz w:val="20"/>
                <w:szCs w:val="20"/>
              </w:rPr>
              <w:t>2,7</w:t>
            </w:r>
          </w:p>
        </w:tc>
        <w:tc>
          <w:tcPr>
            <w:tcW w:w="1052" w:type="dxa"/>
            <w:shd w:val="clear" w:color="auto" w:fill="auto"/>
            <w:noWrap/>
            <w:vAlign w:val="bottom"/>
            <w:hideMark/>
          </w:tcPr>
          <w:p w14:paraId="2D4E9CAB" w14:textId="08104A17" w:rsidR="00870548" w:rsidRPr="00870548" w:rsidRDefault="00870548" w:rsidP="00870548">
            <w:pPr>
              <w:jc w:val="center"/>
              <w:rPr>
                <w:sz w:val="20"/>
                <w:szCs w:val="20"/>
              </w:rPr>
            </w:pPr>
            <w:r w:rsidRPr="00870548">
              <w:rPr>
                <w:sz w:val="20"/>
                <w:szCs w:val="20"/>
              </w:rPr>
              <w:t>2,7</w:t>
            </w:r>
          </w:p>
        </w:tc>
      </w:tr>
      <w:tr w:rsidR="00870548" w:rsidRPr="00870548" w14:paraId="40F472BB" w14:textId="77777777" w:rsidTr="00870548">
        <w:trPr>
          <w:trHeight w:val="300"/>
          <w:jc w:val="center"/>
        </w:trPr>
        <w:tc>
          <w:tcPr>
            <w:tcW w:w="4073" w:type="dxa"/>
            <w:shd w:val="clear" w:color="auto" w:fill="auto"/>
            <w:noWrap/>
            <w:vAlign w:val="center"/>
            <w:hideMark/>
          </w:tcPr>
          <w:p w14:paraId="2AEFA39B" w14:textId="73F70AAD" w:rsidR="00870548" w:rsidRPr="00870548" w:rsidRDefault="00870548" w:rsidP="00870548">
            <w:pPr>
              <w:rPr>
                <w:sz w:val="20"/>
                <w:szCs w:val="20"/>
              </w:rPr>
            </w:pPr>
            <w:r w:rsidRPr="00870548">
              <w:rPr>
                <w:sz w:val="20"/>
                <w:szCs w:val="20"/>
              </w:rPr>
              <w:t>Прогноз внутреннего НДС, % ВВП</w:t>
            </w:r>
          </w:p>
        </w:tc>
        <w:tc>
          <w:tcPr>
            <w:tcW w:w="1062" w:type="dxa"/>
            <w:shd w:val="clear" w:color="auto" w:fill="auto"/>
            <w:noWrap/>
            <w:vAlign w:val="bottom"/>
            <w:hideMark/>
          </w:tcPr>
          <w:p w14:paraId="46643917" w14:textId="77777777" w:rsidR="00870548" w:rsidRPr="00870548" w:rsidRDefault="00870548" w:rsidP="00870548">
            <w:pPr>
              <w:jc w:val="center"/>
              <w:rPr>
                <w:sz w:val="20"/>
                <w:szCs w:val="20"/>
              </w:rPr>
            </w:pPr>
          </w:p>
        </w:tc>
        <w:tc>
          <w:tcPr>
            <w:tcW w:w="1052" w:type="dxa"/>
            <w:shd w:val="clear" w:color="auto" w:fill="auto"/>
            <w:noWrap/>
            <w:vAlign w:val="bottom"/>
            <w:hideMark/>
          </w:tcPr>
          <w:p w14:paraId="0DEF01A6" w14:textId="77777777" w:rsidR="00870548" w:rsidRPr="00870548" w:rsidRDefault="00870548" w:rsidP="00870548">
            <w:pPr>
              <w:jc w:val="center"/>
              <w:rPr>
                <w:sz w:val="20"/>
                <w:szCs w:val="20"/>
              </w:rPr>
            </w:pPr>
          </w:p>
        </w:tc>
        <w:tc>
          <w:tcPr>
            <w:tcW w:w="1052" w:type="dxa"/>
            <w:shd w:val="clear" w:color="auto" w:fill="auto"/>
            <w:noWrap/>
            <w:vAlign w:val="bottom"/>
            <w:hideMark/>
          </w:tcPr>
          <w:p w14:paraId="251EEC10" w14:textId="67618322" w:rsidR="00870548" w:rsidRPr="00870548" w:rsidRDefault="00870548" w:rsidP="00870548">
            <w:pPr>
              <w:jc w:val="center"/>
              <w:rPr>
                <w:sz w:val="20"/>
                <w:szCs w:val="20"/>
              </w:rPr>
            </w:pPr>
            <w:r w:rsidRPr="00870548">
              <w:rPr>
                <w:sz w:val="20"/>
                <w:szCs w:val="20"/>
              </w:rPr>
              <w:t>4,0</w:t>
            </w:r>
          </w:p>
        </w:tc>
        <w:tc>
          <w:tcPr>
            <w:tcW w:w="1052" w:type="dxa"/>
            <w:shd w:val="clear" w:color="auto" w:fill="auto"/>
            <w:noWrap/>
            <w:vAlign w:val="bottom"/>
            <w:hideMark/>
          </w:tcPr>
          <w:p w14:paraId="2E52E27A" w14:textId="22F0ABF6" w:rsidR="00870548" w:rsidRPr="00870548" w:rsidRDefault="00870548" w:rsidP="00870548">
            <w:pPr>
              <w:jc w:val="center"/>
              <w:rPr>
                <w:sz w:val="20"/>
                <w:szCs w:val="20"/>
              </w:rPr>
            </w:pPr>
            <w:r w:rsidRPr="00870548">
              <w:rPr>
                <w:sz w:val="20"/>
                <w:szCs w:val="20"/>
              </w:rPr>
              <w:t>4,0</w:t>
            </w:r>
          </w:p>
        </w:tc>
        <w:tc>
          <w:tcPr>
            <w:tcW w:w="1052" w:type="dxa"/>
            <w:shd w:val="clear" w:color="auto" w:fill="auto"/>
            <w:noWrap/>
            <w:vAlign w:val="bottom"/>
            <w:hideMark/>
          </w:tcPr>
          <w:p w14:paraId="3CC732CB" w14:textId="0601B278" w:rsidR="00870548" w:rsidRPr="00870548" w:rsidRDefault="00870548" w:rsidP="00870548">
            <w:pPr>
              <w:jc w:val="center"/>
              <w:rPr>
                <w:sz w:val="20"/>
                <w:szCs w:val="20"/>
              </w:rPr>
            </w:pPr>
            <w:r w:rsidRPr="00870548">
              <w:rPr>
                <w:sz w:val="20"/>
                <w:szCs w:val="20"/>
              </w:rPr>
              <w:t>4,0</w:t>
            </w:r>
          </w:p>
        </w:tc>
      </w:tr>
      <w:tr w:rsidR="00870548" w:rsidRPr="00870548" w14:paraId="449FD4DA" w14:textId="77777777" w:rsidTr="00870548">
        <w:trPr>
          <w:trHeight w:val="300"/>
          <w:jc w:val="center"/>
        </w:trPr>
        <w:tc>
          <w:tcPr>
            <w:tcW w:w="4073" w:type="dxa"/>
            <w:shd w:val="clear" w:color="auto" w:fill="auto"/>
            <w:noWrap/>
            <w:vAlign w:val="center"/>
            <w:hideMark/>
          </w:tcPr>
          <w:p w14:paraId="7CE259BB" w14:textId="77777777" w:rsidR="00870548" w:rsidRPr="00870548" w:rsidRDefault="00870548" w:rsidP="00870548">
            <w:pPr>
              <w:rPr>
                <w:sz w:val="20"/>
                <w:szCs w:val="20"/>
              </w:rPr>
            </w:pPr>
            <w:r w:rsidRPr="00870548">
              <w:rPr>
                <w:sz w:val="20"/>
                <w:szCs w:val="20"/>
              </w:rPr>
              <w:t>Прогноз общего НДС, % ВВП</w:t>
            </w:r>
          </w:p>
        </w:tc>
        <w:tc>
          <w:tcPr>
            <w:tcW w:w="1062" w:type="dxa"/>
            <w:shd w:val="clear" w:color="auto" w:fill="auto"/>
            <w:noWrap/>
            <w:vAlign w:val="bottom"/>
            <w:hideMark/>
          </w:tcPr>
          <w:p w14:paraId="1299470F" w14:textId="77777777" w:rsidR="00870548" w:rsidRPr="00870548" w:rsidRDefault="00870548" w:rsidP="00870548">
            <w:pPr>
              <w:jc w:val="center"/>
              <w:rPr>
                <w:sz w:val="20"/>
                <w:szCs w:val="20"/>
              </w:rPr>
            </w:pPr>
          </w:p>
        </w:tc>
        <w:tc>
          <w:tcPr>
            <w:tcW w:w="1052" w:type="dxa"/>
            <w:shd w:val="clear" w:color="auto" w:fill="auto"/>
            <w:noWrap/>
            <w:vAlign w:val="bottom"/>
            <w:hideMark/>
          </w:tcPr>
          <w:p w14:paraId="1D47C220" w14:textId="77777777" w:rsidR="00870548" w:rsidRPr="00870548" w:rsidRDefault="00870548" w:rsidP="00870548">
            <w:pPr>
              <w:jc w:val="center"/>
              <w:rPr>
                <w:sz w:val="20"/>
                <w:szCs w:val="20"/>
              </w:rPr>
            </w:pPr>
          </w:p>
        </w:tc>
        <w:tc>
          <w:tcPr>
            <w:tcW w:w="1052" w:type="dxa"/>
            <w:shd w:val="clear" w:color="auto" w:fill="auto"/>
            <w:noWrap/>
            <w:vAlign w:val="bottom"/>
            <w:hideMark/>
          </w:tcPr>
          <w:p w14:paraId="64EEF786" w14:textId="0A285E9E" w:rsidR="00870548" w:rsidRPr="00870548" w:rsidRDefault="00870548" w:rsidP="00870548">
            <w:pPr>
              <w:jc w:val="center"/>
              <w:rPr>
                <w:sz w:val="20"/>
                <w:szCs w:val="20"/>
              </w:rPr>
            </w:pPr>
            <w:r w:rsidRPr="00870548">
              <w:rPr>
                <w:sz w:val="20"/>
                <w:szCs w:val="20"/>
              </w:rPr>
              <w:t>6,6</w:t>
            </w:r>
          </w:p>
        </w:tc>
        <w:tc>
          <w:tcPr>
            <w:tcW w:w="1052" w:type="dxa"/>
            <w:shd w:val="clear" w:color="auto" w:fill="auto"/>
            <w:noWrap/>
            <w:vAlign w:val="bottom"/>
            <w:hideMark/>
          </w:tcPr>
          <w:p w14:paraId="3E9ACED5" w14:textId="49C28FA4" w:rsidR="00870548" w:rsidRPr="00870548" w:rsidRDefault="00870548" w:rsidP="00870548">
            <w:pPr>
              <w:jc w:val="center"/>
              <w:rPr>
                <w:sz w:val="20"/>
                <w:szCs w:val="20"/>
              </w:rPr>
            </w:pPr>
            <w:r w:rsidRPr="00870548">
              <w:rPr>
                <w:sz w:val="20"/>
                <w:szCs w:val="20"/>
              </w:rPr>
              <w:t>6,6</w:t>
            </w:r>
          </w:p>
        </w:tc>
        <w:tc>
          <w:tcPr>
            <w:tcW w:w="1052" w:type="dxa"/>
            <w:shd w:val="clear" w:color="auto" w:fill="auto"/>
            <w:noWrap/>
            <w:vAlign w:val="bottom"/>
            <w:hideMark/>
          </w:tcPr>
          <w:p w14:paraId="53FDA495" w14:textId="480D61EA" w:rsidR="00870548" w:rsidRPr="00870548" w:rsidRDefault="00870548" w:rsidP="00870548">
            <w:pPr>
              <w:jc w:val="center"/>
              <w:rPr>
                <w:sz w:val="20"/>
                <w:szCs w:val="20"/>
              </w:rPr>
            </w:pPr>
            <w:r w:rsidRPr="00870548">
              <w:rPr>
                <w:sz w:val="20"/>
                <w:szCs w:val="20"/>
              </w:rPr>
              <w:t>6,7</w:t>
            </w:r>
          </w:p>
        </w:tc>
      </w:tr>
    </w:tbl>
    <w:p w14:paraId="42B5782D" w14:textId="46BCABE8" w:rsidR="00870548" w:rsidRPr="00870548" w:rsidRDefault="00870548" w:rsidP="00870548">
      <w:pPr>
        <w:spacing w:after="60"/>
        <w:ind w:firstLine="709"/>
        <w:jc w:val="both"/>
        <w:rPr>
          <w:sz w:val="20"/>
        </w:rPr>
      </w:pPr>
      <w:r w:rsidRPr="003A7722">
        <w:rPr>
          <w:i/>
          <w:sz w:val="20"/>
        </w:rPr>
        <w:t>Источник</w:t>
      </w:r>
      <w:r w:rsidRPr="00870548">
        <w:rPr>
          <w:sz w:val="20"/>
        </w:rPr>
        <w:t>: Росказна</w:t>
      </w:r>
      <w:r w:rsidR="00EA264C">
        <w:rPr>
          <w:sz w:val="20"/>
        </w:rPr>
        <w:t>, Проект бюджета, расчеты ИЭП/</w:t>
      </w:r>
      <w:r w:rsidR="006C5A4B" w:rsidRPr="00870548">
        <w:rPr>
          <w:sz w:val="20"/>
        </w:rPr>
        <w:t>РАНХ</w:t>
      </w:r>
      <w:r w:rsidR="006C5A4B">
        <w:rPr>
          <w:sz w:val="20"/>
        </w:rPr>
        <w:t>и</w:t>
      </w:r>
      <w:r w:rsidR="006C5A4B" w:rsidRPr="00870548">
        <w:rPr>
          <w:sz w:val="20"/>
        </w:rPr>
        <w:t>ГС</w:t>
      </w:r>
      <w:r>
        <w:rPr>
          <w:sz w:val="20"/>
        </w:rPr>
        <w:t>.</w:t>
      </w:r>
    </w:p>
    <w:p w14:paraId="46D02D0A" w14:textId="77777777" w:rsidR="00870548" w:rsidRDefault="00870548" w:rsidP="00870548">
      <w:pPr>
        <w:spacing w:after="60"/>
        <w:ind w:firstLine="709"/>
        <w:jc w:val="both"/>
      </w:pPr>
      <w:r>
        <w:t>Для достижения показателей, заложенных в проекте бюджета, собираемость должна будет еще вырасти к 2020 году на 1,5-2 п.п., что в целом потенциально реализуемо.</w:t>
      </w:r>
    </w:p>
    <w:p w14:paraId="63CCF9C0" w14:textId="77777777" w:rsidR="00DC4E99" w:rsidRPr="00EC4546" w:rsidRDefault="00DC4E99" w:rsidP="00DC4E99">
      <w:pPr>
        <w:spacing w:before="120" w:after="60"/>
        <w:ind w:firstLine="709"/>
        <w:jc w:val="both"/>
        <w:rPr>
          <w:rFonts w:eastAsia="Calibri"/>
          <w:i/>
          <w:lang w:eastAsia="en-US"/>
        </w:rPr>
      </w:pPr>
      <w:r w:rsidRPr="00EC4546">
        <w:rPr>
          <w:rFonts w:eastAsia="Calibri"/>
          <w:i/>
          <w:lang w:eastAsia="en-US"/>
        </w:rPr>
        <w:t>Акцизы</w:t>
      </w:r>
    </w:p>
    <w:p w14:paraId="3B5CB88B" w14:textId="40A4E0F2" w:rsidR="00870548" w:rsidRPr="0067174A" w:rsidRDefault="00870548" w:rsidP="00870548">
      <w:pPr>
        <w:spacing w:after="60"/>
        <w:ind w:firstLine="709"/>
        <w:jc w:val="both"/>
        <w:rPr>
          <w:szCs w:val="28"/>
        </w:rPr>
      </w:pPr>
      <w:r>
        <w:rPr>
          <w:szCs w:val="28"/>
        </w:rPr>
        <w:t>По акцизам на алкогольную продукцию п</w:t>
      </w:r>
      <w:r w:rsidRPr="0067174A">
        <w:rPr>
          <w:szCs w:val="28"/>
        </w:rPr>
        <w:t>рогноз, приведенный в проекте бюджета, в целом представляется завышенным, за счет оптими</w:t>
      </w:r>
      <w:r w:rsidR="00BF3C2F">
        <w:rPr>
          <w:szCs w:val="28"/>
        </w:rPr>
        <w:t>стичного прогноза по базе в 2020</w:t>
      </w:r>
      <w:r w:rsidRPr="0067174A">
        <w:rPr>
          <w:szCs w:val="28"/>
        </w:rPr>
        <w:t xml:space="preserve">-2022 годы. Соответственно доходы в проекте </w:t>
      </w:r>
      <w:r w:rsidR="00BF3C2F">
        <w:rPr>
          <w:szCs w:val="28"/>
        </w:rPr>
        <w:t>бюджета превышают прогнозы ИЭП/</w:t>
      </w:r>
      <w:r w:rsidRPr="0067174A">
        <w:rPr>
          <w:szCs w:val="28"/>
        </w:rPr>
        <w:t>РАНХиГС</w:t>
      </w:r>
      <w:r w:rsidR="006C5A4B">
        <w:rPr>
          <w:szCs w:val="28"/>
        </w:rPr>
        <w:t xml:space="preserve"> (</w:t>
      </w:r>
      <w:r w:rsidR="006C5A4B" w:rsidRPr="003A7722">
        <w:rPr>
          <w:i/>
          <w:szCs w:val="28"/>
        </w:rPr>
        <w:t xml:space="preserve">таблица </w:t>
      </w:r>
      <w:r w:rsidR="00C84D38">
        <w:rPr>
          <w:i/>
          <w:noProof/>
        </w:rPr>
        <w:t>5</w:t>
      </w:r>
      <w:r w:rsidR="006C5A4B">
        <w:rPr>
          <w:szCs w:val="28"/>
        </w:rPr>
        <w:t>)</w:t>
      </w:r>
      <w:r w:rsidR="00BF3C2F">
        <w:rPr>
          <w:szCs w:val="28"/>
        </w:rPr>
        <w:t>. По прогнозу ИЭП/</w:t>
      </w:r>
      <w:r w:rsidRPr="0067174A">
        <w:rPr>
          <w:szCs w:val="28"/>
        </w:rPr>
        <w:t>РАНХиГС</w:t>
      </w:r>
      <w:r w:rsidR="006C5A4B">
        <w:rPr>
          <w:szCs w:val="28"/>
        </w:rPr>
        <w:t>,</w:t>
      </w:r>
      <w:r w:rsidRPr="0067174A">
        <w:rPr>
          <w:szCs w:val="28"/>
        </w:rPr>
        <w:t xml:space="preserve"> доходы консолидированного бюджета в 2020 – 2022 годы составят порядка 0</w:t>
      </w:r>
      <w:r w:rsidR="006C5A4B">
        <w:rPr>
          <w:szCs w:val="28"/>
        </w:rPr>
        <w:t>,</w:t>
      </w:r>
      <w:r>
        <w:rPr>
          <w:szCs w:val="28"/>
        </w:rPr>
        <w:t>0</w:t>
      </w:r>
      <w:r w:rsidRPr="0067174A">
        <w:rPr>
          <w:szCs w:val="28"/>
        </w:rPr>
        <w:t>2% ВВП, а федерального бюджета – 0</w:t>
      </w:r>
      <w:r w:rsidR="006C5A4B">
        <w:rPr>
          <w:szCs w:val="28"/>
        </w:rPr>
        <w:t>,</w:t>
      </w:r>
      <w:r w:rsidR="003A7722">
        <w:rPr>
          <w:szCs w:val="28"/>
        </w:rPr>
        <w:t>05% ВВП.</w:t>
      </w:r>
    </w:p>
    <w:p w14:paraId="0522B79C" w14:textId="5BF69D16" w:rsidR="00870548" w:rsidRPr="003A7722" w:rsidRDefault="00870548" w:rsidP="003A7722">
      <w:pPr>
        <w:spacing w:line="360" w:lineRule="auto"/>
        <w:ind w:firstLine="709"/>
        <w:jc w:val="right"/>
        <w:rPr>
          <w:i/>
          <w:szCs w:val="28"/>
        </w:rPr>
      </w:pPr>
      <w:r w:rsidRPr="003A7722">
        <w:rPr>
          <w:i/>
          <w:szCs w:val="28"/>
        </w:rPr>
        <w:t>Таблица</w:t>
      </w:r>
      <w:r w:rsidR="006C5A4B">
        <w:rPr>
          <w:i/>
          <w:szCs w:val="28"/>
        </w:rPr>
        <w:t xml:space="preserve"> </w:t>
      </w:r>
      <w:bookmarkStart w:id="10" w:name="_Ref21339439"/>
      <w:r w:rsidR="00C84D38">
        <w:rPr>
          <w:i/>
          <w:noProof/>
        </w:rPr>
        <w:t>5</w:t>
      </w:r>
      <w:bookmarkEnd w:id="10"/>
    </w:p>
    <w:p w14:paraId="6F207327" w14:textId="326C7073" w:rsidR="00870548" w:rsidRPr="003A7722" w:rsidRDefault="00870548" w:rsidP="003A7722">
      <w:pPr>
        <w:spacing w:after="60"/>
        <w:jc w:val="center"/>
        <w:rPr>
          <w:b/>
          <w:szCs w:val="28"/>
        </w:rPr>
      </w:pPr>
      <w:r w:rsidRPr="003A7722">
        <w:rPr>
          <w:b/>
          <w:szCs w:val="28"/>
        </w:rPr>
        <w:t>Прогноз рынка и доходов бюджета</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993"/>
        <w:gridCol w:w="992"/>
        <w:gridCol w:w="897"/>
        <w:gridCol w:w="898"/>
        <w:gridCol w:w="898"/>
      </w:tblGrid>
      <w:tr w:rsidR="00870548" w:rsidRPr="00870548" w14:paraId="732F55F5" w14:textId="77777777" w:rsidTr="009E168F">
        <w:trPr>
          <w:trHeight w:val="300"/>
          <w:tblHeader/>
        </w:trPr>
        <w:tc>
          <w:tcPr>
            <w:tcW w:w="4536" w:type="dxa"/>
            <w:shd w:val="clear" w:color="auto" w:fill="auto"/>
            <w:noWrap/>
            <w:vAlign w:val="bottom"/>
            <w:hideMark/>
          </w:tcPr>
          <w:p w14:paraId="4AEE8405" w14:textId="77777777" w:rsidR="00870548" w:rsidRPr="00870548" w:rsidRDefault="00870548" w:rsidP="00870548">
            <w:pPr>
              <w:spacing w:after="60"/>
              <w:rPr>
                <w:color w:val="000000"/>
                <w:sz w:val="20"/>
                <w:szCs w:val="20"/>
              </w:rPr>
            </w:pPr>
          </w:p>
        </w:tc>
        <w:tc>
          <w:tcPr>
            <w:tcW w:w="993" w:type="dxa"/>
            <w:shd w:val="clear" w:color="auto" w:fill="auto"/>
            <w:noWrap/>
            <w:vAlign w:val="center"/>
            <w:hideMark/>
          </w:tcPr>
          <w:p w14:paraId="3B4BA08A" w14:textId="64A3C76E" w:rsidR="00870548" w:rsidRPr="00870548" w:rsidRDefault="00870548" w:rsidP="00870548">
            <w:pPr>
              <w:spacing w:after="60"/>
              <w:jc w:val="center"/>
              <w:rPr>
                <w:b/>
                <w:bCs/>
                <w:color w:val="000000"/>
                <w:sz w:val="20"/>
                <w:szCs w:val="20"/>
              </w:rPr>
            </w:pPr>
            <w:r w:rsidRPr="00870548">
              <w:rPr>
                <w:b/>
                <w:bCs/>
                <w:color w:val="000000"/>
                <w:sz w:val="20"/>
                <w:szCs w:val="20"/>
              </w:rPr>
              <w:t>2018</w:t>
            </w:r>
            <w:r>
              <w:rPr>
                <w:b/>
                <w:bCs/>
                <w:color w:val="000000"/>
                <w:sz w:val="20"/>
                <w:szCs w:val="20"/>
              </w:rPr>
              <w:t xml:space="preserve"> г.</w:t>
            </w:r>
            <w:r w:rsidRPr="00870548">
              <w:rPr>
                <w:b/>
                <w:bCs/>
                <w:color w:val="000000"/>
                <w:sz w:val="20"/>
                <w:szCs w:val="20"/>
              </w:rPr>
              <w:t xml:space="preserve"> факт</w:t>
            </w:r>
          </w:p>
        </w:tc>
        <w:tc>
          <w:tcPr>
            <w:tcW w:w="992" w:type="dxa"/>
            <w:shd w:val="clear" w:color="auto" w:fill="auto"/>
            <w:noWrap/>
            <w:vAlign w:val="center"/>
            <w:hideMark/>
          </w:tcPr>
          <w:p w14:paraId="5F5A971D" w14:textId="45086E5A" w:rsidR="00870548" w:rsidRPr="00870548" w:rsidRDefault="00870548" w:rsidP="00870548">
            <w:pPr>
              <w:spacing w:after="60"/>
              <w:jc w:val="center"/>
              <w:rPr>
                <w:b/>
                <w:bCs/>
                <w:color w:val="000000"/>
                <w:sz w:val="20"/>
                <w:szCs w:val="20"/>
              </w:rPr>
            </w:pPr>
            <w:r w:rsidRPr="00870548">
              <w:rPr>
                <w:b/>
                <w:bCs/>
                <w:color w:val="000000"/>
                <w:sz w:val="20"/>
                <w:szCs w:val="20"/>
              </w:rPr>
              <w:t>2019</w:t>
            </w:r>
            <w:r>
              <w:rPr>
                <w:b/>
                <w:bCs/>
                <w:color w:val="000000"/>
                <w:sz w:val="20"/>
                <w:szCs w:val="20"/>
              </w:rPr>
              <w:t xml:space="preserve"> г. </w:t>
            </w:r>
            <w:r w:rsidRPr="00870548">
              <w:rPr>
                <w:b/>
                <w:bCs/>
                <w:color w:val="000000"/>
                <w:sz w:val="20"/>
                <w:szCs w:val="20"/>
              </w:rPr>
              <w:t>прогноз</w:t>
            </w:r>
          </w:p>
        </w:tc>
        <w:tc>
          <w:tcPr>
            <w:tcW w:w="897" w:type="dxa"/>
            <w:shd w:val="clear" w:color="auto" w:fill="auto"/>
            <w:noWrap/>
            <w:vAlign w:val="center"/>
            <w:hideMark/>
          </w:tcPr>
          <w:p w14:paraId="31640A3A" w14:textId="65689964" w:rsidR="00870548" w:rsidRPr="00870548" w:rsidRDefault="00870548" w:rsidP="00870548">
            <w:pPr>
              <w:spacing w:after="60"/>
              <w:jc w:val="center"/>
              <w:rPr>
                <w:b/>
                <w:bCs/>
                <w:color w:val="000000"/>
                <w:sz w:val="20"/>
                <w:szCs w:val="20"/>
              </w:rPr>
            </w:pPr>
            <w:r w:rsidRPr="00870548">
              <w:rPr>
                <w:b/>
                <w:bCs/>
                <w:color w:val="000000"/>
                <w:sz w:val="20"/>
                <w:szCs w:val="20"/>
              </w:rPr>
              <w:t>2020</w:t>
            </w:r>
            <w:r>
              <w:rPr>
                <w:b/>
                <w:bCs/>
                <w:color w:val="000000"/>
                <w:sz w:val="20"/>
                <w:szCs w:val="20"/>
              </w:rPr>
              <w:t xml:space="preserve"> г.</w:t>
            </w:r>
          </w:p>
        </w:tc>
        <w:tc>
          <w:tcPr>
            <w:tcW w:w="898" w:type="dxa"/>
            <w:shd w:val="clear" w:color="auto" w:fill="auto"/>
            <w:noWrap/>
            <w:vAlign w:val="center"/>
            <w:hideMark/>
          </w:tcPr>
          <w:p w14:paraId="65E932FA" w14:textId="247BE66F" w:rsidR="00870548" w:rsidRPr="00870548" w:rsidRDefault="00870548" w:rsidP="00870548">
            <w:pPr>
              <w:spacing w:after="60"/>
              <w:jc w:val="center"/>
              <w:rPr>
                <w:b/>
                <w:bCs/>
                <w:color w:val="000000"/>
                <w:sz w:val="20"/>
                <w:szCs w:val="20"/>
              </w:rPr>
            </w:pPr>
            <w:r w:rsidRPr="00870548">
              <w:rPr>
                <w:b/>
                <w:bCs/>
                <w:color w:val="000000"/>
                <w:sz w:val="20"/>
                <w:szCs w:val="20"/>
              </w:rPr>
              <w:t>202</w:t>
            </w:r>
            <w:r>
              <w:rPr>
                <w:b/>
                <w:bCs/>
                <w:color w:val="000000"/>
                <w:sz w:val="20"/>
                <w:szCs w:val="20"/>
              </w:rPr>
              <w:t>1 г.</w:t>
            </w:r>
          </w:p>
        </w:tc>
        <w:tc>
          <w:tcPr>
            <w:tcW w:w="898" w:type="dxa"/>
            <w:shd w:val="clear" w:color="auto" w:fill="auto"/>
            <w:noWrap/>
            <w:vAlign w:val="center"/>
            <w:hideMark/>
          </w:tcPr>
          <w:p w14:paraId="3E558DD7" w14:textId="1925C273" w:rsidR="00870548" w:rsidRPr="00870548" w:rsidRDefault="00870548" w:rsidP="00870548">
            <w:pPr>
              <w:spacing w:after="60"/>
              <w:jc w:val="center"/>
              <w:rPr>
                <w:b/>
                <w:bCs/>
                <w:color w:val="000000"/>
                <w:sz w:val="20"/>
                <w:szCs w:val="20"/>
              </w:rPr>
            </w:pPr>
            <w:r w:rsidRPr="00870548">
              <w:rPr>
                <w:b/>
                <w:bCs/>
                <w:color w:val="000000"/>
                <w:sz w:val="20"/>
                <w:szCs w:val="20"/>
              </w:rPr>
              <w:t>2022</w:t>
            </w:r>
            <w:r>
              <w:rPr>
                <w:b/>
                <w:bCs/>
                <w:color w:val="000000"/>
                <w:sz w:val="20"/>
                <w:szCs w:val="20"/>
              </w:rPr>
              <w:t xml:space="preserve"> г.</w:t>
            </w:r>
          </w:p>
        </w:tc>
      </w:tr>
      <w:tr w:rsidR="00870548" w:rsidRPr="00870548" w14:paraId="08FC471A" w14:textId="77777777" w:rsidTr="009E168F">
        <w:trPr>
          <w:trHeight w:val="300"/>
        </w:trPr>
        <w:tc>
          <w:tcPr>
            <w:tcW w:w="4536" w:type="dxa"/>
            <w:shd w:val="clear" w:color="auto" w:fill="auto"/>
            <w:noWrap/>
            <w:vAlign w:val="bottom"/>
            <w:hideMark/>
          </w:tcPr>
          <w:p w14:paraId="7A018492" w14:textId="40440644" w:rsidR="00870548" w:rsidRPr="00870548" w:rsidRDefault="00870548" w:rsidP="00DC4E99">
            <w:pPr>
              <w:spacing w:after="60"/>
              <w:rPr>
                <w:color w:val="000000"/>
                <w:sz w:val="20"/>
                <w:szCs w:val="20"/>
              </w:rPr>
            </w:pPr>
            <w:r w:rsidRPr="00870548">
              <w:rPr>
                <w:color w:val="000000"/>
                <w:sz w:val="20"/>
                <w:szCs w:val="20"/>
              </w:rPr>
              <w:t>ВВП, млрд</w:t>
            </w:r>
            <w:r>
              <w:rPr>
                <w:color w:val="000000"/>
                <w:sz w:val="20"/>
                <w:szCs w:val="20"/>
              </w:rPr>
              <w:t xml:space="preserve"> </w:t>
            </w:r>
            <w:r w:rsidRPr="00870548">
              <w:rPr>
                <w:color w:val="000000"/>
                <w:sz w:val="20"/>
                <w:szCs w:val="20"/>
              </w:rPr>
              <w:t>руб.</w:t>
            </w:r>
          </w:p>
        </w:tc>
        <w:tc>
          <w:tcPr>
            <w:tcW w:w="993" w:type="dxa"/>
            <w:shd w:val="clear" w:color="auto" w:fill="auto"/>
            <w:noWrap/>
            <w:vAlign w:val="center"/>
            <w:hideMark/>
          </w:tcPr>
          <w:p w14:paraId="2747DCE3" w14:textId="08A4886B" w:rsidR="00870548" w:rsidRPr="00870548" w:rsidRDefault="00870548" w:rsidP="00870548">
            <w:pPr>
              <w:spacing w:after="60"/>
              <w:jc w:val="center"/>
              <w:rPr>
                <w:sz w:val="20"/>
                <w:szCs w:val="20"/>
              </w:rPr>
            </w:pPr>
            <w:r w:rsidRPr="00870548">
              <w:rPr>
                <w:sz w:val="20"/>
                <w:szCs w:val="20"/>
              </w:rPr>
              <w:t>103</w:t>
            </w:r>
            <w:r w:rsidR="009E168F">
              <w:rPr>
                <w:sz w:val="20"/>
                <w:szCs w:val="20"/>
              </w:rPr>
              <w:t xml:space="preserve"> </w:t>
            </w:r>
            <w:r w:rsidRPr="00870548">
              <w:rPr>
                <w:sz w:val="20"/>
                <w:szCs w:val="20"/>
              </w:rPr>
              <w:t>876</w:t>
            </w:r>
          </w:p>
        </w:tc>
        <w:tc>
          <w:tcPr>
            <w:tcW w:w="992" w:type="dxa"/>
            <w:shd w:val="clear" w:color="auto" w:fill="auto"/>
            <w:noWrap/>
            <w:vAlign w:val="center"/>
            <w:hideMark/>
          </w:tcPr>
          <w:p w14:paraId="0AF1B015" w14:textId="75297B90" w:rsidR="00870548" w:rsidRPr="00870548" w:rsidRDefault="00870548" w:rsidP="00870548">
            <w:pPr>
              <w:spacing w:after="60"/>
              <w:jc w:val="center"/>
              <w:rPr>
                <w:sz w:val="20"/>
                <w:szCs w:val="20"/>
              </w:rPr>
            </w:pPr>
            <w:r w:rsidRPr="00870548">
              <w:rPr>
                <w:sz w:val="20"/>
                <w:szCs w:val="20"/>
              </w:rPr>
              <w:t>108</w:t>
            </w:r>
            <w:r w:rsidR="009E168F">
              <w:rPr>
                <w:sz w:val="20"/>
                <w:szCs w:val="20"/>
              </w:rPr>
              <w:t xml:space="preserve"> </w:t>
            </w:r>
            <w:r w:rsidRPr="00870548">
              <w:rPr>
                <w:sz w:val="20"/>
                <w:szCs w:val="20"/>
              </w:rPr>
              <w:t>414</w:t>
            </w:r>
          </w:p>
        </w:tc>
        <w:tc>
          <w:tcPr>
            <w:tcW w:w="897" w:type="dxa"/>
            <w:shd w:val="clear" w:color="auto" w:fill="auto"/>
            <w:noWrap/>
            <w:vAlign w:val="center"/>
            <w:hideMark/>
          </w:tcPr>
          <w:p w14:paraId="74FCD145" w14:textId="1446AB95" w:rsidR="00870548" w:rsidRPr="00870548" w:rsidRDefault="00870548" w:rsidP="00870548">
            <w:pPr>
              <w:spacing w:after="60"/>
              <w:jc w:val="center"/>
              <w:rPr>
                <w:sz w:val="20"/>
                <w:szCs w:val="20"/>
              </w:rPr>
            </w:pPr>
            <w:r w:rsidRPr="00870548">
              <w:rPr>
                <w:sz w:val="20"/>
                <w:szCs w:val="20"/>
              </w:rPr>
              <w:t>112</w:t>
            </w:r>
            <w:r w:rsidR="009E168F">
              <w:rPr>
                <w:sz w:val="20"/>
                <w:szCs w:val="20"/>
              </w:rPr>
              <w:t xml:space="preserve"> </w:t>
            </w:r>
            <w:r w:rsidRPr="00870548">
              <w:rPr>
                <w:sz w:val="20"/>
                <w:szCs w:val="20"/>
              </w:rPr>
              <w:t>863</w:t>
            </w:r>
          </w:p>
        </w:tc>
        <w:tc>
          <w:tcPr>
            <w:tcW w:w="898" w:type="dxa"/>
            <w:shd w:val="clear" w:color="auto" w:fill="auto"/>
            <w:noWrap/>
            <w:vAlign w:val="center"/>
            <w:hideMark/>
          </w:tcPr>
          <w:p w14:paraId="21F53463" w14:textId="75145A47" w:rsidR="00870548" w:rsidRPr="00870548" w:rsidRDefault="00870548" w:rsidP="00870548">
            <w:pPr>
              <w:spacing w:after="60"/>
              <w:jc w:val="center"/>
              <w:rPr>
                <w:sz w:val="20"/>
                <w:szCs w:val="20"/>
              </w:rPr>
            </w:pPr>
            <w:r w:rsidRPr="00870548">
              <w:rPr>
                <w:sz w:val="20"/>
                <w:szCs w:val="20"/>
              </w:rPr>
              <w:t>120</w:t>
            </w:r>
            <w:r w:rsidR="009E168F">
              <w:rPr>
                <w:sz w:val="20"/>
                <w:szCs w:val="20"/>
              </w:rPr>
              <w:t xml:space="preserve"> </w:t>
            </w:r>
            <w:r w:rsidRPr="00870548">
              <w:rPr>
                <w:sz w:val="20"/>
                <w:szCs w:val="20"/>
              </w:rPr>
              <w:t>364</w:t>
            </w:r>
          </w:p>
        </w:tc>
        <w:tc>
          <w:tcPr>
            <w:tcW w:w="898" w:type="dxa"/>
            <w:shd w:val="clear" w:color="auto" w:fill="auto"/>
            <w:noWrap/>
            <w:vAlign w:val="center"/>
            <w:hideMark/>
          </w:tcPr>
          <w:p w14:paraId="56E7783B" w14:textId="23350FF4" w:rsidR="00870548" w:rsidRPr="00870548" w:rsidRDefault="00870548" w:rsidP="00870548">
            <w:pPr>
              <w:spacing w:after="60"/>
              <w:jc w:val="center"/>
              <w:rPr>
                <w:sz w:val="20"/>
                <w:szCs w:val="20"/>
              </w:rPr>
            </w:pPr>
            <w:r w:rsidRPr="00870548">
              <w:rPr>
                <w:sz w:val="20"/>
                <w:szCs w:val="20"/>
              </w:rPr>
              <w:t>128</w:t>
            </w:r>
            <w:r w:rsidR="009E168F">
              <w:rPr>
                <w:sz w:val="20"/>
                <w:szCs w:val="20"/>
              </w:rPr>
              <w:t xml:space="preserve"> </w:t>
            </w:r>
            <w:r w:rsidRPr="00870548">
              <w:rPr>
                <w:sz w:val="20"/>
                <w:szCs w:val="20"/>
              </w:rPr>
              <w:t>508</w:t>
            </w:r>
          </w:p>
        </w:tc>
      </w:tr>
      <w:tr w:rsidR="00870548" w:rsidRPr="00870548" w14:paraId="49783361" w14:textId="77777777" w:rsidTr="009E168F">
        <w:trPr>
          <w:trHeight w:val="300"/>
        </w:trPr>
        <w:tc>
          <w:tcPr>
            <w:tcW w:w="4536" w:type="dxa"/>
            <w:shd w:val="clear" w:color="auto" w:fill="auto"/>
            <w:noWrap/>
            <w:vAlign w:val="bottom"/>
            <w:hideMark/>
          </w:tcPr>
          <w:p w14:paraId="514077DA" w14:textId="77777777" w:rsidR="00870548" w:rsidRPr="00870548" w:rsidRDefault="00870548" w:rsidP="00870548">
            <w:pPr>
              <w:spacing w:after="60"/>
              <w:rPr>
                <w:color w:val="000000"/>
                <w:sz w:val="20"/>
                <w:szCs w:val="20"/>
              </w:rPr>
            </w:pPr>
            <w:r w:rsidRPr="00870548">
              <w:rPr>
                <w:color w:val="000000"/>
                <w:sz w:val="20"/>
                <w:szCs w:val="20"/>
              </w:rPr>
              <w:t>Реальные располагаемые доходы</w:t>
            </w:r>
          </w:p>
        </w:tc>
        <w:tc>
          <w:tcPr>
            <w:tcW w:w="993" w:type="dxa"/>
            <w:shd w:val="clear" w:color="auto" w:fill="auto"/>
            <w:noWrap/>
            <w:vAlign w:val="center"/>
            <w:hideMark/>
          </w:tcPr>
          <w:p w14:paraId="3142C402" w14:textId="77777777" w:rsidR="00870548" w:rsidRPr="00870548" w:rsidRDefault="00870548" w:rsidP="00870548">
            <w:pPr>
              <w:spacing w:after="60"/>
              <w:jc w:val="center"/>
              <w:rPr>
                <w:color w:val="000000"/>
                <w:sz w:val="20"/>
                <w:szCs w:val="20"/>
              </w:rPr>
            </w:pPr>
            <w:r w:rsidRPr="00870548">
              <w:rPr>
                <w:color w:val="000000"/>
                <w:sz w:val="20"/>
                <w:szCs w:val="20"/>
              </w:rPr>
              <w:t>100</w:t>
            </w:r>
          </w:p>
        </w:tc>
        <w:tc>
          <w:tcPr>
            <w:tcW w:w="992" w:type="dxa"/>
            <w:shd w:val="clear" w:color="auto" w:fill="auto"/>
            <w:noWrap/>
            <w:vAlign w:val="center"/>
            <w:hideMark/>
          </w:tcPr>
          <w:p w14:paraId="69664416" w14:textId="77777777" w:rsidR="00870548" w:rsidRPr="00870548" w:rsidRDefault="00870548" w:rsidP="00870548">
            <w:pPr>
              <w:spacing w:after="60"/>
              <w:jc w:val="center"/>
              <w:rPr>
                <w:color w:val="000000"/>
                <w:sz w:val="20"/>
                <w:szCs w:val="20"/>
              </w:rPr>
            </w:pPr>
            <w:r w:rsidRPr="00870548">
              <w:rPr>
                <w:color w:val="000000"/>
                <w:sz w:val="20"/>
                <w:szCs w:val="20"/>
              </w:rPr>
              <w:t>100,1</w:t>
            </w:r>
          </w:p>
        </w:tc>
        <w:tc>
          <w:tcPr>
            <w:tcW w:w="897" w:type="dxa"/>
            <w:shd w:val="clear" w:color="auto" w:fill="auto"/>
            <w:noWrap/>
            <w:vAlign w:val="center"/>
            <w:hideMark/>
          </w:tcPr>
          <w:p w14:paraId="134EE526" w14:textId="77777777" w:rsidR="00870548" w:rsidRPr="00870548" w:rsidRDefault="00870548" w:rsidP="00870548">
            <w:pPr>
              <w:spacing w:after="60"/>
              <w:jc w:val="center"/>
              <w:rPr>
                <w:color w:val="000000"/>
                <w:sz w:val="20"/>
                <w:szCs w:val="20"/>
              </w:rPr>
            </w:pPr>
            <w:r w:rsidRPr="00870548">
              <w:rPr>
                <w:color w:val="000000"/>
                <w:sz w:val="20"/>
                <w:szCs w:val="20"/>
              </w:rPr>
              <w:t>101,5</w:t>
            </w:r>
          </w:p>
        </w:tc>
        <w:tc>
          <w:tcPr>
            <w:tcW w:w="898" w:type="dxa"/>
            <w:shd w:val="clear" w:color="auto" w:fill="auto"/>
            <w:noWrap/>
            <w:vAlign w:val="center"/>
            <w:hideMark/>
          </w:tcPr>
          <w:p w14:paraId="54B99E86" w14:textId="77777777" w:rsidR="00870548" w:rsidRPr="00870548" w:rsidRDefault="00870548" w:rsidP="00870548">
            <w:pPr>
              <w:spacing w:after="60"/>
              <w:jc w:val="center"/>
              <w:rPr>
                <w:color w:val="000000"/>
                <w:sz w:val="20"/>
                <w:szCs w:val="20"/>
              </w:rPr>
            </w:pPr>
            <w:r w:rsidRPr="00870548">
              <w:rPr>
                <w:color w:val="000000"/>
                <w:sz w:val="20"/>
                <w:szCs w:val="20"/>
              </w:rPr>
              <w:t>102,2</w:t>
            </w:r>
          </w:p>
        </w:tc>
        <w:tc>
          <w:tcPr>
            <w:tcW w:w="898" w:type="dxa"/>
            <w:shd w:val="clear" w:color="auto" w:fill="auto"/>
            <w:noWrap/>
            <w:vAlign w:val="center"/>
            <w:hideMark/>
          </w:tcPr>
          <w:p w14:paraId="70034B9A" w14:textId="77777777" w:rsidR="00870548" w:rsidRPr="00870548" w:rsidRDefault="00870548" w:rsidP="00870548">
            <w:pPr>
              <w:spacing w:after="60"/>
              <w:jc w:val="center"/>
              <w:rPr>
                <w:color w:val="000000"/>
                <w:sz w:val="20"/>
                <w:szCs w:val="20"/>
              </w:rPr>
            </w:pPr>
            <w:r w:rsidRPr="00870548">
              <w:rPr>
                <w:color w:val="000000"/>
                <w:sz w:val="20"/>
                <w:szCs w:val="20"/>
              </w:rPr>
              <w:t>102,3</w:t>
            </w:r>
          </w:p>
        </w:tc>
      </w:tr>
      <w:tr w:rsidR="00870548" w:rsidRPr="00870548" w14:paraId="57E2627C" w14:textId="77777777" w:rsidTr="009E168F">
        <w:trPr>
          <w:trHeight w:val="300"/>
        </w:trPr>
        <w:tc>
          <w:tcPr>
            <w:tcW w:w="4536" w:type="dxa"/>
            <w:shd w:val="clear" w:color="auto" w:fill="auto"/>
            <w:noWrap/>
            <w:vAlign w:val="bottom"/>
            <w:hideMark/>
          </w:tcPr>
          <w:p w14:paraId="2357E163" w14:textId="0CB145A8" w:rsidR="00870548" w:rsidRPr="00870548" w:rsidRDefault="00870548" w:rsidP="003A7722">
            <w:pPr>
              <w:spacing w:after="60"/>
              <w:jc w:val="both"/>
              <w:rPr>
                <w:color w:val="000000"/>
                <w:sz w:val="20"/>
                <w:szCs w:val="20"/>
              </w:rPr>
            </w:pPr>
            <w:r w:rsidRPr="00870548">
              <w:rPr>
                <w:color w:val="000000"/>
                <w:sz w:val="20"/>
                <w:szCs w:val="20"/>
              </w:rPr>
              <w:t>Численность населения в трудоспособном возрасте и старше, млн</w:t>
            </w:r>
            <w:r>
              <w:rPr>
                <w:color w:val="000000"/>
                <w:sz w:val="20"/>
                <w:szCs w:val="20"/>
              </w:rPr>
              <w:t xml:space="preserve"> </w:t>
            </w:r>
            <w:r w:rsidRPr="00870548">
              <w:rPr>
                <w:color w:val="000000"/>
                <w:sz w:val="20"/>
                <w:szCs w:val="20"/>
              </w:rPr>
              <w:t>чел.</w:t>
            </w:r>
          </w:p>
        </w:tc>
        <w:tc>
          <w:tcPr>
            <w:tcW w:w="993" w:type="dxa"/>
            <w:shd w:val="clear" w:color="auto" w:fill="auto"/>
            <w:noWrap/>
            <w:vAlign w:val="center"/>
            <w:hideMark/>
          </w:tcPr>
          <w:p w14:paraId="7D6E61F0" w14:textId="77777777" w:rsidR="00870548" w:rsidRPr="00870548" w:rsidRDefault="00870548" w:rsidP="00870548">
            <w:pPr>
              <w:spacing w:after="60"/>
              <w:jc w:val="center"/>
              <w:rPr>
                <w:color w:val="000000"/>
                <w:sz w:val="20"/>
                <w:szCs w:val="20"/>
              </w:rPr>
            </w:pPr>
            <w:r w:rsidRPr="00870548">
              <w:rPr>
                <w:color w:val="000000"/>
                <w:sz w:val="20"/>
                <w:szCs w:val="20"/>
              </w:rPr>
              <w:t>119,5</w:t>
            </w:r>
          </w:p>
        </w:tc>
        <w:tc>
          <w:tcPr>
            <w:tcW w:w="992" w:type="dxa"/>
            <w:shd w:val="clear" w:color="auto" w:fill="auto"/>
            <w:noWrap/>
            <w:vAlign w:val="center"/>
            <w:hideMark/>
          </w:tcPr>
          <w:p w14:paraId="0EB01F43" w14:textId="77777777" w:rsidR="00870548" w:rsidRPr="00870548" w:rsidRDefault="00870548" w:rsidP="00870548">
            <w:pPr>
              <w:spacing w:after="60"/>
              <w:jc w:val="center"/>
              <w:rPr>
                <w:color w:val="000000"/>
                <w:sz w:val="20"/>
                <w:szCs w:val="20"/>
              </w:rPr>
            </w:pPr>
            <w:r w:rsidRPr="00870548">
              <w:rPr>
                <w:color w:val="000000"/>
                <w:sz w:val="20"/>
                <w:szCs w:val="20"/>
              </w:rPr>
              <w:t>119,3</w:t>
            </w:r>
          </w:p>
        </w:tc>
        <w:tc>
          <w:tcPr>
            <w:tcW w:w="897" w:type="dxa"/>
            <w:shd w:val="clear" w:color="auto" w:fill="auto"/>
            <w:noWrap/>
            <w:vAlign w:val="center"/>
            <w:hideMark/>
          </w:tcPr>
          <w:p w14:paraId="15AC168C" w14:textId="77777777" w:rsidR="00870548" w:rsidRPr="00870548" w:rsidRDefault="00870548" w:rsidP="00870548">
            <w:pPr>
              <w:spacing w:after="60"/>
              <w:jc w:val="center"/>
              <w:rPr>
                <w:color w:val="000000"/>
                <w:sz w:val="20"/>
                <w:szCs w:val="20"/>
              </w:rPr>
            </w:pPr>
            <w:r w:rsidRPr="00870548">
              <w:rPr>
                <w:color w:val="000000"/>
                <w:sz w:val="20"/>
                <w:szCs w:val="20"/>
              </w:rPr>
              <w:t>119,5</w:t>
            </w:r>
          </w:p>
        </w:tc>
        <w:tc>
          <w:tcPr>
            <w:tcW w:w="898" w:type="dxa"/>
            <w:shd w:val="clear" w:color="auto" w:fill="auto"/>
            <w:noWrap/>
            <w:vAlign w:val="center"/>
            <w:hideMark/>
          </w:tcPr>
          <w:p w14:paraId="05E9BE19" w14:textId="77777777" w:rsidR="00870548" w:rsidRPr="00870548" w:rsidRDefault="00870548" w:rsidP="00870548">
            <w:pPr>
              <w:spacing w:after="60"/>
              <w:jc w:val="center"/>
              <w:rPr>
                <w:color w:val="000000"/>
                <w:sz w:val="20"/>
                <w:szCs w:val="20"/>
              </w:rPr>
            </w:pPr>
            <w:r w:rsidRPr="00870548">
              <w:rPr>
                <w:color w:val="000000"/>
                <w:sz w:val="20"/>
                <w:szCs w:val="20"/>
              </w:rPr>
              <w:t>119,7</w:t>
            </w:r>
          </w:p>
        </w:tc>
        <w:tc>
          <w:tcPr>
            <w:tcW w:w="898" w:type="dxa"/>
            <w:shd w:val="clear" w:color="auto" w:fill="auto"/>
            <w:noWrap/>
            <w:vAlign w:val="center"/>
            <w:hideMark/>
          </w:tcPr>
          <w:p w14:paraId="732E7243" w14:textId="77777777" w:rsidR="00870548" w:rsidRPr="00870548" w:rsidRDefault="00870548" w:rsidP="00870548">
            <w:pPr>
              <w:spacing w:after="60"/>
              <w:jc w:val="center"/>
              <w:rPr>
                <w:color w:val="000000"/>
                <w:sz w:val="20"/>
                <w:szCs w:val="20"/>
              </w:rPr>
            </w:pPr>
            <w:r w:rsidRPr="00870548">
              <w:rPr>
                <w:color w:val="000000"/>
                <w:sz w:val="20"/>
                <w:szCs w:val="20"/>
              </w:rPr>
              <w:t>120</w:t>
            </w:r>
          </w:p>
        </w:tc>
      </w:tr>
      <w:tr w:rsidR="00870548" w:rsidRPr="00870548" w14:paraId="466257CD" w14:textId="77777777" w:rsidTr="009E168F">
        <w:trPr>
          <w:trHeight w:val="300"/>
        </w:trPr>
        <w:tc>
          <w:tcPr>
            <w:tcW w:w="4536" w:type="dxa"/>
            <w:shd w:val="clear" w:color="auto" w:fill="auto"/>
            <w:noWrap/>
            <w:vAlign w:val="bottom"/>
            <w:hideMark/>
          </w:tcPr>
          <w:p w14:paraId="22E9097D" w14:textId="77777777" w:rsidR="00870548" w:rsidRPr="00870548" w:rsidRDefault="00870548" w:rsidP="00870548">
            <w:pPr>
              <w:spacing w:after="60"/>
              <w:rPr>
                <w:color w:val="000000"/>
                <w:sz w:val="20"/>
                <w:szCs w:val="20"/>
              </w:rPr>
            </w:pPr>
            <w:r w:rsidRPr="00870548">
              <w:rPr>
                <w:color w:val="000000"/>
                <w:sz w:val="20"/>
                <w:szCs w:val="20"/>
              </w:rPr>
              <w:t>Ставка акциза руб. за 1 л безводного спирта</w:t>
            </w:r>
          </w:p>
        </w:tc>
        <w:tc>
          <w:tcPr>
            <w:tcW w:w="993" w:type="dxa"/>
            <w:shd w:val="clear" w:color="auto" w:fill="auto"/>
            <w:noWrap/>
            <w:vAlign w:val="bottom"/>
            <w:hideMark/>
          </w:tcPr>
          <w:p w14:paraId="611DBD1A" w14:textId="77777777" w:rsidR="00870548" w:rsidRPr="00870548" w:rsidRDefault="00870548" w:rsidP="00870548">
            <w:pPr>
              <w:spacing w:after="60"/>
              <w:jc w:val="center"/>
              <w:rPr>
                <w:color w:val="000000"/>
                <w:sz w:val="20"/>
                <w:szCs w:val="20"/>
              </w:rPr>
            </w:pPr>
            <w:r w:rsidRPr="00870548">
              <w:rPr>
                <w:color w:val="000000"/>
                <w:sz w:val="20"/>
                <w:szCs w:val="20"/>
              </w:rPr>
              <w:t>523</w:t>
            </w:r>
          </w:p>
        </w:tc>
        <w:tc>
          <w:tcPr>
            <w:tcW w:w="992" w:type="dxa"/>
            <w:shd w:val="clear" w:color="auto" w:fill="auto"/>
            <w:noWrap/>
            <w:vAlign w:val="bottom"/>
            <w:hideMark/>
          </w:tcPr>
          <w:p w14:paraId="4CEC6D3B" w14:textId="77777777" w:rsidR="00870548" w:rsidRPr="00870548" w:rsidRDefault="00870548" w:rsidP="00870548">
            <w:pPr>
              <w:spacing w:after="60"/>
              <w:jc w:val="center"/>
              <w:rPr>
                <w:color w:val="000000"/>
                <w:sz w:val="20"/>
                <w:szCs w:val="20"/>
              </w:rPr>
            </w:pPr>
            <w:r w:rsidRPr="00870548">
              <w:rPr>
                <w:color w:val="000000"/>
                <w:sz w:val="20"/>
                <w:szCs w:val="20"/>
              </w:rPr>
              <w:t>523</w:t>
            </w:r>
          </w:p>
        </w:tc>
        <w:tc>
          <w:tcPr>
            <w:tcW w:w="897" w:type="dxa"/>
            <w:shd w:val="clear" w:color="auto" w:fill="auto"/>
            <w:noWrap/>
            <w:vAlign w:val="bottom"/>
            <w:hideMark/>
          </w:tcPr>
          <w:p w14:paraId="252741A8" w14:textId="77777777" w:rsidR="00870548" w:rsidRPr="00870548" w:rsidRDefault="00870548" w:rsidP="00870548">
            <w:pPr>
              <w:spacing w:after="60"/>
              <w:jc w:val="center"/>
              <w:rPr>
                <w:color w:val="000000"/>
                <w:sz w:val="20"/>
                <w:szCs w:val="20"/>
              </w:rPr>
            </w:pPr>
            <w:r w:rsidRPr="00870548">
              <w:rPr>
                <w:color w:val="000000"/>
                <w:sz w:val="20"/>
                <w:szCs w:val="20"/>
              </w:rPr>
              <w:t>544</w:t>
            </w:r>
          </w:p>
        </w:tc>
        <w:tc>
          <w:tcPr>
            <w:tcW w:w="898" w:type="dxa"/>
            <w:shd w:val="clear" w:color="auto" w:fill="auto"/>
            <w:noWrap/>
            <w:vAlign w:val="bottom"/>
            <w:hideMark/>
          </w:tcPr>
          <w:p w14:paraId="6E0E9FF9" w14:textId="77777777" w:rsidR="00870548" w:rsidRPr="00870548" w:rsidRDefault="00870548" w:rsidP="00870548">
            <w:pPr>
              <w:spacing w:after="60"/>
              <w:jc w:val="center"/>
              <w:rPr>
                <w:color w:val="000000"/>
                <w:sz w:val="20"/>
                <w:szCs w:val="20"/>
              </w:rPr>
            </w:pPr>
            <w:r w:rsidRPr="00870548">
              <w:rPr>
                <w:color w:val="000000"/>
                <w:sz w:val="20"/>
                <w:szCs w:val="20"/>
              </w:rPr>
              <w:t>566</w:t>
            </w:r>
          </w:p>
        </w:tc>
        <w:tc>
          <w:tcPr>
            <w:tcW w:w="898" w:type="dxa"/>
            <w:shd w:val="clear" w:color="auto" w:fill="auto"/>
            <w:noWrap/>
            <w:vAlign w:val="bottom"/>
            <w:hideMark/>
          </w:tcPr>
          <w:p w14:paraId="421BFA69" w14:textId="77777777" w:rsidR="00870548" w:rsidRPr="00870548" w:rsidRDefault="00870548" w:rsidP="00870548">
            <w:pPr>
              <w:spacing w:after="60"/>
              <w:jc w:val="center"/>
              <w:rPr>
                <w:color w:val="000000"/>
                <w:sz w:val="20"/>
                <w:szCs w:val="20"/>
              </w:rPr>
            </w:pPr>
            <w:r w:rsidRPr="00870548">
              <w:rPr>
                <w:color w:val="000000"/>
                <w:sz w:val="20"/>
                <w:szCs w:val="20"/>
              </w:rPr>
              <w:t>589</w:t>
            </w:r>
          </w:p>
        </w:tc>
      </w:tr>
      <w:tr w:rsidR="00870548" w:rsidRPr="00870548" w14:paraId="02DF91B1" w14:textId="77777777" w:rsidTr="009E168F">
        <w:trPr>
          <w:trHeight w:val="300"/>
        </w:trPr>
        <w:tc>
          <w:tcPr>
            <w:tcW w:w="4536" w:type="dxa"/>
            <w:shd w:val="clear" w:color="auto" w:fill="auto"/>
            <w:noWrap/>
            <w:vAlign w:val="bottom"/>
            <w:hideMark/>
          </w:tcPr>
          <w:p w14:paraId="45CF1C27" w14:textId="07CA078A" w:rsidR="00870548" w:rsidRPr="00870548" w:rsidRDefault="00870548" w:rsidP="00DC4E99">
            <w:pPr>
              <w:spacing w:after="60"/>
              <w:rPr>
                <w:color w:val="000000"/>
                <w:sz w:val="20"/>
                <w:szCs w:val="20"/>
              </w:rPr>
            </w:pPr>
            <w:r w:rsidRPr="00870548">
              <w:rPr>
                <w:color w:val="000000"/>
                <w:sz w:val="20"/>
                <w:szCs w:val="20"/>
              </w:rPr>
              <w:t>Общее потребление (налоговая база</w:t>
            </w:r>
            <w:r w:rsidR="006C5A4B">
              <w:rPr>
                <w:color w:val="000000"/>
                <w:sz w:val="20"/>
                <w:szCs w:val="20"/>
              </w:rPr>
              <w:t>,</w:t>
            </w:r>
            <w:r w:rsidRPr="00870548">
              <w:rPr>
                <w:color w:val="000000"/>
                <w:sz w:val="20"/>
                <w:szCs w:val="20"/>
              </w:rPr>
              <w:t xml:space="preserve"> млн</w:t>
            </w:r>
            <w:r>
              <w:rPr>
                <w:color w:val="000000"/>
                <w:sz w:val="20"/>
                <w:szCs w:val="20"/>
              </w:rPr>
              <w:t xml:space="preserve"> </w:t>
            </w:r>
            <w:r w:rsidRPr="00870548">
              <w:rPr>
                <w:color w:val="000000"/>
                <w:sz w:val="20"/>
                <w:szCs w:val="20"/>
              </w:rPr>
              <w:t xml:space="preserve">дкл.) </w:t>
            </w:r>
          </w:p>
        </w:tc>
        <w:tc>
          <w:tcPr>
            <w:tcW w:w="993" w:type="dxa"/>
            <w:shd w:val="clear" w:color="auto" w:fill="auto"/>
            <w:noWrap/>
            <w:vAlign w:val="center"/>
            <w:hideMark/>
          </w:tcPr>
          <w:p w14:paraId="3577E55A" w14:textId="77777777" w:rsidR="00870548" w:rsidRPr="00870548" w:rsidRDefault="00870548" w:rsidP="00870548">
            <w:pPr>
              <w:spacing w:after="60"/>
              <w:jc w:val="center"/>
              <w:rPr>
                <w:color w:val="000000"/>
                <w:sz w:val="20"/>
                <w:szCs w:val="20"/>
              </w:rPr>
            </w:pPr>
            <w:r w:rsidRPr="00870548">
              <w:rPr>
                <w:color w:val="000000"/>
                <w:sz w:val="20"/>
                <w:szCs w:val="20"/>
              </w:rPr>
              <w:t>94,8</w:t>
            </w:r>
          </w:p>
        </w:tc>
        <w:tc>
          <w:tcPr>
            <w:tcW w:w="992" w:type="dxa"/>
            <w:shd w:val="clear" w:color="auto" w:fill="auto"/>
            <w:noWrap/>
            <w:vAlign w:val="center"/>
            <w:hideMark/>
          </w:tcPr>
          <w:p w14:paraId="53A677B9" w14:textId="77777777" w:rsidR="00870548" w:rsidRPr="00870548" w:rsidRDefault="00870548" w:rsidP="00870548">
            <w:pPr>
              <w:spacing w:after="60"/>
              <w:jc w:val="center"/>
              <w:rPr>
                <w:color w:val="000000"/>
                <w:sz w:val="20"/>
                <w:szCs w:val="20"/>
              </w:rPr>
            </w:pPr>
            <w:r w:rsidRPr="00870548">
              <w:rPr>
                <w:color w:val="000000"/>
                <w:sz w:val="20"/>
                <w:szCs w:val="20"/>
              </w:rPr>
              <w:t>91,9</w:t>
            </w:r>
          </w:p>
        </w:tc>
        <w:tc>
          <w:tcPr>
            <w:tcW w:w="897" w:type="dxa"/>
            <w:shd w:val="clear" w:color="auto" w:fill="auto"/>
            <w:noWrap/>
            <w:vAlign w:val="center"/>
            <w:hideMark/>
          </w:tcPr>
          <w:p w14:paraId="344BDFBB" w14:textId="77777777" w:rsidR="00870548" w:rsidRPr="00870548" w:rsidRDefault="00870548" w:rsidP="00870548">
            <w:pPr>
              <w:spacing w:after="60"/>
              <w:jc w:val="center"/>
              <w:rPr>
                <w:color w:val="000000"/>
                <w:sz w:val="20"/>
                <w:szCs w:val="20"/>
              </w:rPr>
            </w:pPr>
            <w:r w:rsidRPr="00870548">
              <w:rPr>
                <w:color w:val="000000"/>
                <w:sz w:val="20"/>
                <w:szCs w:val="20"/>
              </w:rPr>
              <w:t>91,4</w:t>
            </w:r>
          </w:p>
        </w:tc>
        <w:tc>
          <w:tcPr>
            <w:tcW w:w="898" w:type="dxa"/>
            <w:shd w:val="clear" w:color="auto" w:fill="auto"/>
            <w:noWrap/>
            <w:vAlign w:val="center"/>
            <w:hideMark/>
          </w:tcPr>
          <w:p w14:paraId="5DD2D582" w14:textId="77777777" w:rsidR="00870548" w:rsidRPr="00870548" w:rsidRDefault="00870548" w:rsidP="00870548">
            <w:pPr>
              <w:spacing w:after="60"/>
              <w:jc w:val="center"/>
              <w:rPr>
                <w:color w:val="000000"/>
                <w:sz w:val="20"/>
                <w:szCs w:val="20"/>
              </w:rPr>
            </w:pPr>
            <w:r w:rsidRPr="00870548">
              <w:rPr>
                <w:color w:val="000000"/>
                <w:sz w:val="20"/>
                <w:szCs w:val="20"/>
              </w:rPr>
              <w:t>91,4</w:t>
            </w:r>
          </w:p>
        </w:tc>
        <w:tc>
          <w:tcPr>
            <w:tcW w:w="898" w:type="dxa"/>
            <w:shd w:val="clear" w:color="auto" w:fill="auto"/>
            <w:noWrap/>
            <w:vAlign w:val="center"/>
            <w:hideMark/>
          </w:tcPr>
          <w:p w14:paraId="7C55CE7D" w14:textId="77777777" w:rsidR="00870548" w:rsidRPr="00870548" w:rsidRDefault="00870548" w:rsidP="00870548">
            <w:pPr>
              <w:spacing w:after="60"/>
              <w:jc w:val="center"/>
              <w:rPr>
                <w:color w:val="000000"/>
                <w:sz w:val="20"/>
                <w:szCs w:val="20"/>
              </w:rPr>
            </w:pPr>
            <w:r w:rsidRPr="00870548">
              <w:rPr>
                <w:color w:val="000000"/>
                <w:sz w:val="20"/>
                <w:szCs w:val="20"/>
              </w:rPr>
              <w:t>91,6</w:t>
            </w:r>
          </w:p>
        </w:tc>
      </w:tr>
      <w:tr w:rsidR="00870548" w:rsidRPr="00870548" w14:paraId="33EEEF62" w14:textId="77777777" w:rsidTr="009E168F">
        <w:trPr>
          <w:trHeight w:val="81"/>
        </w:trPr>
        <w:tc>
          <w:tcPr>
            <w:tcW w:w="4536" w:type="dxa"/>
            <w:shd w:val="clear" w:color="auto" w:fill="auto"/>
            <w:noWrap/>
            <w:vAlign w:val="bottom"/>
            <w:hideMark/>
          </w:tcPr>
          <w:p w14:paraId="55E4E594" w14:textId="6C8FF3E0" w:rsidR="00870548" w:rsidRPr="00870548" w:rsidRDefault="00870548" w:rsidP="00870548">
            <w:pPr>
              <w:spacing w:after="60"/>
              <w:rPr>
                <w:color w:val="000000"/>
                <w:sz w:val="20"/>
                <w:szCs w:val="20"/>
              </w:rPr>
            </w:pPr>
            <w:r w:rsidRPr="00870548">
              <w:rPr>
                <w:color w:val="000000"/>
                <w:sz w:val="20"/>
                <w:szCs w:val="20"/>
              </w:rPr>
              <w:t>Доходы консолидированного бюджета, млрд</w:t>
            </w:r>
            <w:r>
              <w:rPr>
                <w:color w:val="000000"/>
                <w:sz w:val="20"/>
                <w:szCs w:val="20"/>
              </w:rPr>
              <w:t xml:space="preserve"> </w:t>
            </w:r>
            <w:r w:rsidRPr="00870548">
              <w:rPr>
                <w:color w:val="000000"/>
                <w:sz w:val="20"/>
                <w:szCs w:val="20"/>
              </w:rPr>
              <w:t>руб.</w:t>
            </w:r>
          </w:p>
        </w:tc>
        <w:tc>
          <w:tcPr>
            <w:tcW w:w="993" w:type="dxa"/>
            <w:shd w:val="clear" w:color="auto" w:fill="auto"/>
            <w:noWrap/>
            <w:vAlign w:val="center"/>
            <w:hideMark/>
          </w:tcPr>
          <w:p w14:paraId="49483409" w14:textId="77777777" w:rsidR="00870548" w:rsidRPr="00870548" w:rsidRDefault="00870548" w:rsidP="00870548">
            <w:pPr>
              <w:spacing w:after="60"/>
              <w:jc w:val="center"/>
              <w:rPr>
                <w:color w:val="000000"/>
                <w:sz w:val="20"/>
                <w:szCs w:val="20"/>
              </w:rPr>
            </w:pPr>
            <w:r w:rsidRPr="00870548">
              <w:rPr>
                <w:color w:val="000000"/>
                <w:sz w:val="20"/>
                <w:szCs w:val="20"/>
              </w:rPr>
              <w:t>211,5</w:t>
            </w:r>
          </w:p>
        </w:tc>
        <w:tc>
          <w:tcPr>
            <w:tcW w:w="992" w:type="dxa"/>
            <w:shd w:val="clear" w:color="auto" w:fill="auto"/>
            <w:noWrap/>
            <w:vAlign w:val="center"/>
            <w:hideMark/>
          </w:tcPr>
          <w:p w14:paraId="720122DF" w14:textId="77777777" w:rsidR="00870548" w:rsidRPr="00870548" w:rsidRDefault="00870548" w:rsidP="00870548">
            <w:pPr>
              <w:spacing w:after="60"/>
              <w:jc w:val="center"/>
              <w:rPr>
                <w:color w:val="000000"/>
                <w:sz w:val="20"/>
                <w:szCs w:val="20"/>
              </w:rPr>
            </w:pPr>
            <w:r w:rsidRPr="00870548">
              <w:rPr>
                <w:color w:val="000000"/>
                <w:sz w:val="20"/>
                <w:szCs w:val="20"/>
              </w:rPr>
              <w:t>205,0</w:t>
            </w:r>
          </w:p>
        </w:tc>
        <w:tc>
          <w:tcPr>
            <w:tcW w:w="897" w:type="dxa"/>
            <w:shd w:val="clear" w:color="auto" w:fill="auto"/>
            <w:noWrap/>
            <w:vAlign w:val="center"/>
            <w:hideMark/>
          </w:tcPr>
          <w:p w14:paraId="30A3AA8A" w14:textId="77777777" w:rsidR="00870548" w:rsidRPr="00870548" w:rsidRDefault="00870548" w:rsidP="00870548">
            <w:pPr>
              <w:spacing w:after="60"/>
              <w:jc w:val="center"/>
              <w:rPr>
                <w:color w:val="000000"/>
                <w:sz w:val="20"/>
                <w:szCs w:val="20"/>
              </w:rPr>
            </w:pPr>
            <w:r w:rsidRPr="00870548">
              <w:rPr>
                <w:color w:val="000000"/>
                <w:sz w:val="20"/>
                <w:szCs w:val="20"/>
              </w:rPr>
              <w:t>212,1</w:t>
            </w:r>
          </w:p>
        </w:tc>
        <w:tc>
          <w:tcPr>
            <w:tcW w:w="898" w:type="dxa"/>
            <w:shd w:val="clear" w:color="auto" w:fill="auto"/>
            <w:noWrap/>
            <w:vAlign w:val="center"/>
            <w:hideMark/>
          </w:tcPr>
          <w:p w14:paraId="11D24EC5" w14:textId="77777777" w:rsidR="00870548" w:rsidRPr="00870548" w:rsidRDefault="00870548" w:rsidP="00870548">
            <w:pPr>
              <w:spacing w:after="60"/>
              <w:jc w:val="center"/>
              <w:rPr>
                <w:color w:val="000000"/>
                <w:sz w:val="20"/>
                <w:szCs w:val="20"/>
              </w:rPr>
            </w:pPr>
            <w:r w:rsidRPr="00870548">
              <w:rPr>
                <w:color w:val="000000"/>
                <w:sz w:val="20"/>
                <w:szCs w:val="20"/>
              </w:rPr>
              <w:t>220,8</w:t>
            </w:r>
          </w:p>
        </w:tc>
        <w:tc>
          <w:tcPr>
            <w:tcW w:w="898" w:type="dxa"/>
            <w:shd w:val="clear" w:color="auto" w:fill="auto"/>
            <w:noWrap/>
            <w:vAlign w:val="center"/>
            <w:hideMark/>
          </w:tcPr>
          <w:p w14:paraId="4C249EDA" w14:textId="77777777" w:rsidR="00870548" w:rsidRPr="00870548" w:rsidRDefault="00870548" w:rsidP="00870548">
            <w:pPr>
              <w:spacing w:after="60"/>
              <w:jc w:val="center"/>
              <w:rPr>
                <w:color w:val="000000"/>
                <w:sz w:val="20"/>
                <w:szCs w:val="20"/>
              </w:rPr>
            </w:pPr>
            <w:r w:rsidRPr="00870548">
              <w:rPr>
                <w:color w:val="000000"/>
                <w:sz w:val="20"/>
                <w:szCs w:val="20"/>
              </w:rPr>
              <w:t>237,9</w:t>
            </w:r>
          </w:p>
        </w:tc>
      </w:tr>
      <w:tr w:rsidR="00870548" w:rsidRPr="00870548" w14:paraId="54BF410D" w14:textId="77777777" w:rsidTr="009E168F">
        <w:trPr>
          <w:trHeight w:val="290"/>
        </w:trPr>
        <w:tc>
          <w:tcPr>
            <w:tcW w:w="4536" w:type="dxa"/>
            <w:shd w:val="clear" w:color="auto" w:fill="auto"/>
            <w:noWrap/>
            <w:vAlign w:val="center"/>
            <w:hideMark/>
          </w:tcPr>
          <w:p w14:paraId="70624270" w14:textId="698BC1CC" w:rsidR="00870548" w:rsidRPr="00870548" w:rsidRDefault="00870548" w:rsidP="00DC4E99">
            <w:pPr>
              <w:spacing w:after="60"/>
              <w:jc w:val="right"/>
              <w:rPr>
                <w:color w:val="000000"/>
                <w:sz w:val="20"/>
                <w:szCs w:val="20"/>
              </w:rPr>
            </w:pPr>
            <w:r w:rsidRPr="00870548">
              <w:rPr>
                <w:i/>
                <w:color w:val="000000"/>
                <w:sz w:val="20"/>
                <w:szCs w:val="20"/>
              </w:rPr>
              <w:t>в т.ч. по внутреннему производству, млрд</w:t>
            </w:r>
            <w:r>
              <w:rPr>
                <w:i/>
                <w:color w:val="000000"/>
                <w:sz w:val="20"/>
                <w:szCs w:val="20"/>
              </w:rPr>
              <w:t xml:space="preserve"> </w:t>
            </w:r>
            <w:r w:rsidRPr="00870548">
              <w:rPr>
                <w:i/>
                <w:color w:val="000000"/>
                <w:sz w:val="20"/>
                <w:szCs w:val="20"/>
              </w:rPr>
              <w:t>руб.</w:t>
            </w:r>
          </w:p>
        </w:tc>
        <w:tc>
          <w:tcPr>
            <w:tcW w:w="993" w:type="dxa"/>
            <w:shd w:val="clear" w:color="auto" w:fill="auto"/>
            <w:noWrap/>
            <w:vAlign w:val="center"/>
            <w:hideMark/>
          </w:tcPr>
          <w:p w14:paraId="049BB99A" w14:textId="77777777" w:rsidR="00870548" w:rsidRPr="00870548" w:rsidRDefault="00870548" w:rsidP="00870548">
            <w:pPr>
              <w:spacing w:after="60"/>
              <w:jc w:val="center"/>
              <w:rPr>
                <w:i/>
                <w:color w:val="000000"/>
                <w:sz w:val="20"/>
                <w:szCs w:val="20"/>
              </w:rPr>
            </w:pPr>
            <w:r w:rsidRPr="00870548">
              <w:rPr>
                <w:i/>
                <w:color w:val="000000"/>
                <w:sz w:val="20"/>
                <w:szCs w:val="20"/>
              </w:rPr>
              <w:t>187,0</w:t>
            </w:r>
          </w:p>
        </w:tc>
        <w:tc>
          <w:tcPr>
            <w:tcW w:w="992" w:type="dxa"/>
            <w:shd w:val="clear" w:color="auto" w:fill="auto"/>
            <w:noWrap/>
            <w:vAlign w:val="center"/>
            <w:hideMark/>
          </w:tcPr>
          <w:p w14:paraId="652C069C" w14:textId="77777777" w:rsidR="00870548" w:rsidRPr="00870548" w:rsidRDefault="00870548" w:rsidP="00870548">
            <w:pPr>
              <w:spacing w:after="60"/>
              <w:jc w:val="center"/>
              <w:rPr>
                <w:i/>
                <w:color w:val="000000"/>
                <w:sz w:val="20"/>
                <w:szCs w:val="20"/>
              </w:rPr>
            </w:pPr>
            <w:r w:rsidRPr="00870548">
              <w:rPr>
                <w:i/>
                <w:color w:val="000000"/>
                <w:sz w:val="20"/>
                <w:szCs w:val="20"/>
              </w:rPr>
              <w:t>181,3</w:t>
            </w:r>
          </w:p>
        </w:tc>
        <w:tc>
          <w:tcPr>
            <w:tcW w:w="897" w:type="dxa"/>
            <w:shd w:val="clear" w:color="auto" w:fill="auto"/>
            <w:noWrap/>
            <w:vAlign w:val="center"/>
            <w:hideMark/>
          </w:tcPr>
          <w:p w14:paraId="65067B51" w14:textId="77777777" w:rsidR="00870548" w:rsidRPr="00870548" w:rsidRDefault="00870548" w:rsidP="00870548">
            <w:pPr>
              <w:spacing w:after="60"/>
              <w:jc w:val="center"/>
              <w:rPr>
                <w:i/>
                <w:color w:val="000000"/>
                <w:sz w:val="20"/>
                <w:szCs w:val="20"/>
              </w:rPr>
            </w:pPr>
            <w:r w:rsidRPr="00870548">
              <w:rPr>
                <w:i/>
                <w:color w:val="000000"/>
                <w:sz w:val="20"/>
                <w:szCs w:val="20"/>
              </w:rPr>
              <w:t>187,5</w:t>
            </w:r>
          </w:p>
        </w:tc>
        <w:tc>
          <w:tcPr>
            <w:tcW w:w="898" w:type="dxa"/>
            <w:shd w:val="clear" w:color="auto" w:fill="auto"/>
            <w:noWrap/>
            <w:vAlign w:val="center"/>
            <w:hideMark/>
          </w:tcPr>
          <w:p w14:paraId="44B5BACD" w14:textId="77777777" w:rsidR="00870548" w:rsidRPr="00870548" w:rsidRDefault="00870548" w:rsidP="00870548">
            <w:pPr>
              <w:spacing w:after="60"/>
              <w:jc w:val="center"/>
              <w:rPr>
                <w:i/>
                <w:color w:val="000000"/>
                <w:sz w:val="20"/>
                <w:szCs w:val="20"/>
              </w:rPr>
            </w:pPr>
            <w:r w:rsidRPr="00870548">
              <w:rPr>
                <w:i/>
                <w:color w:val="000000"/>
                <w:sz w:val="20"/>
                <w:szCs w:val="20"/>
              </w:rPr>
              <w:t>195,2</w:t>
            </w:r>
          </w:p>
        </w:tc>
        <w:tc>
          <w:tcPr>
            <w:tcW w:w="898" w:type="dxa"/>
            <w:shd w:val="clear" w:color="auto" w:fill="auto"/>
            <w:noWrap/>
            <w:vAlign w:val="center"/>
            <w:hideMark/>
          </w:tcPr>
          <w:p w14:paraId="0ACC254A" w14:textId="77777777" w:rsidR="00870548" w:rsidRPr="00870548" w:rsidRDefault="00870548" w:rsidP="00870548">
            <w:pPr>
              <w:spacing w:after="60"/>
              <w:jc w:val="center"/>
              <w:rPr>
                <w:i/>
                <w:color w:val="000000"/>
                <w:sz w:val="20"/>
                <w:szCs w:val="20"/>
              </w:rPr>
            </w:pPr>
            <w:r w:rsidRPr="00870548">
              <w:rPr>
                <w:i/>
                <w:color w:val="000000"/>
                <w:sz w:val="20"/>
                <w:szCs w:val="20"/>
              </w:rPr>
              <w:t>210,3</w:t>
            </w:r>
          </w:p>
        </w:tc>
      </w:tr>
      <w:tr w:rsidR="00870548" w:rsidRPr="00870548" w14:paraId="039E85EE" w14:textId="77777777" w:rsidTr="009E168F">
        <w:trPr>
          <w:trHeight w:val="300"/>
        </w:trPr>
        <w:tc>
          <w:tcPr>
            <w:tcW w:w="4536" w:type="dxa"/>
            <w:shd w:val="clear" w:color="auto" w:fill="auto"/>
            <w:noWrap/>
            <w:vAlign w:val="bottom"/>
            <w:hideMark/>
          </w:tcPr>
          <w:p w14:paraId="482F8044" w14:textId="31969ED4" w:rsidR="00870548" w:rsidRPr="00870548" w:rsidRDefault="00870548" w:rsidP="003A7722">
            <w:pPr>
              <w:spacing w:after="60"/>
              <w:jc w:val="both"/>
              <w:rPr>
                <w:color w:val="000000"/>
                <w:sz w:val="20"/>
                <w:szCs w:val="20"/>
              </w:rPr>
            </w:pPr>
            <w:r w:rsidRPr="00870548">
              <w:rPr>
                <w:color w:val="000000"/>
                <w:sz w:val="20"/>
                <w:szCs w:val="20"/>
              </w:rPr>
              <w:t>Оценка доходов федерального бюджета, млрд</w:t>
            </w:r>
            <w:r>
              <w:rPr>
                <w:color w:val="000000"/>
                <w:sz w:val="20"/>
                <w:szCs w:val="20"/>
              </w:rPr>
              <w:t xml:space="preserve"> </w:t>
            </w:r>
            <w:r w:rsidRPr="00870548">
              <w:rPr>
                <w:color w:val="000000"/>
                <w:sz w:val="20"/>
                <w:szCs w:val="20"/>
              </w:rPr>
              <w:t>руб.*</w:t>
            </w:r>
          </w:p>
        </w:tc>
        <w:tc>
          <w:tcPr>
            <w:tcW w:w="993" w:type="dxa"/>
            <w:shd w:val="clear" w:color="auto" w:fill="auto"/>
            <w:noWrap/>
            <w:vAlign w:val="center"/>
            <w:hideMark/>
          </w:tcPr>
          <w:p w14:paraId="615883CC" w14:textId="77777777" w:rsidR="00870548" w:rsidRPr="00870548" w:rsidRDefault="00870548" w:rsidP="00870548">
            <w:pPr>
              <w:spacing w:after="60"/>
              <w:jc w:val="center"/>
              <w:rPr>
                <w:color w:val="000000"/>
                <w:sz w:val="20"/>
                <w:szCs w:val="20"/>
              </w:rPr>
            </w:pPr>
            <w:r w:rsidRPr="00870548">
              <w:rPr>
                <w:color w:val="000000"/>
                <w:sz w:val="20"/>
                <w:szCs w:val="20"/>
              </w:rPr>
              <w:t>118</w:t>
            </w:r>
          </w:p>
        </w:tc>
        <w:tc>
          <w:tcPr>
            <w:tcW w:w="992" w:type="dxa"/>
            <w:shd w:val="clear" w:color="auto" w:fill="auto"/>
            <w:noWrap/>
            <w:vAlign w:val="center"/>
            <w:hideMark/>
          </w:tcPr>
          <w:p w14:paraId="1BC513CF" w14:textId="77777777" w:rsidR="00870548" w:rsidRPr="00870548" w:rsidRDefault="00870548" w:rsidP="00870548">
            <w:pPr>
              <w:spacing w:after="60"/>
              <w:jc w:val="center"/>
              <w:rPr>
                <w:color w:val="000000"/>
                <w:sz w:val="20"/>
                <w:szCs w:val="20"/>
              </w:rPr>
            </w:pPr>
            <w:r w:rsidRPr="00870548">
              <w:rPr>
                <w:color w:val="000000"/>
                <w:sz w:val="20"/>
                <w:szCs w:val="20"/>
              </w:rPr>
              <w:t>60,0</w:t>
            </w:r>
          </w:p>
        </w:tc>
        <w:tc>
          <w:tcPr>
            <w:tcW w:w="897" w:type="dxa"/>
            <w:shd w:val="clear" w:color="auto" w:fill="auto"/>
            <w:noWrap/>
            <w:vAlign w:val="center"/>
            <w:hideMark/>
          </w:tcPr>
          <w:p w14:paraId="7295B8D9" w14:textId="77777777" w:rsidR="00870548" w:rsidRPr="00870548" w:rsidRDefault="00870548" w:rsidP="00870548">
            <w:pPr>
              <w:spacing w:after="60"/>
              <w:jc w:val="center"/>
              <w:rPr>
                <w:color w:val="000000"/>
                <w:sz w:val="20"/>
                <w:szCs w:val="20"/>
              </w:rPr>
            </w:pPr>
            <w:r w:rsidRPr="00870548">
              <w:rPr>
                <w:color w:val="000000"/>
                <w:sz w:val="20"/>
                <w:szCs w:val="20"/>
              </w:rPr>
              <w:t>62,1</w:t>
            </w:r>
          </w:p>
        </w:tc>
        <w:tc>
          <w:tcPr>
            <w:tcW w:w="898" w:type="dxa"/>
            <w:shd w:val="clear" w:color="auto" w:fill="auto"/>
            <w:noWrap/>
            <w:vAlign w:val="center"/>
            <w:hideMark/>
          </w:tcPr>
          <w:p w14:paraId="74E15610" w14:textId="77777777" w:rsidR="00870548" w:rsidRPr="00870548" w:rsidRDefault="00870548" w:rsidP="00870548">
            <w:pPr>
              <w:spacing w:after="60"/>
              <w:jc w:val="center"/>
              <w:rPr>
                <w:color w:val="000000"/>
                <w:sz w:val="20"/>
                <w:szCs w:val="20"/>
              </w:rPr>
            </w:pPr>
            <w:r w:rsidRPr="00870548">
              <w:rPr>
                <w:color w:val="000000"/>
                <w:sz w:val="20"/>
                <w:szCs w:val="20"/>
              </w:rPr>
              <w:t>64,6</w:t>
            </w:r>
          </w:p>
        </w:tc>
        <w:tc>
          <w:tcPr>
            <w:tcW w:w="898" w:type="dxa"/>
            <w:shd w:val="clear" w:color="auto" w:fill="auto"/>
            <w:noWrap/>
            <w:vAlign w:val="center"/>
            <w:hideMark/>
          </w:tcPr>
          <w:p w14:paraId="03AFA01F" w14:textId="77777777" w:rsidR="00870548" w:rsidRPr="00870548" w:rsidRDefault="00870548" w:rsidP="00870548">
            <w:pPr>
              <w:spacing w:after="60"/>
              <w:jc w:val="center"/>
              <w:rPr>
                <w:color w:val="000000"/>
                <w:sz w:val="20"/>
                <w:szCs w:val="20"/>
              </w:rPr>
            </w:pPr>
            <w:r w:rsidRPr="00870548">
              <w:rPr>
                <w:color w:val="000000"/>
                <w:sz w:val="20"/>
                <w:szCs w:val="20"/>
              </w:rPr>
              <w:t>69,6</w:t>
            </w:r>
          </w:p>
        </w:tc>
      </w:tr>
      <w:tr w:rsidR="00870548" w:rsidRPr="00870548" w14:paraId="521A21BF" w14:textId="77777777" w:rsidTr="009E168F">
        <w:trPr>
          <w:trHeight w:val="300"/>
        </w:trPr>
        <w:tc>
          <w:tcPr>
            <w:tcW w:w="4536" w:type="dxa"/>
            <w:shd w:val="clear" w:color="auto" w:fill="auto"/>
            <w:noWrap/>
            <w:vAlign w:val="center"/>
            <w:hideMark/>
          </w:tcPr>
          <w:p w14:paraId="7384A591" w14:textId="7A57FE2F" w:rsidR="00870548" w:rsidRPr="00870548" w:rsidRDefault="00870548" w:rsidP="00870548">
            <w:pPr>
              <w:spacing w:after="60"/>
              <w:jc w:val="right"/>
              <w:rPr>
                <w:i/>
                <w:color w:val="000000"/>
                <w:sz w:val="20"/>
                <w:szCs w:val="20"/>
              </w:rPr>
            </w:pPr>
            <w:r w:rsidRPr="00870548">
              <w:rPr>
                <w:i/>
                <w:color w:val="000000"/>
                <w:sz w:val="20"/>
                <w:szCs w:val="20"/>
              </w:rPr>
              <w:t>в т.ч. по внутреннему производству, млрд</w:t>
            </w:r>
            <w:r>
              <w:rPr>
                <w:i/>
                <w:color w:val="000000"/>
                <w:sz w:val="20"/>
                <w:szCs w:val="20"/>
              </w:rPr>
              <w:t xml:space="preserve"> </w:t>
            </w:r>
            <w:r w:rsidRPr="00870548">
              <w:rPr>
                <w:i/>
                <w:color w:val="000000"/>
                <w:sz w:val="20"/>
                <w:szCs w:val="20"/>
              </w:rPr>
              <w:t>руб.*</w:t>
            </w:r>
          </w:p>
        </w:tc>
        <w:tc>
          <w:tcPr>
            <w:tcW w:w="993" w:type="dxa"/>
            <w:shd w:val="clear" w:color="auto" w:fill="auto"/>
            <w:noWrap/>
            <w:vAlign w:val="center"/>
            <w:hideMark/>
          </w:tcPr>
          <w:p w14:paraId="42D0AF06" w14:textId="77777777" w:rsidR="00870548" w:rsidRPr="00870548" w:rsidRDefault="00870548" w:rsidP="00870548">
            <w:pPr>
              <w:spacing w:after="60"/>
              <w:jc w:val="center"/>
              <w:rPr>
                <w:i/>
                <w:color w:val="000000"/>
                <w:sz w:val="20"/>
                <w:szCs w:val="20"/>
              </w:rPr>
            </w:pPr>
            <w:r w:rsidRPr="00870548">
              <w:rPr>
                <w:i/>
                <w:color w:val="000000"/>
                <w:sz w:val="20"/>
                <w:szCs w:val="20"/>
              </w:rPr>
              <w:t>93,5</w:t>
            </w:r>
          </w:p>
        </w:tc>
        <w:tc>
          <w:tcPr>
            <w:tcW w:w="992" w:type="dxa"/>
            <w:shd w:val="clear" w:color="auto" w:fill="auto"/>
            <w:noWrap/>
            <w:vAlign w:val="center"/>
            <w:hideMark/>
          </w:tcPr>
          <w:p w14:paraId="5AD7630D" w14:textId="77777777" w:rsidR="00870548" w:rsidRPr="00870548" w:rsidRDefault="00870548" w:rsidP="00870548">
            <w:pPr>
              <w:spacing w:after="60"/>
              <w:jc w:val="center"/>
              <w:rPr>
                <w:i/>
                <w:color w:val="000000"/>
                <w:sz w:val="20"/>
                <w:szCs w:val="20"/>
              </w:rPr>
            </w:pPr>
            <w:r w:rsidRPr="00870548">
              <w:rPr>
                <w:i/>
                <w:color w:val="000000"/>
                <w:sz w:val="20"/>
                <w:szCs w:val="20"/>
              </w:rPr>
              <w:t>36,3</w:t>
            </w:r>
          </w:p>
        </w:tc>
        <w:tc>
          <w:tcPr>
            <w:tcW w:w="897" w:type="dxa"/>
            <w:shd w:val="clear" w:color="auto" w:fill="auto"/>
            <w:noWrap/>
            <w:vAlign w:val="center"/>
            <w:hideMark/>
          </w:tcPr>
          <w:p w14:paraId="13FFDCD1" w14:textId="77777777" w:rsidR="00870548" w:rsidRPr="00870548" w:rsidRDefault="00870548" w:rsidP="00870548">
            <w:pPr>
              <w:spacing w:after="60"/>
              <w:jc w:val="center"/>
              <w:rPr>
                <w:i/>
                <w:color w:val="000000"/>
                <w:sz w:val="20"/>
                <w:szCs w:val="20"/>
              </w:rPr>
            </w:pPr>
            <w:r w:rsidRPr="00870548">
              <w:rPr>
                <w:i/>
                <w:color w:val="000000"/>
                <w:sz w:val="20"/>
                <w:szCs w:val="20"/>
              </w:rPr>
              <w:t>37,5</w:t>
            </w:r>
          </w:p>
        </w:tc>
        <w:tc>
          <w:tcPr>
            <w:tcW w:w="898" w:type="dxa"/>
            <w:shd w:val="clear" w:color="auto" w:fill="auto"/>
            <w:noWrap/>
            <w:vAlign w:val="center"/>
            <w:hideMark/>
          </w:tcPr>
          <w:p w14:paraId="59C6F166" w14:textId="77777777" w:rsidR="00870548" w:rsidRPr="00870548" w:rsidRDefault="00870548" w:rsidP="00870548">
            <w:pPr>
              <w:spacing w:after="60"/>
              <w:jc w:val="center"/>
              <w:rPr>
                <w:i/>
                <w:color w:val="000000"/>
                <w:sz w:val="20"/>
                <w:szCs w:val="20"/>
              </w:rPr>
            </w:pPr>
            <w:r w:rsidRPr="00870548">
              <w:rPr>
                <w:i/>
                <w:color w:val="000000"/>
                <w:sz w:val="20"/>
                <w:szCs w:val="20"/>
              </w:rPr>
              <w:t>39,0</w:t>
            </w:r>
          </w:p>
        </w:tc>
        <w:tc>
          <w:tcPr>
            <w:tcW w:w="898" w:type="dxa"/>
            <w:shd w:val="clear" w:color="auto" w:fill="auto"/>
            <w:noWrap/>
            <w:vAlign w:val="center"/>
            <w:hideMark/>
          </w:tcPr>
          <w:p w14:paraId="4027CE17" w14:textId="77777777" w:rsidR="00870548" w:rsidRPr="00870548" w:rsidRDefault="00870548" w:rsidP="00870548">
            <w:pPr>
              <w:spacing w:after="60"/>
              <w:jc w:val="center"/>
              <w:rPr>
                <w:i/>
                <w:color w:val="000000"/>
                <w:sz w:val="20"/>
                <w:szCs w:val="20"/>
              </w:rPr>
            </w:pPr>
            <w:r w:rsidRPr="00870548">
              <w:rPr>
                <w:i/>
                <w:color w:val="000000"/>
                <w:sz w:val="20"/>
                <w:szCs w:val="20"/>
              </w:rPr>
              <w:t>42,1</w:t>
            </w:r>
          </w:p>
        </w:tc>
      </w:tr>
      <w:tr w:rsidR="00870548" w:rsidRPr="00870548" w14:paraId="7F3FD4C9" w14:textId="77777777" w:rsidTr="009E168F">
        <w:trPr>
          <w:trHeight w:val="300"/>
        </w:trPr>
        <w:tc>
          <w:tcPr>
            <w:tcW w:w="9214" w:type="dxa"/>
            <w:gridSpan w:val="6"/>
            <w:shd w:val="clear" w:color="auto" w:fill="auto"/>
            <w:noWrap/>
            <w:vAlign w:val="bottom"/>
            <w:hideMark/>
          </w:tcPr>
          <w:p w14:paraId="4F8D6A9C" w14:textId="77777777" w:rsidR="00870548" w:rsidRPr="00870548" w:rsidRDefault="00870548" w:rsidP="003A7722">
            <w:pPr>
              <w:spacing w:after="60"/>
              <w:ind w:left="709"/>
              <w:rPr>
                <w:b/>
                <w:color w:val="000000"/>
                <w:sz w:val="20"/>
                <w:szCs w:val="20"/>
              </w:rPr>
            </w:pPr>
            <w:r w:rsidRPr="00870548">
              <w:rPr>
                <w:b/>
                <w:color w:val="000000"/>
                <w:sz w:val="20"/>
                <w:szCs w:val="20"/>
              </w:rPr>
              <w:t>Показатели согласно проекту бюджета</w:t>
            </w:r>
          </w:p>
        </w:tc>
      </w:tr>
      <w:tr w:rsidR="00870548" w:rsidRPr="00870548" w14:paraId="427A890B" w14:textId="77777777" w:rsidTr="009E168F">
        <w:trPr>
          <w:trHeight w:val="300"/>
        </w:trPr>
        <w:tc>
          <w:tcPr>
            <w:tcW w:w="4536" w:type="dxa"/>
            <w:shd w:val="clear" w:color="auto" w:fill="auto"/>
            <w:noWrap/>
            <w:vAlign w:val="bottom"/>
            <w:hideMark/>
          </w:tcPr>
          <w:p w14:paraId="4ED3155C" w14:textId="70703BA0" w:rsidR="00870548" w:rsidRPr="00870548" w:rsidRDefault="00870548" w:rsidP="00870548">
            <w:pPr>
              <w:spacing w:after="60"/>
              <w:rPr>
                <w:color w:val="000000"/>
                <w:sz w:val="20"/>
                <w:szCs w:val="20"/>
              </w:rPr>
            </w:pPr>
            <w:r w:rsidRPr="00870548">
              <w:rPr>
                <w:color w:val="000000"/>
                <w:sz w:val="20"/>
                <w:szCs w:val="20"/>
              </w:rPr>
              <w:t>Общее потребление (налоговая база</w:t>
            </w:r>
            <w:r w:rsidR="006C5A4B">
              <w:rPr>
                <w:color w:val="000000"/>
                <w:sz w:val="20"/>
                <w:szCs w:val="20"/>
              </w:rPr>
              <w:t xml:space="preserve">, </w:t>
            </w:r>
            <w:r w:rsidRPr="00870548">
              <w:rPr>
                <w:color w:val="000000"/>
                <w:sz w:val="20"/>
                <w:szCs w:val="20"/>
              </w:rPr>
              <w:t>млн</w:t>
            </w:r>
            <w:r>
              <w:rPr>
                <w:color w:val="000000"/>
                <w:sz w:val="20"/>
                <w:szCs w:val="20"/>
              </w:rPr>
              <w:t xml:space="preserve"> </w:t>
            </w:r>
            <w:r w:rsidRPr="00870548">
              <w:rPr>
                <w:color w:val="000000"/>
                <w:sz w:val="20"/>
                <w:szCs w:val="20"/>
              </w:rPr>
              <w:t xml:space="preserve">дкл.) </w:t>
            </w:r>
          </w:p>
        </w:tc>
        <w:tc>
          <w:tcPr>
            <w:tcW w:w="993" w:type="dxa"/>
            <w:shd w:val="clear" w:color="auto" w:fill="auto"/>
            <w:noWrap/>
            <w:vAlign w:val="bottom"/>
            <w:hideMark/>
          </w:tcPr>
          <w:p w14:paraId="12E74B75" w14:textId="77777777" w:rsidR="00870548" w:rsidRPr="00870548" w:rsidRDefault="00870548" w:rsidP="00870548">
            <w:pPr>
              <w:spacing w:after="60"/>
              <w:jc w:val="center"/>
              <w:rPr>
                <w:color w:val="000000"/>
                <w:sz w:val="20"/>
                <w:szCs w:val="20"/>
              </w:rPr>
            </w:pPr>
          </w:p>
        </w:tc>
        <w:tc>
          <w:tcPr>
            <w:tcW w:w="992" w:type="dxa"/>
            <w:shd w:val="clear" w:color="auto" w:fill="auto"/>
            <w:noWrap/>
            <w:vAlign w:val="bottom"/>
            <w:hideMark/>
          </w:tcPr>
          <w:p w14:paraId="4E468399" w14:textId="77777777" w:rsidR="00870548" w:rsidRPr="00870548" w:rsidRDefault="00870548" w:rsidP="00870548">
            <w:pPr>
              <w:spacing w:after="60"/>
              <w:jc w:val="center"/>
              <w:rPr>
                <w:color w:val="000000"/>
                <w:sz w:val="20"/>
                <w:szCs w:val="20"/>
              </w:rPr>
            </w:pPr>
          </w:p>
        </w:tc>
        <w:tc>
          <w:tcPr>
            <w:tcW w:w="897" w:type="dxa"/>
            <w:shd w:val="clear" w:color="auto" w:fill="auto"/>
            <w:noWrap/>
            <w:vAlign w:val="bottom"/>
            <w:hideMark/>
          </w:tcPr>
          <w:p w14:paraId="023351FD" w14:textId="1CAC69B4" w:rsidR="00870548" w:rsidRPr="00870548" w:rsidRDefault="00870548" w:rsidP="00870548">
            <w:pPr>
              <w:spacing w:after="60"/>
              <w:jc w:val="center"/>
              <w:rPr>
                <w:color w:val="000000"/>
                <w:sz w:val="20"/>
                <w:szCs w:val="20"/>
              </w:rPr>
            </w:pPr>
            <w:r w:rsidRPr="00870548">
              <w:rPr>
                <w:color w:val="000000"/>
                <w:sz w:val="20"/>
                <w:szCs w:val="20"/>
              </w:rPr>
              <w:t>95,</w:t>
            </w:r>
            <w:r w:rsidR="006C5A4B">
              <w:rPr>
                <w:color w:val="000000"/>
                <w:sz w:val="20"/>
                <w:szCs w:val="20"/>
              </w:rPr>
              <w:t>8</w:t>
            </w:r>
          </w:p>
        </w:tc>
        <w:tc>
          <w:tcPr>
            <w:tcW w:w="898" w:type="dxa"/>
            <w:shd w:val="clear" w:color="auto" w:fill="auto"/>
            <w:noWrap/>
            <w:vAlign w:val="bottom"/>
            <w:hideMark/>
          </w:tcPr>
          <w:p w14:paraId="05DCFC61" w14:textId="1D5FEC8B" w:rsidR="00870548" w:rsidRPr="00870548" w:rsidRDefault="00870548" w:rsidP="00870548">
            <w:pPr>
              <w:spacing w:after="60"/>
              <w:jc w:val="center"/>
              <w:rPr>
                <w:color w:val="000000"/>
                <w:sz w:val="20"/>
                <w:szCs w:val="20"/>
              </w:rPr>
            </w:pPr>
            <w:r w:rsidRPr="00870548">
              <w:rPr>
                <w:sz w:val="20"/>
                <w:szCs w:val="20"/>
              </w:rPr>
              <w:t>97,3</w:t>
            </w:r>
          </w:p>
        </w:tc>
        <w:tc>
          <w:tcPr>
            <w:tcW w:w="898" w:type="dxa"/>
            <w:shd w:val="clear" w:color="auto" w:fill="auto"/>
            <w:noWrap/>
            <w:vAlign w:val="bottom"/>
            <w:hideMark/>
          </w:tcPr>
          <w:p w14:paraId="09CAC1D4" w14:textId="04025549" w:rsidR="00870548" w:rsidRPr="00870548" w:rsidRDefault="00870548" w:rsidP="00870548">
            <w:pPr>
              <w:spacing w:after="60"/>
              <w:jc w:val="center"/>
              <w:rPr>
                <w:color w:val="000000"/>
                <w:sz w:val="20"/>
                <w:szCs w:val="20"/>
              </w:rPr>
            </w:pPr>
            <w:r w:rsidRPr="00870548">
              <w:rPr>
                <w:sz w:val="20"/>
                <w:szCs w:val="20"/>
              </w:rPr>
              <w:t>98,</w:t>
            </w:r>
            <w:r w:rsidR="006C5A4B">
              <w:rPr>
                <w:sz w:val="20"/>
                <w:szCs w:val="20"/>
              </w:rPr>
              <w:t>9</w:t>
            </w:r>
          </w:p>
        </w:tc>
      </w:tr>
      <w:tr w:rsidR="00870548" w:rsidRPr="00870548" w14:paraId="232F0333" w14:textId="77777777" w:rsidTr="009E168F">
        <w:trPr>
          <w:trHeight w:val="300"/>
        </w:trPr>
        <w:tc>
          <w:tcPr>
            <w:tcW w:w="4536" w:type="dxa"/>
            <w:shd w:val="clear" w:color="auto" w:fill="auto"/>
            <w:noWrap/>
            <w:vAlign w:val="bottom"/>
            <w:hideMark/>
          </w:tcPr>
          <w:p w14:paraId="71E84DED" w14:textId="688E7B41" w:rsidR="00870548" w:rsidRPr="00870548" w:rsidRDefault="00870548" w:rsidP="00870548">
            <w:pPr>
              <w:spacing w:after="60"/>
              <w:rPr>
                <w:color w:val="000000"/>
                <w:sz w:val="20"/>
                <w:szCs w:val="20"/>
              </w:rPr>
            </w:pPr>
            <w:r w:rsidRPr="00870548">
              <w:rPr>
                <w:color w:val="000000"/>
                <w:sz w:val="20"/>
                <w:szCs w:val="20"/>
              </w:rPr>
              <w:t>Доходы консолидированного бюджета, млрд</w:t>
            </w:r>
            <w:r>
              <w:rPr>
                <w:color w:val="000000"/>
                <w:sz w:val="20"/>
                <w:szCs w:val="20"/>
              </w:rPr>
              <w:t xml:space="preserve"> </w:t>
            </w:r>
            <w:r w:rsidRPr="00870548">
              <w:rPr>
                <w:color w:val="000000"/>
                <w:sz w:val="20"/>
                <w:szCs w:val="20"/>
              </w:rPr>
              <w:t>руб.</w:t>
            </w:r>
          </w:p>
        </w:tc>
        <w:tc>
          <w:tcPr>
            <w:tcW w:w="993" w:type="dxa"/>
            <w:shd w:val="clear" w:color="auto" w:fill="auto"/>
            <w:noWrap/>
            <w:vAlign w:val="center"/>
            <w:hideMark/>
          </w:tcPr>
          <w:p w14:paraId="78027BB9" w14:textId="77777777" w:rsidR="00870548" w:rsidRPr="00870548" w:rsidRDefault="00870548" w:rsidP="00870548">
            <w:pPr>
              <w:spacing w:after="60"/>
              <w:jc w:val="center"/>
              <w:rPr>
                <w:color w:val="000000"/>
                <w:sz w:val="20"/>
                <w:szCs w:val="20"/>
              </w:rPr>
            </w:pPr>
          </w:p>
        </w:tc>
        <w:tc>
          <w:tcPr>
            <w:tcW w:w="992" w:type="dxa"/>
            <w:shd w:val="clear" w:color="auto" w:fill="auto"/>
            <w:noWrap/>
            <w:vAlign w:val="center"/>
            <w:hideMark/>
          </w:tcPr>
          <w:p w14:paraId="12516783" w14:textId="77777777" w:rsidR="00870548" w:rsidRPr="00870548" w:rsidRDefault="00870548" w:rsidP="00870548">
            <w:pPr>
              <w:spacing w:after="60"/>
              <w:jc w:val="center"/>
              <w:rPr>
                <w:color w:val="000000"/>
                <w:sz w:val="20"/>
                <w:szCs w:val="20"/>
              </w:rPr>
            </w:pPr>
          </w:p>
        </w:tc>
        <w:tc>
          <w:tcPr>
            <w:tcW w:w="897" w:type="dxa"/>
            <w:shd w:val="clear" w:color="auto" w:fill="auto"/>
            <w:noWrap/>
            <w:vAlign w:val="bottom"/>
            <w:hideMark/>
          </w:tcPr>
          <w:p w14:paraId="57FCD771" w14:textId="77777777" w:rsidR="00870548" w:rsidRPr="00870548" w:rsidRDefault="00870548" w:rsidP="00870548">
            <w:pPr>
              <w:spacing w:after="60"/>
              <w:jc w:val="center"/>
              <w:rPr>
                <w:color w:val="000000"/>
                <w:sz w:val="20"/>
                <w:szCs w:val="20"/>
              </w:rPr>
            </w:pPr>
            <w:r w:rsidRPr="00870548">
              <w:rPr>
                <w:color w:val="000000"/>
                <w:sz w:val="20"/>
                <w:szCs w:val="20"/>
              </w:rPr>
              <w:t>202,2</w:t>
            </w:r>
          </w:p>
        </w:tc>
        <w:tc>
          <w:tcPr>
            <w:tcW w:w="898" w:type="dxa"/>
            <w:shd w:val="clear" w:color="auto" w:fill="auto"/>
            <w:noWrap/>
            <w:vAlign w:val="bottom"/>
            <w:hideMark/>
          </w:tcPr>
          <w:p w14:paraId="19E1F580" w14:textId="77777777" w:rsidR="00870548" w:rsidRPr="00870548" w:rsidRDefault="00870548" w:rsidP="00870548">
            <w:pPr>
              <w:spacing w:after="60"/>
              <w:jc w:val="center"/>
              <w:rPr>
                <w:color w:val="000000"/>
                <w:sz w:val="20"/>
                <w:szCs w:val="20"/>
              </w:rPr>
            </w:pPr>
            <w:r w:rsidRPr="00870548">
              <w:rPr>
                <w:color w:val="000000"/>
                <w:sz w:val="20"/>
                <w:szCs w:val="20"/>
              </w:rPr>
              <w:t>213,8</w:t>
            </w:r>
          </w:p>
        </w:tc>
        <w:tc>
          <w:tcPr>
            <w:tcW w:w="898" w:type="dxa"/>
            <w:shd w:val="clear" w:color="auto" w:fill="auto"/>
            <w:noWrap/>
            <w:vAlign w:val="bottom"/>
            <w:hideMark/>
          </w:tcPr>
          <w:p w14:paraId="0C93F51D" w14:textId="77777777" w:rsidR="00870548" w:rsidRPr="00870548" w:rsidRDefault="00870548" w:rsidP="00870548">
            <w:pPr>
              <w:spacing w:after="60"/>
              <w:jc w:val="center"/>
              <w:rPr>
                <w:color w:val="000000"/>
                <w:sz w:val="20"/>
                <w:szCs w:val="20"/>
              </w:rPr>
            </w:pPr>
            <w:r w:rsidRPr="00870548">
              <w:rPr>
                <w:color w:val="000000"/>
                <w:sz w:val="20"/>
                <w:szCs w:val="20"/>
              </w:rPr>
              <w:t>226</w:t>
            </w:r>
          </w:p>
        </w:tc>
      </w:tr>
      <w:tr w:rsidR="00870548" w:rsidRPr="00870548" w14:paraId="554AAEB9" w14:textId="77777777" w:rsidTr="009E168F">
        <w:trPr>
          <w:trHeight w:val="300"/>
        </w:trPr>
        <w:tc>
          <w:tcPr>
            <w:tcW w:w="4536" w:type="dxa"/>
            <w:shd w:val="clear" w:color="auto" w:fill="auto"/>
            <w:noWrap/>
            <w:vAlign w:val="bottom"/>
            <w:hideMark/>
          </w:tcPr>
          <w:p w14:paraId="5D9A6EB4" w14:textId="3D1B4D1F" w:rsidR="00870548" w:rsidRPr="00870548" w:rsidRDefault="00870548" w:rsidP="003A7722">
            <w:pPr>
              <w:spacing w:after="60"/>
              <w:jc w:val="both"/>
              <w:rPr>
                <w:color w:val="000000"/>
                <w:sz w:val="20"/>
                <w:szCs w:val="20"/>
              </w:rPr>
            </w:pPr>
            <w:r w:rsidRPr="00870548">
              <w:rPr>
                <w:color w:val="000000"/>
                <w:sz w:val="20"/>
                <w:szCs w:val="20"/>
              </w:rPr>
              <w:t>Оценка доходов федерального бюджета, млрд</w:t>
            </w:r>
            <w:r>
              <w:rPr>
                <w:color w:val="000000"/>
                <w:sz w:val="20"/>
                <w:szCs w:val="20"/>
              </w:rPr>
              <w:t xml:space="preserve"> </w:t>
            </w:r>
            <w:r w:rsidRPr="00870548">
              <w:rPr>
                <w:color w:val="000000"/>
                <w:sz w:val="20"/>
                <w:szCs w:val="20"/>
              </w:rPr>
              <w:t xml:space="preserve">руб. по внутреннему производству </w:t>
            </w:r>
          </w:p>
        </w:tc>
        <w:tc>
          <w:tcPr>
            <w:tcW w:w="993" w:type="dxa"/>
            <w:shd w:val="clear" w:color="auto" w:fill="auto"/>
            <w:noWrap/>
            <w:vAlign w:val="center"/>
            <w:hideMark/>
          </w:tcPr>
          <w:p w14:paraId="0895CB8E" w14:textId="77777777" w:rsidR="00870548" w:rsidRPr="00870548" w:rsidRDefault="00870548" w:rsidP="00870548">
            <w:pPr>
              <w:spacing w:after="60"/>
              <w:jc w:val="center"/>
              <w:rPr>
                <w:color w:val="000000"/>
                <w:sz w:val="20"/>
                <w:szCs w:val="20"/>
              </w:rPr>
            </w:pPr>
          </w:p>
        </w:tc>
        <w:tc>
          <w:tcPr>
            <w:tcW w:w="992" w:type="dxa"/>
            <w:shd w:val="clear" w:color="auto" w:fill="auto"/>
            <w:noWrap/>
            <w:vAlign w:val="center"/>
            <w:hideMark/>
          </w:tcPr>
          <w:p w14:paraId="75AECA18" w14:textId="77777777" w:rsidR="00870548" w:rsidRPr="00870548" w:rsidRDefault="00870548" w:rsidP="00870548">
            <w:pPr>
              <w:spacing w:after="60"/>
              <w:jc w:val="center"/>
              <w:rPr>
                <w:color w:val="000000"/>
                <w:sz w:val="20"/>
                <w:szCs w:val="20"/>
              </w:rPr>
            </w:pPr>
          </w:p>
        </w:tc>
        <w:tc>
          <w:tcPr>
            <w:tcW w:w="897" w:type="dxa"/>
            <w:shd w:val="clear" w:color="auto" w:fill="auto"/>
            <w:noWrap/>
            <w:vAlign w:val="center"/>
            <w:hideMark/>
          </w:tcPr>
          <w:p w14:paraId="4D8BEDCF" w14:textId="5B6A764D" w:rsidR="00870548" w:rsidRPr="00870548" w:rsidRDefault="00870548" w:rsidP="00870548">
            <w:pPr>
              <w:spacing w:after="60"/>
              <w:jc w:val="center"/>
              <w:rPr>
                <w:color w:val="000000"/>
                <w:sz w:val="20"/>
                <w:szCs w:val="20"/>
              </w:rPr>
            </w:pPr>
            <w:r w:rsidRPr="00870548">
              <w:rPr>
                <w:color w:val="000000"/>
                <w:sz w:val="20"/>
                <w:szCs w:val="20"/>
              </w:rPr>
              <w:t>40,3</w:t>
            </w:r>
          </w:p>
        </w:tc>
        <w:tc>
          <w:tcPr>
            <w:tcW w:w="898" w:type="dxa"/>
            <w:shd w:val="clear" w:color="auto" w:fill="auto"/>
            <w:noWrap/>
            <w:vAlign w:val="center"/>
            <w:hideMark/>
          </w:tcPr>
          <w:p w14:paraId="0C2EF80B" w14:textId="1E495239" w:rsidR="00870548" w:rsidRPr="00870548" w:rsidRDefault="00870548" w:rsidP="00870548">
            <w:pPr>
              <w:spacing w:after="60"/>
              <w:jc w:val="center"/>
              <w:rPr>
                <w:color w:val="000000"/>
                <w:sz w:val="20"/>
                <w:szCs w:val="20"/>
              </w:rPr>
            </w:pPr>
            <w:r w:rsidRPr="00870548">
              <w:rPr>
                <w:color w:val="000000"/>
                <w:sz w:val="20"/>
                <w:szCs w:val="20"/>
              </w:rPr>
              <w:t>42,6</w:t>
            </w:r>
          </w:p>
        </w:tc>
        <w:tc>
          <w:tcPr>
            <w:tcW w:w="898" w:type="dxa"/>
            <w:shd w:val="clear" w:color="auto" w:fill="auto"/>
            <w:noWrap/>
            <w:vAlign w:val="center"/>
            <w:hideMark/>
          </w:tcPr>
          <w:p w14:paraId="00EE694F" w14:textId="7DE41DE9" w:rsidR="00870548" w:rsidRPr="00870548" w:rsidRDefault="00870548" w:rsidP="00870548">
            <w:pPr>
              <w:spacing w:after="60"/>
              <w:jc w:val="center"/>
              <w:rPr>
                <w:color w:val="000000"/>
                <w:sz w:val="20"/>
                <w:szCs w:val="20"/>
              </w:rPr>
            </w:pPr>
            <w:r w:rsidRPr="00870548">
              <w:rPr>
                <w:color w:val="000000"/>
                <w:sz w:val="20"/>
                <w:szCs w:val="20"/>
              </w:rPr>
              <w:t>45,</w:t>
            </w:r>
            <w:r w:rsidR="006C5A4B">
              <w:rPr>
                <w:color w:val="000000"/>
                <w:sz w:val="20"/>
                <w:szCs w:val="20"/>
              </w:rPr>
              <w:t>1</w:t>
            </w:r>
          </w:p>
        </w:tc>
      </w:tr>
      <w:tr w:rsidR="00870548" w:rsidRPr="00870548" w14:paraId="36ABAE86" w14:textId="77777777" w:rsidTr="009E168F">
        <w:trPr>
          <w:trHeight w:val="300"/>
        </w:trPr>
        <w:tc>
          <w:tcPr>
            <w:tcW w:w="4536" w:type="dxa"/>
            <w:shd w:val="clear" w:color="auto" w:fill="auto"/>
            <w:noWrap/>
            <w:vAlign w:val="bottom"/>
            <w:hideMark/>
          </w:tcPr>
          <w:p w14:paraId="2D1DE3CC" w14:textId="4517BE29" w:rsidR="00870548" w:rsidRPr="00870548" w:rsidRDefault="00BF3C2F" w:rsidP="003A7722">
            <w:pPr>
              <w:spacing w:after="60"/>
              <w:jc w:val="both"/>
              <w:rPr>
                <w:color w:val="000000"/>
                <w:sz w:val="20"/>
                <w:szCs w:val="20"/>
              </w:rPr>
            </w:pPr>
            <w:r>
              <w:rPr>
                <w:color w:val="000000"/>
                <w:sz w:val="20"/>
                <w:szCs w:val="20"/>
              </w:rPr>
              <w:t>Разница с прогнозом ИЭП/</w:t>
            </w:r>
            <w:r w:rsidR="006C5A4B" w:rsidRPr="00870548">
              <w:rPr>
                <w:color w:val="000000"/>
                <w:sz w:val="20"/>
                <w:szCs w:val="20"/>
              </w:rPr>
              <w:t>РАНХ</w:t>
            </w:r>
            <w:r w:rsidR="006C5A4B">
              <w:rPr>
                <w:color w:val="000000"/>
                <w:sz w:val="20"/>
                <w:szCs w:val="20"/>
              </w:rPr>
              <w:t>и</w:t>
            </w:r>
            <w:r w:rsidR="006C5A4B" w:rsidRPr="00870548">
              <w:rPr>
                <w:color w:val="000000"/>
                <w:sz w:val="20"/>
                <w:szCs w:val="20"/>
              </w:rPr>
              <w:t xml:space="preserve">ГС </w:t>
            </w:r>
            <w:r w:rsidR="00870548" w:rsidRPr="00870548">
              <w:rPr>
                <w:color w:val="000000"/>
                <w:sz w:val="20"/>
                <w:szCs w:val="20"/>
              </w:rPr>
              <w:t>по внутреннему производству (КБ), млрд</w:t>
            </w:r>
            <w:r w:rsidR="00870548">
              <w:rPr>
                <w:color w:val="000000"/>
                <w:sz w:val="20"/>
                <w:szCs w:val="20"/>
              </w:rPr>
              <w:t xml:space="preserve"> </w:t>
            </w:r>
            <w:r w:rsidR="00870548" w:rsidRPr="00870548">
              <w:rPr>
                <w:color w:val="000000"/>
                <w:sz w:val="20"/>
                <w:szCs w:val="20"/>
              </w:rPr>
              <w:t>руб.</w:t>
            </w:r>
          </w:p>
        </w:tc>
        <w:tc>
          <w:tcPr>
            <w:tcW w:w="993" w:type="dxa"/>
            <w:shd w:val="clear" w:color="auto" w:fill="auto"/>
            <w:noWrap/>
            <w:vAlign w:val="bottom"/>
            <w:hideMark/>
          </w:tcPr>
          <w:p w14:paraId="6EB8E053" w14:textId="77777777" w:rsidR="00870548" w:rsidRPr="00870548" w:rsidRDefault="00870548" w:rsidP="00870548">
            <w:pPr>
              <w:spacing w:after="60"/>
              <w:jc w:val="center"/>
              <w:rPr>
                <w:color w:val="000000"/>
                <w:sz w:val="20"/>
                <w:szCs w:val="20"/>
              </w:rPr>
            </w:pPr>
            <w:r w:rsidRPr="00870548">
              <w:rPr>
                <w:color w:val="000000"/>
                <w:sz w:val="20"/>
                <w:szCs w:val="20"/>
              </w:rPr>
              <w:t> </w:t>
            </w:r>
          </w:p>
        </w:tc>
        <w:tc>
          <w:tcPr>
            <w:tcW w:w="992" w:type="dxa"/>
            <w:shd w:val="clear" w:color="auto" w:fill="auto"/>
            <w:noWrap/>
            <w:vAlign w:val="bottom"/>
            <w:hideMark/>
          </w:tcPr>
          <w:p w14:paraId="4582BA7A" w14:textId="77777777" w:rsidR="00870548" w:rsidRPr="00870548" w:rsidRDefault="00870548" w:rsidP="00870548">
            <w:pPr>
              <w:spacing w:after="60"/>
              <w:jc w:val="center"/>
              <w:rPr>
                <w:color w:val="000000"/>
                <w:sz w:val="20"/>
                <w:szCs w:val="20"/>
              </w:rPr>
            </w:pPr>
            <w:r w:rsidRPr="00870548">
              <w:rPr>
                <w:color w:val="000000"/>
                <w:sz w:val="20"/>
                <w:szCs w:val="20"/>
              </w:rPr>
              <w:t> </w:t>
            </w:r>
          </w:p>
        </w:tc>
        <w:tc>
          <w:tcPr>
            <w:tcW w:w="897" w:type="dxa"/>
            <w:shd w:val="clear" w:color="auto" w:fill="auto"/>
            <w:noWrap/>
            <w:vAlign w:val="center"/>
            <w:hideMark/>
          </w:tcPr>
          <w:p w14:paraId="4338AA92" w14:textId="77777777" w:rsidR="00870548" w:rsidRPr="00870548" w:rsidRDefault="00870548" w:rsidP="00870548">
            <w:pPr>
              <w:spacing w:after="60"/>
              <w:jc w:val="center"/>
              <w:rPr>
                <w:color w:val="000000"/>
                <w:sz w:val="20"/>
                <w:szCs w:val="20"/>
              </w:rPr>
            </w:pPr>
            <w:r w:rsidRPr="00870548">
              <w:rPr>
                <w:color w:val="000000"/>
                <w:sz w:val="20"/>
                <w:szCs w:val="20"/>
              </w:rPr>
              <w:t>14,7</w:t>
            </w:r>
          </w:p>
        </w:tc>
        <w:tc>
          <w:tcPr>
            <w:tcW w:w="898" w:type="dxa"/>
            <w:shd w:val="clear" w:color="auto" w:fill="auto"/>
            <w:noWrap/>
            <w:vAlign w:val="center"/>
            <w:hideMark/>
          </w:tcPr>
          <w:p w14:paraId="6FF46B1E" w14:textId="77777777" w:rsidR="00870548" w:rsidRPr="00870548" w:rsidRDefault="00870548" w:rsidP="00870548">
            <w:pPr>
              <w:spacing w:after="60"/>
              <w:jc w:val="center"/>
              <w:rPr>
                <w:color w:val="000000"/>
                <w:sz w:val="20"/>
                <w:szCs w:val="20"/>
              </w:rPr>
            </w:pPr>
            <w:r w:rsidRPr="00870548">
              <w:rPr>
                <w:color w:val="000000"/>
                <w:sz w:val="20"/>
                <w:szCs w:val="20"/>
              </w:rPr>
              <w:t>18,6</w:t>
            </w:r>
          </w:p>
        </w:tc>
        <w:tc>
          <w:tcPr>
            <w:tcW w:w="898" w:type="dxa"/>
            <w:shd w:val="clear" w:color="auto" w:fill="auto"/>
            <w:noWrap/>
            <w:vAlign w:val="center"/>
            <w:hideMark/>
          </w:tcPr>
          <w:p w14:paraId="0EBE5410" w14:textId="77777777" w:rsidR="00870548" w:rsidRPr="00870548" w:rsidRDefault="00870548" w:rsidP="00870548">
            <w:pPr>
              <w:spacing w:after="60"/>
              <w:jc w:val="center"/>
              <w:rPr>
                <w:color w:val="000000"/>
                <w:sz w:val="20"/>
                <w:szCs w:val="20"/>
              </w:rPr>
            </w:pPr>
            <w:r w:rsidRPr="00870548">
              <w:rPr>
                <w:color w:val="000000"/>
                <w:sz w:val="20"/>
                <w:szCs w:val="20"/>
              </w:rPr>
              <w:t>15,7</w:t>
            </w:r>
          </w:p>
        </w:tc>
      </w:tr>
      <w:tr w:rsidR="00870548" w:rsidRPr="00870548" w14:paraId="414429A9" w14:textId="77777777" w:rsidTr="009E168F">
        <w:trPr>
          <w:trHeight w:val="300"/>
        </w:trPr>
        <w:tc>
          <w:tcPr>
            <w:tcW w:w="4536" w:type="dxa"/>
            <w:shd w:val="clear" w:color="auto" w:fill="auto"/>
            <w:noWrap/>
            <w:vAlign w:val="bottom"/>
            <w:hideMark/>
          </w:tcPr>
          <w:p w14:paraId="735313CF" w14:textId="30510E40" w:rsidR="00870548" w:rsidRPr="00870548" w:rsidRDefault="00BF3C2F" w:rsidP="003A7722">
            <w:pPr>
              <w:spacing w:after="60"/>
              <w:jc w:val="both"/>
              <w:rPr>
                <w:color w:val="000000"/>
                <w:sz w:val="20"/>
                <w:szCs w:val="20"/>
              </w:rPr>
            </w:pPr>
            <w:r>
              <w:rPr>
                <w:color w:val="000000"/>
                <w:sz w:val="20"/>
                <w:szCs w:val="20"/>
              </w:rPr>
              <w:t>Разница с прогнозом ИЭП/</w:t>
            </w:r>
            <w:r w:rsidR="006C5A4B" w:rsidRPr="00870548">
              <w:rPr>
                <w:color w:val="000000"/>
                <w:sz w:val="20"/>
                <w:szCs w:val="20"/>
              </w:rPr>
              <w:t>РАНХ</w:t>
            </w:r>
            <w:r w:rsidR="006C5A4B">
              <w:rPr>
                <w:color w:val="000000"/>
                <w:sz w:val="20"/>
                <w:szCs w:val="20"/>
              </w:rPr>
              <w:t>и</w:t>
            </w:r>
            <w:r w:rsidR="006C5A4B" w:rsidRPr="00870548">
              <w:rPr>
                <w:color w:val="000000"/>
                <w:sz w:val="20"/>
                <w:szCs w:val="20"/>
              </w:rPr>
              <w:t xml:space="preserve">ГС </w:t>
            </w:r>
            <w:r w:rsidR="00870548" w:rsidRPr="00870548">
              <w:rPr>
                <w:color w:val="000000"/>
                <w:sz w:val="20"/>
                <w:szCs w:val="20"/>
              </w:rPr>
              <w:t xml:space="preserve">по </w:t>
            </w:r>
            <w:r w:rsidR="00870548" w:rsidRPr="00870548">
              <w:rPr>
                <w:color w:val="000000"/>
                <w:sz w:val="20"/>
                <w:szCs w:val="20"/>
              </w:rPr>
              <w:lastRenderedPageBreak/>
              <w:t>внутреннему производству (ФБ), млрд</w:t>
            </w:r>
            <w:r w:rsidR="00870548">
              <w:rPr>
                <w:color w:val="000000"/>
                <w:sz w:val="20"/>
                <w:szCs w:val="20"/>
              </w:rPr>
              <w:t xml:space="preserve"> </w:t>
            </w:r>
            <w:r w:rsidR="00870548" w:rsidRPr="00870548">
              <w:rPr>
                <w:color w:val="000000"/>
                <w:sz w:val="20"/>
                <w:szCs w:val="20"/>
              </w:rPr>
              <w:t>руб.</w:t>
            </w:r>
          </w:p>
        </w:tc>
        <w:tc>
          <w:tcPr>
            <w:tcW w:w="993" w:type="dxa"/>
            <w:shd w:val="clear" w:color="auto" w:fill="auto"/>
            <w:noWrap/>
            <w:vAlign w:val="bottom"/>
            <w:hideMark/>
          </w:tcPr>
          <w:p w14:paraId="552BD0D4" w14:textId="77777777" w:rsidR="00870548" w:rsidRPr="00870548" w:rsidRDefault="00870548" w:rsidP="00870548">
            <w:pPr>
              <w:spacing w:after="60"/>
              <w:jc w:val="center"/>
              <w:rPr>
                <w:color w:val="000000"/>
                <w:sz w:val="20"/>
                <w:szCs w:val="20"/>
              </w:rPr>
            </w:pPr>
            <w:r w:rsidRPr="00870548">
              <w:rPr>
                <w:color w:val="000000"/>
                <w:sz w:val="20"/>
                <w:szCs w:val="20"/>
              </w:rPr>
              <w:lastRenderedPageBreak/>
              <w:t> </w:t>
            </w:r>
          </w:p>
        </w:tc>
        <w:tc>
          <w:tcPr>
            <w:tcW w:w="992" w:type="dxa"/>
            <w:shd w:val="clear" w:color="auto" w:fill="auto"/>
            <w:noWrap/>
            <w:vAlign w:val="bottom"/>
            <w:hideMark/>
          </w:tcPr>
          <w:p w14:paraId="0CF72CC3" w14:textId="77777777" w:rsidR="00870548" w:rsidRPr="00870548" w:rsidRDefault="00870548" w:rsidP="00870548">
            <w:pPr>
              <w:spacing w:after="60"/>
              <w:jc w:val="center"/>
              <w:rPr>
                <w:color w:val="000000"/>
                <w:sz w:val="20"/>
                <w:szCs w:val="20"/>
              </w:rPr>
            </w:pPr>
            <w:r w:rsidRPr="00870548">
              <w:rPr>
                <w:color w:val="000000"/>
                <w:sz w:val="20"/>
                <w:szCs w:val="20"/>
              </w:rPr>
              <w:t> </w:t>
            </w:r>
          </w:p>
        </w:tc>
        <w:tc>
          <w:tcPr>
            <w:tcW w:w="897" w:type="dxa"/>
            <w:shd w:val="clear" w:color="auto" w:fill="auto"/>
            <w:noWrap/>
            <w:vAlign w:val="center"/>
            <w:hideMark/>
          </w:tcPr>
          <w:p w14:paraId="017CDCDB" w14:textId="77777777" w:rsidR="00870548" w:rsidRPr="00870548" w:rsidRDefault="00870548" w:rsidP="00870548">
            <w:pPr>
              <w:spacing w:after="60"/>
              <w:jc w:val="center"/>
              <w:rPr>
                <w:color w:val="000000"/>
                <w:sz w:val="20"/>
                <w:szCs w:val="20"/>
              </w:rPr>
            </w:pPr>
            <w:r w:rsidRPr="00870548">
              <w:rPr>
                <w:color w:val="000000"/>
                <w:sz w:val="20"/>
                <w:szCs w:val="20"/>
              </w:rPr>
              <w:t>2,82</w:t>
            </w:r>
          </w:p>
        </w:tc>
        <w:tc>
          <w:tcPr>
            <w:tcW w:w="898" w:type="dxa"/>
            <w:shd w:val="clear" w:color="auto" w:fill="auto"/>
            <w:noWrap/>
            <w:vAlign w:val="center"/>
            <w:hideMark/>
          </w:tcPr>
          <w:p w14:paraId="2E3170E3" w14:textId="77777777" w:rsidR="00870548" w:rsidRPr="00870548" w:rsidRDefault="00870548" w:rsidP="00870548">
            <w:pPr>
              <w:spacing w:after="60"/>
              <w:jc w:val="center"/>
              <w:rPr>
                <w:color w:val="000000"/>
                <w:sz w:val="20"/>
                <w:szCs w:val="20"/>
              </w:rPr>
            </w:pPr>
            <w:r w:rsidRPr="00870548">
              <w:rPr>
                <w:color w:val="000000"/>
                <w:sz w:val="20"/>
                <w:szCs w:val="20"/>
              </w:rPr>
              <w:t>3,62</w:t>
            </w:r>
          </w:p>
        </w:tc>
        <w:tc>
          <w:tcPr>
            <w:tcW w:w="898" w:type="dxa"/>
            <w:shd w:val="clear" w:color="auto" w:fill="auto"/>
            <w:noWrap/>
            <w:vAlign w:val="center"/>
            <w:hideMark/>
          </w:tcPr>
          <w:p w14:paraId="39C47834" w14:textId="77777777" w:rsidR="00870548" w:rsidRPr="00870548" w:rsidRDefault="00870548" w:rsidP="00870548">
            <w:pPr>
              <w:spacing w:after="60"/>
              <w:jc w:val="center"/>
              <w:rPr>
                <w:color w:val="000000"/>
                <w:sz w:val="20"/>
                <w:szCs w:val="20"/>
              </w:rPr>
            </w:pPr>
            <w:r w:rsidRPr="00870548">
              <w:rPr>
                <w:color w:val="000000"/>
                <w:sz w:val="20"/>
                <w:szCs w:val="20"/>
              </w:rPr>
              <w:t>2,95</w:t>
            </w:r>
          </w:p>
        </w:tc>
      </w:tr>
      <w:tr w:rsidR="00870548" w:rsidRPr="003A7722" w14:paraId="78DCAC42" w14:textId="77777777" w:rsidTr="009E168F">
        <w:trPr>
          <w:trHeight w:val="300"/>
        </w:trPr>
        <w:tc>
          <w:tcPr>
            <w:tcW w:w="4536" w:type="dxa"/>
            <w:shd w:val="clear" w:color="auto" w:fill="auto"/>
            <w:noWrap/>
            <w:vAlign w:val="bottom"/>
            <w:hideMark/>
          </w:tcPr>
          <w:p w14:paraId="6EFF148E" w14:textId="55D8D2BA" w:rsidR="00870548" w:rsidRPr="003A7722" w:rsidRDefault="00BF3C2F" w:rsidP="003A7722">
            <w:pPr>
              <w:spacing w:after="60"/>
              <w:jc w:val="both"/>
              <w:rPr>
                <w:i/>
                <w:color w:val="000000"/>
                <w:sz w:val="20"/>
                <w:szCs w:val="20"/>
              </w:rPr>
            </w:pPr>
            <w:r>
              <w:rPr>
                <w:i/>
                <w:color w:val="000000"/>
                <w:sz w:val="20"/>
                <w:szCs w:val="20"/>
              </w:rPr>
              <w:lastRenderedPageBreak/>
              <w:t>Разница с прогнозом ИЭП/</w:t>
            </w:r>
            <w:r w:rsidR="006C5A4B" w:rsidRPr="003A7722">
              <w:rPr>
                <w:i/>
                <w:color w:val="000000"/>
                <w:sz w:val="20"/>
                <w:szCs w:val="20"/>
              </w:rPr>
              <w:t>РАНХ</w:t>
            </w:r>
            <w:r w:rsidR="006C5A4B">
              <w:rPr>
                <w:i/>
                <w:color w:val="000000"/>
                <w:sz w:val="20"/>
                <w:szCs w:val="20"/>
              </w:rPr>
              <w:t>и</w:t>
            </w:r>
            <w:r w:rsidR="006C5A4B" w:rsidRPr="003A7722">
              <w:rPr>
                <w:i/>
                <w:color w:val="000000"/>
                <w:sz w:val="20"/>
                <w:szCs w:val="20"/>
              </w:rPr>
              <w:t xml:space="preserve">ГС </w:t>
            </w:r>
            <w:r w:rsidR="00870548" w:rsidRPr="003A7722">
              <w:rPr>
                <w:i/>
                <w:color w:val="000000"/>
                <w:sz w:val="20"/>
                <w:szCs w:val="20"/>
              </w:rPr>
              <w:t>по внутреннему производству (КБ), %</w:t>
            </w:r>
          </w:p>
        </w:tc>
        <w:tc>
          <w:tcPr>
            <w:tcW w:w="993" w:type="dxa"/>
            <w:shd w:val="clear" w:color="auto" w:fill="auto"/>
            <w:noWrap/>
            <w:vAlign w:val="bottom"/>
            <w:hideMark/>
          </w:tcPr>
          <w:p w14:paraId="4AC47576" w14:textId="77777777" w:rsidR="00870548" w:rsidRPr="003A7722" w:rsidRDefault="00870548" w:rsidP="00870548">
            <w:pPr>
              <w:spacing w:after="60"/>
              <w:jc w:val="center"/>
              <w:rPr>
                <w:i/>
                <w:color w:val="000000"/>
                <w:sz w:val="20"/>
                <w:szCs w:val="20"/>
              </w:rPr>
            </w:pPr>
            <w:r w:rsidRPr="003A7722">
              <w:rPr>
                <w:i/>
                <w:color w:val="000000"/>
                <w:sz w:val="20"/>
                <w:szCs w:val="20"/>
              </w:rPr>
              <w:t> </w:t>
            </w:r>
          </w:p>
        </w:tc>
        <w:tc>
          <w:tcPr>
            <w:tcW w:w="992" w:type="dxa"/>
            <w:shd w:val="clear" w:color="auto" w:fill="auto"/>
            <w:noWrap/>
            <w:vAlign w:val="bottom"/>
            <w:hideMark/>
          </w:tcPr>
          <w:p w14:paraId="6DDAFCAB" w14:textId="77777777" w:rsidR="00870548" w:rsidRPr="003A7722" w:rsidRDefault="00870548" w:rsidP="00870548">
            <w:pPr>
              <w:spacing w:after="60"/>
              <w:jc w:val="center"/>
              <w:rPr>
                <w:i/>
                <w:color w:val="000000"/>
                <w:sz w:val="20"/>
                <w:szCs w:val="20"/>
              </w:rPr>
            </w:pPr>
            <w:r w:rsidRPr="003A7722">
              <w:rPr>
                <w:i/>
                <w:color w:val="000000"/>
                <w:sz w:val="20"/>
                <w:szCs w:val="20"/>
              </w:rPr>
              <w:t> </w:t>
            </w:r>
          </w:p>
        </w:tc>
        <w:tc>
          <w:tcPr>
            <w:tcW w:w="897" w:type="dxa"/>
            <w:shd w:val="clear" w:color="auto" w:fill="auto"/>
            <w:noWrap/>
            <w:vAlign w:val="center"/>
            <w:hideMark/>
          </w:tcPr>
          <w:p w14:paraId="051C0CEF" w14:textId="3C378569" w:rsidR="00870548" w:rsidRPr="003A7722" w:rsidRDefault="00870548" w:rsidP="00870548">
            <w:pPr>
              <w:spacing w:after="60"/>
              <w:jc w:val="center"/>
              <w:rPr>
                <w:i/>
                <w:color w:val="000000"/>
                <w:sz w:val="20"/>
                <w:szCs w:val="20"/>
              </w:rPr>
            </w:pPr>
            <w:r w:rsidRPr="003A7722">
              <w:rPr>
                <w:i/>
                <w:color w:val="000000"/>
                <w:sz w:val="20"/>
                <w:szCs w:val="20"/>
              </w:rPr>
              <w:t>7,3</w:t>
            </w:r>
          </w:p>
        </w:tc>
        <w:tc>
          <w:tcPr>
            <w:tcW w:w="898" w:type="dxa"/>
            <w:shd w:val="clear" w:color="auto" w:fill="auto"/>
            <w:noWrap/>
            <w:vAlign w:val="center"/>
            <w:hideMark/>
          </w:tcPr>
          <w:p w14:paraId="2028D404" w14:textId="3905DE5E" w:rsidR="00870548" w:rsidRPr="003A7722" w:rsidRDefault="00870548" w:rsidP="00870548">
            <w:pPr>
              <w:spacing w:after="60"/>
              <w:jc w:val="center"/>
              <w:rPr>
                <w:i/>
                <w:color w:val="000000"/>
                <w:sz w:val="20"/>
                <w:szCs w:val="20"/>
              </w:rPr>
            </w:pPr>
            <w:r w:rsidRPr="003A7722">
              <w:rPr>
                <w:i/>
                <w:color w:val="000000"/>
                <w:sz w:val="20"/>
                <w:szCs w:val="20"/>
              </w:rPr>
              <w:t>8,7</w:t>
            </w:r>
          </w:p>
        </w:tc>
        <w:tc>
          <w:tcPr>
            <w:tcW w:w="898" w:type="dxa"/>
            <w:shd w:val="clear" w:color="auto" w:fill="auto"/>
            <w:noWrap/>
            <w:vAlign w:val="center"/>
            <w:hideMark/>
          </w:tcPr>
          <w:p w14:paraId="595A50DA" w14:textId="31309218" w:rsidR="00870548" w:rsidRPr="003A7722" w:rsidRDefault="00870548" w:rsidP="00870548">
            <w:pPr>
              <w:spacing w:after="60"/>
              <w:jc w:val="center"/>
              <w:rPr>
                <w:i/>
                <w:color w:val="000000"/>
                <w:sz w:val="20"/>
                <w:szCs w:val="20"/>
              </w:rPr>
            </w:pPr>
            <w:r w:rsidRPr="003A7722">
              <w:rPr>
                <w:i/>
                <w:color w:val="000000"/>
                <w:sz w:val="20"/>
                <w:szCs w:val="20"/>
              </w:rPr>
              <w:t>6,9</w:t>
            </w:r>
          </w:p>
        </w:tc>
      </w:tr>
      <w:tr w:rsidR="00870548" w:rsidRPr="003A7722" w14:paraId="371A34CA" w14:textId="77777777" w:rsidTr="009E168F">
        <w:trPr>
          <w:trHeight w:val="300"/>
        </w:trPr>
        <w:tc>
          <w:tcPr>
            <w:tcW w:w="4536" w:type="dxa"/>
            <w:shd w:val="clear" w:color="auto" w:fill="auto"/>
            <w:noWrap/>
            <w:vAlign w:val="bottom"/>
            <w:hideMark/>
          </w:tcPr>
          <w:p w14:paraId="44C963DA" w14:textId="52441053" w:rsidR="00870548" w:rsidRPr="003A7722" w:rsidRDefault="00BF3C2F" w:rsidP="003A7722">
            <w:pPr>
              <w:spacing w:after="60"/>
              <w:jc w:val="both"/>
              <w:rPr>
                <w:i/>
                <w:color w:val="000000"/>
                <w:sz w:val="20"/>
                <w:szCs w:val="20"/>
              </w:rPr>
            </w:pPr>
            <w:r>
              <w:rPr>
                <w:i/>
                <w:color w:val="000000"/>
                <w:sz w:val="20"/>
                <w:szCs w:val="20"/>
              </w:rPr>
              <w:t>Разница с прогнозом ИЭП/</w:t>
            </w:r>
            <w:r w:rsidR="006C5A4B" w:rsidRPr="003A7722">
              <w:rPr>
                <w:i/>
                <w:color w:val="000000"/>
                <w:sz w:val="20"/>
                <w:szCs w:val="20"/>
              </w:rPr>
              <w:t>РАНХ</w:t>
            </w:r>
            <w:r w:rsidR="006C5A4B">
              <w:rPr>
                <w:i/>
                <w:color w:val="000000"/>
                <w:sz w:val="20"/>
                <w:szCs w:val="20"/>
              </w:rPr>
              <w:t>и</w:t>
            </w:r>
            <w:r w:rsidR="006C5A4B" w:rsidRPr="003A7722">
              <w:rPr>
                <w:i/>
                <w:color w:val="000000"/>
                <w:sz w:val="20"/>
                <w:szCs w:val="20"/>
              </w:rPr>
              <w:t xml:space="preserve">ГС </w:t>
            </w:r>
            <w:r w:rsidR="00870548" w:rsidRPr="003A7722">
              <w:rPr>
                <w:i/>
                <w:color w:val="000000"/>
                <w:sz w:val="20"/>
                <w:szCs w:val="20"/>
              </w:rPr>
              <w:t>по внутреннему производству (ФБ), %</w:t>
            </w:r>
          </w:p>
        </w:tc>
        <w:tc>
          <w:tcPr>
            <w:tcW w:w="993" w:type="dxa"/>
            <w:shd w:val="clear" w:color="auto" w:fill="auto"/>
            <w:noWrap/>
            <w:vAlign w:val="bottom"/>
            <w:hideMark/>
          </w:tcPr>
          <w:p w14:paraId="7D08700B" w14:textId="77777777" w:rsidR="00870548" w:rsidRPr="003A7722" w:rsidRDefault="00870548" w:rsidP="00870548">
            <w:pPr>
              <w:spacing w:after="60"/>
              <w:jc w:val="center"/>
              <w:rPr>
                <w:i/>
                <w:color w:val="000000"/>
                <w:sz w:val="20"/>
                <w:szCs w:val="20"/>
              </w:rPr>
            </w:pPr>
            <w:r w:rsidRPr="003A7722">
              <w:rPr>
                <w:i/>
                <w:color w:val="000000"/>
                <w:sz w:val="20"/>
                <w:szCs w:val="20"/>
              </w:rPr>
              <w:t> </w:t>
            </w:r>
          </w:p>
        </w:tc>
        <w:tc>
          <w:tcPr>
            <w:tcW w:w="992" w:type="dxa"/>
            <w:shd w:val="clear" w:color="auto" w:fill="auto"/>
            <w:noWrap/>
            <w:vAlign w:val="bottom"/>
            <w:hideMark/>
          </w:tcPr>
          <w:p w14:paraId="47BF4BA2" w14:textId="77777777" w:rsidR="00870548" w:rsidRPr="003A7722" w:rsidRDefault="00870548" w:rsidP="00870548">
            <w:pPr>
              <w:spacing w:after="60"/>
              <w:jc w:val="center"/>
              <w:rPr>
                <w:i/>
                <w:color w:val="000000"/>
                <w:sz w:val="20"/>
                <w:szCs w:val="20"/>
              </w:rPr>
            </w:pPr>
            <w:r w:rsidRPr="003A7722">
              <w:rPr>
                <w:i/>
                <w:color w:val="000000"/>
                <w:sz w:val="20"/>
                <w:szCs w:val="20"/>
              </w:rPr>
              <w:t> </w:t>
            </w:r>
          </w:p>
        </w:tc>
        <w:tc>
          <w:tcPr>
            <w:tcW w:w="897" w:type="dxa"/>
            <w:shd w:val="clear" w:color="auto" w:fill="auto"/>
            <w:noWrap/>
            <w:vAlign w:val="center"/>
            <w:hideMark/>
          </w:tcPr>
          <w:p w14:paraId="10C56696" w14:textId="462B9734" w:rsidR="00870548" w:rsidRPr="003A7722" w:rsidRDefault="00870548" w:rsidP="00870548">
            <w:pPr>
              <w:spacing w:after="60"/>
              <w:jc w:val="center"/>
              <w:rPr>
                <w:i/>
                <w:color w:val="000000"/>
                <w:sz w:val="20"/>
                <w:szCs w:val="20"/>
              </w:rPr>
            </w:pPr>
            <w:r w:rsidRPr="003A7722">
              <w:rPr>
                <w:i/>
                <w:color w:val="000000"/>
                <w:sz w:val="20"/>
                <w:szCs w:val="20"/>
              </w:rPr>
              <w:t>7,0</w:t>
            </w:r>
          </w:p>
        </w:tc>
        <w:tc>
          <w:tcPr>
            <w:tcW w:w="898" w:type="dxa"/>
            <w:shd w:val="clear" w:color="auto" w:fill="auto"/>
            <w:noWrap/>
            <w:vAlign w:val="center"/>
            <w:hideMark/>
          </w:tcPr>
          <w:p w14:paraId="7FFD4F12" w14:textId="11548700" w:rsidR="00870548" w:rsidRPr="003A7722" w:rsidRDefault="00870548" w:rsidP="00870548">
            <w:pPr>
              <w:spacing w:after="60"/>
              <w:jc w:val="center"/>
              <w:rPr>
                <w:i/>
                <w:color w:val="000000"/>
                <w:sz w:val="20"/>
                <w:szCs w:val="20"/>
              </w:rPr>
            </w:pPr>
            <w:r w:rsidRPr="003A7722">
              <w:rPr>
                <w:i/>
                <w:color w:val="000000"/>
                <w:sz w:val="20"/>
                <w:szCs w:val="20"/>
              </w:rPr>
              <w:t>8,5</w:t>
            </w:r>
          </w:p>
        </w:tc>
        <w:tc>
          <w:tcPr>
            <w:tcW w:w="898" w:type="dxa"/>
            <w:shd w:val="clear" w:color="auto" w:fill="auto"/>
            <w:noWrap/>
            <w:vAlign w:val="center"/>
            <w:hideMark/>
          </w:tcPr>
          <w:p w14:paraId="33CF69CA" w14:textId="72CBCE0F" w:rsidR="00870548" w:rsidRPr="003A7722" w:rsidRDefault="00870548" w:rsidP="00870548">
            <w:pPr>
              <w:spacing w:after="60"/>
              <w:jc w:val="center"/>
              <w:rPr>
                <w:i/>
                <w:color w:val="000000"/>
                <w:sz w:val="20"/>
                <w:szCs w:val="20"/>
              </w:rPr>
            </w:pPr>
            <w:r w:rsidRPr="003A7722">
              <w:rPr>
                <w:i/>
                <w:color w:val="000000"/>
                <w:sz w:val="20"/>
                <w:szCs w:val="20"/>
              </w:rPr>
              <w:t>6,5</w:t>
            </w:r>
          </w:p>
        </w:tc>
      </w:tr>
    </w:tbl>
    <w:p w14:paraId="748FBFF1" w14:textId="77777777" w:rsidR="00870548" w:rsidRPr="0067174A" w:rsidRDefault="00870548" w:rsidP="00870548">
      <w:pPr>
        <w:spacing w:after="60"/>
        <w:ind w:firstLine="709"/>
        <w:jc w:val="both"/>
        <w:rPr>
          <w:sz w:val="20"/>
          <w:szCs w:val="20"/>
        </w:rPr>
      </w:pPr>
      <w:r w:rsidRPr="0067174A">
        <w:rPr>
          <w:sz w:val="20"/>
          <w:szCs w:val="20"/>
        </w:rPr>
        <w:t>* Оценка доходов федерального бюджета производилась в предположении о слабой изменчивости товарной структуры в смысле распределения продукции между импортной и произведенной на территории России.</w:t>
      </w:r>
    </w:p>
    <w:p w14:paraId="0367EB06" w14:textId="57BD66DD" w:rsidR="00870548" w:rsidRPr="00870548" w:rsidRDefault="00870548" w:rsidP="00870548">
      <w:pPr>
        <w:spacing w:after="60"/>
        <w:ind w:firstLine="709"/>
        <w:jc w:val="both"/>
        <w:rPr>
          <w:sz w:val="20"/>
          <w:szCs w:val="20"/>
        </w:rPr>
      </w:pPr>
      <w:r w:rsidRPr="00870548">
        <w:rPr>
          <w:i/>
          <w:sz w:val="20"/>
          <w:szCs w:val="20"/>
        </w:rPr>
        <w:t>Источник</w:t>
      </w:r>
      <w:r w:rsidRPr="00870548">
        <w:rPr>
          <w:sz w:val="20"/>
          <w:szCs w:val="20"/>
        </w:rPr>
        <w:t>: Проект бюджета</w:t>
      </w:r>
      <w:r w:rsidR="00BF3C2F">
        <w:rPr>
          <w:sz w:val="20"/>
          <w:szCs w:val="20"/>
        </w:rPr>
        <w:t>, расчеты ИЭП/</w:t>
      </w:r>
      <w:r w:rsidRPr="00870548">
        <w:rPr>
          <w:sz w:val="20"/>
          <w:szCs w:val="20"/>
        </w:rPr>
        <w:t xml:space="preserve">РАНХиГС на основе данных ФНС, Росказны, Росстата, </w:t>
      </w:r>
      <w:r w:rsidRPr="00870548">
        <w:rPr>
          <w:sz w:val="20"/>
          <w:szCs w:val="20"/>
          <w:lang w:val="en-US"/>
        </w:rPr>
        <w:t>Euromonitor</w:t>
      </w:r>
      <w:r w:rsidRPr="00870548">
        <w:rPr>
          <w:sz w:val="20"/>
          <w:szCs w:val="20"/>
        </w:rPr>
        <w:t xml:space="preserve"> </w:t>
      </w:r>
      <w:r w:rsidRPr="00870548">
        <w:rPr>
          <w:sz w:val="20"/>
          <w:szCs w:val="20"/>
          <w:lang w:val="en-US"/>
        </w:rPr>
        <w:t>Int</w:t>
      </w:r>
      <w:r w:rsidRPr="00870548">
        <w:rPr>
          <w:sz w:val="20"/>
          <w:szCs w:val="20"/>
        </w:rPr>
        <w:t>.</w:t>
      </w:r>
    </w:p>
    <w:p w14:paraId="41554A03" w14:textId="77777777" w:rsidR="00BF3C2F" w:rsidRDefault="00870548" w:rsidP="00870548">
      <w:pPr>
        <w:spacing w:after="60"/>
        <w:ind w:firstLine="709"/>
        <w:jc w:val="both"/>
        <w:rPr>
          <w:szCs w:val="28"/>
        </w:rPr>
      </w:pPr>
      <w:r w:rsidRPr="0067174A">
        <w:rPr>
          <w:szCs w:val="28"/>
        </w:rPr>
        <w:t xml:space="preserve">Следует отметить, что в последние годы в рамках легального сектора можно было наблюдать смещение потребления в пользу пива и вина, что стало результатом соответствующей многолетней акцизной политики. Запланированные на период 2020-2022 гг. ставки на пиво и крепкие напитки предполагают, что относительная акцизная нагрузка в расчете на литр чистого спирта для пива будет расти. Кроме того, с 2020 года существенно повысятся ставки на вино (более чем на 70%). В связи с этим, можно ожидать, что процесс перехода на менее крепкие категории алкогольной продукции </w:t>
      </w:r>
      <w:r w:rsidR="00BF3C2F">
        <w:rPr>
          <w:szCs w:val="28"/>
        </w:rPr>
        <w:t>затормозится</w:t>
      </w:r>
      <w:r w:rsidRPr="0067174A">
        <w:rPr>
          <w:szCs w:val="28"/>
        </w:rPr>
        <w:t xml:space="preserve">. </w:t>
      </w:r>
    </w:p>
    <w:p w14:paraId="2E8F8EF2" w14:textId="557BA975" w:rsidR="00870548" w:rsidRPr="0067174A" w:rsidRDefault="00870548" w:rsidP="00870548">
      <w:pPr>
        <w:spacing w:after="60"/>
        <w:ind w:firstLine="709"/>
        <w:jc w:val="both"/>
        <w:rPr>
          <w:szCs w:val="28"/>
        </w:rPr>
      </w:pPr>
      <w:r w:rsidRPr="0067174A">
        <w:rPr>
          <w:szCs w:val="28"/>
        </w:rPr>
        <w:t>Таким образом, и фактический объем базы для крепких напитков, и доходы бюджета могут превысить прогнозы, предста</w:t>
      </w:r>
      <w:r w:rsidR="00BF3C2F">
        <w:rPr>
          <w:szCs w:val="28"/>
        </w:rPr>
        <w:t>вленные ИЭП/</w:t>
      </w:r>
      <w:r w:rsidRPr="0067174A">
        <w:rPr>
          <w:szCs w:val="28"/>
        </w:rPr>
        <w:t xml:space="preserve">РАНХиГС. Это, однако, возможно только при недопущении роста нелегального сектора. </w:t>
      </w:r>
      <w:r w:rsidR="00BF3C2F">
        <w:rPr>
          <w:szCs w:val="28"/>
        </w:rPr>
        <w:t>Однако р</w:t>
      </w:r>
      <w:r w:rsidRPr="0067174A">
        <w:rPr>
          <w:szCs w:val="28"/>
        </w:rPr>
        <w:t>иски интенсификации контрафакта и контрабанды еще остаются высокими (в совокупности с некоторым усилением дифференциации по доходам на фоне стагнации). Так</w:t>
      </w:r>
      <w:r w:rsidR="00313506">
        <w:rPr>
          <w:szCs w:val="28"/>
        </w:rPr>
        <w:t>,</w:t>
      </w:r>
      <w:r w:rsidRPr="0067174A">
        <w:rPr>
          <w:szCs w:val="28"/>
        </w:rPr>
        <w:t xml:space="preserve"> </w:t>
      </w:r>
      <w:r w:rsidR="00BF3C2F">
        <w:rPr>
          <w:szCs w:val="28"/>
        </w:rPr>
        <w:t xml:space="preserve">по данным </w:t>
      </w:r>
      <w:r w:rsidR="00BF3C2F" w:rsidRPr="0067174A">
        <w:rPr>
          <w:szCs w:val="28"/>
        </w:rPr>
        <w:t>ЦРПР «Сколково»</w:t>
      </w:r>
      <w:r w:rsidR="00BF3C2F">
        <w:rPr>
          <w:szCs w:val="28"/>
        </w:rPr>
        <w:t xml:space="preserve">, </w:t>
      </w:r>
      <w:r w:rsidRPr="0067174A">
        <w:rPr>
          <w:szCs w:val="28"/>
        </w:rPr>
        <w:t xml:space="preserve">в 2017 году доля нелегального оборота на рынке крепких напитков оценивалась в 25%, </w:t>
      </w:r>
      <w:r w:rsidR="00BF3C2F">
        <w:rPr>
          <w:szCs w:val="28"/>
        </w:rPr>
        <w:t xml:space="preserve">а уже в </w:t>
      </w:r>
      <w:r w:rsidRPr="0067174A">
        <w:rPr>
          <w:szCs w:val="28"/>
        </w:rPr>
        <w:t>2019 год</w:t>
      </w:r>
      <w:r w:rsidR="00BF3C2F">
        <w:rPr>
          <w:szCs w:val="28"/>
        </w:rPr>
        <w:t>у его доля выросла до 30-40%</w:t>
      </w:r>
      <w:r w:rsidRPr="0067174A">
        <w:rPr>
          <w:szCs w:val="28"/>
        </w:rPr>
        <w:t>.</w:t>
      </w:r>
    </w:p>
    <w:p w14:paraId="546BA238" w14:textId="77777777" w:rsidR="00870548" w:rsidRDefault="00870548" w:rsidP="00870548">
      <w:pPr>
        <w:spacing w:after="60"/>
        <w:ind w:firstLine="709"/>
        <w:jc w:val="both"/>
        <w:rPr>
          <w:szCs w:val="28"/>
        </w:rPr>
      </w:pPr>
      <w:r w:rsidRPr="0067174A">
        <w:rPr>
          <w:szCs w:val="28"/>
        </w:rPr>
        <w:t xml:space="preserve"> При сокращении доли нелегального рынка </w:t>
      </w:r>
      <w:r>
        <w:rPr>
          <w:szCs w:val="28"/>
        </w:rPr>
        <w:t xml:space="preserve">алкогольной продукции </w:t>
      </w:r>
      <w:r w:rsidRPr="0067174A">
        <w:rPr>
          <w:szCs w:val="28"/>
        </w:rPr>
        <w:t>прогноз, представленный в проекте бюджета, по уровню базы и доходам бюджета может реализоваться</w:t>
      </w:r>
      <w:r>
        <w:rPr>
          <w:szCs w:val="28"/>
        </w:rPr>
        <w:t>.</w:t>
      </w:r>
    </w:p>
    <w:p w14:paraId="403B230C" w14:textId="073F74C6" w:rsidR="00870548" w:rsidRPr="0067174A" w:rsidRDefault="00870548" w:rsidP="00870548">
      <w:pPr>
        <w:spacing w:after="60"/>
        <w:ind w:firstLine="709"/>
        <w:jc w:val="both"/>
      </w:pPr>
      <w:r w:rsidRPr="0067174A">
        <w:t xml:space="preserve">Прогноз в части табачных акцизов на 2020-2022 г., представленный в проекте бюджета, выглядит </w:t>
      </w:r>
      <w:r w:rsidR="00BF3C2F">
        <w:t xml:space="preserve">также </w:t>
      </w:r>
      <w:r w:rsidRPr="0067174A">
        <w:t>излишне оптимистичным, как результат слишком «позитивного» взгляда на динамику базы</w:t>
      </w:r>
      <w:r w:rsidR="00313506">
        <w:t xml:space="preserve"> (</w:t>
      </w:r>
      <w:r w:rsidR="00313506" w:rsidRPr="003A7722">
        <w:rPr>
          <w:i/>
        </w:rPr>
        <w:t xml:space="preserve">таблица </w:t>
      </w:r>
      <w:r w:rsidR="00C84D38">
        <w:rPr>
          <w:i/>
          <w:noProof/>
        </w:rPr>
        <w:t>6</w:t>
      </w:r>
      <w:r w:rsidR="00313506">
        <w:t>)</w:t>
      </w:r>
      <w:r w:rsidRPr="0067174A">
        <w:t xml:space="preserve">. </w:t>
      </w:r>
    </w:p>
    <w:p w14:paraId="37BC61FF" w14:textId="0FAD0518" w:rsidR="00870548" w:rsidRDefault="00870548" w:rsidP="00870548">
      <w:pPr>
        <w:spacing w:after="60"/>
        <w:ind w:firstLine="709"/>
        <w:jc w:val="both"/>
      </w:pPr>
      <w:r w:rsidRPr="0067174A">
        <w:t>В 2018 году ситуация на табачном рынке развивалась по пессимистичному сценарию в части роста нелегального рынка. Это стало основной причиной снижения доходов бюджета по табачным акцизам. В 2019 году ожидается ощутимое падение доходов бюджета по традиционной табачной продукции. Ситуацию в 2019 году немного смягчит эффект роста вклада адвалорного компонента в эффективную ставку вследствие повышения НДС. Динамика объема рынка отражает движение в сторону достижения целей здравоохранения, и наиболее вероятным является снижение доходов бюджета</w:t>
      </w:r>
      <w:r w:rsidR="00313506">
        <w:t>. П</w:t>
      </w:r>
      <w:r w:rsidRPr="0067174A">
        <w:t xml:space="preserve">ри этом степень этого сокращения зависит </w:t>
      </w:r>
      <w:r w:rsidR="00313506">
        <w:t xml:space="preserve">от </w:t>
      </w:r>
      <w:r w:rsidRPr="0067174A">
        <w:t xml:space="preserve">доли нелегального рынка, а также от интенсивности замещения традиционной продукции инновационной. </w:t>
      </w:r>
    </w:p>
    <w:p w14:paraId="5915D4C0" w14:textId="522BEEFC" w:rsidR="00870548" w:rsidRPr="00870548" w:rsidRDefault="00870548" w:rsidP="00870548">
      <w:pPr>
        <w:spacing w:line="360" w:lineRule="auto"/>
        <w:ind w:firstLine="709"/>
        <w:jc w:val="right"/>
        <w:rPr>
          <w:i/>
          <w:szCs w:val="28"/>
        </w:rPr>
      </w:pPr>
      <w:r w:rsidRPr="00870548">
        <w:rPr>
          <w:i/>
          <w:szCs w:val="28"/>
        </w:rPr>
        <w:t>Таблица</w:t>
      </w:r>
      <w:r w:rsidR="00313506">
        <w:rPr>
          <w:i/>
          <w:szCs w:val="28"/>
        </w:rPr>
        <w:t xml:space="preserve"> </w:t>
      </w:r>
      <w:bookmarkStart w:id="11" w:name="_Ref21339552"/>
      <w:r w:rsidR="00C84D38">
        <w:rPr>
          <w:i/>
          <w:noProof/>
        </w:rPr>
        <w:t>6</w:t>
      </w:r>
      <w:bookmarkEnd w:id="11"/>
    </w:p>
    <w:p w14:paraId="510836EC" w14:textId="15DCF7A9" w:rsidR="00870548" w:rsidRPr="00870548" w:rsidRDefault="00870548" w:rsidP="00870548">
      <w:pPr>
        <w:spacing w:after="60"/>
        <w:jc w:val="center"/>
        <w:rPr>
          <w:b/>
          <w:szCs w:val="28"/>
        </w:rPr>
      </w:pPr>
      <w:r w:rsidRPr="00870548">
        <w:rPr>
          <w:b/>
          <w:szCs w:val="28"/>
        </w:rPr>
        <w:t>Прогноз рынка табачной продукции и поступлений акцизов на табачную продукцию</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828"/>
        <w:gridCol w:w="1048"/>
        <w:gridCol w:w="1049"/>
        <w:gridCol w:w="1049"/>
        <w:gridCol w:w="1049"/>
        <w:gridCol w:w="1049"/>
      </w:tblGrid>
      <w:tr w:rsidR="00870548" w:rsidRPr="00870548" w14:paraId="1D7B2E26" w14:textId="77777777" w:rsidTr="00870548">
        <w:trPr>
          <w:trHeight w:val="315"/>
        </w:trPr>
        <w:tc>
          <w:tcPr>
            <w:tcW w:w="3828" w:type="dxa"/>
            <w:shd w:val="clear" w:color="auto" w:fill="FFFFFF" w:themeFill="background1"/>
            <w:noWrap/>
            <w:vAlign w:val="bottom"/>
            <w:hideMark/>
          </w:tcPr>
          <w:p w14:paraId="432FD9EB" w14:textId="77777777" w:rsidR="00870548" w:rsidRPr="00870548" w:rsidRDefault="00870548" w:rsidP="00870548">
            <w:pPr>
              <w:spacing w:after="60"/>
              <w:rPr>
                <w:color w:val="000000"/>
                <w:sz w:val="20"/>
                <w:szCs w:val="20"/>
              </w:rPr>
            </w:pPr>
          </w:p>
        </w:tc>
        <w:tc>
          <w:tcPr>
            <w:tcW w:w="1048" w:type="dxa"/>
            <w:shd w:val="clear" w:color="auto" w:fill="auto"/>
            <w:noWrap/>
            <w:vAlign w:val="bottom"/>
            <w:hideMark/>
          </w:tcPr>
          <w:p w14:paraId="1DC7F293" w14:textId="601A998E" w:rsidR="00870548" w:rsidRPr="00870548" w:rsidRDefault="00870548" w:rsidP="00870548">
            <w:pPr>
              <w:spacing w:after="60"/>
              <w:jc w:val="center"/>
              <w:rPr>
                <w:b/>
                <w:color w:val="000000"/>
                <w:sz w:val="20"/>
                <w:szCs w:val="20"/>
              </w:rPr>
            </w:pPr>
            <w:r w:rsidRPr="00870548">
              <w:rPr>
                <w:b/>
                <w:color w:val="000000"/>
                <w:sz w:val="20"/>
                <w:szCs w:val="20"/>
              </w:rPr>
              <w:t>2018</w:t>
            </w:r>
            <w:r w:rsidR="00313506">
              <w:rPr>
                <w:b/>
                <w:color w:val="000000"/>
                <w:sz w:val="20"/>
                <w:szCs w:val="20"/>
              </w:rPr>
              <w:t xml:space="preserve"> г.</w:t>
            </w:r>
          </w:p>
          <w:p w14:paraId="1AB1C1F4" w14:textId="7BA93611" w:rsidR="00870548" w:rsidRPr="00870548" w:rsidRDefault="00870548" w:rsidP="00870548">
            <w:pPr>
              <w:spacing w:after="60"/>
              <w:jc w:val="center"/>
              <w:rPr>
                <w:b/>
                <w:color w:val="000000"/>
                <w:sz w:val="20"/>
                <w:szCs w:val="20"/>
              </w:rPr>
            </w:pPr>
            <w:r w:rsidRPr="00870548">
              <w:rPr>
                <w:b/>
                <w:color w:val="000000"/>
                <w:sz w:val="20"/>
                <w:szCs w:val="20"/>
              </w:rPr>
              <w:t>Факт</w:t>
            </w:r>
          </w:p>
        </w:tc>
        <w:tc>
          <w:tcPr>
            <w:tcW w:w="1049" w:type="dxa"/>
            <w:shd w:val="clear" w:color="auto" w:fill="auto"/>
            <w:noWrap/>
            <w:vAlign w:val="center"/>
            <w:hideMark/>
          </w:tcPr>
          <w:p w14:paraId="306A6B3C" w14:textId="198971AF" w:rsidR="00870548" w:rsidRPr="00870548" w:rsidRDefault="00870548" w:rsidP="00870548">
            <w:pPr>
              <w:spacing w:after="60"/>
              <w:jc w:val="center"/>
              <w:rPr>
                <w:b/>
                <w:color w:val="000000"/>
                <w:sz w:val="20"/>
                <w:szCs w:val="20"/>
              </w:rPr>
            </w:pPr>
            <w:r w:rsidRPr="00870548">
              <w:rPr>
                <w:b/>
                <w:color w:val="000000"/>
                <w:sz w:val="20"/>
                <w:szCs w:val="20"/>
              </w:rPr>
              <w:t>2019</w:t>
            </w:r>
            <w:r w:rsidR="00313506">
              <w:rPr>
                <w:b/>
                <w:color w:val="000000"/>
                <w:sz w:val="20"/>
                <w:szCs w:val="20"/>
              </w:rPr>
              <w:t xml:space="preserve"> г.</w:t>
            </w:r>
          </w:p>
          <w:p w14:paraId="7DA09C1C" w14:textId="258C2DE7" w:rsidR="00870548" w:rsidRPr="00870548" w:rsidRDefault="00313506" w:rsidP="00870548">
            <w:pPr>
              <w:spacing w:after="60"/>
              <w:jc w:val="center"/>
              <w:rPr>
                <w:b/>
                <w:color w:val="000000"/>
                <w:sz w:val="20"/>
                <w:szCs w:val="20"/>
              </w:rPr>
            </w:pPr>
            <w:r>
              <w:rPr>
                <w:b/>
                <w:color w:val="000000"/>
                <w:sz w:val="20"/>
                <w:szCs w:val="20"/>
              </w:rPr>
              <w:t>Прогноз</w:t>
            </w:r>
          </w:p>
        </w:tc>
        <w:tc>
          <w:tcPr>
            <w:tcW w:w="1049" w:type="dxa"/>
            <w:shd w:val="clear" w:color="auto" w:fill="auto"/>
            <w:noWrap/>
            <w:vAlign w:val="center"/>
            <w:hideMark/>
          </w:tcPr>
          <w:p w14:paraId="1591CAAC" w14:textId="71FA00CF" w:rsidR="00870548" w:rsidRPr="00870548" w:rsidRDefault="00870548" w:rsidP="00870548">
            <w:pPr>
              <w:spacing w:after="60"/>
              <w:jc w:val="center"/>
              <w:rPr>
                <w:b/>
                <w:color w:val="000000"/>
                <w:sz w:val="20"/>
                <w:szCs w:val="20"/>
              </w:rPr>
            </w:pPr>
            <w:r w:rsidRPr="00870548">
              <w:rPr>
                <w:b/>
                <w:color w:val="000000"/>
                <w:sz w:val="20"/>
                <w:szCs w:val="20"/>
              </w:rPr>
              <w:t>2020</w:t>
            </w:r>
            <w:r w:rsidR="00313506">
              <w:rPr>
                <w:b/>
                <w:color w:val="000000"/>
                <w:sz w:val="20"/>
                <w:szCs w:val="20"/>
              </w:rPr>
              <w:t xml:space="preserve"> г.</w:t>
            </w:r>
          </w:p>
        </w:tc>
        <w:tc>
          <w:tcPr>
            <w:tcW w:w="1049" w:type="dxa"/>
            <w:shd w:val="clear" w:color="auto" w:fill="auto"/>
            <w:noWrap/>
            <w:vAlign w:val="center"/>
            <w:hideMark/>
          </w:tcPr>
          <w:p w14:paraId="1518DC90" w14:textId="1A7F2CA6" w:rsidR="00870548" w:rsidRPr="00870548" w:rsidRDefault="00870548" w:rsidP="00870548">
            <w:pPr>
              <w:spacing w:after="60"/>
              <w:jc w:val="center"/>
              <w:rPr>
                <w:b/>
                <w:color w:val="000000"/>
                <w:sz w:val="20"/>
                <w:szCs w:val="20"/>
              </w:rPr>
            </w:pPr>
            <w:r w:rsidRPr="00870548">
              <w:rPr>
                <w:b/>
                <w:color w:val="000000"/>
                <w:sz w:val="20"/>
                <w:szCs w:val="20"/>
              </w:rPr>
              <w:t>2021</w:t>
            </w:r>
            <w:r w:rsidR="00313506">
              <w:rPr>
                <w:b/>
                <w:color w:val="000000"/>
                <w:sz w:val="20"/>
                <w:szCs w:val="20"/>
              </w:rPr>
              <w:t xml:space="preserve"> г.</w:t>
            </w:r>
          </w:p>
        </w:tc>
        <w:tc>
          <w:tcPr>
            <w:tcW w:w="1049" w:type="dxa"/>
            <w:shd w:val="clear" w:color="auto" w:fill="auto"/>
            <w:noWrap/>
            <w:vAlign w:val="center"/>
            <w:hideMark/>
          </w:tcPr>
          <w:p w14:paraId="75D23D00" w14:textId="1B10BB53" w:rsidR="00870548" w:rsidRPr="00870548" w:rsidRDefault="00870548" w:rsidP="00870548">
            <w:pPr>
              <w:spacing w:after="60"/>
              <w:jc w:val="center"/>
              <w:rPr>
                <w:b/>
                <w:color w:val="000000"/>
                <w:sz w:val="20"/>
                <w:szCs w:val="20"/>
              </w:rPr>
            </w:pPr>
            <w:r w:rsidRPr="00870548">
              <w:rPr>
                <w:b/>
                <w:color w:val="000000"/>
                <w:sz w:val="20"/>
                <w:szCs w:val="20"/>
              </w:rPr>
              <w:t>2022</w:t>
            </w:r>
            <w:r w:rsidR="00313506">
              <w:rPr>
                <w:b/>
                <w:color w:val="000000"/>
                <w:sz w:val="20"/>
                <w:szCs w:val="20"/>
              </w:rPr>
              <w:t xml:space="preserve"> г.</w:t>
            </w:r>
          </w:p>
        </w:tc>
      </w:tr>
      <w:tr w:rsidR="00870548" w:rsidRPr="00870548" w14:paraId="155A8553" w14:textId="77777777" w:rsidTr="00870548">
        <w:trPr>
          <w:trHeight w:val="300"/>
        </w:trPr>
        <w:tc>
          <w:tcPr>
            <w:tcW w:w="3828" w:type="dxa"/>
            <w:shd w:val="clear" w:color="auto" w:fill="FFFFFF" w:themeFill="background1"/>
            <w:noWrap/>
            <w:vAlign w:val="center"/>
            <w:hideMark/>
          </w:tcPr>
          <w:p w14:paraId="19A6391B" w14:textId="5CE6A868" w:rsidR="00870548" w:rsidRPr="00870548" w:rsidRDefault="00870548" w:rsidP="00870548">
            <w:pPr>
              <w:spacing w:after="60"/>
              <w:rPr>
                <w:color w:val="000000"/>
                <w:sz w:val="20"/>
                <w:szCs w:val="20"/>
              </w:rPr>
            </w:pPr>
            <w:r w:rsidRPr="00870548">
              <w:rPr>
                <w:color w:val="000000"/>
                <w:sz w:val="20"/>
                <w:szCs w:val="20"/>
              </w:rPr>
              <w:t>Минимальная ставка, руб</w:t>
            </w:r>
            <w:r w:rsidR="00313506">
              <w:rPr>
                <w:color w:val="000000"/>
                <w:sz w:val="20"/>
                <w:szCs w:val="20"/>
              </w:rPr>
              <w:t>.</w:t>
            </w:r>
            <w:r w:rsidRPr="00870548">
              <w:rPr>
                <w:color w:val="000000"/>
                <w:sz w:val="20"/>
                <w:szCs w:val="20"/>
              </w:rPr>
              <w:t xml:space="preserve"> за 1000 шт.</w:t>
            </w:r>
          </w:p>
        </w:tc>
        <w:tc>
          <w:tcPr>
            <w:tcW w:w="1048" w:type="dxa"/>
            <w:shd w:val="clear" w:color="auto" w:fill="auto"/>
            <w:noWrap/>
            <w:vAlign w:val="center"/>
            <w:hideMark/>
          </w:tcPr>
          <w:p w14:paraId="18E9775C" w14:textId="7233AE33" w:rsidR="00870548" w:rsidRPr="00870548" w:rsidRDefault="00870548" w:rsidP="00870548">
            <w:pPr>
              <w:spacing w:after="60"/>
              <w:jc w:val="center"/>
              <w:rPr>
                <w:color w:val="000000"/>
                <w:sz w:val="20"/>
                <w:szCs w:val="20"/>
              </w:rPr>
            </w:pPr>
            <w:r w:rsidRPr="00870548">
              <w:rPr>
                <w:color w:val="000000"/>
                <w:sz w:val="20"/>
                <w:szCs w:val="20"/>
              </w:rPr>
              <w:t>I  2</w:t>
            </w:r>
            <w:r w:rsidR="00BF098E">
              <w:rPr>
                <w:color w:val="000000"/>
                <w:sz w:val="20"/>
                <w:szCs w:val="20"/>
              </w:rPr>
              <w:t xml:space="preserve"> </w:t>
            </w:r>
            <w:r w:rsidRPr="00870548">
              <w:rPr>
                <w:color w:val="000000"/>
                <w:sz w:val="20"/>
                <w:szCs w:val="20"/>
              </w:rPr>
              <w:t>123</w:t>
            </w:r>
          </w:p>
          <w:p w14:paraId="4F94C0E3" w14:textId="13F02C76" w:rsidR="00870548" w:rsidRPr="00870548" w:rsidRDefault="00870548" w:rsidP="00870548">
            <w:pPr>
              <w:spacing w:after="60"/>
              <w:jc w:val="center"/>
              <w:rPr>
                <w:color w:val="000000"/>
                <w:sz w:val="20"/>
                <w:szCs w:val="20"/>
              </w:rPr>
            </w:pPr>
            <w:r w:rsidRPr="00870548">
              <w:rPr>
                <w:color w:val="000000"/>
                <w:sz w:val="20"/>
                <w:szCs w:val="20"/>
              </w:rPr>
              <w:t>II 2</w:t>
            </w:r>
            <w:r w:rsidR="00BF098E">
              <w:rPr>
                <w:color w:val="000000"/>
                <w:sz w:val="20"/>
                <w:szCs w:val="20"/>
              </w:rPr>
              <w:t xml:space="preserve"> </w:t>
            </w:r>
            <w:r w:rsidRPr="00870548">
              <w:rPr>
                <w:color w:val="000000"/>
                <w:sz w:val="20"/>
                <w:szCs w:val="20"/>
              </w:rPr>
              <w:t>335</w:t>
            </w:r>
          </w:p>
        </w:tc>
        <w:tc>
          <w:tcPr>
            <w:tcW w:w="1049" w:type="dxa"/>
            <w:shd w:val="clear" w:color="auto" w:fill="auto"/>
            <w:noWrap/>
            <w:vAlign w:val="center"/>
            <w:hideMark/>
          </w:tcPr>
          <w:p w14:paraId="18B8B4B6" w14:textId="75EF8B25" w:rsidR="00870548" w:rsidRPr="00870548" w:rsidRDefault="00870548" w:rsidP="00870548">
            <w:pPr>
              <w:spacing w:after="60"/>
              <w:jc w:val="center"/>
              <w:rPr>
                <w:color w:val="000000"/>
                <w:sz w:val="20"/>
                <w:szCs w:val="20"/>
              </w:rPr>
            </w:pPr>
            <w:r w:rsidRPr="00870548">
              <w:rPr>
                <w:color w:val="000000"/>
                <w:sz w:val="20"/>
                <w:szCs w:val="20"/>
              </w:rPr>
              <w:t>2</w:t>
            </w:r>
            <w:r w:rsidR="00BF098E">
              <w:rPr>
                <w:color w:val="000000"/>
                <w:sz w:val="20"/>
                <w:szCs w:val="20"/>
              </w:rPr>
              <w:t xml:space="preserve"> </w:t>
            </w:r>
            <w:r w:rsidRPr="00870548">
              <w:rPr>
                <w:color w:val="000000"/>
                <w:sz w:val="20"/>
                <w:szCs w:val="20"/>
              </w:rPr>
              <w:t>568</w:t>
            </w:r>
          </w:p>
        </w:tc>
        <w:tc>
          <w:tcPr>
            <w:tcW w:w="1049" w:type="dxa"/>
            <w:shd w:val="clear" w:color="auto" w:fill="auto"/>
            <w:noWrap/>
            <w:vAlign w:val="center"/>
            <w:hideMark/>
          </w:tcPr>
          <w:p w14:paraId="00F96158" w14:textId="0DC91565" w:rsidR="00870548" w:rsidRPr="00870548" w:rsidRDefault="00870548" w:rsidP="00870548">
            <w:pPr>
              <w:spacing w:after="60"/>
              <w:jc w:val="center"/>
              <w:rPr>
                <w:color w:val="000000"/>
                <w:sz w:val="20"/>
                <w:szCs w:val="20"/>
              </w:rPr>
            </w:pPr>
            <w:r w:rsidRPr="00870548">
              <w:rPr>
                <w:color w:val="000000"/>
                <w:sz w:val="20"/>
                <w:szCs w:val="20"/>
              </w:rPr>
              <w:t>2</w:t>
            </w:r>
            <w:r w:rsidR="00BF098E">
              <w:rPr>
                <w:color w:val="000000"/>
                <w:sz w:val="20"/>
                <w:szCs w:val="20"/>
              </w:rPr>
              <w:t xml:space="preserve"> </w:t>
            </w:r>
            <w:r w:rsidRPr="00870548">
              <w:rPr>
                <w:color w:val="000000"/>
                <w:sz w:val="20"/>
                <w:szCs w:val="20"/>
              </w:rPr>
              <w:t>671</w:t>
            </w:r>
          </w:p>
        </w:tc>
        <w:tc>
          <w:tcPr>
            <w:tcW w:w="1049" w:type="dxa"/>
            <w:shd w:val="clear" w:color="auto" w:fill="auto"/>
            <w:noWrap/>
            <w:vAlign w:val="center"/>
            <w:hideMark/>
          </w:tcPr>
          <w:p w14:paraId="7A181B6C" w14:textId="578DDC72" w:rsidR="00870548" w:rsidRPr="00870548" w:rsidRDefault="00870548" w:rsidP="00870548">
            <w:pPr>
              <w:spacing w:after="60"/>
              <w:jc w:val="center"/>
              <w:rPr>
                <w:color w:val="000000"/>
                <w:sz w:val="20"/>
                <w:szCs w:val="20"/>
              </w:rPr>
            </w:pPr>
            <w:r w:rsidRPr="00870548">
              <w:rPr>
                <w:color w:val="000000"/>
                <w:sz w:val="20"/>
                <w:szCs w:val="20"/>
              </w:rPr>
              <w:t>2</w:t>
            </w:r>
            <w:r w:rsidR="00BF098E">
              <w:rPr>
                <w:color w:val="000000"/>
                <w:sz w:val="20"/>
                <w:szCs w:val="20"/>
              </w:rPr>
              <w:t xml:space="preserve"> </w:t>
            </w:r>
            <w:r w:rsidRPr="00870548">
              <w:rPr>
                <w:color w:val="000000"/>
                <w:sz w:val="20"/>
                <w:szCs w:val="20"/>
              </w:rPr>
              <w:t>778</w:t>
            </w:r>
          </w:p>
        </w:tc>
        <w:tc>
          <w:tcPr>
            <w:tcW w:w="1049" w:type="dxa"/>
            <w:shd w:val="clear" w:color="auto" w:fill="auto"/>
            <w:noWrap/>
            <w:vAlign w:val="center"/>
            <w:hideMark/>
          </w:tcPr>
          <w:p w14:paraId="09E0EFC1" w14:textId="49C6219C" w:rsidR="00870548" w:rsidRPr="00870548" w:rsidRDefault="00870548" w:rsidP="00870548">
            <w:pPr>
              <w:spacing w:after="60"/>
              <w:jc w:val="center"/>
              <w:rPr>
                <w:color w:val="000000"/>
                <w:sz w:val="20"/>
                <w:szCs w:val="20"/>
              </w:rPr>
            </w:pPr>
            <w:r w:rsidRPr="00870548">
              <w:rPr>
                <w:color w:val="000000"/>
                <w:sz w:val="20"/>
                <w:szCs w:val="20"/>
              </w:rPr>
              <w:t>2</w:t>
            </w:r>
            <w:r w:rsidR="00BF098E">
              <w:rPr>
                <w:color w:val="000000"/>
                <w:sz w:val="20"/>
                <w:szCs w:val="20"/>
              </w:rPr>
              <w:t xml:space="preserve"> </w:t>
            </w:r>
            <w:r w:rsidRPr="00870548">
              <w:rPr>
                <w:color w:val="000000"/>
                <w:sz w:val="20"/>
                <w:szCs w:val="20"/>
              </w:rPr>
              <w:t>889</w:t>
            </w:r>
          </w:p>
        </w:tc>
      </w:tr>
      <w:tr w:rsidR="00870548" w:rsidRPr="00870548" w14:paraId="0B5D94D7" w14:textId="77777777" w:rsidTr="00870548">
        <w:trPr>
          <w:trHeight w:val="300"/>
        </w:trPr>
        <w:tc>
          <w:tcPr>
            <w:tcW w:w="3828" w:type="dxa"/>
            <w:shd w:val="clear" w:color="auto" w:fill="FFFFFF" w:themeFill="background1"/>
            <w:noWrap/>
            <w:vAlign w:val="center"/>
            <w:hideMark/>
          </w:tcPr>
          <w:p w14:paraId="4CB97C32" w14:textId="1E688B15" w:rsidR="00870548" w:rsidRPr="00870548" w:rsidRDefault="00870548" w:rsidP="00870548">
            <w:pPr>
              <w:spacing w:after="60"/>
              <w:rPr>
                <w:color w:val="000000"/>
                <w:sz w:val="20"/>
                <w:szCs w:val="20"/>
              </w:rPr>
            </w:pPr>
            <w:r w:rsidRPr="00870548">
              <w:rPr>
                <w:color w:val="000000"/>
                <w:sz w:val="20"/>
                <w:szCs w:val="20"/>
              </w:rPr>
              <w:t>Специфическая ставка, руб</w:t>
            </w:r>
            <w:r w:rsidR="00313506">
              <w:rPr>
                <w:color w:val="000000"/>
                <w:sz w:val="20"/>
                <w:szCs w:val="20"/>
              </w:rPr>
              <w:t>.</w:t>
            </w:r>
            <w:r w:rsidRPr="00870548">
              <w:rPr>
                <w:color w:val="000000"/>
                <w:sz w:val="20"/>
                <w:szCs w:val="20"/>
              </w:rPr>
              <w:t xml:space="preserve"> за 1000 шт.</w:t>
            </w:r>
          </w:p>
        </w:tc>
        <w:tc>
          <w:tcPr>
            <w:tcW w:w="1048" w:type="dxa"/>
            <w:shd w:val="clear" w:color="auto" w:fill="auto"/>
            <w:noWrap/>
            <w:vAlign w:val="center"/>
            <w:hideMark/>
          </w:tcPr>
          <w:p w14:paraId="02DE691A" w14:textId="477B4367" w:rsidR="00870548" w:rsidRPr="00870548" w:rsidRDefault="00870548" w:rsidP="00870548">
            <w:pPr>
              <w:spacing w:after="60"/>
              <w:jc w:val="center"/>
              <w:rPr>
                <w:color w:val="000000"/>
                <w:sz w:val="20"/>
                <w:szCs w:val="20"/>
              </w:rPr>
            </w:pPr>
            <w:r w:rsidRPr="00870548">
              <w:rPr>
                <w:color w:val="000000"/>
                <w:sz w:val="20"/>
                <w:szCs w:val="20"/>
              </w:rPr>
              <w:t>I  1</w:t>
            </w:r>
            <w:r w:rsidR="00BF098E">
              <w:rPr>
                <w:color w:val="000000"/>
                <w:sz w:val="20"/>
                <w:szCs w:val="20"/>
              </w:rPr>
              <w:t xml:space="preserve"> </w:t>
            </w:r>
            <w:r w:rsidRPr="00870548">
              <w:rPr>
                <w:color w:val="000000"/>
                <w:sz w:val="20"/>
                <w:szCs w:val="20"/>
              </w:rPr>
              <w:t>562</w:t>
            </w:r>
          </w:p>
          <w:p w14:paraId="2972C33E" w14:textId="5E2B1EFD" w:rsidR="00870548" w:rsidRPr="00870548" w:rsidRDefault="00870548" w:rsidP="00870548">
            <w:pPr>
              <w:spacing w:after="60"/>
              <w:jc w:val="center"/>
              <w:rPr>
                <w:color w:val="000000"/>
                <w:sz w:val="20"/>
                <w:szCs w:val="20"/>
              </w:rPr>
            </w:pPr>
            <w:r w:rsidRPr="00870548">
              <w:rPr>
                <w:color w:val="000000"/>
                <w:sz w:val="20"/>
                <w:szCs w:val="20"/>
              </w:rPr>
              <w:t>II 1</w:t>
            </w:r>
            <w:r w:rsidR="00BF098E">
              <w:rPr>
                <w:color w:val="000000"/>
                <w:sz w:val="20"/>
                <w:szCs w:val="20"/>
              </w:rPr>
              <w:t xml:space="preserve"> </w:t>
            </w:r>
            <w:r w:rsidRPr="00870548">
              <w:rPr>
                <w:color w:val="000000"/>
                <w:sz w:val="20"/>
                <w:szCs w:val="20"/>
              </w:rPr>
              <w:t>718</w:t>
            </w:r>
          </w:p>
        </w:tc>
        <w:tc>
          <w:tcPr>
            <w:tcW w:w="1049" w:type="dxa"/>
            <w:shd w:val="clear" w:color="auto" w:fill="auto"/>
            <w:noWrap/>
            <w:vAlign w:val="center"/>
            <w:hideMark/>
          </w:tcPr>
          <w:p w14:paraId="32B8EF3A" w14:textId="73688F39" w:rsidR="00870548" w:rsidRPr="00870548" w:rsidRDefault="00870548" w:rsidP="00870548">
            <w:pPr>
              <w:spacing w:after="60"/>
              <w:jc w:val="center"/>
              <w:rPr>
                <w:color w:val="000000"/>
                <w:sz w:val="20"/>
                <w:szCs w:val="20"/>
              </w:rPr>
            </w:pPr>
            <w:r w:rsidRPr="00870548">
              <w:rPr>
                <w:color w:val="000000"/>
                <w:sz w:val="20"/>
                <w:szCs w:val="20"/>
              </w:rPr>
              <w:t>1</w:t>
            </w:r>
            <w:r w:rsidR="00BF098E">
              <w:rPr>
                <w:color w:val="000000"/>
                <w:sz w:val="20"/>
                <w:szCs w:val="20"/>
              </w:rPr>
              <w:t xml:space="preserve"> </w:t>
            </w:r>
            <w:r w:rsidRPr="00870548">
              <w:rPr>
                <w:color w:val="000000"/>
                <w:sz w:val="20"/>
                <w:szCs w:val="20"/>
              </w:rPr>
              <w:t>890</w:t>
            </w:r>
          </w:p>
        </w:tc>
        <w:tc>
          <w:tcPr>
            <w:tcW w:w="1049" w:type="dxa"/>
            <w:shd w:val="clear" w:color="auto" w:fill="auto"/>
            <w:noWrap/>
            <w:vAlign w:val="center"/>
            <w:hideMark/>
          </w:tcPr>
          <w:p w14:paraId="7BBE5C68" w14:textId="28287299" w:rsidR="00870548" w:rsidRPr="00870548" w:rsidRDefault="00870548" w:rsidP="00870548">
            <w:pPr>
              <w:spacing w:after="60"/>
              <w:jc w:val="center"/>
              <w:rPr>
                <w:color w:val="000000"/>
                <w:sz w:val="20"/>
                <w:szCs w:val="20"/>
              </w:rPr>
            </w:pPr>
            <w:r w:rsidRPr="00870548">
              <w:rPr>
                <w:color w:val="000000"/>
                <w:sz w:val="20"/>
                <w:szCs w:val="20"/>
              </w:rPr>
              <w:t>1</w:t>
            </w:r>
            <w:r w:rsidR="00BF098E">
              <w:rPr>
                <w:color w:val="000000"/>
                <w:sz w:val="20"/>
                <w:szCs w:val="20"/>
              </w:rPr>
              <w:t xml:space="preserve"> </w:t>
            </w:r>
            <w:r w:rsidRPr="00870548">
              <w:rPr>
                <w:color w:val="000000"/>
                <w:sz w:val="20"/>
                <w:szCs w:val="20"/>
              </w:rPr>
              <w:t>966</w:t>
            </w:r>
          </w:p>
        </w:tc>
        <w:tc>
          <w:tcPr>
            <w:tcW w:w="1049" w:type="dxa"/>
            <w:shd w:val="clear" w:color="auto" w:fill="auto"/>
            <w:noWrap/>
            <w:vAlign w:val="center"/>
            <w:hideMark/>
          </w:tcPr>
          <w:p w14:paraId="50EC07E7" w14:textId="2C24849F" w:rsidR="00870548" w:rsidRPr="00870548" w:rsidRDefault="00870548" w:rsidP="00870548">
            <w:pPr>
              <w:spacing w:after="60"/>
              <w:jc w:val="center"/>
              <w:rPr>
                <w:color w:val="000000"/>
                <w:sz w:val="20"/>
                <w:szCs w:val="20"/>
              </w:rPr>
            </w:pPr>
            <w:r w:rsidRPr="00870548">
              <w:rPr>
                <w:color w:val="000000"/>
                <w:sz w:val="20"/>
                <w:szCs w:val="20"/>
              </w:rPr>
              <w:t>2</w:t>
            </w:r>
            <w:r w:rsidR="00BF098E">
              <w:rPr>
                <w:color w:val="000000"/>
                <w:sz w:val="20"/>
                <w:szCs w:val="20"/>
              </w:rPr>
              <w:t xml:space="preserve"> </w:t>
            </w:r>
            <w:r w:rsidRPr="00870548">
              <w:rPr>
                <w:color w:val="000000"/>
                <w:sz w:val="20"/>
                <w:szCs w:val="20"/>
              </w:rPr>
              <w:t>045</w:t>
            </w:r>
          </w:p>
        </w:tc>
        <w:tc>
          <w:tcPr>
            <w:tcW w:w="1049" w:type="dxa"/>
            <w:shd w:val="clear" w:color="auto" w:fill="auto"/>
            <w:noWrap/>
            <w:vAlign w:val="center"/>
            <w:hideMark/>
          </w:tcPr>
          <w:p w14:paraId="09F80828" w14:textId="177FD1A6" w:rsidR="00870548" w:rsidRPr="00870548" w:rsidRDefault="00870548" w:rsidP="00870548">
            <w:pPr>
              <w:spacing w:after="60"/>
              <w:jc w:val="center"/>
              <w:rPr>
                <w:color w:val="000000"/>
                <w:sz w:val="20"/>
                <w:szCs w:val="20"/>
              </w:rPr>
            </w:pPr>
            <w:r w:rsidRPr="00870548">
              <w:rPr>
                <w:color w:val="000000"/>
                <w:sz w:val="20"/>
                <w:szCs w:val="20"/>
              </w:rPr>
              <w:t>2</w:t>
            </w:r>
            <w:r w:rsidR="00BF098E">
              <w:rPr>
                <w:color w:val="000000"/>
                <w:sz w:val="20"/>
                <w:szCs w:val="20"/>
              </w:rPr>
              <w:t xml:space="preserve"> </w:t>
            </w:r>
            <w:r w:rsidRPr="00870548">
              <w:rPr>
                <w:color w:val="000000"/>
                <w:sz w:val="20"/>
                <w:szCs w:val="20"/>
              </w:rPr>
              <w:t>127</w:t>
            </w:r>
          </w:p>
        </w:tc>
      </w:tr>
      <w:tr w:rsidR="00870548" w:rsidRPr="00870548" w14:paraId="42EAD1E0" w14:textId="77777777" w:rsidTr="00870548">
        <w:trPr>
          <w:trHeight w:val="300"/>
        </w:trPr>
        <w:tc>
          <w:tcPr>
            <w:tcW w:w="3828" w:type="dxa"/>
            <w:shd w:val="clear" w:color="auto" w:fill="FFFFFF" w:themeFill="background1"/>
            <w:noWrap/>
            <w:vAlign w:val="bottom"/>
            <w:hideMark/>
          </w:tcPr>
          <w:p w14:paraId="2023B953" w14:textId="77777777" w:rsidR="00870548" w:rsidRPr="00870548" w:rsidRDefault="00870548" w:rsidP="00870548">
            <w:pPr>
              <w:spacing w:after="60"/>
              <w:rPr>
                <w:color w:val="000000"/>
                <w:sz w:val="20"/>
                <w:szCs w:val="20"/>
              </w:rPr>
            </w:pPr>
            <w:r w:rsidRPr="00870548">
              <w:rPr>
                <w:color w:val="000000"/>
                <w:sz w:val="20"/>
                <w:szCs w:val="20"/>
              </w:rPr>
              <w:t>Адвалорная ставка, %</w:t>
            </w:r>
          </w:p>
        </w:tc>
        <w:tc>
          <w:tcPr>
            <w:tcW w:w="1048" w:type="dxa"/>
            <w:shd w:val="clear" w:color="auto" w:fill="auto"/>
            <w:noWrap/>
            <w:vAlign w:val="bottom"/>
            <w:hideMark/>
          </w:tcPr>
          <w:p w14:paraId="158967FE" w14:textId="0DC9B6FC" w:rsidR="00870548" w:rsidRPr="00870548" w:rsidRDefault="00870548" w:rsidP="00870548">
            <w:pPr>
              <w:spacing w:after="60"/>
              <w:jc w:val="center"/>
              <w:rPr>
                <w:color w:val="000000"/>
                <w:sz w:val="20"/>
                <w:szCs w:val="20"/>
              </w:rPr>
            </w:pPr>
            <w:r w:rsidRPr="00870548">
              <w:rPr>
                <w:color w:val="000000"/>
                <w:sz w:val="20"/>
                <w:szCs w:val="20"/>
              </w:rPr>
              <w:t>14,5</w:t>
            </w:r>
          </w:p>
        </w:tc>
        <w:tc>
          <w:tcPr>
            <w:tcW w:w="1049" w:type="dxa"/>
            <w:shd w:val="clear" w:color="auto" w:fill="auto"/>
            <w:noWrap/>
            <w:vAlign w:val="bottom"/>
            <w:hideMark/>
          </w:tcPr>
          <w:p w14:paraId="53672FA6" w14:textId="0E7DA0A4" w:rsidR="00870548" w:rsidRPr="00870548" w:rsidRDefault="00870548" w:rsidP="00870548">
            <w:pPr>
              <w:spacing w:after="60"/>
              <w:jc w:val="center"/>
              <w:rPr>
                <w:color w:val="000000"/>
                <w:sz w:val="20"/>
                <w:szCs w:val="20"/>
              </w:rPr>
            </w:pPr>
            <w:r w:rsidRPr="00870548">
              <w:rPr>
                <w:color w:val="000000"/>
                <w:sz w:val="20"/>
                <w:szCs w:val="20"/>
              </w:rPr>
              <w:t>14,5</w:t>
            </w:r>
          </w:p>
        </w:tc>
        <w:tc>
          <w:tcPr>
            <w:tcW w:w="1049" w:type="dxa"/>
            <w:shd w:val="clear" w:color="auto" w:fill="auto"/>
            <w:noWrap/>
            <w:vAlign w:val="bottom"/>
            <w:hideMark/>
          </w:tcPr>
          <w:p w14:paraId="389BCBDF" w14:textId="048864CF" w:rsidR="00870548" w:rsidRPr="00870548" w:rsidRDefault="00870548" w:rsidP="00870548">
            <w:pPr>
              <w:spacing w:after="60"/>
              <w:jc w:val="center"/>
              <w:rPr>
                <w:color w:val="000000"/>
                <w:sz w:val="20"/>
                <w:szCs w:val="20"/>
              </w:rPr>
            </w:pPr>
            <w:r w:rsidRPr="00870548">
              <w:rPr>
                <w:color w:val="000000"/>
                <w:sz w:val="20"/>
                <w:szCs w:val="20"/>
              </w:rPr>
              <w:t>14,5</w:t>
            </w:r>
          </w:p>
        </w:tc>
        <w:tc>
          <w:tcPr>
            <w:tcW w:w="1049" w:type="dxa"/>
            <w:shd w:val="clear" w:color="auto" w:fill="auto"/>
            <w:noWrap/>
            <w:vAlign w:val="bottom"/>
            <w:hideMark/>
          </w:tcPr>
          <w:p w14:paraId="4BE8F850" w14:textId="7F9019A2" w:rsidR="00870548" w:rsidRPr="00870548" w:rsidRDefault="00870548" w:rsidP="00870548">
            <w:pPr>
              <w:spacing w:after="60"/>
              <w:jc w:val="center"/>
              <w:rPr>
                <w:color w:val="000000"/>
                <w:sz w:val="20"/>
                <w:szCs w:val="20"/>
              </w:rPr>
            </w:pPr>
            <w:r w:rsidRPr="00870548">
              <w:rPr>
                <w:color w:val="000000"/>
                <w:sz w:val="20"/>
                <w:szCs w:val="20"/>
              </w:rPr>
              <w:t>14,5</w:t>
            </w:r>
          </w:p>
        </w:tc>
        <w:tc>
          <w:tcPr>
            <w:tcW w:w="1049" w:type="dxa"/>
            <w:shd w:val="clear" w:color="auto" w:fill="auto"/>
            <w:noWrap/>
            <w:vAlign w:val="bottom"/>
            <w:hideMark/>
          </w:tcPr>
          <w:p w14:paraId="438AE7C9" w14:textId="56346425" w:rsidR="00870548" w:rsidRPr="00870548" w:rsidRDefault="00870548" w:rsidP="00870548">
            <w:pPr>
              <w:spacing w:after="60"/>
              <w:jc w:val="center"/>
              <w:rPr>
                <w:color w:val="000000"/>
                <w:sz w:val="20"/>
                <w:szCs w:val="20"/>
              </w:rPr>
            </w:pPr>
            <w:r w:rsidRPr="00870548">
              <w:rPr>
                <w:color w:val="000000"/>
                <w:sz w:val="20"/>
                <w:szCs w:val="20"/>
              </w:rPr>
              <w:t>14,5</w:t>
            </w:r>
          </w:p>
        </w:tc>
      </w:tr>
      <w:tr w:rsidR="00870548" w:rsidRPr="00870548" w14:paraId="359B9ADA" w14:textId="77777777" w:rsidTr="00870548">
        <w:trPr>
          <w:trHeight w:val="300"/>
        </w:trPr>
        <w:tc>
          <w:tcPr>
            <w:tcW w:w="9072" w:type="dxa"/>
            <w:gridSpan w:val="6"/>
            <w:shd w:val="clear" w:color="auto" w:fill="FFFFFF" w:themeFill="background1"/>
            <w:noWrap/>
            <w:vAlign w:val="bottom"/>
            <w:hideMark/>
          </w:tcPr>
          <w:p w14:paraId="45825FA2" w14:textId="77777777" w:rsidR="00870548" w:rsidRPr="00870548" w:rsidRDefault="00870548" w:rsidP="003A7722">
            <w:pPr>
              <w:spacing w:after="60"/>
              <w:ind w:left="709"/>
              <w:rPr>
                <w:b/>
                <w:i/>
                <w:color w:val="000000"/>
                <w:sz w:val="20"/>
                <w:szCs w:val="20"/>
              </w:rPr>
            </w:pPr>
            <w:r w:rsidRPr="00870548">
              <w:rPr>
                <w:b/>
                <w:i/>
                <w:color w:val="000000"/>
                <w:sz w:val="20"/>
                <w:szCs w:val="20"/>
              </w:rPr>
              <w:t>Оптимистичный сценарий по доле нелегального оборота</w:t>
            </w:r>
          </w:p>
        </w:tc>
      </w:tr>
      <w:tr w:rsidR="00870548" w:rsidRPr="00870548" w14:paraId="5F7E84FF" w14:textId="77777777" w:rsidTr="00870548">
        <w:trPr>
          <w:trHeight w:val="300"/>
        </w:trPr>
        <w:tc>
          <w:tcPr>
            <w:tcW w:w="3828" w:type="dxa"/>
            <w:shd w:val="clear" w:color="auto" w:fill="FFFFFF" w:themeFill="background1"/>
            <w:noWrap/>
            <w:vAlign w:val="bottom"/>
            <w:hideMark/>
          </w:tcPr>
          <w:p w14:paraId="2D905E3C" w14:textId="32F2C8DE" w:rsidR="00870548" w:rsidRPr="00870548" w:rsidRDefault="00870548" w:rsidP="00870548">
            <w:pPr>
              <w:spacing w:after="60"/>
              <w:rPr>
                <w:color w:val="000000"/>
                <w:sz w:val="20"/>
                <w:szCs w:val="20"/>
              </w:rPr>
            </w:pPr>
            <w:r w:rsidRPr="00870548">
              <w:rPr>
                <w:color w:val="000000"/>
                <w:sz w:val="20"/>
                <w:szCs w:val="20"/>
              </w:rPr>
              <w:t xml:space="preserve">Общий объем рынка (млн </w:t>
            </w:r>
            <w:r w:rsidR="00313506" w:rsidRPr="00870548">
              <w:rPr>
                <w:color w:val="000000"/>
                <w:sz w:val="20"/>
                <w:szCs w:val="20"/>
              </w:rPr>
              <w:t>сигарет</w:t>
            </w:r>
            <w:r w:rsidRPr="00870548">
              <w:rPr>
                <w:color w:val="000000"/>
                <w:sz w:val="20"/>
                <w:szCs w:val="20"/>
              </w:rPr>
              <w:t>)</w:t>
            </w:r>
          </w:p>
        </w:tc>
        <w:tc>
          <w:tcPr>
            <w:tcW w:w="1048" w:type="dxa"/>
            <w:shd w:val="clear" w:color="auto" w:fill="FFFFFF" w:themeFill="background1"/>
            <w:noWrap/>
            <w:vAlign w:val="center"/>
            <w:hideMark/>
          </w:tcPr>
          <w:p w14:paraId="167BF0C0" w14:textId="1A882924" w:rsidR="00870548" w:rsidRPr="00870548" w:rsidRDefault="00870548" w:rsidP="00870548">
            <w:pPr>
              <w:spacing w:after="60"/>
              <w:jc w:val="center"/>
              <w:rPr>
                <w:color w:val="000000"/>
                <w:sz w:val="20"/>
                <w:szCs w:val="20"/>
              </w:rPr>
            </w:pPr>
            <w:r w:rsidRPr="00870548">
              <w:rPr>
                <w:color w:val="000000"/>
                <w:sz w:val="20"/>
                <w:szCs w:val="20"/>
              </w:rPr>
              <w:t>258</w:t>
            </w:r>
            <w:r w:rsidR="00BF098E">
              <w:rPr>
                <w:color w:val="000000"/>
                <w:sz w:val="20"/>
                <w:szCs w:val="20"/>
              </w:rPr>
              <w:t xml:space="preserve"> </w:t>
            </w:r>
            <w:r w:rsidRPr="00870548">
              <w:rPr>
                <w:color w:val="000000"/>
                <w:sz w:val="20"/>
                <w:szCs w:val="20"/>
              </w:rPr>
              <w:t>520</w:t>
            </w:r>
          </w:p>
        </w:tc>
        <w:tc>
          <w:tcPr>
            <w:tcW w:w="1049" w:type="dxa"/>
            <w:shd w:val="clear" w:color="auto" w:fill="FFFFFF" w:themeFill="background1"/>
            <w:noWrap/>
            <w:vAlign w:val="center"/>
            <w:hideMark/>
          </w:tcPr>
          <w:p w14:paraId="2BCFBE22" w14:textId="52B40F3C" w:rsidR="00870548" w:rsidRPr="00870548" w:rsidRDefault="00870548" w:rsidP="00870548">
            <w:pPr>
              <w:spacing w:after="60"/>
              <w:jc w:val="center"/>
              <w:rPr>
                <w:color w:val="000000"/>
                <w:sz w:val="20"/>
                <w:szCs w:val="20"/>
              </w:rPr>
            </w:pPr>
            <w:r w:rsidRPr="00870548">
              <w:rPr>
                <w:color w:val="000000"/>
                <w:sz w:val="20"/>
                <w:szCs w:val="20"/>
              </w:rPr>
              <w:t>236</w:t>
            </w:r>
            <w:r w:rsidR="00BF098E">
              <w:rPr>
                <w:color w:val="000000"/>
                <w:sz w:val="20"/>
                <w:szCs w:val="20"/>
              </w:rPr>
              <w:t xml:space="preserve"> </w:t>
            </w:r>
            <w:r w:rsidRPr="00870548">
              <w:rPr>
                <w:color w:val="000000"/>
                <w:sz w:val="20"/>
                <w:szCs w:val="20"/>
              </w:rPr>
              <w:t>181</w:t>
            </w:r>
          </w:p>
        </w:tc>
        <w:tc>
          <w:tcPr>
            <w:tcW w:w="1049" w:type="dxa"/>
            <w:shd w:val="clear" w:color="auto" w:fill="FFFFFF" w:themeFill="background1"/>
            <w:noWrap/>
            <w:vAlign w:val="center"/>
            <w:hideMark/>
          </w:tcPr>
          <w:p w14:paraId="5BBDE3A9" w14:textId="05719738" w:rsidR="00870548" w:rsidRPr="00870548" w:rsidRDefault="00870548" w:rsidP="00870548">
            <w:pPr>
              <w:spacing w:after="60"/>
              <w:jc w:val="center"/>
              <w:rPr>
                <w:color w:val="000000"/>
                <w:sz w:val="20"/>
                <w:szCs w:val="20"/>
              </w:rPr>
            </w:pPr>
            <w:r w:rsidRPr="00870548">
              <w:rPr>
                <w:color w:val="000000"/>
                <w:sz w:val="20"/>
                <w:szCs w:val="20"/>
              </w:rPr>
              <w:t>219</w:t>
            </w:r>
            <w:r w:rsidR="00BF098E">
              <w:rPr>
                <w:color w:val="000000"/>
                <w:sz w:val="20"/>
                <w:szCs w:val="20"/>
              </w:rPr>
              <w:t xml:space="preserve"> </w:t>
            </w:r>
            <w:r w:rsidRPr="00870548">
              <w:rPr>
                <w:color w:val="000000"/>
                <w:sz w:val="20"/>
                <w:szCs w:val="20"/>
              </w:rPr>
              <w:t>181</w:t>
            </w:r>
          </w:p>
        </w:tc>
        <w:tc>
          <w:tcPr>
            <w:tcW w:w="1049" w:type="dxa"/>
            <w:shd w:val="clear" w:color="auto" w:fill="FFFFFF" w:themeFill="background1"/>
            <w:noWrap/>
            <w:vAlign w:val="center"/>
            <w:hideMark/>
          </w:tcPr>
          <w:p w14:paraId="1ED3A4E9" w14:textId="1D524B58" w:rsidR="00870548" w:rsidRPr="00870548" w:rsidRDefault="00870548" w:rsidP="00870548">
            <w:pPr>
              <w:spacing w:after="60"/>
              <w:jc w:val="center"/>
              <w:rPr>
                <w:color w:val="000000"/>
                <w:sz w:val="20"/>
                <w:szCs w:val="20"/>
              </w:rPr>
            </w:pPr>
            <w:r w:rsidRPr="00870548">
              <w:rPr>
                <w:color w:val="000000"/>
                <w:sz w:val="20"/>
                <w:szCs w:val="20"/>
              </w:rPr>
              <w:t>205</w:t>
            </w:r>
            <w:r w:rsidR="00BF098E">
              <w:rPr>
                <w:color w:val="000000"/>
                <w:sz w:val="20"/>
                <w:szCs w:val="20"/>
              </w:rPr>
              <w:t xml:space="preserve"> </w:t>
            </w:r>
            <w:r w:rsidRPr="00870548">
              <w:rPr>
                <w:color w:val="000000"/>
                <w:sz w:val="20"/>
                <w:szCs w:val="20"/>
              </w:rPr>
              <w:t>526</w:t>
            </w:r>
          </w:p>
        </w:tc>
        <w:tc>
          <w:tcPr>
            <w:tcW w:w="1049" w:type="dxa"/>
            <w:shd w:val="clear" w:color="auto" w:fill="FFFFFF" w:themeFill="background1"/>
            <w:noWrap/>
            <w:vAlign w:val="center"/>
            <w:hideMark/>
          </w:tcPr>
          <w:p w14:paraId="386A424E" w14:textId="58755805" w:rsidR="00870548" w:rsidRPr="00870548" w:rsidRDefault="00870548" w:rsidP="00870548">
            <w:pPr>
              <w:spacing w:after="60"/>
              <w:jc w:val="center"/>
              <w:rPr>
                <w:color w:val="000000"/>
                <w:sz w:val="20"/>
                <w:szCs w:val="20"/>
              </w:rPr>
            </w:pPr>
            <w:r w:rsidRPr="00870548">
              <w:rPr>
                <w:color w:val="000000"/>
                <w:sz w:val="20"/>
                <w:szCs w:val="20"/>
              </w:rPr>
              <w:t>194</w:t>
            </w:r>
            <w:r w:rsidR="00BF098E">
              <w:rPr>
                <w:color w:val="000000"/>
                <w:sz w:val="20"/>
                <w:szCs w:val="20"/>
              </w:rPr>
              <w:t xml:space="preserve"> </w:t>
            </w:r>
            <w:r w:rsidRPr="00870548">
              <w:rPr>
                <w:color w:val="000000"/>
                <w:sz w:val="20"/>
                <w:szCs w:val="20"/>
              </w:rPr>
              <w:t>039</w:t>
            </w:r>
          </w:p>
        </w:tc>
      </w:tr>
      <w:tr w:rsidR="00870548" w:rsidRPr="00870548" w14:paraId="4293A674" w14:textId="77777777" w:rsidTr="00870548">
        <w:trPr>
          <w:trHeight w:val="300"/>
        </w:trPr>
        <w:tc>
          <w:tcPr>
            <w:tcW w:w="3828" w:type="dxa"/>
            <w:shd w:val="clear" w:color="auto" w:fill="FFFFFF" w:themeFill="background1"/>
            <w:noWrap/>
            <w:vAlign w:val="bottom"/>
            <w:hideMark/>
          </w:tcPr>
          <w:p w14:paraId="13C1229A" w14:textId="2710B5EE" w:rsidR="00870548" w:rsidRPr="00870548" w:rsidRDefault="00870548" w:rsidP="00870548">
            <w:pPr>
              <w:spacing w:after="60"/>
              <w:rPr>
                <w:color w:val="000000"/>
                <w:sz w:val="20"/>
                <w:szCs w:val="20"/>
              </w:rPr>
            </w:pPr>
            <w:r w:rsidRPr="00870548">
              <w:rPr>
                <w:color w:val="000000"/>
                <w:sz w:val="20"/>
                <w:szCs w:val="20"/>
              </w:rPr>
              <w:t xml:space="preserve">Объем легального рынка (млн </w:t>
            </w:r>
            <w:r w:rsidR="00313506" w:rsidRPr="00870548">
              <w:rPr>
                <w:color w:val="000000"/>
                <w:sz w:val="20"/>
                <w:szCs w:val="20"/>
              </w:rPr>
              <w:t>сигарет</w:t>
            </w:r>
            <w:r w:rsidRPr="00870548">
              <w:rPr>
                <w:color w:val="000000"/>
                <w:sz w:val="20"/>
                <w:szCs w:val="20"/>
              </w:rPr>
              <w:t>)</w:t>
            </w:r>
          </w:p>
        </w:tc>
        <w:tc>
          <w:tcPr>
            <w:tcW w:w="1048" w:type="dxa"/>
            <w:shd w:val="clear" w:color="auto" w:fill="FFFFFF" w:themeFill="background1"/>
            <w:noWrap/>
            <w:vAlign w:val="center"/>
            <w:hideMark/>
          </w:tcPr>
          <w:p w14:paraId="73591A00" w14:textId="1E41F040" w:rsidR="00870548" w:rsidRPr="00870548" w:rsidRDefault="00870548" w:rsidP="00870548">
            <w:pPr>
              <w:spacing w:after="60"/>
              <w:jc w:val="center"/>
              <w:rPr>
                <w:color w:val="000000"/>
                <w:sz w:val="20"/>
                <w:szCs w:val="20"/>
              </w:rPr>
            </w:pPr>
            <w:r w:rsidRPr="00870548">
              <w:rPr>
                <w:color w:val="000000"/>
                <w:sz w:val="20"/>
                <w:szCs w:val="20"/>
              </w:rPr>
              <w:t>236</w:t>
            </w:r>
            <w:r w:rsidR="00BF098E">
              <w:rPr>
                <w:color w:val="000000"/>
                <w:sz w:val="20"/>
                <w:szCs w:val="20"/>
              </w:rPr>
              <w:t xml:space="preserve"> </w:t>
            </w:r>
            <w:r w:rsidRPr="00870548">
              <w:rPr>
                <w:color w:val="000000"/>
                <w:sz w:val="20"/>
                <w:szCs w:val="20"/>
              </w:rPr>
              <w:t>520</w:t>
            </w:r>
          </w:p>
        </w:tc>
        <w:tc>
          <w:tcPr>
            <w:tcW w:w="1049" w:type="dxa"/>
            <w:shd w:val="clear" w:color="auto" w:fill="FFFFFF" w:themeFill="background1"/>
            <w:noWrap/>
            <w:vAlign w:val="center"/>
            <w:hideMark/>
          </w:tcPr>
          <w:p w14:paraId="3C476AB6" w14:textId="135D2989" w:rsidR="00870548" w:rsidRPr="00870548" w:rsidRDefault="00870548" w:rsidP="00870548">
            <w:pPr>
              <w:spacing w:after="60"/>
              <w:jc w:val="center"/>
              <w:rPr>
                <w:color w:val="000000"/>
                <w:sz w:val="20"/>
                <w:szCs w:val="20"/>
              </w:rPr>
            </w:pPr>
            <w:r w:rsidRPr="00870548">
              <w:rPr>
                <w:color w:val="000000"/>
                <w:sz w:val="20"/>
                <w:szCs w:val="20"/>
              </w:rPr>
              <w:t>215</w:t>
            </w:r>
            <w:r w:rsidR="00BF098E">
              <w:rPr>
                <w:color w:val="000000"/>
                <w:sz w:val="20"/>
                <w:szCs w:val="20"/>
              </w:rPr>
              <w:t xml:space="preserve"> </w:t>
            </w:r>
            <w:r w:rsidRPr="00870548">
              <w:rPr>
                <w:color w:val="000000"/>
                <w:sz w:val="20"/>
                <w:szCs w:val="20"/>
              </w:rPr>
              <w:t>607</w:t>
            </w:r>
          </w:p>
        </w:tc>
        <w:tc>
          <w:tcPr>
            <w:tcW w:w="1049" w:type="dxa"/>
            <w:shd w:val="clear" w:color="auto" w:fill="FFFFFF" w:themeFill="background1"/>
            <w:noWrap/>
            <w:vAlign w:val="center"/>
            <w:hideMark/>
          </w:tcPr>
          <w:p w14:paraId="1AD59393" w14:textId="0ED2DDAC" w:rsidR="00870548" w:rsidRPr="00870548" w:rsidRDefault="00870548" w:rsidP="00870548">
            <w:pPr>
              <w:spacing w:after="60"/>
              <w:jc w:val="center"/>
              <w:rPr>
                <w:color w:val="000000"/>
                <w:sz w:val="20"/>
                <w:szCs w:val="20"/>
              </w:rPr>
            </w:pPr>
            <w:r w:rsidRPr="00870548">
              <w:rPr>
                <w:color w:val="000000"/>
                <w:sz w:val="20"/>
                <w:szCs w:val="20"/>
              </w:rPr>
              <w:t>199</w:t>
            </w:r>
            <w:r w:rsidR="00BF098E">
              <w:rPr>
                <w:color w:val="000000"/>
                <w:sz w:val="20"/>
                <w:szCs w:val="20"/>
              </w:rPr>
              <w:t xml:space="preserve"> </w:t>
            </w:r>
            <w:r w:rsidRPr="00870548">
              <w:rPr>
                <w:color w:val="000000"/>
                <w:sz w:val="20"/>
                <w:szCs w:val="20"/>
              </w:rPr>
              <w:t>925</w:t>
            </w:r>
          </w:p>
        </w:tc>
        <w:tc>
          <w:tcPr>
            <w:tcW w:w="1049" w:type="dxa"/>
            <w:shd w:val="clear" w:color="auto" w:fill="FFFFFF" w:themeFill="background1"/>
            <w:noWrap/>
            <w:vAlign w:val="center"/>
            <w:hideMark/>
          </w:tcPr>
          <w:p w14:paraId="0E8B1E82" w14:textId="05F32DAF" w:rsidR="00870548" w:rsidRPr="00870548" w:rsidRDefault="00870548" w:rsidP="00870548">
            <w:pPr>
              <w:spacing w:after="60"/>
              <w:jc w:val="center"/>
              <w:rPr>
                <w:color w:val="000000"/>
                <w:sz w:val="20"/>
                <w:szCs w:val="20"/>
              </w:rPr>
            </w:pPr>
            <w:r w:rsidRPr="00870548">
              <w:rPr>
                <w:color w:val="000000"/>
                <w:sz w:val="20"/>
                <w:szCs w:val="20"/>
              </w:rPr>
              <w:t>187</w:t>
            </w:r>
            <w:r w:rsidR="00BF098E">
              <w:rPr>
                <w:color w:val="000000"/>
                <w:sz w:val="20"/>
                <w:szCs w:val="20"/>
              </w:rPr>
              <w:t xml:space="preserve"> </w:t>
            </w:r>
            <w:r w:rsidRPr="00870548">
              <w:rPr>
                <w:color w:val="000000"/>
                <w:sz w:val="20"/>
                <w:szCs w:val="20"/>
              </w:rPr>
              <w:t>317</w:t>
            </w:r>
          </w:p>
        </w:tc>
        <w:tc>
          <w:tcPr>
            <w:tcW w:w="1049" w:type="dxa"/>
            <w:shd w:val="clear" w:color="auto" w:fill="FFFFFF" w:themeFill="background1"/>
            <w:noWrap/>
            <w:vAlign w:val="center"/>
            <w:hideMark/>
          </w:tcPr>
          <w:p w14:paraId="0A1E2C3C" w14:textId="1C00EB2D" w:rsidR="00870548" w:rsidRPr="00870548" w:rsidRDefault="00870548" w:rsidP="00870548">
            <w:pPr>
              <w:spacing w:after="60"/>
              <w:jc w:val="center"/>
              <w:rPr>
                <w:color w:val="000000"/>
                <w:sz w:val="20"/>
                <w:szCs w:val="20"/>
              </w:rPr>
            </w:pPr>
            <w:r w:rsidRPr="00870548">
              <w:rPr>
                <w:color w:val="000000"/>
                <w:sz w:val="20"/>
                <w:szCs w:val="20"/>
              </w:rPr>
              <w:t>176</w:t>
            </w:r>
            <w:r w:rsidR="00BF098E">
              <w:rPr>
                <w:color w:val="000000"/>
                <w:sz w:val="20"/>
                <w:szCs w:val="20"/>
              </w:rPr>
              <w:t xml:space="preserve"> </w:t>
            </w:r>
            <w:r w:rsidRPr="00870548">
              <w:rPr>
                <w:color w:val="000000"/>
                <w:sz w:val="20"/>
                <w:szCs w:val="20"/>
              </w:rPr>
              <w:t>705</w:t>
            </w:r>
          </w:p>
        </w:tc>
      </w:tr>
      <w:tr w:rsidR="00870548" w:rsidRPr="00870548" w14:paraId="0CF38626" w14:textId="77777777" w:rsidTr="00870548">
        <w:trPr>
          <w:trHeight w:val="300"/>
        </w:trPr>
        <w:tc>
          <w:tcPr>
            <w:tcW w:w="3828" w:type="dxa"/>
            <w:shd w:val="clear" w:color="auto" w:fill="FFFFFF" w:themeFill="background1"/>
            <w:noWrap/>
            <w:vAlign w:val="bottom"/>
            <w:hideMark/>
          </w:tcPr>
          <w:p w14:paraId="356593DF" w14:textId="472037AA" w:rsidR="00870548" w:rsidRPr="00870548" w:rsidRDefault="00870548" w:rsidP="00870548">
            <w:pPr>
              <w:spacing w:after="60"/>
              <w:rPr>
                <w:color w:val="000000"/>
                <w:sz w:val="20"/>
                <w:szCs w:val="20"/>
              </w:rPr>
            </w:pPr>
            <w:r w:rsidRPr="00870548">
              <w:rPr>
                <w:color w:val="000000"/>
                <w:sz w:val="20"/>
                <w:szCs w:val="20"/>
              </w:rPr>
              <w:t>Объем нелегального рынка (млн</w:t>
            </w:r>
            <w:r w:rsidR="00313506">
              <w:rPr>
                <w:color w:val="000000"/>
                <w:sz w:val="20"/>
                <w:szCs w:val="20"/>
              </w:rPr>
              <w:t xml:space="preserve"> </w:t>
            </w:r>
            <w:r w:rsidRPr="00870548">
              <w:rPr>
                <w:color w:val="000000"/>
                <w:sz w:val="20"/>
                <w:szCs w:val="20"/>
              </w:rPr>
              <w:t>сигарет)</w:t>
            </w:r>
          </w:p>
        </w:tc>
        <w:tc>
          <w:tcPr>
            <w:tcW w:w="1048" w:type="dxa"/>
            <w:shd w:val="clear" w:color="auto" w:fill="FFFFFF" w:themeFill="background1"/>
            <w:noWrap/>
            <w:vAlign w:val="center"/>
            <w:hideMark/>
          </w:tcPr>
          <w:p w14:paraId="14E6A2CA" w14:textId="22ABE297" w:rsidR="00870548" w:rsidRPr="00870548" w:rsidRDefault="00870548" w:rsidP="00870548">
            <w:pPr>
              <w:spacing w:after="60"/>
              <w:jc w:val="center"/>
              <w:rPr>
                <w:color w:val="000000"/>
                <w:sz w:val="20"/>
                <w:szCs w:val="20"/>
              </w:rPr>
            </w:pPr>
            <w:r w:rsidRPr="00870548">
              <w:rPr>
                <w:color w:val="000000"/>
                <w:sz w:val="20"/>
                <w:szCs w:val="20"/>
              </w:rPr>
              <w:t>22</w:t>
            </w:r>
            <w:r w:rsidR="00BF098E">
              <w:rPr>
                <w:color w:val="000000"/>
                <w:sz w:val="20"/>
                <w:szCs w:val="20"/>
              </w:rPr>
              <w:t xml:space="preserve"> </w:t>
            </w:r>
            <w:r w:rsidRPr="00870548">
              <w:rPr>
                <w:color w:val="000000"/>
                <w:sz w:val="20"/>
                <w:szCs w:val="20"/>
              </w:rPr>
              <w:t>000</w:t>
            </w:r>
          </w:p>
        </w:tc>
        <w:tc>
          <w:tcPr>
            <w:tcW w:w="1049" w:type="dxa"/>
            <w:shd w:val="clear" w:color="auto" w:fill="FFFFFF" w:themeFill="background1"/>
            <w:noWrap/>
            <w:vAlign w:val="center"/>
            <w:hideMark/>
          </w:tcPr>
          <w:p w14:paraId="6EFFCB83" w14:textId="2B52DDDC" w:rsidR="00870548" w:rsidRPr="00870548" w:rsidRDefault="00870548" w:rsidP="00870548">
            <w:pPr>
              <w:spacing w:after="60"/>
              <w:jc w:val="center"/>
              <w:rPr>
                <w:color w:val="000000"/>
                <w:sz w:val="20"/>
                <w:szCs w:val="20"/>
              </w:rPr>
            </w:pPr>
            <w:r w:rsidRPr="00870548">
              <w:rPr>
                <w:color w:val="000000"/>
                <w:sz w:val="20"/>
                <w:szCs w:val="20"/>
              </w:rPr>
              <w:t>20</w:t>
            </w:r>
            <w:r w:rsidR="00BF098E">
              <w:rPr>
                <w:color w:val="000000"/>
                <w:sz w:val="20"/>
                <w:szCs w:val="20"/>
              </w:rPr>
              <w:t xml:space="preserve"> </w:t>
            </w:r>
            <w:r w:rsidRPr="00870548">
              <w:rPr>
                <w:color w:val="000000"/>
                <w:sz w:val="20"/>
                <w:szCs w:val="20"/>
              </w:rPr>
              <w:t>573</w:t>
            </w:r>
          </w:p>
        </w:tc>
        <w:tc>
          <w:tcPr>
            <w:tcW w:w="1049" w:type="dxa"/>
            <w:shd w:val="clear" w:color="auto" w:fill="FFFFFF" w:themeFill="background1"/>
            <w:noWrap/>
            <w:vAlign w:val="center"/>
            <w:hideMark/>
          </w:tcPr>
          <w:p w14:paraId="662F6044" w14:textId="7F0EEABF" w:rsidR="00870548" w:rsidRPr="00870548" w:rsidRDefault="00870548" w:rsidP="00870548">
            <w:pPr>
              <w:spacing w:after="60"/>
              <w:jc w:val="center"/>
              <w:rPr>
                <w:color w:val="000000"/>
                <w:sz w:val="20"/>
                <w:szCs w:val="20"/>
              </w:rPr>
            </w:pPr>
            <w:r w:rsidRPr="00870548">
              <w:rPr>
                <w:color w:val="000000"/>
                <w:sz w:val="20"/>
                <w:szCs w:val="20"/>
              </w:rPr>
              <w:t>19</w:t>
            </w:r>
            <w:r w:rsidR="00BF098E">
              <w:rPr>
                <w:color w:val="000000"/>
                <w:sz w:val="20"/>
                <w:szCs w:val="20"/>
              </w:rPr>
              <w:t xml:space="preserve"> </w:t>
            </w:r>
            <w:r w:rsidRPr="00870548">
              <w:rPr>
                <w:color w:val="000000"/>
                <w:sz w:val="20"/>
                <w:szCs w:val="20"/>
              </w:rPr>
              <w:t>256</w:t>
            </w:r>
          </w:p>
        </w:tc>
        <w:tc>
          <w:tcPr>
            <w:tcW w:w="1049" w:type="dxa"/>
            <w:shd w:val="clear" w:color="auto" w:fill="FFFFFF" w:themeFill="background1"/>
            <w:noWrap/>
            <w:vAlign w:val="center"/>
            <w:hideMark/>
          </w:tcPr>
          <w:p w14:paraId="428CFE53" w14:textId="32CCE72E" w:rsidR="00870548" w:rsidRPr="00870548" w:rsidRDefault="00870548" w:rsidP="00870548">
            <w:pPr>
              <w:spacing w:after="60"/>
              <w:jc w:val="center"/>
              <w:rPr>
                <w:color w:val="000000"/>
                <w:sz w:val="20"/>
                <w:szCs w:val="20"/>
              </w:rPr>
            </w:pPr>
            <w:r w:rsidRPr="00870548">
              <w:rPr>
                <w:color w:val="000000"/>
                <w:sz w:val="20"/>
                <w:szCs w:val="20"/>
              </w:rPr>
              <w:t>18</w:t>
            </w:r>
            <w:r w:rsidR="00BF098E">
              <w:rPr>
                <w:color w:val="000000"/>
                <w:sz w:val="20"/>
                <w:szCs w:val="20"/>
              </w:rPr>
              <w:t xml:space="preserve"> </w:t>
            </w:r>
            <w:r w:rsidRPr="00870548">
              <w:rPr>
                <w:color w:val="000000"/>
                <w:sz w:val="20"/>
                <w:szCs w:val="20"/>
              </w:rPr>
              <w:t>209</w:t>
            </w:r>
          </w:p>
        </w:tc>
        <w:tc>
          <w:tcPr>
            <w:tcW w:w="1049" w:type="dxa"/>
            <w:shd w:val="clear" w:color="auto" w:fill="FFFFFF" w:themeFill="background1"/>
            <w:noWrap/>
            <w:vAlign w:val="center"/>
            <w:hideMark/>
          </w:tcPr>
          <w:p w14:paraId="36058607" w14:textId="4A634AF5" w:rsidR="00870548" w:rsidRPr="00870548" w:rsidRDefault="00870548" w:rsidP="00870548">
            <w:pPr>
              <w:spacing w:after="60"/>
              <w:jc w:val="center"/>
              <w:rPr>
                <w:color w:val="000000"/>
                <w:sz w:val="20"/>
                <w:szCs w:val="20"/>
              </w:rPr>
            </w:pPr>
            <w:r w:rsidRPr="00870548">
              <w:rPr>
                <w:color w:val="000000"/>
                <w:sz w:val="20"/>
                <w:szCs w:val="20"/>
              </w:rPr>
              <w:t>17</w:t>
            </w:r>
            <w:r w:rsidR="00BF098E">
              <w:rPr>
                <w:color w:val="000000"/>
                <w:sz w:val="20"/>
                <w:szCs w:val="20"/>
              </w:rPr>
              <w:t xml:space="preserve"> </w:t>
            </w:r>
            <w:r w:rsidRPr="00870548">
              <w:rPr>
                <w:color w:val="000000"/>
                <w:sz w:val="20"/>
                <w:szCs w:val="20"/>
              </w:rPr>
              <w:t>334</w:t>
            </w:r>
          </w:p>
        </w:tc>
      </w:tr>
      <w:tr w:rsidR="00870548" w:rsidRPr="00870548" w14:paraId="48B4176D" w14:textId="77777777" w:rsidTr="00870548">
        <w:trPr>
          <w:trHeight w:val="300"/>
        </w:trPr>
        <w:tc>
          <w:tcPr>
            <w:tcW w:w="3828" w:type="dxa"/>
            <w:shd w:val="clear" w:color="auto" w:fill="FFFFFF" w:themeFill="background1"/>
            <w:noWrap/>
            <w:vAlign w:val="bottom"/>
            <w:hideMark/>
          </w:tcPr>
          <w:p w14:paraId="756E1DD8" w14:textId="31DD53C8" w:rsidR="00870548" w:rsidRPr="00870548" w:rsidRDefault="00870548" w:rsidP="00870548">
            <w:pPr>
              <w:spacing w:after="60"/>
              <w:rPr>
                <w:color w:val="000000"/>
                <w:sz w:val="20"/>
                <w:szCs w:val="20"/>
              </w:rPr>
            </w:pPr>
            <w:r w:rsidRPr="00870548">
              <w:rPr>
                <w:color w:val="000000"/>
                <w:sz w:val="20"/>
                <w:szCs w:val="20"/>
              </w:rPr>
              <w:t>Доля нелегального рынка</w:t>
            </w:r>
            <w:r w:rsidR="00313506">
              <w:rPr>
                <w:color w:val="000000"/>
                <w:sz w:val="20"/>
                <w:szCs w:val="20"/>
              </w:rPr>
              <w:t>, %</w:t>
            </w:r>
          </w:p>
        </w:tc>
        <w:tc>
          <w:tcPr>
            <w:tcW w:w="1048" w:type="dxa"/>
            <w:shd w:val="clear" w:color="auto" w:fill="FFFFFF" w:themeFill="background1"/>
            <w:noWrap/>
            <w:vAlign w:val="center"/>
            <w:hideMark/>
          </w:tcPr>
          <w:p w14:paraId="1C7BD098" w14:textId="3A04442F" w:rsidR="00870548" w:rsidRPr="00870548" w:rsidRDefault="00870548" w:rsidP="00870548">
            <w:pPr>
              <w:spacing w:after="60"/>
              <w:jc w:val="center"/>
              <w:rPr>
                <w:color w:val="000000"/>
                <w:sz w:val="20"/>
                <w:szCs w:val="20"/>
              </w:rPr>
            </w:pPr>
            <w:r w:rsidRPr="00870548">
              <w:rPr>
                <w:color w:val="000000"/>
                <w:sz w:val="20"/>
                <w:szCs w:val="20"/>
              </w:rPr>
              <w:t>8,5</w:t>
            </w:r>
          </w:p>
        </w:tc>
        <w:tc>
          <w:tcPr>
            <w:tcW w:w="1049" w:type="dxa"/>
            <w:shd w:val="clear" w:color="auto" w:fill="FFFFFF" w:themeFill="background1"/>
            <w:noWrap/>
            <w:vAlign w:val="center"/>
            <w:hideMark/>
          </w:tcPr>
          <w:p w14:paraId="54FE2B10" w14:textId="50B8873B" w:rsidR="00870548" w:rsidRPr="00870548" w:rsidRDefault="00870548" w:rsidP="00870548">
            <w:pPr>
              <w:spacing w:after="60"/>
              <w:jc w:val="center"/>
              <w:rPr>
                <w:color w:val="000000"/>
                <w:sz w:val="20"/>
                <w:szCs w:val="20"/>
              </w:rPr>
            </w:pPr>
            <w:r w:rsidRPr="00870548">
              <w:rPr>
                <w:color w:val="000000"/>
                <w:sz w:val="20"/>
                <w:szCs w:val="20"/>
              </w:rPr>
              <w:t>8,7</w:t>
            </w:r>
          </w:p>
        </w:tc>
        <w:tc>
          <w:tcPr>
            <w:tcW w:w="1049" w:type="dxa"/>
            <w:shd w:val="clear" w:color="auto" w:fill="FFFFFF" w:themeFill="background1"/>
            <w:noWrap/>
            <w:vAlign w:val="center"/>
            <w:hideMark/>
          </w:tcPr>
          <w:p w14:paraId="35C6E878" w14:textId="5228B933" w:rsidR="00870548" w:rsidRPr="00870548" w:rsidRDefault="00870548" w:rsidP="00870548">
            <w:pPr>
              <w:spacing w:after="60"/>
              <w:jc w:val="center"/>
              <w:rPr>
                <w:color w:val="000000"/>
                <w:sz w:val="20"/>
                <w:szCs w:val="20"/>
              </w:rPr>
            </w:pPr>
            <w:r w:rsidRPr="00870548">
              <w:rPr>
                <w:color w:val="000000"/>
                <w:sz w:val="20"/>
                <w:szCs w:val="20"/>
              </w:rPr>
              <w:t>8,79</w:t>
            </w:r>
          </w:p>
        </w:tc>
        <w:tc>
          <w:tcPr>
            <w:tcW w:w="1049" w:type="dxa"/>
            <w:shd w:val="clear" w:color="auto" w:fill="FFFFFF" w:themeFill="background1"/>
            <w:noWrap/>
            <w:vAlign w:val="center"/>
            <w:hideMark/>
          </w:tcPr>
          <w:p w14:paraId="2AD10D66" w14:textId="7F55C066" w:rsidR="00870548" w:rsidRPr="00870548" w:rsidRDefault="00870548" w:rsidP="00870548">
            <w:pPr>
              <w:spacing w:after="60"/>
              <w:jc w:val="center"/>
              <w:rPr>
                <w:color w:val="000000"/>
                <w:sz w:val="20"/>
                <w:szCs w:val="20"/>
              </w:rPr>
            </w:pPr>
            <w:r w:rsidRPr="00870548">
              <w:rPr>
                <w:color w:val="000000"/>
                <w:sz w:val="20"/>
                <w:szCs w:val="20"/>
              </w:rPr>
              <w:t>8,86</w:t>
            </w:r>
          </w:p>
        </w:tc>
        <w:tc>
          <w:tcPr>
            <w:tcW w:w="1049" w:type="dxa"/>
            <w:shd w:val="clear" w:color="auto" w:fill="FFFFFF" w:themeFill="background1"/>
            <w:noWrap/>
            <w:vAlign w:val="center"/>
            <w:hideMark/>
          </w:tcPr>
          <w:p w14:paraId="30FBD8AC" w14:textId="17C31852" w:rsidR="00870548" w:rsidRPr="00870548" w:rsidRDefault="00870548" w:rsidP="00870548">
            <w:pPr>
              <w:spacing w:after="60"/>
              <w:jc w:val="center"/>
              <w:rPr>
                <w:color w:val="000000"/>
                <w:sz w:val="20"/>
                <w:szCs w:val="20"/>
              </w:rPr>
            </w:pPr>
            <w:r w:rsidRPr="00870548">
              <w:rPr>
                <w:color w:val="000000"/>
                <w:sz w:val="20"/>
                <w:szCs w:val="20"/>
              </w:rPr>
              <w:t>8,93</w:t>
            </w:r>
          </w:p>
        </w:tc>
      </w:tr>
      <w:tr w:rsidR="00870548" w:rsidRPr="00870548" w14:paraId="53FBAE23" w14:textId="77777777" w:rsidTr="00870548">
        <w:trPr>
          <w:trHeight w:val="300"/>
        </w:trPr>
        <w:tc>
          <w:tcPr>
            <w:tcW w:w="3828" w:type="dxa"/>
            <w:shd w:val="clear" w:color="auto" w:fill="FFFFFF" w:themeFill="background1"/>
            <w:noWrap/>
            <w:vAlign w:val="bottom"/>
            <w:hideMark/>
          </w:tcPr>
          <w:p w14:paraId="3FF37B60" w14:textId="4353AFB8" w:rsidR="00870548" w:rsidRPr="00870548" w:rsidRDefault="00870548" w:rsidP="00870548">
            <w:pPr>
              <w:spacing w:after="60"/>
              <w:rPr>
                <w:color w:val="000000"/>
                <w:sz w:val="20"/>
                <w:szCs w:val="20"/>
              </w:rPr>
            </w:pPr>
            <w:r w:rsidRPr="00870548">
              <w:rPr>
                <w:color w:val="000000"/>
                <w:sz w:val="20"/>
                <w:szCs w:val="20"/>
              </w:rPr>
              <w:t>Поступления от акцизов, мл</w:t>
            </w:r>
            <w:r w:rsidR="00313506">
              <w:rPr>
                <w:color w:val="000000"/>
                <w:sz w:val="20"/>
                <w:szCs w:val="20"/>
              </w:rPr>
              <w:t xml:space="preserve">рд </w:t>
            </w:r>
            <w:r w:rsidRPr="00870548">
              <w:rPr>
                <w:color w:val="000000"/>
                <w:sz w:val="20"/>
                <w:szCs w:val="20"/>
              </w:rPr>
              <w:t>руб.</w:t>
            </w:r>
          </w:p>
        </w:tc>
        <w:tc>
          <w:tcPr>
            <w:tcW w:w="1048" w:type="dxa"/>
            <w:shd w:val="clear" w:color="auto" w:fill="FFFFFF" w:themeFill="background1"/>
            <w:noWrap/>
            <w:vAlign w:val="center"/>
            <w:hideMark/>
          </w:tcPr>
          <w:p w14:paraId="7AD0F65A" w14:textId="7C88F2A4" w:rsidR="00870548" w:rsidRPr="00870548" w:rsidRDefault="00870548" w:rsidP="00DC4E99">
            <w:pPr>
              <w:spacing w:after="60"/>
              <w:jc w:val="center"/>
              <w:rPr>
                <w:color w:val="000000"/>
                <w:sz w:val="20"/>
                <w:szCs w:val="20"/>
              </w:rPr>
            </w:pPr>
            <w:r w:rsidRPr="00870548">
              <w:rPr>
                <w:color w:val="000000"/>
                <w:sz w:val="20"/>
                <w:szCs w:val="20"/>
              </w:rPr>
              <w:t>583</w:t>
            </w:r>
            <w:r w:rsidR="00313506">
              <w:rPr>
                <w:color w:val="000000"/>
                <w:sz w:val="20"/>
                <w:szCs w:val="20"/>
              </w:rPr>
              <w:t>,</w:t>
            </w:r>
            <w:r w:rsidRPr="00870548">
              <w:rPr>
                <w:color w:val="000000"/>
                <w:sz w:val="20"/>
                <w:szCs w:val="20"/>
              </w:rPr>
              <w:t>2</w:t>
            </w:r>
          </w:p>
        </w:tc>
        <w:tc>
          <w:tcPr>
            <w:tcW w:w="1049" w:type="dxa"/>
            <w:shd w:val="clear" w:color="auto" w:fill="FFFFFF" w:themeFill="background1"/>
            <w:noWrap/>
            <w:vAlign w:val="center"/>
            <w:hideMark/>
          </w:tcPr>
          <w:p w14:paraId="3D87CACA" w14:textId="2CD184C0" w:rsidR="00870548" w:rsidRPr="00870548" w:rsidRDefault="00870548" w:rsidP="003A65C0">
            <w:pPr>
              <w:spacing w:after="60"/>
              <w:jc w:val="center"/>
              <w:rPr>
                <w:color w:val="000000"/>
                <w:sz w:val="20"/>
                <w:szCs w:val="20"/>
              </w:rPr>
            </w:pPr>
            <w:r w:rsidRPr="00870548">
              <w:rPr>
                <w:color w:val="000000"/>
                <w:sz w:val="20"/>
                <w:szCs w:val="20"/>
              </w:rPr>
              <w:t>603</w:t>
            </w:r>
            <w:r w:rsidR="00313506">
              <w:rPr>
                <w:color w:val="000000"/>
                <w:sz w:val="20"/>
                <w:szCs w:val="20"/>
              </w:rPr>
              <w:t>,</w:t>
            </w:r>
            <w:r w:rsidRPr="00870548">
              <w:rPr>
                <w:color w:val="000000"/>
                <w:sz w:val="20"/>
                <w:szCs w:val="20"/>
              </w:rPr>
              <w:t>5</w:t>
            </w:r>
          </w:p>
        </w:tc>
        <w:tc>
          <w:tcPr>
            <w:tcW w:w="1049" w:type="dxa"/>
            <w:shd w:val="clear" w:color="auto" w:fill="FFFFFF" w:themeFill="background1"/>
            <w:noWrap/>
            <w:vAlign w:val="center"/>
            <w:hideMark/>
          </w:tcPr>
          <w:p w14:paraId="1D7B7709" w14:textId="7CDE874C" w:rsidR="00870548" w:rsidRPr="00870548" w:rsidRDefault="00870548" w:rsidP="003A7722">
            <w:pPr>
              <w:spacing w:after="60"/>
              <w:jc w:val="center"/>
              <w:rPr>
                <w:color w:val="000000"/>
                <w:sz w:val="20"/>
                <w:szCs w:val="20"/>
              </w:rPr>
            </w:pPr>
            <w:r w:rsidRPr="00870548">
              <w:rPr>
                <w:color w:val="000000"/>
                <w:sz w:val="20"/>
                <w:szCs w:val="20"/>
              </w:rPr>
              <w:t>582</w:t>
            </w:r>
            <w:r w:rsidR="00313506">
              <w:rPr>
                <w:color w:val="000000"/>
                <w:sz w:val="20"/>
                <w:szCs w:val="20"/>
              </w:rPr>
              <w:t>,1</w:t>
            </w:r>
          </w:p>
        </w:tc>
        <w:tc>
          <w:tcPr>
            <w:tcW w:w="1049" w:type="dxa"/>
            <w:shd w:val="clear" w:color="auto" w:fill="FFFFFF" w:themeFill="background1"/>
            <w:noWrap/>
            <w:vAlign w:val="center"/>
            <w:hideMark/>
          </w:tcPr>
          <w:p w14:paraId="24924AF8" w14:textId="7FF96EBC" w:rsidR="00870548" w:rsidRPr="00870548" w:rsidRDefault="00870548" w:rsidP="00E168F3">
            <w:pPr>
              <w:spacing w:after="60"/>
              <w:jc w:val="center"/>
              <w:rPr>
                <w:color w:val="000000"/>
                <w:sz w:val="20"/>
                <w:szCs w:val="20"/>
              </w:rPr>
            </w:pPr>
            <w:r w:rsidRPr="00870548">
              <w:rPr>
                <w:color w:val="000000"/>
                <w:sz w:val="20"/>
                <w:szCs w:val="20"/>
              </w:rPr>
              <w:t>567</w:t>
            </w:r>
            <w:r w:rsidR="00313506">
              <w:rPr>
                <w:color w:val="000000"/>
                <w:sz w:val="20"/>
                <w:szCs w:val="20"/>
              </w:rPr>
              <w:t>,2</w:t>
            </w:r>
          </w:p>
        </w:tc>
        <w:tc>
          <w:tcPr>
            <w:tcW w:w="1049" w:type="dxa"/>
            <w:shd w:val="clear" w:color="auto" w:fill="FFFFFF" w:themeFill="background1"/>
            <w:noWrap/>
            <w:vAlign w:val="center"/>
            <w:hideMark/>
          </w:tcPr>
          <w:p w14:paraId="1B52D680" w14:textId="1F1A1384" w:rsidR="00870548" w:rsidRPr="00870548" w:rsidRDefault="00870548" w:rsidP="00FD3D81">
            <w:pPr>
              <w:spacing w:after="60"/>
              <w:jc w:val="center"/>
              <w:rPr>
                <w:color w:val="000000"/>
                <w:sz w:val="20"/>
                <w:szCs w:val="20"/>
              </w:rPr>
            </w:pPr>
            <w:r w:rsidRPr="00870548">
              <w:rPr>
                <w:color w:val="000000"/>
                <w:sz w:val="20"/>
                <w:szCs w:val="20"/>
              </w:rPr>
              <w:t>556</w:t>
            </w:r>
            <w:r w:rsidR="00313506">
              <w:rPr>
                <w:color w:val="000000"/>
                <w:sz w:val="20"/>
                <w:szCs w:val="20"/>
              </w:rPr>
              <w:t>,</w:t>
            </w:r>
            <w:r w:rsidRPr="00870548">
              <w:rPr>
                <w:color w:val="000000"/>
                <w:sz w:val="20"/>
                <w:szCs w:val="20"/>
              </w:rPr>
              <w:t>4</w:t>
            </w:r>
          </w:p>
        </w:tc>
      </w:tr>
      <w:tr w:rsidR="00870548" w:rsidRPr="00870548" w14:paraId="3302E780" w14:textId="77777777" w:rsidTr="00870548">
        <w:trPr>
          <w:trHeight w:val="300"/>
        </w:trPr>
        <w:tc>
          <w:tcPr>
            <w:tcW w:w="9072" w:type="dxa"/>
            <w:gridSpan w:val="6"/>
            <w:shd w:val="clear" w:color="auto" w:fill="FFFFFF" w:themeFill="background1"/>
            <w:noWrap/>
            <w:vAlign w:val="bottom"/>
            <w:hideMark/>
          </w:tcPr>
          <w:p w14:paraId="7954530C" w14:textId="77777777" w:rsidR="00870548" w:rsidRPr="00870548" w:rsidRDefault="00870548" w:rsidP="003A7722">
            <w:pPr>
              <w:spacing w:after="60"/>
              <w:ind w:left="709"/>
              <w:rPr>
                <w:b/>
                <w:i/>
                <w:color w:val="000000"/>
                <w:sz w:val="20"/>
                <w:szCs w:val="20"/>
              </w:rPr>
            </w:pPr>
            <w:r w:rsidRPr="00870548">
              <w:rPr>
                <w:b/>
                <w:i/>
                <w:color w:val="000000"/>
                <w:sz w:val="20"/>
                <w:szCs w:val="20"/>
              </w:rPr>
              <w:t>Компромиссный сценарий по доле нелегального оборота</w:t>
            </w:r>
          </w:p>
        </w:tc>
      </w:tr>
      <w:tr w:rsidR="00870548" w:rsidRPr="00870548" w14:paraId="0BA557E9" w14:textId="77777777" w:rsidTr="00870548">
        <w:trPr>
          <w:trHeight w:val="300"/>
        </w:trPr>
        <w:tc>
          <w:tcPr>
            <w:tcW w:w="3828" w:type="dxa"/>
            <w:shd w:val="clear" w:color="auto" w:fill="FFFFFF" w:themeFill="background1"/>
            <w:noWrap/>
            <w:vAlign w:val="bottom"/>
            <w:hideMark/>
          </w:tcPr>
          <w:p w14:paraId="1177E1F5" w14:textId="466B741D" w:rsidR="00870548" w:rsidRPr="00870548" w:rsidRDefault="00870548" w:rsidP="00DC4E99">
            <w:pPr>
              <w:spacing w:after="60"/>
              <w:rPr>
                <w:color w:val="000000"/>
                <w:sz w:val="20"/>
                <w:szCs w:val="20"/>
              </w:rPr>
            </w:pPr>
            <w:r w:rsidRPr="00870548">
              <w:rPr>
                <w:color w:val="000000"/>
                <w:sz w:val="20"/>
                <w:szCs w:val="20"/>
              </w:rPr>
              <w:t xml:space="preserve">Общий объем рынка (млн </w:t>
            </w:r>
            <w:r w:rsidR="00313506" w:rsidRPr="00870548">
              <w:rPr>
                <w:color w:val="000000"/>
                <w:sz w:val="20"/>
                <w:szCs w:val="20"/>
              </w:rPr>
              <w:t>сигарет</w:t>
            </w:r>
            <w:r w:rsidRPr="00870548">
              <w:rPr>
                <w:color w:val="000000"/>
                <w:sz w:val="20"/>
                <w:szCs w:val="20"/>
              </w:rPr>
              <w:t>)</w:t>
            </w:r>
          </w:p>
        </w:tc>
        <w:tc>
          <w:tcPr>
            <w:tcW w:w="1048" w:type="dxa"/>
            <w:shd w:val="clear" w:color="auto" w:fill="FFFFFF" w:themeFill="background1"/>
            <w:noWrap/>
            <w:vAlign w:val="center"/>
            <w:hideMark/>
          </w:tcPr>
          <w:p w14:paraId="3F244048" w14:textId="7F383FA9" w:rsidR="00870548" w:rsidRPr="00870548" w:rsidRDefault="00870548" w:rsidP="00870548">
            <w:pPr>
              <w:spacing w:after="60"/>
              <w:jc w:val="center"/>
              <w:rPr>
                <w:color w:val="000000"/>
                <w:sz w:val="20"/>
                <w:szCs w:val="20"/>
              </w:rPr>
            </w:pPr>
            <w:r w:rsidRPr="00870548">
              <w:rPr>
                <w:color w:val="000000"/>
                <w:sz w:val="20"/>
                <w:szCs w:val="20"/>
              </w:rPr>
              <w:t>258</w:t>
            </w:r>
            <w:r w:rsidR="00BF098E">
              <w:rPr>
                <w:color w:val="000000"/>
                <w:sz w:val="20"/>
                <w:szCs w:val="20"/>
              </w:rPr>
              <w:t xml:space="preserve"> </w:t>
            </w:r>
            <w:r w:rsidRPr="00870548">
              <w:rPr>
                <w:color w:val="000000"/>
                <w:sz w:val="20"/>
                <w:szCs w:val="20"/>
              </w:rPr>
              <w:t>520</w:t>
            </w:r>
          </w:p>
        </w:tc>
        <w:tc>
          <w:tcPr>
            <w:tcW w:w="1049" w:type="dxa"/>
            <w:shd w:val="clear" w:color="auto" w:fill="FFFFFF" w:themeFill="background1"/>
            <w:noWrap/>
            <w:vAlign w:val="center"/>
            <w:hideMark/>
          </w:tcPr>
          <w:p w14:paraId="6CC2E08C" w14:textId="59324494" w:rsidR="00870548" w:rsidRPr="00870548" w:rsidRDefault="00870548" w:rsidP="00870548">
            <w:pPr>
              <w:spacing w:after="60"/>
              <w:jc w:val="center"/>
              <w:rPr>
                <w:color w:val="000000"/>
                <w:sz w:val="20"/>
                <w:szCs w:val="20"/>
              </w:rPr>
            </w:pPr>
            <w:r w:rsidRPr="00870548">
              <w:rPr>
                <w:color w:val="000000"/>
                <w:sz w:val="20"/>
                <w:szCs w:val="20"/>
              </w:rPr>
              <w:t>236</w:t>
            </w:r>
            <w:r w:rsidR="00BF098E">
              <w:rPr>
                <w:color w:val="000000"/>
                <w:sz w:val="20"/>
                <w:szCs w:val="20"/>
              </w:rPr>
              <w:t xml:space="preserve"> </w:t>
            </w:r>
            <w:r w:rsidRPr="00870548">
              <w:rPr>
                <w:color w:val="000000"/>
                <w:sz w:val="20"/>
                <w:szCs w:val="20"/>
              </w:rPr>
              <w:t>181</w:t>
            </w:r>
          </w:p>
        </w:tc>
        <w:tc>
          <w:tcPr>
            <w:tcW w:w="1049" w:type="dxa"/>
            <w:shd w:val="clear" w:color="auto" w:fill="FFFFFF" w:themeFill="background1"/>
            <w:noWrap/>
            <w:vAlign w:val="center"/>
            <w:hideMark/>
          </w:tcPr>
          <w:p w14:paraId="0B2D4543" w14:textId="5101390D" w:rsidR="00870548" w:rsidRPr="00870548" w:rsidRDefault="00870548" w:rsidP="00870548">
            <w:pPr>
              <w:spacing w:after="60"/>
              <w:jc w:val="center"/>
              <w:rPr>
                <w:color w:val="000000"/>
                <w:sz w:val="20"/>
                <w:szCs w:val="20"/>
              </w:rPr>
            </w:pPr>
            <w:r w:rsidRPr="00870548">
              <w:rPr>
                <w:color w:val="000000"/>
                <w:sz w:val="20"/>
                <w:szCs w:val="20"/>
              </w:rPr>
              <w:t>219</w:t>
            </w:r>
            <w:r w:rsidR="00BF098E">
              <w:rPr>
                <w:color w:val="000000"/>
                <w:sz w:val="20"/>
                <w:szCs w:val="20"/>
              </w:rPr>
              <w:t xml:space="preserve"> </w:t>
            </w:r>
            <w:r w:rsidRPr="00870548">
              <w:rPr>
                <w:color w:val="000000"/>
                <w:sz w:val="20"/>
                <w:szCs w:val="20"/>
              </w:rPr>
              <w:t>181</w:t>
            </w:r>
          </w:p>
        </w:tc>
        <w:tc>
          <w:tcPr>
            <w:tcW w:w="1049" w:type="dxa"/>
            <w:shd w:val="clear" w:color="auto" w:fill="FFFFFF" w:themeFill="background1"/>
            <w:noWrap/>
            <w:vAlign w:val="center"/>
            <w:hideMark/>
          </w:tcPr>
          <w:p w14:paraId="62C6CC1E" w14:textId="15C1C9FE" w:rsidR="00870548" w:rsidRPr="00870548" w:rsidRDefault="00870548" w:rsidP="00870548">
            <w:pPr>
              <w:spacing w:after="60"/>
              <w:jc w:val="center"/>
              <w:rPr>
                <w:color w:val="000000"/>
                <w:sz w:val="20"/>
                <w:szCs w:val="20"/>
              </w:rPr>
            </w:pPr>
            <w:r w:rsidRPr="00870548">
              <w:rPr>
                <w:color w:val="000000"/>
                <w:sz w:val="20"/>
                <w:szCs w:val="20"/>
              </w:rPr>
              <w:t>205</w:t>
            </w:r>
            <w:r w:rsidR="00BF098E">
              <w:rPr>
                <w:color w:val="000000"/>
                <w:sz w:val="20"/>
                <w:szCs w:val="20"/>
              </w:rPr>
              <w:t xml:space="preserve"> </w:t>
            </w:r>
            <w:r w:rsidRPr="00870548">
              <w:rPr>
                <w:color w:val="000000"/>
                <w:sz w:val="20"/>
                <w:szCs w:val="20"/>
              </w:rPr>
              <w:t>526</w:t>
            </w:r>
          </w:p>
        </w:tc>
        <w:tc>
          <w:tcPr>
            <w:tcW w:w="1049" w:type="dxa"/>
            <w:shd w:val="clear" w:color="auto" w:fill="FFFFFF" w:themeFill="background1"/>
            <w:noWrap/>
            <w:vAlign w:val="center"/>
            <w:hideMark/>
          </w:tcPr>
          <w:p w14:paraId="7F917E40" w14:textId="1CB886AE" w:rsidR="00870548" w:rsidRPr="00870548" w:rsidRDefault="00870548" w:rsidP="00870548">
            <w:pPr>
              <w:spacing w:after="60"/>
              <w:jc w:val="center"/>
              <w:rPr>
                <w:color w:val="000000"/>
                <w:sz w:val="20"/>
                <w:szCs w:val="20"/>
              </w:rPr>
            </w:pPr>
            <w:r w:rsidRPr="00870548">
              <w:rPr>
                <w:color w:val="000000"/>
                <w:sz w:val="20"/>
                <w:szCs w:val="20"/>
              </w:rPr>
              <w:t>194</w:t>
            </w:r>
            <w:r w:rsidR="00BF098E">
              <w:rPr>
                <w:color w:val="000000"/>
                <w:sz w:val="20"/>
                <w:szCs w:val="20"/>
              </w:rPr>
              <w:t xml:space="preserve"> </w:t>
            </w:r>
            <w:r w:rsidRPr="00870548">
              <w:rPr>
                <w:color w:val="000000"/>
                <w:sz w:val="20"/>
                <w:szCs w:val="20"/>
              </w:rPr>
              <w:t>039</w:t>
            </w:r>
          </w:p>
        </w:tc>
      </w:tr>
      <w:tr w:rsidR="00870548" w:rsidRPr="00870548" w14:paraId="6CE467C4" w14:textId="77777777" w:rsidTr="00870548">
        <w:trPr>
          <w:trHeight w:val="300"/>
        </w:trPr>
        <w:tc>
          <w:tcPr>
            <w:tcW w:w="3828" w:type="dxa"/>
            <w:shd w:val="clear" w:color="auto" w:fill="FFFFFF" w:themeFill="background1"/>
            <w:noWrap/>
            <w:vAlign w:val="bottom"/>
            <w:hideMark/>
          </w:tcPr>
          <w:p w14:paraId="612A4675" w14:textId="2352491D" w:rsidR="00870548" w:rsidRPr="00870548" w:rsidRDefault="00870548" w:rsidP="00870548">
            <w:pPr>
              <w:spacing w:after="60"/>
              <w:rPr>
                <w:color w:val="000000"/>
                <w:sz w:val="20"/>
                <w:szCs w:val="20"/>
              </w:rPr>
            </w:pPr>
            <w:r w:rsidRPr="00870548">
              <w:rPr>
                <w:color w:val="000000"/>
                <w:sz w:val="20"/>
                <w:szCs w:val="20"/>
              </w:rPr>
              <w:t xml:space="preserve">Объем легального рынка (млн </w:t>
            </w:r>
            <w:r w:rsidR="00313506" w:rsidRPr="00870548">
              <w:rPr>
                <w:color w:val="000000"/>
                <w:sz w:val="20"/>
                <w:szCs w:val="20"/>
              </w:rPr>
              <w:t>сигарет</w:t>
            </w:r>
            <w:r w:rsidRPr="00870548">
              <w:rPr>
                <w:color w:val="000000"/>
                <w:sz w:val="20"/>
                <w:szCs w:val="20"/>
              </w:rPr>
              <w:t>)</w:t>
            </w:r>
          </w:p>
        </w:tc>
        <w:tc>
          <w:tcPr>
            <w:tcW w:w="1048" w:type="dxa"/>
            <w:shd w:val="clear" w:color="auto" w:fill="FFFFFF" w:themeFill="background1"/>
            <w:noWrap/>
            <w:vAlign w:val="center"/>
            <w:hideMark/>
          </w:tcPr>
          <w:p w14:paraId="2DDDD4EA" w14:textId="18B0CCA9" w:rsidR="00870548" w:rsidRPr="00870548" w:rsidRDefault="00870548" w:rsidP="00870548">
            <w:pPr>
              <w:spacing w:after="60"/>
              <w:jc w:val="center"/>
              <w:rPr>
                <w:color w:val="000000"/>
                <w:sz w:val="20"/>
                <w:szCs w:val="20"/>
              </w:rPr>
            </w:pPr>
            <w:r w:rsidRPr="00870548">
              <w:rPr>
                <w:color w:val="000000"/>
                <w:sz w:val="20"/>
                <w:szCs w:val="20"/>
              </w:rPr>
              <w:t>236</w:t>
            </w:r>
            <w:r w:rsidR="00BF098E">
              <w:rPr>
                <w:color w:val="000000"/>
                <w:sz w:val="20"/>
                <w:szCs w:val="20"/>
              </w:rPr>
              <w:t xml:space="preserve"> </w:t>
            </w:r>
            <w:r w:rsidRPr="00870548">
              <w:rPr>
                <w:color w:val="000000"/>
                <w:sz w:val="20"/>
                <w:szCs w:val="20"/>
              </w:rPr>
              <w:t>520</w:t>
            </w:r>
          </w:p>
        </w:tc>
        <w:tc>
          <w:tcPr>
            <w:tcW w:w="1049" w:type="dxa"/>
            <w:shd w:val="clear" w:color="auto" w:fill="FFFFFF" w:themeFill="background1"/>
            <w:noWrap/>
            <w:vAlign w:val="center"/>
            <w:hideMark/>
          </w:tcPr>
          <w:p w14:paraId="323DE9C1" w14:textId="3483FAF0" w:rsidR="00870548" w:rsidRPr="00870548" w:rsidRDefault="00870548" w:rsidP="00870548">
            <w:pPr>
              <w:spacing w:after="60"/>
              <w:jc w:val="center"/>
              <w:rPr>
                <w:color w:val="000000"/>
                <w:sz w:val="20"/>
                <w:szCs w:val="20"/>
              </w:rPr>
            </w:pPr>
            <w:r w:rsidRPr="00870548">
              <w:rPr>
                <w:color w:val="000000"/>
                <w:sz w:val="20"/>
                <w:szCs w:val="20"/>
              </w:rPr>
              <w:t>210</w:t>
            </w:r>
            <w:r w:rsidR="00BF098E">
              <w:rPr>
                <w:color w:val="000000"/>
                <w:sz w:val="20"/>
                <w:szCs w:val="20"/>
              </w:rPr>
              <w:t xml:space="preserve"> </w:t>
            </w:r>
            <w:r w:rsidRPr="00870548">
              <w:rPr>
                <w:color w:val="000000"/>
                <w:sz w:val="20"/>
                <w:szCs w:val="20"/>
              </w:rPr>
              <w:t>831</w:t>
            </w:r>
          </w:p>
        </w:tc>
        <w:tc>
          <w:tcPr>
            <w:tcW w:w="1049" w:type="dxa"/>
            <w:shd w:val="clear" w:color="auto" w:fill="FFFFFF" w:themeFill="background1"/>
            <w:noWrap/>
            <w:vAlign w:val="center"/>
            <w:hideMark/>
          </w:tcPr>
          <w:p w14:paraId="0C3D554D" w14:textId="78677A19" w:rsidR="00870548" w:rsidRPr="00870548" w:rsidRDefault="00870548" w:rsidP="00870548">
            <w:pPr>
              <w:spacing w:after="60"/>
              <w:jc w:val="center"/>
              <w:rPr>
                <w:color w:val="000000"/>
                <w:sz w:val="20"/>
                <w:szCs w:val="20"/>
              </w:rPr>
            </w:pPr>
            <w:r w:rsidRPr="00870548">
              <w:rPr>
                <w:color w:val="000000"/>
                <w:sz w:val="20"/>
                <w:szCs w:val="20"/>
              </w:rPr>
              <w:t>193</w:t>
            </w:r>
            <w:r w:rsidR="00BF098E">
              <w:rPr>
                <w:color w:val="000000"/>
                <w:sz w:val="20"/>
                <w:szCs w:val="20"/>
              </w:rPr>
              <w:t xml:space="preserve"> </w:t>
            </w:r>
            <w:r w:rsidRPr="00870548">
              <w:rPr>
                <w:color w:val="000000"/>
                <w:sz w:val="20"/>
                <w:szCs w:val="20"/>
              </w:rPr>
              <w:t>843</w:t>
            </w:r>
          </w:p>
        </w:tc>
        <w:tc>
          <w:tcPr>
            <w:tcW w:w="1049" w:type="dxa"/>
            <w:shd w:val="clear" w:color="auto" w:fill="FFFFFF" w:themeFill="background1"/>
            <w:noWrap/>
            <w:vAlign w:val="center"/>
            <w:hideMark/>
          </w:tcPr>
          <w:p w14:paraId="27FE29B0" w14:textId="26B2066C" w:rsidR="00870548" w:rsidRPr="00870548" w:rsidRDefault="00870548" w:rsidP="00870548">
            <w:pPr>
              <w:spacing w:after="60"/>
              <w:jc w:val="center"/>
              <w:rPr>
                <w:color w:val="000000"/>
                <w:sz w:val="20"/>
                <w:szCs w:val="20"/>
              </w:rPr>
            </w:pPr>
            <w:r w:rsidRPr="00870548">
              <w:rPr>
                <w:color w:val="000000"/>
                <w:sz w:val="20"/>
                <w:szCs w:val="20"/>
              </w:rPr>
              <w:t>180</w:t>
            </w:r>
            <w:r w:rsidR="00BF098E">
              <w:rPr>
                <w:color w:val="000000"/>
                <w:sz w:val="20"/>
                <w:szCs w:val="20"/>
              </w:rPr>
              <w:t xml:space="preserve"> </w:t>
            </w:r>
            <w:r w:rsidRPr="00870548">
              <w:rPr>
                <w:color w:val="000000"/>
                <w:sz w:val="20"/>
                <w:szCs w:val="20"/>
              </w:rPr>
              <w:t>080</w:t>
            </w:r>
          </w:p>
        </w:tc>
        <w:tc>
          <w:tcPr>
            <w:tcW w:w="1049" w:type="dxa"/>
            <w:shd w:val="clear" w:color="auto" w:fill="FFFFFF" w:themeFill="background1"/>
            <w:noWrap/>
            <w:vAlign w:val="center"/>
            <w:hideMark/>
          </w:tcPr>
          <w:p w14:paraId="5C92200D" w14:textId="72EDEE8E" w:rsidR="00870548" w:rsidRPr="00870548" w:rsidRDefault="00870548" w:rsidP="00870548">
            <w:pPr>
              <w:spacing w:after="60"/>
              <w:jc w:val="center"/>
              <w:rPr>
                <w:color w:val="000000"/>
                <w:sz w:val="20"/>
                <w:szCs w:val="20"/>
              </w:rPr>
            </w:pPr>
            <w:r w:rsidRPr="00870548">
              <w:rPr>
                <w:color w:val="000000"/>
                <w:sz w:val="20"/>
                <w:szCs w:val="20"/>
              </w:rPr>
              <w:t>168</w:t>
            </w:r>
            <w:r w:rsidR="00BF098E">
              <w:rPr>
                <w:color w:val="000000"/>
                <w:sz w:val="20"/>
                <w:szCs w:val="20"/>
              </w:rPr>
              <w:t xml:space="preserve"> </w:t>
            </w:r>
            <w:r w:rsidRPr="00870548">
              <w:rPr>
                <w:color w:val="000000"/>
                <w:sz w:val="20"/>
                <w:szCs w:val="20"/>
              </w:rPr>
              <w:t>437</w:t>
            </w:r>
          </w:p>
        </w:tc>
      </w:tr>
      <w:tr w:rsidR="00870548" w:rsidRPr="00870548" w14:paraId="6B0ECFF3" w14:textId="77777777" w:rsidTr="00870548">
        <w:trPr>
          <w:trHeight w:val="300"/>
        </w:trPr>
        <w:tc>
          <w:tcPr>
            <w:tcW w:w="3828" w:type="dxa"/>
            <w:shd w:val="clear" w:color="auto" w:fill="FFFFFF" w:themeFill="background1"/>
            <w:noWrap/>
            <w:vAlign w:val="bottom"/>
            <w:hideMark/>
          </w:tcPr>
          <w:p w14:paraId="116DAA44" w14:textId="26CBA970" w:rsidR="00870548" w:rsidRPr="00870548" w:rsidRDefault="00870548" w:rsidP="00870548">
            <w:pPr>
              <w:spacing w:after="60"/>
              <w:rPr>
                <w:color w:val="000000"/>
                <w:sz w:val="20"/>
                <w:szCs w:val="20"/>
              </w:rPr>
            </w:pPr>
            <w:r w:rsidRPr="00870548">
              <w:rPr>
                <w:color w:val="000000"/>
                <w:sz w:val="20"/>
                <w:szCs w:val="20"/>
              </w:rPr>
              <w:t>Объем нелегального рынка (млн</w:t>
            </w:r>
            <w:r w:rsidR="00313506" w:rsidRPr="00870548">
              <w:rPr>
                <w:color w:val="000000"/>
                <w:sz w:val="20"/>
                <w:szCs w:val="20"/>
              </w:rPr>
              <w:t xml:space="preserve"> сигарет</w:t>
            </w:r>
            <w:r w:rsidRPr="00870548">
              <w:rPr>
                <w:color w:val="000000"/>
                <w:sz w:val="20"/>
                <w:szCs w:val="20"/>
              </w:rPr>
              <w:t>)</w:t>
            </w:r>
          </w:p>
        </w:tc>
        <w:tc>
          <w:tcPr>
            <w:tcW w:w="1048" w:type="dxa"/>
            <w:shd w:val="clear" w:color="auto" w:fill="FFFFFF" w:themeFill="background1"/>
            <w:noWrap/>
            <w:vAlign w:val="center"/>
            <w:hideMark/>
          </w:tcPr>
          <w:p w14:paraId="3729A116" w14:textId="0BAA14FE" w:rsidR="00870548" w:rsidRPr="00870548" w:rsidRDefault="00870548" w:rsidP="00870548">
            <w:pPr>
              <w:spacing w:after="60"/>
              <w:jc w:val="center"/>
              <w:rPr>
                <w:color w:val="000000"/>
                <w:sz w:val="20"/>
                <w:szCs w:val="20"/>
              </w:rPr>
            </w:pPr>
            <w:r w:rsidRPr="00870548">
              <w:rPr>
                <w:color w:val="000000"/>
                <w:sz w:val="20"/>
                <w:szCs w:val="20"/>
              </w:rPr>
              <w:t>22</w:t>
            </w:r>
            <w:r w:rsidR="00BF098E">
              <w:rPr>
                <w:color w:val="000000"/>
                <w:sz w:val="20"/>
                <w:szCs w:val="20"/>
              </w:rPr>
              <w:t xml:space="preserve"> </w:t>
            </w:r>
            <w:r w:rsidRPr="00870548">
              <w:rPr>
                <w:color w:val="000000"/>
                <w:sz w:val="20"/>
                <w:szCs w:val="20"/>
              </w:rPr>
              <w:t>000</w:t>
            </w:r>
          </w:p>
        </w:tc>
        <w:tc>
          <w:tcPr>
            <w:tcW w:w="1049" w:type="dxa"/>
            <w:shd w:val="clear" w:color="auto" w:fill="FFFFFF" w:themeFill="background1"/>
            <w:noWrap/>
            <w:vAlign w:val="center"/>
            <w:hideMark/>
          </w:tcPr>
          <w:p w14:paraId="53158D2D" w14:textId="5E9D998D" w:rsidR="00870548" w:rsidRPr="00870548" w:rsidRDefault="00870548" w:rsidP="00870548">
            <w:pPr>
              <w:spacing w:after="60"/>
              <w:jc w:val="center"/>
              <w:rPr>
                <w:color w:val="000000"/>
                <w:sz w:val="20"/>
                <w:szCs w:val="20"/>
              </w:rPr>
            </w:pPr>
            <w:r w:rsidRPr="00870548">
              <w:rPr>
                <w:color w:val="000000"/>
                <w:sz w:val="20"/>
                <w:szCs w:val="20"/>
              </w:rPr>
              <w:t>25</w:t>
            </w:r>
            <w:r w:rsidR="00BF098E">
              <w:rPr>
                <w:color w:val="000000"/>
                <w:sz w:val="20"/>
                <w:szCs w:val="20"/>
              </w:rPr>
              <w:t xml:space="preserve"> </w:t>
            </w:r>
            <w:r w:rsidRPr="00870548">
              <w:rPr>
                <w:color w:val="000000"/>
                <w:sz w:val="20"/>
                <w:szCs w:val="20"/>
              </w:rPr>
              <w:t>349</w:t>
            </w:r>
          </w:p>
        </w:tc>
        <w:tc>
          <w:tcPr>
            <w:tcW w:w="1049" w:type="dxa"/>
            <w:shd w:val="clear" w:color="auto" w:fill="FFFFFF" w:themeFill="background1"/>
            <w:noWrap/>
            <w:vAlign w:val="center"/>
            <w:hideMark/>
          </w:tcPr>
          <w:p w14:paraId="7CD5DC6C" w14:textId="21B225FE" w:rsidR="00870548" w:rsidRPr="00870548" w:rsidRDefault="00870548" w:rsidP="00870548">
            <w:pPr>
              <w:spacing w:after="60"/>
              <w:jc w:val="center"/>
              <w:rPr>
                <w:color w:val="000000"/>
                <w:sz w:val="20"/>
                <w:szCs w:val="20"/>
              </w:rPr>
            </w:pPr>
            <w:r w:rsidRPr="00870548">
              <w:rPr>
                <w:color w:val="000000"/>
                <w:sz w:val="20"/>
                <w:szCs w:val="20"/>
              </w:rPr>
              <w:t>25</w:t>
            </w:r>
            <w:r w:rsidR="00BF098E">
              <w:rPr>
                <w:color w:val="000000"/>
                <w:sz w:val="20"/>
                <w:szCs w:val="20"/>
              </w:rPr>
              <w:t xml:space="preserve"> </w:t>
            </w:r>
            <w:r w:rsidRPr="00870548">
              <w:rPr>
                <w:color w:val="000000"/>
                <w:sz w:val="20"/>
                <w:szCs w:val="20"/>
              </w:rPr>
              <w:t>338</w:t>
            </w:r>
          </w:p>
        </w:tc>
        <w:tc>
          <w:tcPr>
            <w:tcW w:w="1049" w:type="dxa"/>
            <w:shd w:val="clear" w:color="auto" w:fill="FFFFFF" w:themeFill="background1"/>
            <w:noWrap/>
            <w:vAlign w:val="center"/>
            <w:hideMark/>
          </w:tcPr>
          <w:p w14:paraId="33761CB6" w14:textId="4E64EB5A" w:rsidR="00870548" w:rsidRPr="00870548" w:rsidRDefault="00870548" w:rsidP="00870548">
            <w:pPr>
              <w:spacing w:after="60"/>
              <w:jc w:val="center"/>
              <w:rPr>
                <w:color w:val="000000"/>
                <w:sz w:val="20"/>
                <w:szCs w:val="20"/>
              </w:rPr>
            </w:pPr>
            <w:r w:rsidRPr="00870548">
              <w:rPr>
                <w:color w:val="000000"/>
                <w:sz w:val="20"/>
                <w:szCs w:val="20"/>
              </w:rPr>
              <w:t>25</w:t>
            </w:r>
            <w:r w:rsidR="00BF098E">
              <w:rPr>
                <w:color w:val="000000"/>
                <w:sz w:val="20"/>
                <w:szCs w:val="20"/>
              </w:rPr>
              <w:t xml:space="preserve"> </w:t>
            </w:r>
            <w:r w:rsidRPr="00870548">
              <w:rPr>
                <w:color w:val="000000"/>
                <w:sz w:val="20"/>
                <w:szCs w:val="20"/>
              </w:rPr>
              <w:t>447</w:t>
            </w:r>
          </w:p>
        </w:tc>
        <w:tc>
          <w:tcPr>
            <w:tcW w:w="1049" w:type="dxa"/>
            <w:shd w:val="clear" w:color="auto" w:fill="FFFFFF" w:themeFill="background1"/>
            <w:noWrap/>
            <w:vAlign w:val="center"/>
            <w:hideMark/>
          </w:tcPr>
          <w:p w14:paraId="55384729" w14:textId="15900173" w:rsidR="00870548" w:rsidRPr="00870548" w:rsidRDefault="00870548" w:rsidP="00870548">
            <w:pPr>
              <w:spacing w:after="60"/>
              <w:jc w:val="center"/>
              <w:rPr>
                <w:color w:val="000000"/>
                <w:sz w:val="20"/>
                <w:szCs w:val="20"/>
              </w:rPr>
            </w:pPr>
            <w:r w:rsidRPr="00870548">
              <w:rPr>
                <w:color w:val="000000"/>
                <w:sz w:val="20"/>
                <w:szCs w:val="20"/>
              </w:rPr>
              <w:t>25</w:t>
            </w:r>
            <w:r w:rsidR="00BF098E">
              <w:rPr>
                <w:color w:val="000000"/>
                <w:sz w:val="20"/>
                <w:szCs w:val="20"/>
              </w:rPr>
              <w:t xml:space="preserve"> </w:t>
            </w:r>
            <w:r w:rsidRPr="00870548">
              <w:rPr>
                <w:color w:val="000000"/>
                <w:sz w:val="20"/>
                <w:szCs w:val="20"/>
              </w:rPr>
              <w:t>601</w:t>
            </w:r>
          </w:p>
        </w:tc>
      </w:tr>
      <w:tr w:rsidR="00870548" w:rsidRPr="00870548" w14:paraId="4AE3115A" w14:textId="77777777" w:rsidTr="00870548">
        <w:trPr>
          <w:trHeight w:val="300"/>
        </w:trPr>
        <w:tc>
          <w:tcPr>
            <w:tcW w:w="3828" w:type="dxa"/>
            <w:shd w:val="clear" w:color="auto" w:fill="FFFFFF" w:themeFill="background1"/>
            <w:noWrap/>
            <w:vAlign w:val="bottom"/>
            <w:hideMark/>
          </w:tcPr>
          <w:p w14:paraId="324C983C" w14:textId="5417E1F9" w:rsidR="00870548" w:rsidRPr="00870548" w:rsidRDefault="00870548" w:rsidP="00870548">
            <w:pPr>
              <w:spacing w:after="60"/>
              <w:rPr>
                <w:color w:val="000000"/>
                <w:sz w:val="20"/>
                <w:szCs w:val="20"/>
              </w:rPr>
            </w:pPr>
            <w:r w:rsidRPr="00870548">
              <w:rPr>
                <w:color w:val="000000"/>
                <w:sz w:val="20"/>
                <w:szCs w:val="20"/>
              </w:rPr>
              <w:t>Доля нелегального рынка</w:t>
            </w:r>
            <w:r w:rsidR="00313506">
              <w:rPr>
                <w:color w:val="000000"/>
                <w:sz w:val="20"/>
                <w:szCs w:val="20"/>
              </w:rPr>
              <w:t>, %</w:t>
            </w:r>
          </w:p>
        </w:tc>
        <w:tc>
          <w:tcPr>
            <w:tcW w:w="1048" w:type="dxa"/>
            <w:shd w:val="clear" w:color="auto" w:fill="FFFFFF" w:themeFill="background1"/>
            <w:noWrap/>
            <w:vAlign w:val="center"/>
            <w:hideMark/>
          </w:tcPr>
          <w:p w14:paraId="3F79127C" w14:textId="6E300799" w:rsidR="00870548" w:rsidRPr="00870548" w:rsidRDefault="00870548" w:rsidP="00870548">
            <w:pPr>
              <w:spacing w:after="60"/>
              <w:jc w:val="center"/>
              <w:rPr>
                <w:color w:val="000000"/>
                <w:sz w:val="20"/>
                <w:szCs w:val="20"/>
              </w:rPr>
            </w:pPr>
            <w:r w:rsidRPr="00870548">
              <w:rPr>
                <w:color w:val="000000"/>
                <w:sz w:val="20"/>
                <w:szCs w:val="20"/>
              </w:rPr>
              <w:t>8,5</w:t>
            </w:r>
          </w:p>
        </w:tc>
        <w:tc>
          <w:tcPr>
            <w:tcW w:w="1049" w:type="dxa"/>
            <w:shd w:val="clear" w:color="auto" w:fill="FFFFFF" w:themeFill="background1"/>
            <w:noWrap/>
            <w:vAlign w:val="center"/>
            <w:hideMark/>
          </w:tcPr>
          <w:p w14:paraId="22C6ECF9" w14:textId="43A07796" w:rsidR="00870548" w:rsidRPr="00870548" w:rsidRDefault="00870548" w:rsidP="00870548">
            <w:pPr>
              <w:spacing w:after="60"/>
              <w:jc w:val="center"/>
              <w:rPr>
                <w:color w:val="000000"/>
                <w:sz w:val="20"/>
                <w:szCs w:val="20"/>
              </w:rPr>
            </w:pPr>
            <w:r w:rsidRPr="00870548">
              <w:rPr>
                <w:color w:val="000000"/>
                <w:sz w:val="20"/>
                <w:szCs w:val="20"/>
              </w:rPr>
              <w:t>10,7</w:t>
            </w:r>
          </w:p>
        </w:tc>
        <w:tc>
          <w:tcPr>
            <w:tcW w:w="1049" w:type="dxa"/>
            <w:shd w:val="clear" w:color="auto" w:fill="FFFFFF" w:themeFill="background1"/>
            <w:noWrap/>
            <w:vAlign w:val="center"/>
            <w:hideMark/>
          </w:tcPr>
          <w:p w14:paraId="447DE2B3" w14:textId="7E188AD5" w:rsidR="00870548" w:rsidRPr="00870548" w:rsidRDefault="00870548" w:rsidP="00870548">
            <w:pPr>
              <w:spacing w:after="60"/>
              <w:jc w:val="center"/>
              <w:rPr>
                <w:color w:val="000000"/>
                <w:sz w:val="20"/>
                <w:szCs w:val="20"/>
              </w:rPr>
            </w:pPr>
            <w:r w:rsidRPr="00870548">
              <w:rPr>
                <w:color w:val="000000"/>
                <w:sz w:val="20"/>
                <w:szCs w:val="20"/>
              </w:rPr>
              <w:t>11,6</w:t>
            </w:r>
          </w:p>
        </w:tc>
        <w:tc>
          <w:tcPr>
            <w:tcW w:w="1049" w:type="dxa"/>
            <w:shd w:val="clear" w:color="auto" w:fill="FFFFFF" w:themeFill="background1"/>
            <w:noWrap/>
            <w:vAlign w:val="center"/>
            <w:hideMark/>
          </w:tcPr>
          <w:p w14:paraId="2C6EC97E" w14:textId="0E930950" w:rsidR="00870548" w:rsidRPr="00870548" w:rsidRDefault="00870548" w:rsidP="00870548">
            <w:pPr>
              <w:spacing w:after="60"/>
              <w:jc w:val="center"/>
              <w:rPr>
                <w:color w:val="000000"/>
                <w:sz w:val="20"/>
                <w:szCs w:val="20"/>
              </w:rPr>
            </w:pPr>
            <w:r w:rsidRPr="00870548">
              <w:rPr>
                <w:color w:val="000000"/>
                <w:sz w:val="20"/>
                <w:szCs w:val="20"/>
              </w:rPr>
              <w:t>12,4</w:t>
            </w:r>
          </w:p>
        </w:tc>
        <w:tc>
          <w:tcPr>
            <w:tcW w:w="1049" w:type="dxa"/>
            <w:shd w:val="clear" w:color="auto" w:fill="FFFFFF" w:themeFill="background1"/>
            <w:noWrap/>
            <w:vAlign w:val="center"/>
            <w:hideMark/>
          </w:tcPr>
          <w:p w14:paraId="31349FCC" w14:textId="39D90653" w:rsidR="00870548" w:rsidRPr="00870548" w:rsidRDefault="00870548" w:rsidP="00870548">
            <w:pPr>
              <w:spacing w:after="60"/>
              <w:jc w:val="center"/>
              <w:rPr>
                <w:color w:val="000000"/>
                <w:sz w:val="20"/>
                <w:szCs w:val="20"/>
              </w:rPr>
            </w:pPr>
            <w:r w:rsidRPr="00870548">
              <w:rPr>
                <w:color w:val="000000"/>
                <w:sz w:val="20"/>
                <w:szCs w:val="20"/>
              </w:rPr>
              <w:t>13,2</w:t>
            </w:r>
          </w:p>
        </w:tc>
      </w:tr>
      <w:tr w:rsidR="00870548" w:rsidRPr="00870548" w14:paraId="30AC83FE" w14:textId="77777777" w:rsidTr="00870548">
        <w:trPr>
          <w:trHeight w:val="300"/>
        </w:trPr>
        <w:tc>
          <w:tcPr>
            <w:tcW w:w="3828" w:type="dxa"/>
            <w:shd w:val="clear" w:color="auto" w:fill="FFFFFF" w:themeFill="background1"/>
            <w:noWrap/>
            <w:vAlign w:val="bottom"/>
            <w:hideMark/>
          </w:tcPr>
          <w:p w14:paraId="041D8509" w14:textId="55D463D6" w:rsidR="00870548" w:rsidRPr="00870548" w:rsidRDefault="00870548" w:rsidP="00870548">
            <w:pPr>
              <w:spacing w:after="60"/>
              <w:rPr>
                <w:color w:val="000000"/>
                <w:sz w:val="20"/>
                <w:szCs w:val="20"/>
              </w:rPr>
            </w:pPr>
            <w:r w:rsidRPr="00870548">
              <w:rPr>
                <w:color w:val="000000"/>
                <w:sz w:val="20"/>
                <w:szCs w:val="20"/>
              </w:rPr>
              <w:t>Поступления от акцизов, мл</w:t>
            </w:r>
            <w:r w:rsidR="00313506">
              <w:rPr>
                <w:color w:val="000000"/>
                <w:sz w:val="20"/>
                <w:szCs w:val="20"/>
              </w:rPr>
              <w:t xml:space="preserve">рд </w:t>
            </w:r>
            <w:r w:rsidRPr="00870548">
              <w:rPr>
                <w:color w:val="000000"/>
                <w:sz w:val="20"/>
                <w:szCs w:val="20"/>
              </w:rPr>
              <w:t>руб.</w:t>
            </w:r>
          </w:p>
        </w:tc>
        <w:tc>
          <w:tcPr>
            <w:tcW w:w="1048" w:type="dxa"/>
            <w:shd w:val="clear" w:color="auto" w:fill="FFFFFF" w:themeFill="background1"/>
            <w:noWrap/>
            <w:vAlign w:val="center"/>
            <w:hideMark/>
          </w:tcPr>
          <w:p w14:paraId="7B856DDA" w14:textId="5006DFBC" w:rsidR="00870548" w:rsidRPr="00870548" w:rsidRDefault="00870548" w:rsidP="00DC4E99">
            <w:pPr>
              <w:spacing w:after="60"/>
              <w:jc w:val="center"/>
              <w:rPr>
                <w:color w:val="000000"/>
                <w:sz w:val="20"/>
                <w:szCs w:val="20"/>
              </w:rPr>
            </w:pPr>
            <w:r w:rsidRPr="00870548">
              <w:rPr>
                <w:color w:val="000000"/>
                <w:sz w:val="20"/>
                <w:szCs w:val="20"/>
              </w:rPr>
              <w:t>583</w:t>
            </w:r>
            <w:r w:rsidR="00313506">
              <w:rPr>
                <w:color w:val="000000"/>
                <w:sz w:val="20"/>
                <w:szCs w:val="20"/>
              </w:rPr>
              <w:t>,</w:t>
            </w:r>
            <w:r w:rsidRPr="00870548">
              <w:rPr>
                <w:color w:val="000000"/>
                <w:sz w:val="20"/>
                <w:szCs w:val="20"/>
              </w:rPr>
              <w:t>2</w:t>
            </w:r>
          </w:p>
        </w:tc>
        <w:tc>
          <w:tcPr>
            <w:tcW w:w="1049" w:type="dxa"/>
            <w:shd w:val="clear" w:color="auto" w:fill="FFFFFF" w:themeFill="background1"/>
            <w:noWrap/>
            <w:vAlign w:val="center"/>
            <w:hideMark/>
          </w:tcPr>
          <w:p w14:paraId="48D43E41" w14:textId="32C204B7" w:rsidR="00870548" w:rsidRPr="00870548" w:rsidRDefault="00870548" w:rsidP="003A65C0">
            <w:pPr>
              <w:spacing w:after="60"/>
              <w:jc w:val="center"/>
              <w:rPr>
                <w:color w:val="000000"/>
                <w:sz w:val="20"/>
                <w:szCs w:val="20"/>
              </w:rPr>
            </w:pPr>
            <w:r w:rsidRPr="00870548">
              <w:rPr>
                <w:color w:val="000000"/>
                <w:sz w:val="20"/>
                <w:szCs w:val="20"/>
              </w:rPr>
              <w:t>590</w:t>
            </w:r>
            <w:r w:rsidR="00313506">
              <w:rPr>
                <w:color w:val="000000"/>
                <w:sz w:val="20"/>
                <w:szCs w:val="20"/>
              </w:rPr>
              <w:t>,</w:t>
            </w:r>
            <w:r w:rsidRPr="00870548">
              <w:rPr>
                <w:color w:val="000000"/>
                <w:sz w:val="20"/>
                <w:szCs w:val="20"/>
              </w:rPr>
              <w:t>1</w:t>
            </w:r>
          </w:p>
        </w:tc>
        <w:tc>
          <w:tcPr>
            <w:tcW w:w="1049" w:type="dxa"/>
            <w:shd w:val="clear" w:color="auto" w:fill="FFFFFF" w:themeFill="background1"/>
            <w:noWrap/>
            <w:vAlign w:val="center"/>
            <w:hideMark/>
          </w:tcPr>
          <w:p w14:paraId="11651969" w14:textId="583BBD04" w:rsidR="00870548" w:rsidRPr="00870548" w:rsidRDefault="00870548" w:rsidP="003A7722">
            <w:pPr>
              <w:spacing w:after="60"/>
              <w:jc w:val="center"/>
              <w:rPr>
                <w:color w:val="000000"/>
                <w:sz w:val="20"/>
                <w:szCs w:val="20"/>
              </w:rPr>
            </w:pPr>
            <w:r w:rsidRPr="00870548">
              <w:rPr>
                <w:color w:val="000000"/>
                <w:sz w:val="20"/>
                <w:szCs w:val="20"/>
              </w:rPr>
              <w:t>564</w:t>
            </w:r>
            <w:r w:rsidR="00313506">
              <w:rPr>
                <w:color w:val="000000"/>
                <w:sz w:val="20"/>
                <w:szCs w:val="20"/>
              </w:rPr>
              <w:t>,4</w:t>
            </w:r>
          </w:p>
        </w:tc>
        <w:tc>
          <w:tcPr>
            <w:tcW w:w="1049" w:type="dxa"/>
            <w:shd w:val="clear" w:color="auto" w:fill="FFFFFF" w:themeFill="background1"/>
            <w:noWrap/>
            <w:vAlign w:val="center"/>
            <w:hideMark/>
          </w:tcPr>
          <w:p w14:paraId="6E8C83CB" w14:textId="06CF28CF" w:rsidR="00870548" w:rsidRPr="00870548" w:rsidRDefault="00870548" w:rsidP="00E168F3">
            <w:pPr>
              <w:spacing w:after="60"/>
              <w:jc w:val="center"/>
              <w:rPr>
                <w:color w:val="000000"/>
                <w:sz w:val="20"/>
                <w:szCs w:val="20"/>
              </w:rPr>
            </w:pPr>
            <w:r w:rsidRPr="00870548">
              <w:rPr>
                <w:color w:val="000000"/>
                <w:sz w:val="20"/>
                <w:szCs w:val="20"/>
              </w:rPr>
              <w:t>545</w:t>
            </w:r>
            <w:r w:rsidR="00313506">
              <w:rPr>
                <w:color w:val="000000"/>
                <w:sz w:val="20"/>
                <w:szCs w:val="20"/>
              </w:rPr>
              <w:t>,3</w:t>
            </w:r>
          </w:p>
        </w:tc>
        <w:tc>
          <w:tcPr>
            <w:tcW w:w="1049" w:type="dxa"/>
            <w:shd w:val="clear" w:color="auto" w:fill="FFFFFF" w:themeFill="background1"/>
            <w:noWrap/>
            <w:vAlign w:val="center"/>
            <w:hideMark/>
          </w:tcPr>
          <w:p w14:paraId="1FA8FADC" w14:textId="545D4552" w:rsidR="00870548" w:rsidRPr="00870548" w:rsidRDefault="00870548" w:rsidP="00FD3D81">
            <w:pPr>
              <w:spacing w:after="60"/>
              <w:jc w:val="center"/>
              <w:rPr>
                <w:color w:val="000000"/>
                <w:sz w:val="20"/>
                <w:szCs w:val="20"/>
              </w:rPr>
            </w:pPr>
            <w:r w:rsidRPr="00870548">
              <w:rPr>
                <w:color w:val="000000"/>
                <w:sz w:val="20"/>
                <w:szCs w:val="20"/>
              </w:rPr>
              <w:t>530</w:t>
            </w:r>
            <w:r w:rsidR="00313506">
              <w:rPr>
                <w:color w:val="000000"/>
                <w:sz w:val="20"/>
                <w:szCs w:val="20"/>
              </w:rPr>
              <w:t>,</w:t>
            </w:r>
            <w:r w:rsidRPr="00870548">
              <w:rPr>
                <w:color w:val="000000"/>
                <w:sz w:val="20"/>
                <w:szCs w:val="20"/>
              </w:rPr>
              <w:t>4</w:t>
            </w:r>
          </w:p>
        </w:tc>
      </w:tr>
      <w:tr w:rsidR="00870548" w:rsidRPr="00870548" w14:paraId="5B25B656" w14:textId="77777777" w:rsidTr="00870548">
        <w:trPr>
          <w:trHeight w:val="300"/>
        </w:trPr>
        <w:tc>
          <w:tcPr>
            <w:tcW w:w="9072" w:type="dxa"/>
            <w:gridSpan w:val="6"/>
            <w:shd w:val="clear" w:color="auto" w:fill="FFFFFF" w:themeFill="background1"/>
            <w:noWrap/>
            <w:vAlign w:val="bottom"/>
            <w:hideMark/>
          </w:tcPr>
          <w:p w14:paraId="65507858" w14:textId="77777777" w:rsidR="00870548" w:rsidRPr="00870548" w:rsidRDefault="00870548" w:rsidP="003A7722">
            <w:pPr>
              <w:spacing w:after="60"/>
              <w:ind w:left="709"/>
              <w:rPr>
                <w:b/>
                <w:i/>
                <w:color w:val="000000"/>
                <w:sz w:val="20"/>
                <w:szCs w:val="20"/>
              </w:rPr>
            </w:pPr>
            <w:r w:rsidRPr="00870548">
              <w:rPr>
                <w:b/>
                <w:i/>
                <w:color w:val="000000"/>
                <w:sz w:val="20"/>
                <w:szCs w:val="20"/>
              </w:rPr>
              <w:t>Пессимистичный сценарий по доле нелегального оборота</w:t>
            </w:r>
          </w:p>
        </w:tc>
      </w:tr>
      <w:tr w:rsidR="00870548" w:rsidRPr="00870548" w14:paraId="5CD509B9" w14:textId="77777777" w:rsidTr="00870548">
        <w:trPr>
          <w:trHeight w:val="300"/>
        </w:trPr>
        <w:tc>
          <w:tcPr>
            <w:tcW w:w="3828" w:type="dxa"/>
            <w:shd w:val="clear" w:color="auto" w:fill="FFFFFF" w:themeFill="background1"/>
            <w:noWrap/>
            <w:vAlign w:val="bottom"/>
            <w:hideMark/>
          </w:tcPr>
          <w:p w14:paraId="50D0F06F" w14:textId="19393681" w:rsidR="00870548" w:rsidRPr="00870548" w:rsidRDefault="00870548" w:rsidP="00DC4E99">
            <w:pPr>
              <w:spacing w:after="60"/>
              <w:rPr>
                <w:color w:val="000000"/>
                <w:sz w:val="20"/>
                <w:szCs w:val="20"/>
              </w:rPr>
            </w:pPr>
            <w:r w:rsidRPr="00870548">
              <w:rPr>
                <w:color w:val="000000"/>
                <w:sz w:val="20"/>
                <w:szCs w:val="20"/>
              </w:rPr>
              <w:t xml:space="preserve">Общий объем рынка (млн </w:t>
            </w:r>
            <w:r w:rsidR="00313506" w:rsidRPr="00870548">
              <w:rPr>
                <w:color w:val="000000"/>
                <w:sz w:val="20"/>
                <w:szCs w:val="20"/>
              </w:rPr>
              <w:t>сигарет</w:t>
            </w:r>
            <w:r w:rsidRPr="00870548">
              <w:rPr>
                <w:color w:val="000000"/>
                <w:sz w:val="20"/>
                <w:szCs w:val="20"/>
              </w:rPr>
              <w:t>)</w:t>
            </w:r>
          </w:p>
        </w:tc>
        <w:tc>
          <w:tcPr>
            <w:tcW w:w="1048" w:type="dxa"/>
            <w:shd w:val="clear" w:color="auto" w:fill="FFFFFF" w:themeFill="background1"/>
            <w:noWrap/>
            <w:vAlign w:val="center"/>
            <w:hideMark/>
          </w:tcPr>
          <w:p w14:paraId="7AA4C171" w14:textId="2D043A1C" w:rsidR="00870548" w:rsidRPr="00870548" w:rsidRDefault="00870548" w:rsidP="00870548">
            <w:pPr>
              <w:spacing w:after="60"/>
              <w:jc w:val="center"/>
              <w:rPr>
                <w:color w:val="000000"/>
                <w:sz w:val="20"/>
                <w:szCs w:val="20"/>
              </w:rPr>
            </w:pPr>
            <w:r w:rsidRPr="00870548">
              <w:rPr>
                <w:color w:val="000000"/>
                <w:sz w:val="20"/>
                <w:szCs w:val="20"/>
              </w:rPr>
              <w:t>258</w:t>
            </w:r>
            <w:r w:rsidR="00BF098E">
              <w:rPr>
                <w:color w:val="000000"/>
                <w:sz w:val="20"/>
                <w:szCs w:val="20"/>
              </w:rPr>
              <w:t xml:space="preserve"> </w:t>
            </w:r>
            <w:r w:rsidRPr="00870548">
              <w:rPr>
                <w:color w:val="000000"/>
                <w:sz w:val="20"/>
                <w:szCs w:val="20"/>
              </w:rPr>
              <w:t>520</w:t>
            </w:r>
          </w:p>
        </w:tc>
        <w:tc>
          <w:tcPr>
            <w:tcW w:w="1049" w:type="dxa"/>
            <w:shd w:val="clear" w:color="auto" w:fill="FFFFFF" w:themeFill="background1"/>
            <w:noWrap/>
            <w:vAlign w:val="center"/>
            <w:hideMark/>
          </w:tcPr>
          <w:p w14:paraId="1D9DF434" w14:textId="71A34899" w:rsidR="00870548" w:rsidRPr="00870548" w:rsidRDefault="00870548" w:rsidP="00870548">
            <w:pPr>
              <w:spacing w:after="60"/>
              <w:jc w:val="center"/>
              <w:rPr>
                <w:color w:val="000000"/>
                <w:sz w:val="20"/>
                <w:szCs w:val="20"/>
              </w:rPr>
            </w:pPr>
            <w:r w:rsidRPr="00870548">
              <w:rPr>
                <w:color w:val="000000"/>
                <w:sz w:val="20"/>
                <w:szCs w:val="20"/>
              </w:rPr>
              <w:t>236</w:t>
            </w:r>
            <w:r w:rsidR="00BF098E">
              <w:rPr>
                <w:color w:val="000000"/>
                <w:sz w:val="20"/>
                <w:szCs w:val="20"/>
              </w:rPr>
              <w:t xml:space="preserve"> </w:t>
            </w:r>
            <w:r w:rsidRPr="00870548">
              <w:rPr>
                <w:color w:val="000000"/>
                <w:sz w:val="20"/>
                <w:szCs w:val="20"/>
              </w:rPr>
              <w:t>181</w:t>
            </w:r>
          </w:p>
        </w:tc>
        <w:tc>
          <w:tcPr>
            <w:tcW w:w="1049" w:type="dxa"/>
            <w:shd w:val="clear" w:color="auto" w:fill="FFFFFF" w:themeFill="background1"/>
            <w:noWrap/>
            <w:vAlign w:val="center"/>
            <w:hideMark/>
          </w:tcPr>
          <w:p w14:paraId="4FAE34F3" w14:textId="7E5445A1" w:rsidR="00870548" w:rsidRPr="00870548" w:rsidRDefault="00870548" w:rsidP="00870548">
            <w:pPr>
              <w:spacing w:after="60"/>
              <w:jc w:val="center"/>
              <w:rPr>
                <w:color w:val="000000"/>
                <w:sz w:val="20"/>
                <w:szCs w:val="20"/>
              </w:rPr>
            </w:pPr>
            <w:r w:rsidRPr="00870548">
              <w:rPr>
                <w:color w:val="000000"/>
                <w:sz w:val="20"/>
                <w:szCs w:val="20"/>
              </w:rPr>
              <w:t>219</w:t>
            </w:r>
            <w:r w:rsidR="00BF098E">
              <w:rPr>
                <w:color w:val="000000"/>
                <w:sz w:val="20"/>
                <w:szCs w:val="20"/>
              </w:rPr>
              <w:t xml:space="preserve"> </w:t>
            </w:r>
            <w:r w:rsidRPr="00870548">
              <w:rPr>
                <w:color w:val="000000"/>
                <w:sz w:val="20"/>
                <w:szCs w:val="20"/>
              </w:rPr>
              <w:t>181</w:t>
            </w:r>
          </w:p>
        </w:tc>
        <w:tc>
          <w:tcPr>
            <w:tcW w:w="1049" w:type="dxa"/>
            <w:shd w:val="clear" w:color="auto" w:fill="FFFFFF" w:themeFill="background1"/>
            <w:noWrap/>
            <w:vAlign w:val="center"/>
            <w:hideMark/>
          </w:tcPr>
          <w:p w14:paraId="693221BF" w14:textId="5C606DE6" w:rsidR="00870548" w:rsidRPr="00870548" w:rsidRDefault="00870548" w:rsidP="00870548">
            <w:pPr>
              <w:spacing w:after="60"/>
              <w:jc w:val="center"/>
              <w:rPr>
                <w:color w:val="000000"/>
                <w:sz w:val="20"/>
                <w:szCs w:val="20"/>
              </w:rPr>
            </w:pPr>
            <w:r w:rsidRPr="00870548">
              <w:rPr>
                <w:color w:val="000000"/>
                <w:sz w:val="20"/>
                <w:szCs w:val="20"/>
              </w:rPr>
              <w:t>205</w:t>
            </w:r>
            <w:r w:rsidR="00BF098E">
              <w:rPr>
                <w:color w:val="000000"/>
                <w:sz w:val="20"/>
                <w:szCs w:val="20"/>
              </w:rPr>
              <w:t xml:space="preserve"> </w:t>
            </w:r>
            <w:r w:rsidRPr="00870548">
              <w:rPr>
                <w:color w:val="000000"/>
                <w:sz w:val="20"/>
                <w:szCs w:val="20"/>
              </w:rPr>
              <w:t>526</w:t>
            </w:r>
          </w:p>
        </w:tc>
        <w:tc>
          <w:tcPr>
            <w:tcW w:w="1049" w:type="dxa"/>
            <w:shd w:val="clear" w:color="auto" w:fill="FFFFFF" w:themeFill="background1"/>
            <w:noWrap/>
            <w:vAlign w:val="center"/>
            <w:hideMark/>
          </w:tcPr>
          <w:p w14:paraId="43458390" w14:textId="0C0605E7" w:rsidR="00870548" w:rsidRPr="00870548" w:rsidRDefault="00870548" w:rsidP="00870548">
            <w:pPr>
              <w:spacing w:after="60"/>
              <w:jc w:val="center"/>
              <w:rPr>
                <w:color w:val="000000"/>
                <w:sz w:val="20"/>
                <w:szCs w:val="20"/>
              </w:rPr>
            </w:pPr>
            <w:r w:rsidRPr="00870548">
              <w:rPr>
                <w:color w:val="000000"/>
                <w:sz w:val="20"/>
                <w:szCs w:val="20"/>
              </w:rPr>
              <w:t>194</w:t>
            </w:r>
            <w:r w:rsidR="00BF098E">
              <w:rPr>
                <w:color w:val="000000"/>
                <w:sz w:val="20"/>
                <w:szCs w:val="20"/>
              </w:rPr>
              <w:t xml:space="preserve"> </w:t>
            </w:r>
            <w:r w:rsidRPr="00870548">
              <w:rPr>
                <w:color w:val="000000"/>
                <w:sz w:val="20"/>
                <w:szCs w:val="20"/>
              </w:rPr>
              <w:t>039</w:t>
            </w:r>
          </w:p>
        </w:tc>
      </w:tr>
      <w:tr w:rsidR="00870548" w:rsidRPr="00870548" w14:paraId="530B596F" w14:textId="77777777" w:rsidTr="00870548">
        <w:trPr>
          <w:trHeight w:val="300"/>
        </w:trPr>
        <w:tc>
          <w:tcPr>
            <w:tcW w:w="3828" w:type="dxa"/>
            <w:shd w:val="clear" w:color="auto" w:fill="FFFFFF" w:themeFill="background1"/>
            <w:noWrap/>
            <w:vAlign w:val="bottom"/>
            <w:hideMark/>
          </w:tcPr>
          <w:p w14:paraId="73E2D2F3" w14:textId="42ECB2ED" w:rsidR="00870548" w:rsidRPr="00870548" w:rsidRDefault="00870548" w:rsidP="00DC4E99">
            <w:pPr>
              <w:spacing w:after="60"/>
              <w:rPr>
                <w:color w:val="000000"/>
                <w:sz w:val="20"/>
                <w:szCs w:val="20"/>
              </w:rPr>
            </w:pPr>
            <w:r w:rsidRPr="00870548">
              <w:rPr>
                <w:color w:val="000000"/>
                <w:sz w:val="20"/>
                <w:szCs w:val="20"/>
              </w:rPr>
              <w:t xml:space="preserve">Объем легального рынка (млн </w:t>
            </w:r>
            <w:r w:rsidR="00313506" w:rsidRPr="00870548">
              <w:rPr>
                <w:color w:val="000000"/>
                <w:sz w:val="20"/>
                <w:szCs w:val="20"/>
              </w:rPr>
              <w:t>сигарет</w:t>
            </w:r>
            <w:r w:rsidRPr="00870548">
              <w:rPr>
                <w:color w:val="000000"/>
                <w:sz w:val="20"/>
                <w:szCs w:val="20"/>
              </w:rPr>
              <w:t>)</w:t>
            </w:r>
          </w:p>
        </w:tc>
        <w:tc>
          <w:tcPr>
            <w:tcW w:w="1048" w:type="dxa"/>
            <w:shd w:val="clear" w:color="auto" w:fill="FFFFFF" w:themeFill="background1"/>
            <w:noWrap/>
            <w:vAlign w:val="center"/>
            <w:hideMark/>
          </w:tcPr>
          <w:p w14:paraId="5FC39ED3" w14:textId="5724A340" w:rsidR="00870548" w:rsidRPr="00870548" w:rsidRDefault="00870548" w:rsidP="00870548">
            <w:pPr>
              <w:spacing w:after="60"/>
              <w:jc w:val="center"/>
              <w:rPr>
                <w:color w:val="000000"/>
                <w:sz w:val="20"/>
                <w:szCs w:val="20"/>
              </w:rPr>
            </w:pPr>
            <w:r w:rsidRPr="00870548">
              <w:rPr>
                <w:color w:val="000000"/>
                <w:sz w:val="20"/>
                <w:szCs w:val="20"/>
              </w:rPr>
              <w:t>236</w:t>
            </w:r>
            <w:r w:rsidR="00BF098E">
              <w:rPr>
                <w:color w:val="000000"/>
                <w:sz w:val="20"/>
                <w:szCs w:val="20"/>
              </w:rPr>
              <w:t xml:space="preserve"> </w:t>
            </w:r>
            <w:r w:rsidRPr="00870548">
              <w:rPr>
                <w:color w:val="000000"/>
                <w:sz w:val="20"/>
                <w:szCs w:val="20"/>
              </w:rPr>
              <w:t>520</w:t>
            </w:r>
          </w:p>
        </w:tc>
        <w:tc>
          <w:tcPr>
            <w:tcW w:w="1049" w:type="dxa"/>
            <w:shd w:val="clear" w:color="auto" w:fill="FFFFFF" w:themeFill="background1"/>
            <w:noWrap/>
            <w:vAlign w:val="center"/>
            <w:hideMark/>
          </w:tcPr>
          <w:p w14:paraId="6EB0E9E1" w14:textId="54DDD537" w:rsidR="00870548" w:rsidRPr="00870548" w:rsidRDefault="00870548" w:rsidP="00870548">
            <w:pPr>
              <w:spacing w:after="60"/>
              <w:jc w:val="center"/>
              <w:rPr>
                <w:color w:val="000000"/>
                <w:sz w:val="20"/>
                <w:szCs w:val="20"/>
              </w:rPr>
            </w:pPr>
            <w:r w:rsidRPr="00870548">
              <w:rPr>
                <w:color w:val="000000"/>
                <w:sz w:val="20"/>
                <w:szCs w:val="20"/>
              </w:rPr>
              <w:t>206</w:t>
            </w:r>
            <w:r w:rsidR="00BF098E">
              <w:rPr>
                <w:color w:val="000000"/>
                <w:sz w:val="20"/>
                <w:szCs w:val="20"/>
              </w:rPr>
              <w:t xml:space="preserve"> </w:t>
            </w:r>
            <w:r w:rsidRPr="00870548">
              <w:rPr>
                <w:color w:val="000000"/>
                <w:sz w:val="20"/>
                <w:szCs w:val="20"/>
              </w:rPr>
              <w:t>056</w:t>
            </w:r>
          </w:p>
        </w:tc>
        <w:tc>
          <w:tcPr>
            <w:tcW w:w="1049" w:type="dxa"/>
            <w:shd w:val="clear" w:color="auto" w:fill="FFFFFF" w:themeFill="background1"/>
            <w:noWrap/>
            <w:vAlign w:val="center"/>
            <w:hideMark/>
          </w:tcPr>
          <w:p w14:paraId="140945CA" w14:textId="2EFA0FF3" w:rsidR="00870548" w:rsidRPr="00870548" w:rsidRDefault="00870548" w:rsidP="00870548">
            <w:pPr>
              <w:spacing w:after="60"/>
              <w:jc w:val="center"/>
              <w:rPr>
                <w:color w:val="000000"/>
                <w:sz w:val="20"/>
                <w:szCs w:val="20"/>
              </w:rPr>
            </w:pPr>
            <w:r w:rsidRPr="00870548">
              <w:rPr>
                <w:color w:val="000000"/>
                <w:sz w:val="20"/>
                <w:szCs w:val="20"/>
              </w:rPr>
              <w:t>187</w:t>
            </w:r>
            <w:r w:rsidR="00BF098E">
              <w:rPr>
                <w:color w:val="000000"/>
                <w:sz w:val="20"/>
                <w:szCs w:val="20"/>
              </w:rPr>
              <w:t xml:space="preserve"> </w:t>
            </w:r>
            <w:r w:rsidRPr="00870548">
              <w:rPr>
                <w:color w:val="000000"/>
                <w:sz w:val="20"/>
                <w:szCs w:val="20"/>
              </w:rPr>
              <w:t>762</w:t>
            </w:r>
          </w:p>
        </w:tc>
        <w:tc>
          <w:tcPr>
            <w:tcW w:w="1049" w:type="dxa"/>
            <w:shd w:val="clear" w:color="auto" w:fill="FFFFFF" w:themeFill="background1"/>
            <w:noWrap/>
            <w:vAlign w:val="center"/>
            <w:hideMark/>
          </w:tcPr>
          <w:p w14:paraId="42C72356" w14:textId="4573B376" w:rsidR="00870548" w:rsidRPr="00870548" w:rsidRDefault="00870548" w:rsidP="00870548">
            <w:pPr>
              <w:spacing w:after="60"/>
              <w:jc w:val="center"/>
              <w:rPr>
                <w:color w:val="000000"/>
                <w:sz w:val="20"/>
                <w:szCs w:val="20"/>
              </w:rPr>
            </w:pPr>
            <w:r w:rsidRPr="00870548">
              <w:rPr>
                <w:color w:val="000000"/>
                <w:sz w:val="20"/>
                <w:szCs w:val="20"/>
              </w:rPr>
              <w:t>172</w:t>
            </w:r>
            <w:r w:rsidR="00BF098E">
              <w:rPr>
                <w:color w:val="000000"/>
                <w:sz w:val="20"/>
                <w:szCs w:val="20"/>
              </w:rPr>
              <w:t xml:space="preserve"> </w:t>
            </w:r>
            <w:r w:rsidRPr="00870548">
              <w:rPr>
                <w:color w:val="000000"/>
                <w:sz w:val="20"/>
                <w:szCs w:val="20"/>
              </w:rPr>
              <w:t>842</w:t>
            </w:r>
          </w:p>
        </w:tc>
        <w:tc>
          <w:tcPr>
            <w:tcW w:w="1049" w:type="dxa"/>
            <w:shd w:val="clear" w:color="auto" w:fill="FFFFFF" w:themeFill="background1"/>
            <w:noWrap/>
            <w:vAlign w:val="center"/>
            <w:hideMark/>
          </w:tcPr>
          <w:p w14:paraId="6CA3629F" w14:textId="340D8B83" w:rsidR="00870548" w:rsidRPr="00870548" w:rsidRDefault="00870548" w:rsidP="00870548">
            <w:pPr>
              <w:spacing w:after="60"/>
              <w:jc w:val="center"/>
              <w:rPr>
                <w:color w:val="000000"/>
                <w:sz w:val="20"/>
                <w:szCs w:val="20"/>
              </w:rPr>
            </w:pPr>
            <w:r w:rsidRPr="00870548">
              <w:rPr>
                <w:color w:val="000000"/>
                <w:sz w:val="20"/>
                <w:szCs w:val="20"/>
              </w:rPr>
              <w:t>160</w:t>
            </w:r>
            <w:r w:rsidR="00BF098E">
              <w:rPr>
                <w:color w:val="000000"/>
                <w:sz w:val="20"/>
                <w:szCs w:val="20"/>
              </w:rPr>
              <w:t xml:space="preserve"> </w:t>
            </w:r>
            <w:r w:rsidRPr="00870548">
              <w:rPr>
                <w:color w:val="000000"/>
                <w:sz w:val="20"/>
                <w:szCs w:val="20"/>
              </w:rPr>
              <w:t>170</w:t>
            </w:r>
          </w:p>
        </w:tc>
      </w:tr>
      <w:tr w:rsidR="00870548" w:rsidRPr="00870548" w14:paraId="6154E31A" w14:textId="77777777" w:rsidTr="00870548">
        <w:trPr>
          <w:trHeight w:val="300"/>
        </w:trPr>
        <w:tc>
          <w:tcPr>
            <w:tcW w:w="3828" w:type="dxa"/>
            <w:shd w:val="clear" w:color="auto" w:fill="FFFFFF" w:themeFill="background1"/>
            <w:noWrap/>
            <w:vAlign w:val="bottom"/>
            <w:hideMark/>
          </w:tcPr>
          <w:p w14:paraId="7572D1E9" w14:textId="0D99138E" w:rsidR="00870548" w:rsidRPr="00870548" w:rsidRDefault="00870548" w:rsidP="00DC4E99">
            <w:pPr>
              <w:spacing w:after="60"/>
              <w:rPr>
                <w:color w:val="000000"/>
                <w:sz w:val="20"/>
                <w:szCs w:val="20"/>
              </w:rPr>
            </w:pPr>
            <w:r w:rsidRPr="00870548">
              <w:rPr>
                <w:color w:val="000000"/>
                <w:sz w:val="20"/>
                <w:szCs w:val="20"/>
              </w:rPr>
              <w:t>Объем нелегального рынка (млн</w:t>
            </w:r>
            <w:r w:rsidR="00313506" w:rsidRPr="00870548">
              <w:rPr>
                <w:color w:val="000000"/>
                <w:sz w:val="20"/>
                <w:szCs w:val="20"/>
              </w:rPr>
              <w:t xml:space="preserve"> сигарет</w:t>
            </w:r>
            <w:r w:rsidRPr="00870548">
              <w:rPr>
                <w:color w:val="000000"/>
                <w:sz w:val="20"/>
                <w:szCs w:val="20"/>
              </w:rPr>
              <w:t>)</w:t>
            </w:r>
          </w:p>
        </w:tc>
        <w:tc>
          <w:tcPr>
            <w:tcW w:w="1048" w:type="dxa"/>
            <w:shd w:val="clear" w:color="auto" w:fill="FFFFFF" w:themeFill="background1"/>
            <w:noWrap/>
            <w:vAlign w:val="center"/>
            <w:hideMark/>
          </w:tcPr>
          <w:p w14:paraId="50EBC8A3" w14:textId="1D2BFCDE" w:rsidR="00870548" w:rsidRPr="00870548" w:rsidRDefault="00870548" w:rsidP="00870548">
            <w:pPr>
              <w:spacing w:after="60"/>
              <w:jc w:val="center"/>
              <w:rPr>
                <w:color w:val="000000"/>
                <w:sz w:val="20"/>
                <w:szCs w:val="20"/>
              </w:rPr>
            </w:pPr>
            <w:r w:rsidRPr="00870548">
              <w:rPr>
                <w:color w:val="000000"/>
                <w:sz w:val="20"/>
                <w:szCs w:val="20"/>
              </w:rPr>
              <w:t>22</w:t>
            </w:r>
            <w:r w:rsidR="00BF098E">
              <w:rPr>
                <w:color w:val="000000"/>
                <w:sz w:val="20"/>
                <w:szCs w:val="20"/>
              </w:rPr>
              <w:t xml:space="preserve"> </w:t>
            </w:r>
            <w:r w:rsidRPr="00870548">
              <w:rPr>
                <w:color w:val="000000"/>
                <w:sz w:val="20"/>
                <w:szCs w:val="20"/>
              </w:rPr>
              <w:t>000</w:t>
            </w:r>
          </w:p>
        </w:tc>
        <w:tc>
          <w:tcPr>
            <w:tcW w:w="1049" w:type="dxa"/>
            <w:shd w:val="clear" w:color="auto" w:fill="FFFFFF" w:themeFill="background1"/>
            <w:noWrap/>
            <w:vAlign w:val="center"/>
            <w:hideMark/>
          </w:tcPr>
          <w:p w14:paraId="007CEBC3" w14:textId="33550AEB" w:rsidR="00870548" w:rsidRPr="00870548" w:rsidRDefault="00870548" w:rsidP="00870548">
            <w:pPr>
              <w:spacing w:after="60"/>
              <w:jc w:val="center"/>
              <w:rPr>
                <w:color w:val="000000"/>
                <w:sz w:val="20"/>
                <w:szCs w:val="20"/>
              </w:rPr>
            </w:pPr>
            <w:r w:rsidRPr="00870548">
              <w:rPr>
                <w:color w:val="000000"/>
                <w:sz w:val="20"/>
                <w:szCs w:val="20"/>
              </w:rPr>
              <w:t>30</w:t>
            </w:r>
            <w:r w:rsidR="00BF098E">
              <w:rPr>
                <w:color w:val="000000"/>
                <w:sz w:val="20"/>
                <w:szCs w:val="20"/>
              </w:rPr>
              <w:t xml:space="preserve"> </w:t>
            </w:r>
            <w:r w:rsidRPr="00870548">
              <w:rPr>
                <w:color w:val="000000"/>
                <w:sz w:val="20"/>
                <w:szCs w:val="20"/>
              </w:rPr>
              <w:t>125</w:t>
            </w:r>
          </w:p>
        </w:tc>
        <w:tc>
          <w:tcPr>
            <w:tcW w:w="1049" w:type="dxa"/>
            <w:shd w:val="clear" w:color="auto" w:fill="FFFFFF" w:themeFill="background1"/>
            <w:noWrap/>
            <w:vAlign w:val="center"/>
            <w:hideMark/>
          </w:tcPr>
          <w:p w14:paraId="536D4372" w14:textId="7419174B" w:rsidR="00870548" w:rsidRPr="00870548" w:rsidRDefault="00870548" w:rsidP="00870548">
            <w:pPr>
              <w:spacing w:after="60"/>
              <w:jc w:val="center"/>
              <w:rPr>
                <w:color w:val="000000"/>
                <w:sz w:val="20"/>
                <w:szCs w:val="20"/>
              </w:rPr>
            </w:pPr>
            <w:r w:rsidRPr="00870548">
              <w:rPr>
                <w:color w:val="000000"/>
                <w:sz w:val="20"/>
                <w:szCs w:val="20"/>
              </w:rPr>
              <w:t>31</w:t>
            </w:r>
            <w:r w:rsidR="00BF098E">
              <w:rPr>
                <w:color w:val="000000"/>
                <w:sz w:val="20"/>
                <w:szCs w:val="20"/>
              </w:rPr>
              <w:t xml:space="preserve"> </w:t>
            </w:r>
            <w:r w:rsidRPr="00870548">
              <w:rPr>
                <w:color w:val="000000"/>
                <w:sz w:val="20"/>
                <w:szCs w:val="20"/>
              </w:rPr>
              <w:t>420</w:t>
            </w:r>
          </w:p>
        </w:tc>
        <w:tc>
          <w:tcPr>
            <w:tcW w:w="1049" w:type="dxa"/>
            <w:shd w:val="clear" w:color="auto" w:fill="FFFFFF" w:themeFill="background1"/>
            <w:noWrap/>
            <w:vAlign w:val="center"/>
            <w:hideMark/>
          </w:tcPr>
          <w:p w14:paraId="21C161AE" w14:textId="430B2586" w:rsidR="00870548" w:rsidRPr="00870548" w:rsidRDefault="00870548" w:rsidP="00870548">
            <w:pPr>
              <w:spacing w:after="60"/>
              <w:jc w:val="center"/>
              <w:rPr>
                <w:color w:val="000000"/>
                <w:sz w:val="20"/>
                <w:szCs w:val="20"/>
              </w:rPr>
            </w:pPr>
            <w:r w:rsidRPr="00870548">
              <w:rPr>
                <w:color w:val="000000"/>
                <w:sz w:val="20"/>
                <w:szCs w:val="20"/>
              </w:rPr>
              <w:t>32</w:t>
            </w:r>
            <w:r w:rsidR="00BF098E">
              <w:rPr>
                <w:color w:val="000000"/>
                <w:sz w:val="20"/>
                <w:szCs w:val="20"/>
              </w:rPr>
              <w:t xml:space="preserve"> </w:t>
            </w:r>
            <w:r w:rsidRPr="00870548">
              <w:rPr>
                <w:color w:val="000000"/>
                <w:sz w:val="20"/>
                <w:szCs w:val="20"/>
              </w:rPr>
              <w:t>684</w:t>
            </w:r>
          </w:p>
        </w:tc>
        <w:tc>
          <w:tcPr>
            <w:tcW w:w="1049" w:type="dxa"/>
            <w:shd w:val="clear" w:color="auto" w:fill="FFFFFF" w:themeFill="background1"/>
            <w:noWrap/>
            <w:vAlign w:val="center"/>
            <w:hideMark/>
          </w:tcPr>
          <w:p w14:paraId="12CD196B" w14:textId="01084674" w:rsidR="00870548" w:rsidRPr="00870548" w:rsidRDefault="00870548" w:rsidP="00870548">
            <w:pPr>
              <w:spacing w:after="60"/>
              <w:jc w:val="center"/>
              <w:rPr>
                <w:color w:val="000000"/>
                <w:sz w:val="20"/>
                <w:szCs w:val="20"/>
              </w:rPr>
            </w:pPr>
            <w:r w:rsidRPr="00870548">
              <w:rPr>
                <w:color w:val="000000"/>
                <w:sz w:val="20"/>
                <w:szCs w:val="20"/>
              </w:rPr>
              <w:t>33</w:t>
            </w:r>
            <w:r w:rsidR="00BF098E">
              <w:rPr>
                <w:color w:val="000000"/>
                <w:sz w:val="20"/>
                <w:szCs w:val="20"/>
              </w:rPr>
              <w:t xml:space="preserve"> </w:t>
            </w:r>
            <w:r w:rsidRPr="00870548">
              <w:rPr>
                <w:color w:val="000000"/>
                <w:sz w:val="20"/>
                <w:szCs w:val="20"/>
              </w:rPr>
              <w:t>868</w:t>
            </w:r>
          </w:p>
        </w:tc>
      </w:tr>
      <w:tr w:rsidR="00870548" w:rsidRPr="00870548" w14:paraId="6D82E77B" w14:textId="77777777" w:rsidTr="00870548">
        <w:trPr>
          <w:trHeight w:val="300"/>
        </w:trPr>
        <w:tc>
          <w:tcPr>
            <w:tcW w:w="3828" w:type="dxa"/>
            <w:shd w:val="clear" w:color="auto" w:fill="FFFFFF" w:themeFill="background1"/>
            <w:noWrap/>
            <w:vAlign w:val="bottom"/>
            <w:hideMark/>
          </w:tcPr>
          <w:p w14:paraId="1099565B" w14:textId="318695D3" w:rsidR="00870548" w:rsidRPr="00870548" w:rsidRDefault="00870548" w:rsidP="00870548">
            <w:pPr>
              <w:spacing w:after="60"/>
              <w:rPr>
                <w:color w:val="000000"/>
                <w:sz w:val="20"/>
                <w:szCs w:val="20"/>
              </w:rPr>
            </w:pPr>
            <w:r w:rsidRPr="00870548">
              <w:rPr>
                <w:color w:val="000000"/>
                <w:sz w:val="20"/>
                <w:szCs w:val="20"/>
              </w:rPr>
              <w:t>Доля нелегального рынка</w:t>
            </w:r>
            <w:r w:rsidR="00313506">
              <w:rPr>
                <w:color w:val="000000"/>
                <w:sz w:val="20"/>
                <w:szCs w:val="20"/>
              </w:rPr>
              <w:t>, %</w:t>
            </w:r>
          </w:p>
        </w:tc>
        <w:tc>
          <w:tcPr>
            <w:tcW w:w="1048" w:type="dxa"/>
            <w:shd w:val="clear" w:color="auto" w:fill="FFFFFF" w:themeFill="background1"/>
            <w:noWrap/>
            <w:vAlign w:val="center"/>
            <w:hideMark/>
          </w:tcPr>
          <w:p w14:paraId="6592A8D7" w14:textId="448FDFD0" w:rsidR="00870548" w:rsidRPr="00870548" w:rsidRDefault="00870548" w:rsidP="00870548">
            <w:pPr>
              <w:spacing w:after="60"/>
              <w:jc w:val="center"/>
              <w:rPr>
                <w:color w:val="000000"/>
                <w:sz w:val="20"/>
                <w:szCs w:val="20"/>
              </w:rPr>
            </w:pPr>
            <w:r w:rsidRPr="00870548">
              <w:rPr>
                <w:color w:val="000000"/>
                <w:sz w:val="20"/>
                <w:szCs w:val="20"/>
              </w:rPr>
              <w:t>8,5</w:t>
            </w:r>
          </w:p>
        </w:tc>
        <w:tc>
          <w:tcPr>
            <w:tcW w:w="1049" w:type="dxa"/>
            <w:shd w:val="clear" w:color="auto" w:fill="FFFFFF" w:themeFill="background1"/>
            <w:noWrap/>
            <w:vAlign w:val="center"/>
            <w:hideMark/>
          </w:tcPr>
          <w:p w14:paraId="46641A65" w14:textId="5E8A155D" w:rsidR="00870548" w:rsidRPr="00870548" w:rsidRDefault="00870548" w:rsidP="00870548">
            <w:pPr>
              <w:spacing w:after="60"/>
              <w:jc w:val="center"/>
              <w:rPr>
                <w:color w:val="000000"/>
                <w:sz w:val="20"/>
                <w:szCs w:val="20"/>
              </w:rPr>
            </w:pPr>
            <w:r w:rsidRPr="00870548">
              <w:rPr>
                <w:color w:val="000000"/>
                <w:sz w:val="20"/>
                <w:szCs w:val="20"/>
              </w:rPr>
              <w:t>12,8</w:t>
            </w:r>
          </w:p>
        </w:tc>
        <w:tc>
          <w:tcPr>
            <w:tcW w:w="1049" w:type="dxa"/>
            <w:shd w:val="clear" w:color="auto" w:fill="FFFFFF" w:themeFill="background1"/>
            <w:noWrap/>
            <w:vAlign w:val="center"/>
            <w:hideMark/>
          </w:tcPr>
          <w:p w14:paraId="095569D0" w14:textId="726272B7" w:rsidR="00870548" w:rsidRPr="00870548" w:rsidRDefault="00870548" w:rsidP="00870548">
            <w:pPr>
              <w:spacing w:after="60"/>
              <w:jc w:val="center"/>
              <w:rPr>
                <w:color w:val="000000"/>
                <w:sz w:val="20"/>
                <w:szCs w:val="20"/>
              </w:rPr>
            </w:pPr>
            <w:r w:rsidRPr="00870548">
              <w:rPr>
                <w:color w:val="000000"/>
                <w:sz w:val="20"/>
                <w:szCs w:val="20"/>
              </w:rPr>
              <w:t>14,3</w:t>
            </w:r>
          </w:p>
        </w:tc>
        <w:tc>
          <w:tcPr>
            <w:tcW w:w="1049" w:type="dxa"/>
            <w:shd w:val="clear" w:color="auto" w:fill="FFFFFF" w:themeFill="background1"/>
            <w:noWrap/>
            <w:vAlign w:val="center"/>
            <w:hideMark/>
          </w:tcPr>
          <w:p w14:paraId="2CC9113A" w14:textId="45D7BFD4" w:rsidR="00870548" w:rsidRPr="00870548" w:rsidRDefault="00870548" w:rsidP="00870548">
            <w:pPr>
              <w:spacing w:after="60"/>
              <w:jc w:val="center"/>
              <w:rPr>
                <w:color w:val="000000"/>
                <w:sz w:val="20"/>
                <w:szCs w:val="20"/>
              </w:rPr>
            </w:pPr>
            <w:r w:rsidRPr="00870548">
              <w:rPr>
                <w:color w:val="000000"/>
                <w:sz w:val="20"/>
                <w:szCs w:val="20"/>
              </w:rPr>
              <w:t>15,9</w:t>
            </w:r>
          </w:p>
        </w:tc>
        <w:tc>
          <w:tcPr>
            <w:tcW w:w="1049" w:type="dxa"/>
            <w:shd w:val="clear" w:color="auto" w:fill="FFFFFF" w:themeFill="background1"/>
            <w:noWrap/>
            <w:vAlign w:val="center"/>
            <w:hideMark/>
          </w:tcPr>
          <w:p w14:paraId="38A6AE8B" w14:textId="00E710D8" w:rsidR="00870548" w:rsidRPr="00870548" w:rsidRDefault="00870548" w:rsidP="00870548">
            <w:pPr>
              <w:spacing w:after="60"/>
              <w:jc w:val="center"/>
              <w:rPr>
                <w:color w:val="000000"/>
                <w:sz w:val="20"/>
                <w:szCs w:val="20"/>
              </w:rPr>
            </w:pPr>
            <w:r w:rsidRPr="00870548">
              <w:rPr>
                <w:color w:val="000000"/>
                <w:sz w:val="20"/>
                <w:szCs w:val="20"/>
              </w:rPr>
              <w:t>17,5</w:t>
            </w:r>
          </w:p>
        </w:tc>
      </w:tr>
      <w:tr w:rsidR="00870548" w:rsidRPr="00870548" w14:paraId="7D6F0D6A" w14:textId="77777777" w:rsidTr="00870548">
        <w:trPr>
          <w:trHeight w:val="300"/>
        </w:trPr>
        <w:tc>
          <w:tcPr>
            <w:tcW w:w="3828" w:type="dxa"/>
            <w:shd w:val="clear" w:color="auto" w:fill="FFFFFF" w:themeFill="background1"/>
            <w:noWrap/>
            <w:vAlign w:val="bottom"/>
            <w:hideMark/>
          </w:tcPr>
          <w:p w14:paraId="51F7437B" w14:textId="3B7DE65E" w:rsidR="00870548" w:rsidRPr="00870548" w:rsidRDefault="00870548" w:rsidP="00DC4E99">
            <w:pPr>
              <w:spacing w:after="60"/>
              <w:rPr>
                <w:color w:val="000000"/>
                <w:sz w:val="20"/>
                <w:szCs w:val="20"/>
              </w:rPr>
            </w:pPr>
            <w:r w:rsidRPr="00870548">
              <w:rPr>
                <w:color w:val="000000"/>
                <w:sz w:val="20"/>
                <w:szCs w:val="20"/>
              </w:rPr>
              <w:t>Поступления от акцизов, мл</w:t>
            </w:r>
            <w:r w:rsidR="00313506">
              <w:rPr>
                <w:color w:val="000000"/>
                <w:sz w:val="20"/>
                <w:szCs w:val="20"/>
              </w:rPr>
              <w:t xml:space="preserve">рд </w:t>
            </w:r>
            <w:r w:rsidRPr="00870548">
              <w:rPr>
                <w:color w:val="000000"/>
                <w:sz w:val="20"/>
                <w:szCs w:val="20"/>
              </w:rPr>
              <w:t>руб.</w:t>
            </w:r>
          </w:p>
        </w:tc>
        <w:tc>
          <w:tcPr>
            <w:tcW w:w="1048" w:type="dxa"/>
            <w:shd w:val="clear" w:color="auto" w:fill="FFFFFF" w:themeFill="background1"/>
            <w:noWrap/>
            <w:vAlign w:val="center"/>
            <w:hideMark/>
          </w:tcPr>
          <w:p w14:paraId="15E4B1CF" w14:textId="67FB6AF4" w:rsidR="00870548" w:rsidRPr="00870548" w:rsidRDefault="00870548" w:rsidP="00870548">
            <w:pPr>
              <w:spacing w:after="60"/>
              <w:jc w:val="center"/>
              <w:rPr>
                <w:color w:val="000000"/>
                <w:sz w:val="20"/>
                <w:szCs w:val="20"/>
              </w:rPr>
            </w:pPr>
            <w:r w:rsidRPr="00870548">
              <w:rPr>
                <w:color w:val="000000"/>
                <w:sz w:val="20"/>
                <w:szCs w:val="20"/>
              </w:rPr>
              <w:t>583</w:t>
            </w:r>
            <w:r w:rsidR="00313506">
              <w:rPr>
                <w:color w:val="000000"/>
                <w:sz w:val="20"/>
                <w:szCs w:val="20"/>
              </w:rPr>
              <w:t>,</w:t>
            </w:r>
            <w:r w:rsidRPr="00870548">
              <w:rPr>
                <w:color w:val="000000"/>
                <w:sz w:val="20"/>
                <w:szCs w:val="20"/>
              </w:rPr>
              <w:t>2</w:t>
            </w:r>
          </w:p>
        </w:tc>
        <w:tc>
          <w:tcPr>
            <w:tcW w:w="1049" w:type="dxa"/>
            <w:shd w:val="clear" w:color="auto" w:fill="FFFFFF" w:themeFill="background1"/>
            <w:noWrap/>
            <w:vAlign w:val="center"/>
            <w:hideMark/>
          </w:tcPr>
          <w:p w14:paraId="018609CD" w14:textId="334310E5" w:rsidR="00870548" w:rsidRPr="00870548" w:rsidRDefault="00870548" w:rsidP="00DC4E99">
            <w:pPr>
              <w:spacing w:after="60"/>
              <w:jc w:val="center"/>
              <w:rPr>
                <w:color w:val="000000"/>
                <w:sz w:val="20"/>
                <w:szCs w:val="20"/>
              </w:rPr>
            </w:pPr>
            <w:r w:rsidRPr="00870548">
              <w:rPr>
                <w:color w:val="000000"/>
                <w:sz w:val="20"/>
                <w:szCs w:val="20"/>
              </w:rPr>
              <w:t>576</w:t>
            </w:r>
            <w:r w:rsidR="00313506">
              <w:rPr>
                <w:color w:val="000000"/>
                <w:sz w:val="20"/>
                <w:szCs w:val="20"/>
              </w:rPr>
              <w:t>,8</w:t>
            </w:r>
          </w:p>
        </w:tc>
        <w:tc>
          <w:tcPr>
            <w:tcW w:w="1049" w:type="dxa"/>
            <w:shd w:val="clear" w:color="auto" w:fill="FFFFFF" w:themeFill="background1"/>
            <w:noWrap/>
            <w:vAlign w:val="center"/>
            <w:hideMark/>
          </w:tcPr>
          <w:p w14:paraId="0E32A869" w14:textId="2EEBFD81" w:rsidR="00870548" w:rsidRPr="00870548" w:rsidRDefault="00870548" w:rsidP="003A65C0">
            <w:pPr>
              <w:spacing w:after="60"/>
              <w:jc w:val="center"/>
              <w:rPr>
                <w:color w:val="000000"/>
                <w:sz w:val="20"/>
                <w:szCs w:val="20"/>
              </w:rPr>
            </w:pPr>
            <w:r w:rsidRPr="00870548">
              <w:rPr>
                <w:color w:val="000000"/>
                <w:sz w:val="20"/>
                <w:szCs w:val="20"/>
              </w:rPr>
              <w:t>546</w:t>
            </w:r>
            <w:r w:rsidR="00313506">
              <w:rPr>
                <w:color w:val="000000"/>
                <w:sz w:val="20"/>
                <w:szCs w:val="20"/>
              </w:rPr>
              <w:t>,7</w:t>
            </w:r>
          </w:p>
        </w:tc>
        <w:tc>
          <w:tcPr>
            <w:tcW w:w="1049" w:type="dxa"/>
            <w:shd w:val="clear" w:color="auto" w:fill="FFFFFF" w:themeFill="background1"/>
            <w:noWrap/>
            <w:vAlign w:val="center"/>
            <w:hideMark/>
          </w:tcPr>
          <w:p w14:paraId="48737AB1" w14:textId="2E690F50" w:rsidR="00870548" w:rsidRPr="00870548" w:rsidRDefault="00870548" w:rsidP="003A7722">
            <w:pPr>
              <w:spacing w:after="60"/>
              <w:jc w:val="center"/>
              <w:rPr>
                <w:color w:val="000000"/>
                <w:sz w:val="20"/>
                <w:szCs w:val="20"/>
              </w:rPr>
            </w:pPr>
            <w:r w:rsidRPr="00870548">
              <w:rPr>
                <w:color w:val="000000"/>
                <w:sz w:val="20"/>
                <w:szCs w:val="20"/>
              </w:rPr>
              <w:t>523</w:t>
            </w:r>
            <w:r w:rsidR="00313506">
              <w:rPr>
                <w:color w:val="000000"/>
                <w:sz w:val="20"/>
                <w:szCs w:val="20"/>
              </w:rPr>
              <w:t>,4</w:t>
            </w:r>
          </w:p>
        </w:tc>
        <w:tc>
          <w:tcPr>
            <w:tcW w:w="1049" w:type="dxa"/>
            <w:shd w:val="clear" w:color="auto" w:fill="FFFFFF" w:themeFill="background1"/>
            <w:noWrap/>
            <w:vAlign w:val="center"/>
            <w:hideMark/>
          </w:tcPr>
          <w:p w14:paraId="1136C6A3" w14:textId="0F7D348D" w:rsidR="00870548" w:rsidRPr="00870548" w:rsidRDefault="00870548" w:rsidP="00E168F3">
            <w:pPr>
              <w:spacing w:after="60"/>
              <w:jc w:val="center"/>
              <w:rPr>
                <w:color w:val="000000"/>
                <w:sz w:val="20"/>
                <w:szCs w:val="20"/>
              </w:rPr>
            </w:pPr>
            <w:r w:rsidRPr="00870548">
              <w:rPr>
                <w:color w:val="000000"/>
                <w:sz w:val="20"/>
                <w:szCs w:val="20"/>
              </w:rPr>
              <w:t>504</w:t>
            </w:r>
            <w:r w:rsidR="00313506">
              <w:rPr>
                <w:color w:val="000000"/>
                <w:sz w:val="20"/>
                <w:szCs w:val="20"/>
              </w:rPr>
              <w:t>,4</w:t>
            </w:r>
          </w:p>
        </w:tc>
      </w:tr>
    </w:tbl>
    <w:p w14:paraId="58327A7C" w14:textId="77777777" w:rsidR="00BF3C2F" w:rsidRPr="00870548" w:rsidRDefault="00BF3C2F" w:rsidP="00BF3C2F">
      <w:pPr>
        <w:spacing w:after="60"/>
        <w:ind w:firstLine="709"/>
        <w:jc w:val="both"/>
        <w:rPr>
          <w:sz w:val="20"/>
          <w:szCs w:val="20"/>
        </w:rPr>
      </w:pPr>
      <w:r w:rsidRPr="00870548">
        <w:rPr>
          <w:i/>
          <w:sz w:val="20"/>
          <w:szCs w:val="20"/>
        </w:rPr>
        <w:t>Источник</w:t>
      </w:r>
      <w:r w:rsidRPr="00870548">
        <w:rPr>
          <w:sz w:val="20"/>
          <w:szCs w:val="20"/>
        </w:rPr>
        <w:t>: Проект бюджета</w:t>
      </w:r>
      <w:r>
        <w:rPr>
          <w:sz w:val="20"/>
          <w:szCs w:val="20"/>
        </w:rPr>
        <w:t>, расчеты ИЭП/</w:t>
      </w:r>
      <w:r w:rsidRPr="00870548">
        <w:rPr>
          <w:sz w:val="20"/>
          <w:szCs w:val="20"/>
        </w:rPr>
        <w:t xml:space="preserve">РАНХиГС на основе данных ФНС, Росказны, Росстата, </w:t>
      </w:r>
      <w:r w:rsidRPr="00870548">
        <w:rPr>
          <w:sz w:val="20"/>
          <w:szCs w:val="20"/>
          <w:lang w:val="en-US"/>
        </w:rPr>
        <w:t>Euromonitor</w:t>
      </w:r>
      <w:r w:rsidRPr="00870548">
        <w:rPr>
          <w:sz w:val="20"/>
          <w:szCs w:val="20"/>
        </w:rPr>
        <w:t xml:space="preserve"> </w:t>
      </w:r>
      <w:r w:rsidRPr="00870548">
        <w:rPr>
          <w:sz w:val="20"/>
          <w:szCs w:val="20"/>
          <w:lang w:val="en-US"/>
        </w:rPr>
        <w:t>Int</w:t>
      </w:r>
      <w:r w:rsidRPr="00870548">
        <w:rPr>
          <w:sz w:val="20"/>
          <w:szCs w:val="20"/>
        </w:rPr>
        <w:t>.</w:t>
      </w:r>
    </w:p>
    <w:p w14:paraId="6BAE07E4" w14:textId="77777777" w:rsidR="00BF3C2F" w:rsidRDefault="00870548" w:rsidP="00870548">
      <w:pPr>
        <w:spacing w:after="60"/>
        <w:ind w:firstLine="709"/>
        <w:jc w:val="both"/>
      </w:pPr>
      <w:r w:rsidRPr="0067174A">
        <w:t xml:space="preserve">Наиболее вероятным здесь является пессимистичный сценарий. </w:t>
      </w:r>
      <w:r w:rsidR="00542E6B">
        <w:t>О</w:t>
      </w:r>
      <w:r w:rsidRPr="0067174A">
        <w:t>тличия в ценах на сигареты между странами ЕАЭС могут стать одной из основных причин снижения легальной доли рынка. Кроме того, в основе текущей понижательной тенденции лежит переформатирование рынка с учетом инновационных продуктов доставки никотина. Представленный прогноз построен по модели до учета роста сектора ЭСДН. Это значит, что даже пессимистичный прогноз может оказаться выше реальных результатов. В частности</w:t>
      </w:r>
      <w:r>
        <w:t>,</w:t>
      </w:r>
      <w:r w:rsidRPr="0067174A">
        <w:t xml:space="preserve"> в 2019</w:t>
      </w:r>
      <w:r w:rsidR="00542E6B">
        <w:t xml:space="preserve"> г.</w:t>
      </w:r>
      <w:r w:rsidRPr="0067174A">
        <w:t xml:space="preserve"> основной объем отгрузок табачной продукции уже осуществился, и</w:t>
      </w:r>
      <w:r>
        <w:t>,</w:t>
      </w:r>
      <w:r w:rsidRPr="0067174A">
        <w:t xml:space="preserve"> вероятнее всего</w:t>
      </w:r>
      <w:r>
        <w:t>,</w:t>
      </w:r>
      <w:r w:rsidRPr="0067174A">
        <w:t xml:space="preserve"> доходы бюджета будут близки к уровню 550 млрд</w:t>
      </w:r>
      <w:r w:rsidR="00542E6B">
        <w:t xml:space="preserve"> </w:t>
      </w:r>
      <w:r w:rsidRPr="0067174A">
        <w:t>руб., с последующ</w:t>
      </w:r>
      <w:r w:rsidR="00BF3C2F">
        <w:t>им снижением в 2020-2022 годы.</w:t>
      </w:r>
    </w:p>
    <w:p w14:paraId="6841BAC7" w14:textId="027E8633" w:rsidR="00870548" w:rsidRPr="00F50C99" w:rsidRDefault="00870548" w:rsidP="00870548">
      <w:pPr>
        <w:spacing w:after="60"/>
        <w:ind w:firstLine="709"/>
        <w:jc w:val="both"/>
      </w:pPr>
      <w:r>
        <w:t xml:space="preserve">Таким образом, </w:t>
      </w:r>
      <w:r w:rsidR="00BF3C2F">
        <w:t xml:space="preserve">наши </w:t>
      </w:r>
      <w:r>
        <w:t>прогнозные оценки по поступлениям основных ненефтегазовых доходов федерального бюджета (налог на прибыль, НДС и акцизы) в среднем на 0,1-0,2 п.п. ВВП ниже уровня, заложенного в проект федерального бюджета.</w:t>
      </w:r>
    </w:p>
    <w:p w14:paraId="10700339" w14:textId="544B5D87" w:rsidR="00067A72" w:rsidRPr="006C0E7E" w:rsidRDefault="002D146E" w:rsidP="002E7591">
      <w:pPr>
        <w:keepNext/>
        <w:spacing w:before="240" w:after="60"/>
        <w:jc w:val="center"/>
        <w:outlineLvl w:val="1"/>
        <w:rPr>
          <w:b/>
          <w:szCs w:val="20"/>
        </w:rPr>
      </w:pPr>
      <w:bookmarkStart w:id="12" w:name="_Toc21436743"/>
      <w:r>
        <w:rPr>
          <w:b/>
          <w:szCs w:val="20"/>
        </w:rPr>
        <w:t>5</w:t>
      </w:r>
      <w:r w:rsidR="00995E45" w:rsidRPr="00870548">
        <w:rPr>
          <w:b/>
          <w:szCs w:val="20"/>
        </w:rPr>
        <w:t>.</w:t>
      </w:r>
      <w:r w:rsidR="00880163" w:rsidRPr="00870548">
        <w:rPr>
          <w:b/>
          <w:szCs w:val="20"/>
        </w:rPr>
        <w:t>2</w:t>
      </w:r>
      <w:r w:rsidR="00995E45" w:rsidRPr="00870548">
        <w:rPr>
          <w:b/>
          <w:szCs w:val="20"/>
        </w:rPr>
        <w:t xml:space="preserve"> </w:t>
      </w:r>
      <w:r w:rsidR="00067A72" w:rsidRPr="00870548">
        <w:rPr>
          <w:b/>
          <w:szCs w:val="20"/>
        </w:rPr>
        <w:t>Нефтегазовые доходы</w:t>
      </w:r>
      <w:bookmarkEnd w:id="12"/>
    </w:p>
    <w:p w14:paraId="136A4247" w14:textId="77777777" w:rsidR="00EA5518" w:rsidRPr="00DD7586" w:rsidRDefault="00EA5518" w:rsidP="008930A3">
      <w:pPr>
        <w:spacing w:after="60"/>
        <w:ind w:firstLine="709"/>
        <w:jc w:val="both"/>
        <w:rPr>
          <w:rFonts w:eastAsia="Calibri"/>
        </w:rPr>
      </w:pPr>
      <w:r w:rsidRPr="00DD7586">
        <w:rPr>
          <w:rFonts w:eastAsia="Calibri"/>
        </w:rPr>
        <w:t>В проекте бюджета указано, что в 2020 году ожидаемый уровень поступлений в бюджет от нефтегазовых доходов составит 7 472,2 млрд руб., из них базовые доходы</w:t>
      </w:r>
      <w:r>
        <w:rPr>
          <w:rFonts w:eastAsia="Calibri"/>
        </w:rPr>
        <w:t xml:space="preserve"> </w:t>
      </w:r>
      <w:r w:rsidRPr="00DD7586">
        <w:rPr>
          <w:rFonts w:eastAsia="Calibri"/>
        </w:rPr>
        <w:t>– 5 139,3, а дополнительные – 2 332,9 млрд руб. Расчёты осуществлялись на основании базовой цены на нефть 57,0 долларов США за баррель. Для 2021 г. данный показатель</w:t>
      </w:r>
      <w:r>
        <w:rPr>
          <w:rFonts w:eastAsia="Calibri"/>
        </w:rPr>
        <w:t xml:space="preserve"> составит 7 679,4</w:t>
      </w:r>
      <w:r w:rsidRPr="00DD7586">
        <w:rPr>
          <w:rFonts w:eastAsia="Calibri"/>
        </w:rPr>
        <w:t xml:space="preserve"> млрд руб. (5 444,8 млрд руб. и 2 234,6 млрд руб. соответственно), для 2022 г. – 7 730,6 млрд руб. (5 694,9 млрд руб. и 2 035,7 млрд руб. соответственно).</w:t>
      </w:r>
    </w:p>
    <w:p w14:paraId="6E7D57B6" w14:textId="09A7620D" w:rsidR="00EA5518" w:rsidRPr="00DD7586" w:rsidRDefault="00EA5518" w:rsidP="008930A3">
      <w:pPr>
        <w:spacing w:after="60"/>
        <w:ind w:firstLine="709"/>
        <w:jc w:val="both"/>
        <w:rPr>
          <w:rFonts w:eastAsia="Calibri"/>
        </w:rPr>
      </w:pPr>
      <w:r w:rsidRPr="00DD7586">
        <w:rPr>
          <w:rFonts w:eastAsia="Calibri"/>
        </w:rPr>
        <w:t>Поступление налога на добычу полезных ископаемых (далее – НДПИ) в виде углеводородного сырья в федеральный бюджет на 2020 г. прогнозируется в объёме 5 979,3 млрд руб. (6 444,3</w:t>
      </w:r>
      <w:r w:rsidR="008E6F92">
        <w:rPr>
          <w:rFonts w:eastAsia="Calibri"/>
        </w:rPr>
        <w:t xml:space="preserve"> </w:t>
      </w:r>
      <w:r w:rsidRPr="00DD7586">
        <w:rPr>
          <w:rFonts w:eastAsia="Calibri"/>
        </w:rPr>
        <w:t>млрд руб. – 2021 г., 6 804,0 млрд руб. – 2022 г.), в том числе:</w:t>
      </w:r>
    </w:p>
    <w:p w14:paraId="599ACA9D" w14:textId="77777777" w:rsidR="00EA5518" w:rsidRPr="00DD7586" w:rsidRDefault="00EA5518" w:rsidP="008930A3">
      <w:pPr>
        <w:pStyle w:val="afc"/>
        <w:numPr>
          <w:ilvl w:val="0"/>
          <w:numId w:val="16"/>
        </w:numPr>
        <w:spacing w:before="0" w:after="60"/>
        <w:contextualSpacing w:val="0"/>
        <w:rPr>
          <w:rFonts w:eastAsia="Calibri"/>
          <w:szCs w:val="24"/>
        </w:rPr>
      </w:pPr>
      <w:r w:rsidRPr="00DD7586">
        <w:rPr>
          <w:rFonts w:eastAsia="Calibri"/>
          <w:szCs w:val="24"/>
        </w:rPr>
        <w:t>по нефти 5 187,9 млрд руб., с ожидаемым уровнем поступлений от экспортной пошлины на нефть – 741,1 млрд руб. (для 2021 г. 5 553,8 и 532,1 млрд руб., для 2022 г. – 5 830,7 и 336,5 млрд руб.);</w:t>
      </w:r>
    </w:p>
    <w:p w14:paraId="225BDFA6" w14:textId="77777777" w:rsidR="00EA5518" w:rsidRPr="00DD7586" w:rsidRDefault="00EA5518" w:rsidP="008930A3">
      <w:pPr>
        <w:pStyle w:val="afc"/>
        <w:numPr>
          <w:ilvl w:val="0"/>
          <w:numId w:val="16"/>
        </w:numPr>
        <w:spacing w:before="0" w:after="60"/>
        <w:contextualSpacing w:val="0"/>
        <w:rPr>
          <w:rFonts w:eastAsia="Calibri"/>
          <w:szCs w:val="24"/>
        </w:rPr>
      </w:pPr>
      <w:r w:rsidRPr="00DD7586">
        <w:rPr>
          <w:rFonts w:eastAsia="Calibri"/>
          <w:szCs w:val="24"/>
        </w:rPr>
        <w:t>по газу горючему природному 580,4 млрд руб., с ожидаемым уровнем поступлений от экспортной пошлины 696,6 млрд руб. (для 2021 г. 635,4 и 757,5 млрд руб., для 2022 г. – 654,0 и 736,9 млрд руб.);</w:t>
      </w:r>
    </w:p>
    <w:p w14:paraId="399FAB63" w14:textId="77777777" w:rsidR="00EA5518" w:rsidRPr="00DD7586" w:rsidRDefault="00EA5518" w:rsidP="008930A3">
      <w:pPr>
        <w:pStyle w:val="afc"/>
        <w:numPr>
          <w:ilvl w:val="0"/>
          <w:numId w:val="16"/>
        </w:numPr>
        <w:spacing w:before="0" w:after="60"/>
        <w:contextualSpacing w:val="0"/>
        <w:rPr>
          <w:rFonts w:eastAsia="Calibri"/>
          <w:szCs w:val="24"/>
        </w:rPr>
      </w:pPr>
      <w:r w:rsidRPr="00DD7586">
        <w:rPr>
          <w:rFonts w:eastAsia="Calibri"/>
          <w:szCs w:val="24"/>
        </w:rPr>
        <w:t>по газовому конденсату 211,0 млрд руб. (для 2021 г. – 254,8 млрд руб., для 2022 г. – 319,3 млрд руб.).</w:t>
      </w:r>
    </w:p>
    <w:p w14:paraId="3D7EC4C4" w14:textId="7D2796B5" w:rsidR="00EA5518" w:rsidRPr="00DD7586" w:rsidRDefault="00EA5518" w:rsidP="008930A3">
      <w:pPr>
        <w:spacing w:after="60"/>
        <w:ind w:firstLine="709"/>
        <w:jc w:val="both"/>
        <w:rPr>
          <w:rFonts w:eastAsia="Calibri"/>
          <w:highlight w:val="yellow"/>
        </w:rPr>
      </w:pPr>
      <w:r w:rsidRPr="00DD7586">
        <w:rPr>
          <w:rFonts w:eastAsia="Calibri"/>
        </w:rPr>
        <w:t>Расчёты проведены в предположении о том, что среднегодовой курс доллара США к рублю составит 65,7 в 2020 г., 66,1 в 2021 г. и 66,5 в 2022 г., а цена на нефть марки «Юралс» –</w:t>
      </w:r>
      <w:r w:rsidR="008E6F92">
        <w:rPr>
          <w:rFonts w:eastAsia="Calibri"/>
        </w:rPr>
        <w:t xml:space="preserve"> </w:t>
      </w:r>
      <w:r w:rsidRPr="00DD7586">
        <w:rPr>
          <w:rFonts w:eastAsia="Calibri"/>
        </w:rPr>
        <w:t>57,0, 56,0, 55,0 долларов США за баррель в 2020-2022 гг. соответственно. Цены на газ (средневзвешенная расчетная ставка) предполагаются равными: в 2020 г. – 183,7, в 2021 г. – 184,4, в 2022 г. – 179,1 доллара США за тыс. куб. м.</w:t>
      </w:r>
    </w:p>
    <w:p w14:paraId="434F57D6" w14:textId="77777777" w:rsidR="00EA5518" w:rsidRPr="00DD7586" w:rsidRDefault="00EA5518" w:rsidP="008930A3">
      <w:pPr>
        <w:spacing w:after="60"/>
        <w:ind w:firstLine="709"/>
        <w:jc w:val="both"/>
        <w:rPr>
          <w:rFonts w:eastAsia="Calibri"/>
        </w:rPr>
      </w:pPr>
      <w:r w:rsidRPr="00DD7586">
        <w:rPr>
          <w:rFonts w:eastAsia="Calibri"/>
        </w:rPr>
        <w:t>Указанные поступления в бюджет обеспечиваются следующей конфигурацией параметров налоговой системы в нефтегазовой отрасли:</w:t>
      </w:r>
    </w:p>
    <w:p w14:paraId="55E99544" w14:textId="77777777" w:rsidR="00EA5518" w:rsidRPr="00DD7586" w:rsidRDefault="00EA5518" w:rsidP="008930A3">
      <w:pPr>
        <w:pStyle w:val="afc"/>
        <w:numPr>
          <w:ilvl w:val="0"/>
          <w:numId w:val="17"/>
        </w:numPr>
        <w:spacing w:before="0" w:after="60"/>
        <w:contextualSpacing w:val="0"/>
        <w:rPr>
          <w:rFonts w:eastAsia="Calibri"/>
          <w:szCs w:val="24"/>
        </w:rPr>
      </w:pPr>
      <w:r w:rsidRPr="00DD7586">
        <w:rPr>
          <w:rFonts w:eastAsia="Calibri"/>
          <w:szCs w:val="24"/>
        </w:rPr>
        <w:t>для нефти – закрепление на бессрочной основе надбавки при расчете ставки НДПИ на нефть в размере 428 руб. за тонну</w:t>
      </w:r>
      <w:r>
        <w:rPr>
          <w:rFonts w:eastAsia="Calibri"/>
          <w:szCs w:val="24"/>
        </w:rPr>
        <w:t xml:space="preserve"> в 2022 г.</w:t>
      </w:r>
      <w:r w:rsidRPr="00DD7586">
        <w:rPr>
          <w:rFonts w:eastAsia="Calibri"/>
          <w:szCs w:val="24"/>
        </w:rPr>
        <w:t>, с фиксацией базовой ставки НДПИ на уровне 919 руб. за тонну;</w:t>
      </w:r>
    </w:p>
    <w:p w14:paraId="7D103A73" w14:textId="77777777" w:rsidR="00EA5518" w:rsidRPr="00DD7586" w:rsidRDefault="00EA5518" w:rsidP="008930A3">
      <w:pPr>
        <w:pStyle w:val="afc"/>
        <w:numPr>
          <w:ilvl w:val="0"/>
          <w:numId w:val="17"/>
        </w:numPr>
        <w:spacing w:before="0" w:after="60"/>
        <w:contextualSpacing w:val="0"/>
        <w:rPr>
          <w:rFonts w:eastAsia="Calibri"/>
          <w:szCs w:val="24"/>
        </w:rPr>
      </w:pPr>
      <w:r w:rsidRPr="00DD7586">
        <w:rPr>
          <w:rFonts w:eastAsia="Calibri"/>
          <w:szCs w:val="24"/>
        </w:rPr>
        <w:t>для газа горючего природного – закрепление на бессрочной основе повышающего коэффициента Кгп в размере 1,4441</w:t>
      </w:r>
      <w:r>
        <w:rPr>
          <w:rFonts w:eastAsia="Calibri"/>
          <w:szCs w:val="24"/>
        </w:rPr>
        <w:t xml:space="preserve"> в 2022 г.</w:t>
      </w:r>
      <w:r w:rsidRPr="00DD7586">
        <w:rPr>
          <w:rFonts w:eastAsia="Calibri"/>
          <w:szCs w:val="24"/>
        </w:rPr>
        <w:t>, с фиксацией базовой ставки НДПИ на уровне 35 руб. за тыс. куб м для газа горючего природного и 273 рубля за тонну с учётом корректировки на Ккм для газового конденсата в 2019-2021 гг.</w:t>
      </w:r>
    </w:p>
    <w:p w14:paraId="0D372372" w14:textId="77777777" w:rsidR="00BF3C2F" w:rsidRDefault="00EA5518" w:rsidP="008930A3">
      <w:pPr>
        <w:spacing w:after="60"/>
        <w:ind w:firstLine="709"/>
        <w:jc w:val="both"/>
        <w:rPr>
          <w:rFonts w:eastAsia="Calibri"/>
        </w:rPr>
      </w:pPr>
      <w:r>
        <w:rPr>
          <w:rFonts w:eastAsia="Calibri"/>
        </w:rPr>
        <w:t xml:space="preserve">В проекте бюджета прогнозируется повышение доходов от НДПИ в нефтегазовом секторе в 2022 г. на 340,9 млрд руб., в основном за счет макроэкономических условий и изменений в налоговом законодательстве (прежде всего – в нефтяной отрасли). </w:t>
      </w:r>
    </w:p>
    <w:p w14:paraId="729F4B6E" w14:textId="1923CB33" w:rsidR="00EA5518" w:rsidRPr="00DD7586" w:rsidRDefault="00EA5518" w:rsidP="008930A3">
      <w:pPr>
        <w:spacing w:after="60"/>
        <w:ind w:firstLine="709"/>
        <w:jc w:val="both"/>
      </w:pPr>
      <w:r w:rsidRPr="00DD7586">
        <w:rPr>
          <w:rFonts w:eastAsia="Calibri"/>
        </w:rPr>
        <w:t>Следует отметить, что используемые в проекте бюджета макропараметры не согласуются с темпами роста средних цен, рассчитываемых на базе спотовых цен марок сырой нефти, указанных в прогнозе Всемирного Банка</w:t>
      </w:r>
      <w:r w:rsidRPr="00DD7586">
        <w:rPr>
          <w:vertAlign w:val="superscript"/>
        </w:rPr>
        <w:footnoteReference w:id="2"/>
      </w:r>
      <w:r w:rsidRPr="00DD7586">
        <w:rPr>
          <w:rFonts w:eastAsia="Calibri"/>
        </w:rPr>
        <w:t xml:space="preserve"> (прогнозируется рост цен на нефть, в то время как законопроекте – падение).</w:t>
      </w:r>
      <w:r w:rsidRPr="00DD7586">
        <w:t xml:space="preserve"> В расчетах доходов федерального бюджета на 2020 г. принят прогноз цены российской нефти сорта Юралс на мировом рынке 57,0 </w:t>
      </w:r>
      <w:r w:rsidRPr="00DD7586">
        <w:rPr>
          <w:rFonts w:eastAsia="Calibri"/>
        </w:rPr>
        <w:t>долларов США за баррель</w:t>
      </w:r>
      <w:r w:rsidRPr="00DD7586">
        <w:t xml:space="preserve">, на плановый период 2021 и 2022 гг. – соответственно 56,0 и 55,0 </w:t>
      </w:r>
      <w:r w:rsidRPr="00DD7586">
        <w:rPr>
          <w:rFonts w:eastAsia="Calibri"/>
        </w:rPr>
        <w:t>долларов США за баррель</w:t>
      </w:r>
      <w:r w:rsidRPr="00DD7586">
        <w:t xml:space="preserve">, что существенно ниже уровня текущего года. В 2019 г. средняя цена на российскую нефть сорта Юралс на мировом рынке, по предварительной оценке, составит 62 </w:t>
      </w:r>
      <w:r w:rsidRPr="00DD7586">
        <w:rPr>
          <w:rFonts w:eastAsia="Calibri"/>
        </w:rPr>
        <w:t>долларов США за баррель</w:t>
      </w:r>
      <w:r w:rsidRPr="00DD7586">
        <w:rPr>
          <w:rStyle w:val="aa"/>
          <w:rFonts w:eastAsia="Calibri"/>
        </w:rPr>
        <w:footnoteReference w:id="3"/>
      </w:r>
      <w:r w:rsidRPr="00DD7586">
        <w:t>.</w:t>
      </w:r>
    </w:p>
    <w:p w14:paraId="641DAC53" w14:textId="77777777" w:rsidR="00EA5518" w:rsidRPr="00DD7586" w:rsidRDefault="00EA5518" w:rsidP="008930A3">
      <w:pPr>
        <w:spacing w:after="60"/>
        <w:ind w:firstLine="709"/>
        <w:jc w:val="both"/>
        <w:rPr>
          <w:highlight w:val="yellow"/>
        </w:rPr>
      </w:pPr>
      <w:r w:rsidRPr="00DD7586">
        <w:t>Расчеты к доходной части федерального бюджета на 2020-2022 гг. основаны на предпосылке о плавном снижении цен на нефть. Данное предположение вызвано: во-первых, ростом опасений участников рынка относительно перспектив роста мировой экономики на фоне эскалации торговых противоречий между США и Китаем; во-вторых, ожиданием наращивания объемов добычи США; в-третьих, восстановление объемов предложения со стороны отдельных стран, где на данный момент наблюдаются перебои поставок.</w:t>
      </w:r>
    </w:p>
    <w:p w14:paraId="6168E59C" w14:textId="77777777" w:rsidR="00EA5518" w:rsidRPr="00DD7586" w:rsidRDefault="00EA5518" w:rsidP="008930A3">
      <w:pPr>
        <w:spacing w:after="60"/>
        <w:ind w:firstLine="709"/>
        <w:jc w:val="both"/>
      </w:pPr>
      <w:r>
        <w:t xml:space="preserve">При этом </w:t>
      </w:r>
      <w:r w:rsidRPr="00DD7586">
        <w:t>не уч</w:t>
      </w:r>
      <w:r>
        <w:t>тена возможность использования в 2020</w:t>
      </w:r>
      <w:r w:rsidRPr="00DD7586">
        <w:t>-202</w:t>
      </w:r>
      <w:r>
        <w:t>2</w:t>
      </w:r>
      <w:r w:rsidRPr="00DD7586">
        <w:t xml:space="preserve"> гг. </w:t>
      </w:r>
      <w:r>
        <w:t xml:space="preserve">уже апробированного </w:t>
      </w:r>
      <w:r w:rsidRPr="00DD7586">
        <w:t xml:space="preserve">механизма регулирования мирового предложения нефти странами ОПЕК+, включая Россию. </w:t>
      </w:r>
      <w:r>
        <w:t xml:space="preserve">В случае вполне вероятного </w:t>
      </w:r>
      <w:r w:rsidRPr="00DD7586">
        <w:t>дальнейшего применения такого механизма</w:t>
      </w:r>
      <w:r>
        <w:t xml:space="preserve"> можно ожидать более высокие мировые</w:t>
      </w:r>
      <w:r w:rsidRPr="00DD7586">
        <w:t xml:space="preserve"> цен</w:t>
      </w:r>
      <w:r>
        <w:t>ы</w:t>
      </w:r>
      <w:r w:rsidRPr="00DD7586">
        <w:t xml:space="preserve"> на нефть по сравнению с заложенными в проект бюджета. </w:t>
      </w:r>
      <w:r>
        <w:t xml:space="preserve">К потенциальным факторам роста цены на нефть также можно отнести вероятное обострение конфликта в Персидском заливе (атака дронов на НПЗ </w:t>
      </w:r>
      <w:r w:rsidRPr="003D20B1">
        <w:t>Saudi Aramco</w:t>
      </w:r>
      <w:r>
        <w:t xml:space="preserve">, задержки нефтяных танкеров в Персидском заливе и т.п.). </w:t>
      </w:r>
      <w:r w:rsidRPr="00DD7586">
        <w:t>Более высокие цены на нефть прогнозируются и ведущими зарубежными организациями. Так по последнему прогнозу Администрации энергетической информации США цена на нефть сорта Брент (маркерный сорт нефти для рос</w:t>
      </w:r>
      <w:r>
        <w:t>сийской нефти сорта Юралс) в 2020</w:t>
      </w:r>
      <w:r w:rsidRPr="00DD7586">
        <w:t xml:space="preserve"> г. составит </w:t>
      </w:r>
      <w:r>
        <w:t>77</w:t>
      </w:r>
      <w:r w:rsidRPr="00DD7586">
        <w:t>,</w:t>
      </w:r>
      <w:r>
        <w:t>2</w:t>
      </w:r>
      <w:r w:rsidRPr="00DD7586">
        <w:rPr>
          <w:rFonts w:eastAsia="Calibri"/>
        </w:rPr>
        <w:t xml:space="preserve"> </w:t>
      </w:r>
      <w:r>
        <w:rPr>
          <w:rFonts w:eastAsia="Calibri"/>
        </w:rPr>
        <w:t>доллара</w:t>
      </w:r>
      <w:r w:rsidRPr="00DD7586">
        <w:rPr>
          <w:rFonts w:eastAsia="Calibri"/>
        </w:rPr>
        <w:t xml:space="preserve"> США за баррель</w:t>
      </w:r>
      <w:r w:rsidRPr="00DD7586">
        <w:t>, по прогнозу Всемирного банка сред</w:t>
      </w:r>
      <w:r>
        <w:t>няя мировая цена на нефть в 2020</w:t>
      </w:r>
      <w:r w:rsidRPr="00DD7586">
        <w:t xml:space="preserve"> г. составит 65,0 </w:t>
      </w:r>
      <w:r>
        <w:rPr>
          <w:rFonts w:eastAsia="Calibri"/>
        </w:rPr>
        <w:t>доллара</w:t>
      </w:r>
      <w:r w:rsidRPr="00DD7586">
        <w:rPr>
          <w:rFonts w:eastAsia="Calibri"/>
        </w:rPr>
        <w:t xml:space="preserve"> США за баррель</w:t>
      </w:r>
      <w:r w:rsidRPr="00DD7586">
        <w:t>.</w:t>
      </w:r>
    </w:p>
    <w:p w14:paraId="103D7C5F" w14:textId="48F76208" w:rsidR="00EA5518" w:rsidRDefault="00EA5518" w:rsidP="008930A3">
      <w:pPr>
        <w:spacing w:after="60"/>
        <w:ind w:firstLine="709"/>
        <w:jc w:val="both"/>
      </w:pPr>
      <w:r w:rsidRPr="00DD7586">
        <w:t>Таким образом, принятый в расчетах доходов федерального бюджета на 20</w:t>
      </w:r>
      <w:r w:rsidR="008E6F92">
        <w:t>20</w:t>
      </w:r>
      <w:r w:rsidRPr="00DD7586">
        <w:t xml:space="preserve"> г. прогноз цены ро</w:t>
      </w:r>
      <w:r>
        <w:t>ссийской нефти на мировом рынке</w:t>
      </w:r>
      <w:r w:rsidRPr="00DD7586">
        <w:t xml:space="preserve"> может рассматриваться как консервативный. Однако</w:t>
      </w:r>
      <w:r>
        <w:t>,</w:t>
      </w:r>
      <w:r w:rsidRPr="00DD7586">
        <w:t xml:space="preserve"> учитывая существующие риски и факторы неопределенности, такой консервативный подход при формировании доходной части федерального бюджета представляется оправданным. Вместе с тем получение дополнительных нефтегазовых доходов в случае более высоких мировых цен на нефть по сравнению</w:t>
      </w:r>
      <w:r>
        <w:t xml:space="preserve"> с заложенными в проект бюджета также </w:t>
      </w:r>
      <w:r w:rsidRPr="00DD7586">
        <w:t xml:space="preserve">является </w:t>
      </w:r>
      <w:r>
        <w:t>возможным.</w:t>
      </w:r>
    </w:p>
    <w:p w14:paraId="21D9152A" w14:textId="77777777" w:rsidR="00EA5518" w:rsidRPr="00A83D4C" w:rsidRDefault="00EA5518" w:rsidP="008930A3">
      <w:pPr>
        <w:spacing w:after="60"/>
        <w:ind w:firstLine="709"/>
        <w:jc w:val="both"/>
        <w:rPr>
          <w:rFonts w:eastAsia="Calibri"/>
        </w:rPr>
      </w:pPr>
      <w:r w:rsidRPr="00A83D4C">
        <w:rPr>
          <w:rFonts w:eastAsia="Calibri"/>
        </w:rPr>
        <w:t>С 2019 г. для некоторых нефтяных месторождений, перечисленных во второй части Налогового кодекса, был введен налог на дополнительный доход (далее – НДД). Доход федерального бюджета от его уплаты на 2020 год прогнозируется в размере 95,9 млрд руб., в 2021 году – 84,1 млрд руб., в 2021 году – 808</w:t>
      </w:r>
      <w:r>
        <w:rPr>
          <w:rFonts w:eastAsia="Calibri"/>
        </w:rPr>
        <w:t>4 млрд руб.</w:t>
      </w:r>
    </w:p>
    <w:p w14:paraId="200DBF21" w14:textId="38395791" w:rsidR="00EA5518" w:rsidRPr="00496419" w:rsidRDefault="00EA5518" w:rsidP="008930A3">
      <w:pPr>
        <w:spacing w:after="60"/>
        <w:ind w:firstLine="709"/>
        <w:jc w:val="both"/>
        <w:rPr>
          <w:rFonts w:eastAsia="Calibri"/>
        </w:rPr>
      </w:pPr>
      <w:r w:rsidRPr="00496419">
        <w:rPr>
          <w:rFonts w:eastAsia="Calibri"/>
        </w:rPr>
        <w:t>Ставки НДПИ, экспортных пошлин, акцизных платежей на нефть и нефтепродукты в 2020-2022 гг. в законопроекте меняются согласно параметрам завершающего</w:t>
      </w:r>
      <w:r w:rsidR="003A65C0">
        <w:rPr>
          <w:rFonts w:eastAsia="Calibri"/>
        </w:rPr>
        <w:t>ся</w:t>
      </w:r>
      <w:r w:rsidRPr="00496419">
        <w:rPr>
          <w:rFonts w:eastAsia="Calibri"/>
        </w:rPr>
        <w:t xml:space="preserve"> налогового манёвра, заложенного в части второй Налогового кодекса Российской Федерации и в законе «О таможенном тарифе»</w:t>
      </w:r>
      <w:r w:rsidRPr="00496419">
        <w:rPr>
          <w:rStyle w:val="aa"/>
          <w:rFonts w:eastAsia="Calibri"/>
        </w:rPr>
        <w:footnoteReference w:id="4"/>
      </w:r>
      <w:r w:rsidRPr="00496419">
        <w:rPr>
          <w:rFonts w:eastAsia="Calibri"/>
        </w:rPr>
        <w:t xml:space="preserve">. Указанные изменения </w:t>
      </w:r>
      <w:r>
        <w:rPr>
          <w:rFonts w:eastAsia="Calibri"/>
        </w:rPr>
        <w:t>вступили</w:t>
      </w:r>
      <w:r w:rsidRPr="00496419">
        <w:rPr>
          <w:rFonts w:eastAsia="Calibri"/>
        </w:rPr>
        <w:t xml:space="preserve"> в силу с 1 января 2019 год</w:t>
      </w:r>
      <w:r>
        <w:rPr>
          <w:rFonts w:eastAsia="Calibri"/>
        </w:rPr>
        <w:t>а.</w:t>
      </w:r>
    </w:p>
    <w:p w14:paraId="4A6A2AC8" w14:textId="77777777" w:rsidR="00EA5518" w:rsidRPr="00536FF1" w:rsidRDefault="00EA5518" w:rsidP="008930A3">
      <w:pPr>
        <w:spacing w:after="60"/>
        <w:ind w:firstLine="709"/>
        <w:jc w:val="both"/>
        <w:rPr>
          <w:rFonts w:eastAsia="Calibri"/>
        </w:rPr>
      </w:pPr>
      <w:r w:rsidRPr="00536FF1">
        <w:rPr>
          <w:rFonts w:eastAsia="Calibri"/>
        </w:rPr>
        <w:t>Налоговый маневр призван устранить сохраняющееся на данный момент субсидирование неэффективности отечественной нефтепереработки за счёт заниженных относительно мировых цен на нефть и стимулировать отечественные нефтеперерабатывающие заводы к модернизации. По части реализации налогового манёвра необходимо выделить некоторые особенности проекта бюджета:</w:t>
      </w:r>
    </w:p>
    <w:p w14:paraId="65F813AB" w14:textId="3F172760" w:rsidR="00EA5518" w:rsidRPr="00536FF1" w:rsidRDefault="00EA5518" w:rsidP="008930A3">
      <w:pPr>
        <w:pStyle w:val="afc"/>
        <w:numPr>
          <w:ilvl w:val="0"/>
          <w:numId w:val="18"/>
        </w:numPr>
        <w:spacing w:before="0" w:after="60"/>
        <w:ind w:left="1066" w:hanging="357"/>
        <w:contextualSpacing w:val="0"/>
        <w:rPr>
          <w:rFonts w:eastAsia="Calibri"/>
          <w:szCs w:val="24"/>
        </w:rPr>
      </w:pPr>
      <w:r>
        <w:rPr>
          <w:rFonts w:eastAsia="Calibri"/>
          <w:szCs w:val="24"/>
        </w:rPr>
        <w:t>М</w:t>
      </w:r>
      <w:r w:rsidRPr="00536FF1">
        <w:rPr>
          <w:rFonts w:eastAsia="Calibri"/>
          <w:szCs w:val="24"/>
        </w:rPr>
        <w:t xml:space="preserve">анёвр является полным, экспортные пошлины на нефть и нефтепродукты обнуляются к 2024 году, таким образом, у нефтеперерабатывающих заводов создается стимул к наращиванию производства светлых нефтепродуктов в своей производственной корзине. Субсидирование отрасли за счет наличия экспортных пошлин частично сохраняется на периоде, который рассматривается в проекте бюджета, но с каждым годом все в меньшей степени, пока совсем не сойдет на нет в 2024 г. </w:t>
      </w:r>
      <w:r>
        <w:rPr>
          <w:rFonts w:eastAsia="Calibri"/>
          <w:szCs w:val="24"/>
        </w:rPr>
        <w:t>В</w:t>
      </w:r>
      <w:r w:rsidRPr="00536FF1">
        <w:rPr>
          <w:rFonts w:eastAsia="Calibri"/>
          <w:szCs w:val="24"/>
        </w:rPr>
        <w:t>вод акциза на нефтяное сырье и наличие возможности вернуть его в двойном объеме, в частности, при условии модернизации, стимулирует техноло</w:t>
      </w:r>
      <w:r w:rsidR="00CA2361">
        <w:rPr>
          <w:rFonts w:eastAsia="Calibri"/>
          <w:szCs w:val="24"/>
        </w:rPr>
        <w:t>гическое перевооружение отрасли.</w:t>
      </w:r>
    </w:p>
    <w:p w14:paraId="79177F3A" w14:textId="361FE72F" w:rsidR="00EA5518" w:rsidRPr="00536FF1" w:rsidRDefault="00EA5518" w:rsidP="008930A3">
      <w:pPr>
        <w:pStyle w:val="afc"/>
        <w:numPr>
          <w:ilvl w:val="0"/>
          <w:numId w:val="18"/>
        </w:numPr>
        <w:spacing w:before="0" w:after="60"/>
        <w:ind w:left="1066" w:hanging="357"/>
        <w:contextualSpacing w:val="0"/>
        <w:rPr>
          <w:szCs w:val="24"/>
        </w:rPr>
      </w:pPr>
      <w:r>
        <w:rPr>
          <w:rFonts w:eastAsia="Calibri"/>
          <w:szCs w:val="24"/>
        </w:rPr>
        <w:t>М</w:t>
      </w:r>
      <w:r w:rsidRPr="00536FF1">
        <w:rPr>
          <w:rFonts w:eastAsia="Calibri"/>
          <w:szCs w:val="24"/>
        </w:rPr>
        <w:t>анёвр является нейтральным для нефтяных добывающих компаний: за счет постепенного снижен</w:t>
      </w:r>
      <w:r w:rsidR="00CA2361">
        <w:rPr>
          <w:rFonts w:eastAsia="Calibri"/>
          <w:szCs w:val="24"/>
        </w:rPr>
        <w:t>ия экспортных пошлин в 2019-2022</w:t>
      </w:r>
      <w:r w:rsidRPr="00536FF1">
        <w:rPr>
          <w:rFonts w:eastAsia="Calibri"/>
          <w:szCs w:val="24"/>
        </w:rPr>
        <w:t xml:space="preserve"> гг. произойдет повышение внутренних цен на нефть (по принципу </w:t>
      </w:r>
      <w:r w:rsidRPr="00536FF1">
        <w:rPr>
          <w:rFonts w:eastAsia="Calibri"/>
          <w:szCs w:val="24"/>
          <w:lang w:val="en-US"/>
        </w:rPr>
        <w:t>net</w:t>
      </w:r>
      <w:r w:rsidRPr="00536FF1">
        <w:rPr>
          <w:rFonts w:eastAsia="Calibri"/>
          <w:szCs w:val="24"/>
        </w:rPr>
        <w:t xml:space="preserve"> </w:t>
      </w:r>
      <w:r w:rsidRPr="00536FF1">
        <w:rPr>
          <w:rFonts w:eastAsia="Calibri"/>
          <w:szCs w:val="24"/>
          <w:lang w:val="en-US"/>
        </w:rPr>
        <w:t>back</w:t>
      </w:r>
      <w:r w:rsidRPr="00536FF1">
        <w:rPr>
          <w:rFonts w:eastAsia="Calibri"/>
          <w:szCs w:val="24"/>
        </w:rPr>
        <w:t xml:space="preserve"> с внешним рынком), способствующее появлению дополнительной прибыли производителей нефти, которая </w:t>
      </w:r>
      <w:r>
        <w:rPr>
          <w:rFonts w:eastAsia="Calibri"/>
          <w:szCs w:val="24"/>
        </w:rPr>
        <w:t>изымается</w:t>
      </w:r>
      <w:r w:rsidR="00CA2361">
        <w:rPr>
          <w:rFonts w:eastAsia="Calibri"/>
          <w:szCs w:val="24"/>
        </w:rPr>
        <w:t xml:space="preserve"> государством</w:t>
      </w:r>
      <w:r w:rsidRPr="00536FF1">
        <w:rPr>
          <w:rFonts w:eastAsia="Calibri"/>
          <w:szCs w:val="24"/>
        </w:rPr>
        <w:t xml:space="preserve"> как собственником ресурса</w:t>
      </w:r>
      <w:r>
        <w:rPr>
          <w:rFonts w:eastAsia="Calibri"/>
          <w:szCs w:val="24"/>
        </w:rPr>
        <w:t>,</w:t>
      </w:r>
      <w:r w:rsidRPr="00536FF1">
        <w:rPr>
          <w:rFonts w:eastAsia="Calibri"/>
          <w:szCs w:val="24"/>
        </w:rPr>
        <w:t xml:space="preserve"> за счет </w:t>
      </w:r>
      <w:r>
        <w:rPr>
          <w:rFonts w:eastAsia="Calibri"/>
          <w:szCs w:val="24"/>
        </w:rPr>
        <w:t>роста</w:t>
      </w:r>
      <w:r w:rsidRPr="00536FF1">
        <w:rPr>
          <w:rFonts w:eastAsia="Calibri"/>
          <w:szCs w:val="24"/>
        </w:rPr>
        <w:t xml:space="preserve"> ставки НДПИ на величину сокращения </w:t>
      </w:r>
      <w:r>
        <w:rPr>
          <w:rFonts w:eastAsia="Calibri"/>
          <w:szCs w:val="24"/>
        </w:rPr>
        <w:t xml:space="preserve">ставки </w:t>
      </w:r>
      <w:r w:rsidR="00CA2361">
        <w:rPr>
          <w:rFonts w:eastAsia="Calibri"/>
          <w:szCs w:val="24"/>
        </w:rPr>
        <w:t>экспортной пошлины на нефть.</w:t>
      </w:r>
    </w:p>
    <w:p w14:paraId="1578DACB" w14:textId="60E7BBC6" w:rsidR="00EA5518" w:rsidRPr="00536FF1" w:rsidRDefault="00EA5518" w:rsidP="008930A3">
      <w:pPr>
        <w:pStyle w:val="afc"/>
        <w:numPr>
          <w:ilvl w:val="0"/>
          <w:numId w:val="18"/>
        </w:numPr>
        <w:spacing w:before="0" w:after="60"/>
        <w:ind w:left="1066" w:hanging="357"/>
        <w:contextualSpacing w:val="0"/>
        <w:rPr>
          <w:szCs w:val="24"/>
        </w:rPr>
      </w:pPr>
      <w:r>
        <w:rPr>
          <w:rFonts w:eastAsia="Calibri"/>
          <w:szCs w:val="24"/>
        </w:rPr>
        <w:t>О</w:t>
      </w:r>
      <w:r w:rsidRPr="00536FF1">
        <w:rPr>
          <w:rFonts w:eastAsia="Calibri"/>
          <w:szCs w:val="24"/>
        </w:rPr>
        <w:t>трицательный эффект от маневра получают компании, производственная корзина которых не ориентирована на светлые нефтепродукты, частичное изъятие дополнительной прибыли происходит за счет введенного акциза на нефтяное сырье. Положительный эффект получают нефтеперерабатывающие компании, попавшие в список субсидируемых за счет обратного акциза и имеющие повыш</w:t>
      </w:r>
      <w:r w:rsidR="00CA2361">
        <w:rPr>
          <w:rFonts w:eastAsia="Calibri"/>
          <w:szCs w:val="24"/>
        </w:rPr>
        <w:t>енный логистический коэффициент.</w:t>
      </w:r>
    </w:p>
    <w:p w14:paraId="586E6800" w14:textId="77777777" w:rsidR="00EA5518" w:rsidRPr="00396A50" w:rsidRDefault="00EA5518" w:rsidP="008930A3">
      <w:pPr>
        <w:pStyle w:val="afc"/>
        <w:numPr>
          <w:ilvl w:val="0"/>
          <w:numId w:val="18"/>
        </w:numPr>
        <w:spacing w:before="0" w:after="60"/>
        <w:ind w:left="1066" w:hanging="357"/>
        <w:contextualSpacing w:val="0"/>
        <w:rPr>
          <w:szCs w:val="24"/>
        </w:rPr>
      </w:pPr>
      <w:r>
        <w:rPr>
          <w:rFonts w:eastAsia="Calibri"/>
          <w:szCs w:val="24"/>
        </w:rPr>
        <w:t>О</w:t>
      </w:r>
      <w:r w:rsidRPr="0013162B">
        <w:rPr>
          <w:rFonts w:eastAsia="Calibri"/>
          <w:szCs w:val="24"/>
        </w:rPr>
        <w:t xml:space="preserve">бращает на себя внимание тот факт, что представленные в проекте бюджета расчеты сделаны на основе базового макроэкономического сценария, в котором не предполагается роста нефтяных цен. При этом </w:t>
      </w:r>
      <w:r>
        <w:rPr>
          <w:rFonts w:eastAsia="Calibri"/>
          <w:szCs w:val="24"/>
        </w:rPr>
        <w:t xml:space="preserve">представляется целесообразным учитывать </w:t>
      </w:r>
      <w:r w:rsidRPr="0013162B">
        <w:rPr>
          <w:rFonts w:eastAsia="Calibri"/>
          <w:szCs w:val="24"/>
        </w:rPr>
        <w:t>риск</w:t>
      </w:r>
      <w:r>
        <w:rPr>
          <w:rFonts w:eastAsia="Calibri"/>
          <w:szCs w:val="24"/>
        </w:rPr>
        <w:t xml:space="preserve"> возможного </w:t>
      </w:r>
      <w:r w:rsidRPr="0013162B">
        <w:rPr>
          <w:rFonts w:eastAsia="Calibri"/>
          <w:szCs w:val="24"/>
        </w:rPr>
        <w:t>кратковременно</w:t>
      </w:r>
      <w:r>
        <w:rPr>
          <w:rFonts w:eastAsia="Calibri"/>
          <w:szCs w:val="24"/>
        </w:rPr>
        <w:t>го</w:t>
      </w:r>
      <w:r w:rsidRPr="0013162B">
        <w:rPr>
          <w:rFonts w:eastAsia="Calibri"/>
          <w:szCs w:val="24"/>
        </w:rPr>
        <w:t xml:space="preserve"> изменени</w:t>
      </w:r>
      <w:r>
        <w:rPr>
          <w:rFonts w:eastAsia="Calibri"/>
          <w:szCs w:val="24"/>
        </w:rPr>
        <w:t>я</w:t>
      </w:r>
      <w:r w:rsidRPr="0013162B">
        <w:rPr>
          <w:rFonts w:eastAsia="Calibri"/>
          <w:szCs w:val="24"/>
        </w:rPr>
        <w:t xml:space="preserve"> мировой конъюнктуры</w:t>
      </w:r>
      <w:r>
        <w:rPr>
          <w:rFonts w:eastAsia="Calibri"/>
          <w:szCs w:val="24"/>
        </w:rPr>
        <w:t>, в результате которого</w:t>
      </w:r>
      <w:r w:rsidRPr="0013162B">
        <w:rPr>
          <w:rFonts w:eastAsia="Calibri"/>
          <w:szCs w:val="24"/>
        </w:rPr>
        <w:t xml:space="preserve"> государству</w:t>
      </w:r>
      <w:r>
        <w:rPr>
          <w:rFonts w:eastAsia="Calibri"/>
          <w:szCs w:val="24"/>
        </w:rPr>
        <w:t>,</w:t>
      </w:r>
      <w:r w:rsidRPr="0013162B">
        <w:rPr>
          <w:rFonts w:eastAsia="Calibri"/>
          <w:szCs w:val="24"/>
        </w:rPr>
        <w:t xml:space="preserve"> чтобы избежать роста налоговой нагрузки на отрасль и </w:t>
      </w:r>
      <w:r>
        <w:rPr>
          <w:rFonts w:eastAsia="Calibri"/>
          <w:szCs w:val="24"/>
        </w:rPr>
        <w:t xml:space="preserve">роста цен для </w:t>
      </w:r>
      <w:r w:rsidRPr="0013162B">
        <w:rPr>
          <w:rFonts w:eastAsia="Calibri"/>
          <w:szCs w:val="24"/>
        </w:rPr>
        <w:t>конечного потребителя</w:t>
      </w:r>
      <w:r>
        <w:rPr>
          <w:rFonts w:eastAsia="Calibri"/>
          <w:szCs w:val="24"/>
        </w:rPr>
        <w:t xml:space="preserve"> нефтепродуктов,</w:t>
      </w:r>
      <w:r w:rsidRPr="0013162B">
        <w:rPr>
          <w:rFonts w:eastAsia="Calibri"/>
          <w:szCs w:val="24"/>
        </w:rPr>
        <w:t xml:space="preserve"> придется заново калибровать </w:t>
      </w:r>
      <w:r>
        <w:rPr>
          <w:rFonts w:eastAsia="Calibri"/>
          <w:szCs w:val="24"/>
        </w:rPr>
        <w:t>параметры демпфирующей надбавки и (или)</w:t>
      </w:r>
      <w:r w:rsidRPr="0013162B">
        <w:rPr>
          <w:rFonts w:eastAsia="Calibri"/>
          <w:szCs w:val="24"/>
        </w:rPr>
        <w:t xml:space="preserve"> замораживать внутренние оптовые цены на нефтепродукты</w:t>
      </w:r>
      <w:r>
        <w:rPr>
          <w:rFonts w:eastAsia="Calibri"/>
          <w:szCs w:val="24"/>
        </w:rPr>
        <w:t xml:space="preserve">, </w:t>
      </w:r>
      <w:r w:rsidRPr="0013162B">
        <w:rPr>
          <w:rFonts w:eastAsia="Calibri"/>
          <w:szCs w:val="24"/>
        </w:rPr>
        <w:t>как это было в начале 2019 г.</w:t>
      </w:r>
    </w:p>
    <w:p w14:paraId="04143D2B" w14:textId="77777777" w:rsidR="00746FD0" w:rsidRPr="00870548" w:rsidRDefault="00746FD0" w:rsidP="00F33898">
      <w:pPr>
        <w:spacing w:before="60"/>
        <w:ind w:firstLine="709"/>
        <w:jc w:val="both"/>
      </w:pPr>
    </w:p>
    <w:p w14:paraId="101E1A61" w14:textId="29C44C30" w:rsidR="00995E45" w:rsidRPr="008E6B24" w:rsidRDefault="002D146E" w:rsidP="00FE003C">
      <w:pPr>
        <w:keepNext/>
        <w:spacing w:before="240" w:after="60"/>
        <w:jc w:val="center"/>
        <w:outlineLvl w:val="1"/>
        <w:rPr>
          <w:b/>
          <w:szCs w:val="20"/>
        </w:rPr>
      </w:pPr>
      <w:bookmarkStart w:id="13" w:name="_Toc21436744"/>
      <w:r>
        <w:rPr>
          <w:b/>
          <w:szCs w:val="20"/>
        </w:rPr>
        <w:t>5</w:t>
      </w:r>
      <w:r w:rsidR="00067A72" w:rsidRPr="00EE0097">
        <w:rPr>
          <w:b/>
          <w:szCs w:val="20"/>
        </w:rPr>
        <w:t>.</w:t>
      </w:r>
      <w:r w:rsidR="00365C20" w:rsidRPr="00EE0097">
        <w:rPr>
          <w:b/>
          <w:szCs w:val="20"/>
        </w:rPr>
        <w:t>3</w:t>
      </w:r>
      <w:r w:rsidR="00067A72" w:rsidRPr="00EE0097">
        <w:rPr>
          <w:b/>
          <w:szCs w:val="20"/>
        </w:rPr>
        <w:t xml:space="preserve"> </w:t>
      </w:r>
      <w:r w:rsidR="00995E45" w:rsidRPr="00EE0097">
        <w:rPr>
          <w:b/>
          <w:szCs w:val="20"/>
        </w:rPr>
        <w:t>Доходы от приватизации и использования государственного имущества</w:t>
      </w:r>
      <w:bookmarkEnd w:id="13"/>
    </w:p>
    <w:p w14:paraId="0F60A087" w14:textId="77777777" w:rsidR="003A65C0" w:rsidRDefault="003A65C0" w:rsidP="00FE003C">
      <w:pPr>
        <w:spacing w:after="60"/>
        <w:ind w:firstLine="709"/>
        <w:jc w:val="both"/>
        <w:rPr>
          <w:rFonts w:eastAsia="MS Mincho"/>
          <w:b/>
          <w:i/>
          <w:szCs w:val="20"/>
          <w:lang w:eastAsia="ja-JP"/>
        </w:rPr>
      </w:pPr>
    </w:p>
    <w:p w14:paraId="6E9AE90E" w14:textId="27EECDF9" w:rsidR="00FF6CB8" w:rsidRPr="00365C20" w:rsidRDefault="00FF6CB8" w:rsidP="00FE003C">
      <w:pPr>
        <w:spacing w:after="60"/>
        <w:ind w:firstLine="709"/>
        <w:jc w:val="both"/>
        <w:rPr>
          <w:rFonts w:eastAsia="MS Mincho"/>
          <w:b/>
          <w:i/>
          <w:szCs w:val="20"/>
          <w:lang w:eastAsia="ja-JP"/>
        </w:rPr>
      </w:pPr>
      <w:r w:rsidRPr="00365C20">
        <w:rPr>
          <w:rFonts w:eastAsia="MS Mincho"/>
          <w:b/>
          <w:i/>
          <w:szCs w:val="20"/>
          <w:lang w:eastAsia="ja-JP"/>
        </w:rPr>
        <w:t>Доходы от приватизации и продажи государственного имущества</w:t>
      </w:r>
    </w:p>
    <w:p w14:paraId="7F37DF26" w14:textId="77777777" w:rsidR="00EE0097" w:rsidRDefault="00EE0097" w:rsidP="00EE0097">
      <w:pPr>
        <w:spacing w:after="60"/>
        <w:ind w:firstLine="709"/>
        <w:jc w:val="both"/>
      </w:pPr>
      <w:r w:rsidRPr="009F7B7E">
        <w:rPr>
          <w:rFonts w:eastAsia="MS Mincho"/>
          <w:lang w:eastAsia="ja-JP"/>
        </w:rPr>
        <w:t xml:space="preserve">Подобно аналогичному документу годичной давности вносимый Правительством РФ проект федерального закона «О федеральном </w:t>
      </w:r>
      <w:r>
        <w:rPr>
          <w:rFonts w:eastAsia="MS Mincho"/>
          <w:lang w:eastAsia="ja-JP"/>
        </w:rPr>
        <w:t>бюджете на 2020</w:t>
      </w:r>
      <w:r w:rsidRPr="009F7B7E">
        <w:rPr>
          <w:rFonts w:eastAsia="MS Mincho"/>
          <w:lang w:eastAsia="ja-JP"/>
        </w:rPr>
        <w:t xml:space="preserve"> год</w:t>
      </w:r>
      <w:r>
        <w:rPr>
          <w:rFonts w:eastAsia="MS Mincho"/>
          <w:lang w:eastAsia="ja-JP"/>
        </w:rPr>
        <w:t xml:space="preserve"> и плановый период 2021 и 20</w:t>
      </w:r>
      <w:r w:rsidRPr="003655A6">
        <w:rPr>
          <w:rFonts w:eastAsia="MS Mincho"/>
          <w:lang w:eastAsia="ja-JP"/>
        </w:rPr>
        <w:t>2</w:t>
      </w:r>
      <w:r>
        <w:rPr>
          <w:rFonts w:eastAsia="MS Mincho"/>
          <w:lang w:eastAsia="ja-JP"/>
        </w:rPr>
        <w:t>2 годов</w:t>
      </w:r>
      <w:r w:rsidRPr="009F7B7E">
        <w:rPr>
          <w:rFonts w:eastAsia="MS Mincho"/>
          <w:lang w:eastAsia="ja-JP"/>
        </w:rPr>
        <w:t xml:space="preserve">» не содержит информации о доходах от приватизации ни в основной части, </w:t>
      </w:r>
      <w:r>
        <w:rPr>
          <w:rFonts w:eastAsia="MS Mincho"/>
          <w:lang w:eastAsia="ja-JP"/>
        </w:rPr>
        <w:t>ни в приложении</w:t>
      </w:r>
      <w:r w:rsidRPr="009F7B7E">
        <w:rPr>
          <w:rFonts w:eastAsia="MS Mincho"/>
          <w:lang w:eastAsia="ja-JP"/>
        </w:rPr>
        <w:t xml:space="preserve"> </w:t>
      </w:r>
      <w:r>
        <w:rPr>
          <w:rFonts w:eastAsia="MS Mincho"/>
          <w:lang w:eastAsia="ja-JP"/>
        </w:rPr>
        <w:t>40</w:t>
      </w:r>
      <w:r w:rsidRPr="009F7B7E">
        <w:rPr>
          <w:rFonts w:eastAsia="MS Mincho"/>
          <w:lang w:eastAsia="ja-JP"/>
        </w:rPr>
        <w:t xml:space="preserve"> (Источники финансирования дефицита федерального бюджета на </w:t>
      </w:r>
      <w:r>
        <w:rPr>
          <w:rFonts w:eastAsia="MS Mincho"/>
          <w:lang w:eastAsia="ja-JP"/>
        </w:rPr>
        <w:t>2020</w:t>
      </w:r>
      <w:r w:rsidRPr="009F7B7E">
        <w:rPr>
          <w:rFonts w:eastAsia="MS Mincho"/>
          <w:lang w:eastAsia="ja-JP"/>
        </w:rPr>
        <w:t xml:space="preserve"> г.</w:t>
      </w:r>
      <w:r w:rsidRPr="003655A6">
        <w:rPr>
          <w:rFonts w:eastAsia="MS Mincho"/>
          <w:lang w:eastAsia="ja-JP"/>
        </w:rPr>
        <w:t xml:space="preserve"> </w:t>
      </w:r>
      <w:r>
        <w:rPr>
          <w:rFonts w:eastAsia="MS Mincho"/>
          <w:lang w:eastAsia="ja-JP"/>
        </w:rPr>
        <w:t xml:space="preserve">и плановый период </w:t>
      </w:r>
      <w:r w:rsidRPr="009F7B7E">
        <w:rPr>
          <w:rFonts w:eastAsia="MS Mincho"/>
          <w:lang w:eastAsia="ja-JP"/>
        </w:rPr>
        <w:t>20</w:t>
      </w:r>
      <w:r>
        <w:rPr>
          <w:rFonts w:eastAsia="MS Mincho"/>
          <w:lang w:eastAsia="ja-JP"/>
        </w:rPr>
        <w:t>21</w:t>
      </w:r>
      <w:r w:rsidRPr="009F7B7E">
        <w:rPr>
          <w:rFonts w:eastAsia="MS Mincho"/>
          <w:lang w:eastAsia="ja-JP"/>
        </w:rPr>
        <w:t xml:space="preserve"> </w:t>
      </w:r>
      <w:r>
        <w:rPr>
          <w:rFonts w:eastAsia="MS Mincho"/>
          <w:lang w:eastAsia="ja-JP"/>
        </w:rPr>
        <w:t>и 2022 г</w:t>
      </w:r>
      <w:r w:rsidRPr="009F7B7E">
        <w:rPr>
          <w:rFonts w:eastAsia="MS Mincho"/>
          <w:lang w:eastAsia="ja-JP"/>
        </w:rPr>
        <w:t>г.).</w:t>
      </w:r>
      <w:r>
        <w:rPr>
          <w:rStyle w:val="aa"/>
          <w:rFonts w:eastAsia="MS Mincho"/>
          <w:lang w:eastAsia="ja-JP"/>
        </w:rPr>
        <w:footnoteReference w:id="5"/>
      </w:r>
      <w:r>
        <w:rPr>
          <w:rFonts w:eastAsia="MS Mincho"/>
          <w:lang w:eastAsia="ja-JP"/>
        </w:rPr>
        <w:t xml:space="preserve"> При этом в Приложении 8 (</w:t>
      </w:r>
      <w:r w:rsidRPr="009F7B7E">
        <w:t>Перечень главных администраторов источников финансирования дефицита федерального бюджета) по средствам от продажи акций и иных форм участия в капитале, находящихся в федеральной собственности</w:t>
      </w:r>
      <w:r w:rsidRPr="00044593">
        <w:t>,</w:t>
      </w:r>
      <w:r w:rsidRPr="009F7B7E">
        <w:t xml:space="preserve"> в качестве таковых указаны </w:t>
      </w:r>
      <w:r>
        <w:t>Федеральное</w:t>
      </w:r>
      <w:r w:rsidRPr="00092EC9">
        <w:t xml:space="preserve"> агентств</w:t>
      </w:r>
      <w:r>
        <w:t>о</w:t>
      </w:r>
      <w:r w:rsidRPr="00092EC9">
        <w:t xml:space="preserve"> по управлению государственным имуществом </w:t>
      </w:r>
      <w:r>
        <w:t>(</w:t>
      </w:r>
      <w:r w:rsidRPr="009F7B7E">
        <w:t>Росимущество</w:t>
      </w:r>
      <w:r>
        <w:t>)</w:t>
      </w:r>
      <w:r w:rsidRPr="009F7B7E">
        <w:t xml:space="preserve"> и </w:t>
      </w:r>
      <w:r w:rsidRPr="00D02EA6">
        <w:rPr>
          <w:szCs w:val="28"/>
          <w:lang w:eastAsia="en-US"/>
        </w:rPr>
        <w:t>Министерств</w:t>
      </w:r>
      <w:r>
        <w:rPr>
          <w:szCs w:val="28"/>
          <w:lang w:eastAsia="en-US"/>
        </w:rPr>
        <w:t>о</w:t>
      </w:r>
      <w:r w:rsidRPr="00D02EA6">
        <w:rPr>
          <w:szCs w:val="28"/>
          <w:lang w:eastAsia="en-US"/>
        </w:rPr>
        <w:t xml:space="preserve"> </w:t>
      </w:r>
      <w:r>
        <w:rPr>
          <w:szCs w:val="28"/>
          <w:lang w:eastAsia="en-US"/>
        </w:rPr>
        <w:t xml:space="preserve">обороны </w:t>
      </w:r>
      <w:r w:rsidRPr="009F7B7E">
        <w:t>РФ</w:t>
      </w:r>
      <w:r w:rsidRPr="002D4641">
        <w:t xml:space="preserve">, </w:t>
      </w:r>
      <w:r>
        <w:t>а</w:t>
      </w:r>
      <w:r>
        <w:rPr>
          <w:rFonts w:eastAsia="MS Mincho"/>
          <w:lang w:eastAsia="ja-JP"/>
        </w:rPr>
        <w:t xml:space="preserve"> </w:t>
      </w:r>
      <w:r w:rsidRPr="009F7B7E">
        <w:t xml:space="preserve">в пояснительной записке к </w:t>
      </w:r>
      <w:r>
        <w:t xml:space="preserve">законопроекту </w:t>
      </w:r>
      <w:r w:rsidRPr="009F7B7E">
        <w:t xml:space="preserve">средства, поступающие от приватизации федеральной собственности, указываются наряду </w:t>
      </w:r>
      <w:r>
        <w:t>с</w:t>
      </w:r>
      <w:r w:rsidRPr="009F7B7E">
        <w:t xml:space="preserve"> государственными заимствованиями в качестве отдельного источника финансирования дефицита федерального бюджета.</w:t>
      </w:r>
    </w:p>
    <w:p w14:paraId="1D78B383" w14:textId="3C1B2821" w:rsidR="00EE0097" w:rsidRDefault="00EE0097" w:rsidP="00EE0097">
      <w:pPr>
        <w:spacing w:after="60"/>
        <w:ind w:firstLine="709"/>
        <w:jc w:val="both"/>
      </w:pPr>
      <w:r>
        <w:t xml:space="preserve">Подобно проектам бюджета </w:t>
      </w:r>
      <w:r w:rsidR="00CA2361">
        <w:t xml:space="preserve">в предыдущие годы (начиная с </w:t>
      </w:r>
      <w:r>
        <w:t>2016</w:t>
      </w:r>
      <w:r w:rsidR="00CA2361">
        <w:t xml:space="preserve"> г.)</w:t>
      </w:r>
      <w:r w:rsidRPr="007A6BCE">
        <w:t xml:space="preserve"> </w:t>
      </w:r>
      <w:r>
        <w:t xml:space="preserve">в отличие </w:t>
      </w:r>
      <w:r>
        <w:rPr>
          <w:szCs w:val="28"/>
        </w:rPr>
        <w:t>от аналогичных документов за предшествующие годы в ряду сопроводительных материалов присутствуют данные по прогнозному плану (программе) приватизации федерального имущества</w:t>
      </w:r>
      <w:r w:rsidRPr="00B204BD">
        <w:rPr>
          <w:szCs w:val="28"/>
        </w:rPr>
        <w:t xml:space="preserve">, </w:t>
      </w:r>
      <w:r>
        <w:rPr>
          <w:szCs w:val="28"/>
        </w:rPr>
        <w:t xml:space="preserve">где представлено обоснование </w:t>
      </w:r>
      <w:r w:rsidRPr="00B204BD">
        <w:t>прогноз</w:t>
      </w:r>
      <w:r>
        <w:t>а</w:t>
      </w:r>
      <w:r w:rsidRPr="00B204BD">
        <w:t xml:space="preserve"> поступления в федеральный бюджет средств от приватизации</w:t>
      </w:r>
      <w:r w:rsidRPr="000D089B">
        <w:t xml:space="preserve">, </w:t>
      </w:r>
      <w:r>
        <w:t xml:space="preserve">содержащееся также в тексте </w:t>
      </w:r>
      <w:r w:rsidRPr="009F7B7E">
        <w:t>пояснительной</w:t>
      </w:r>
      <w:r>
        <w:t xml:space="preserve"> записки</w:t>
      </w:r>
      <w:r w:rsidR="00CA2361">
        <w:t>.</w:t>
      </w:r>
    </w:p>
    <w:p w14:paraId="3A8B620F" w14:textId="264497C7" w:rsidR="00EE0097" w:rsidRPr="001F6DE3" w:rsidRDefault="00EE0097" w:rsidP="00EE0097">
      <w:pPr>
        <w:spacing w:after="60"/>
        <w:ind w:firstLine="709"/>
        <w:jc w:val="both"/>
        <w:rPr>
          <w:spacing w:val="-4"/>
        </w:rPr>
      </w:pPr>
      <w:r w:rsidRPr="006F6B4B">
        <w:rPr>
          <w:snapToGrid w:val="0"/>
        </w:rPr>
        <w:t>Поступления в федеральный бюджет от приватизации федерального имущества в 20</w:t>
      </w:r>
      <w:r>
        <w:rPr>
          <w:snapToGrid w:val="0"/>
        </w:rPr>
        <w:t>20</w:t>
      </w:r>
      <w:r w:rsidRPr="006F6B4B">
        <w:rPr>
          <w:snapToGrid w:val="0"/>
        </w:rPr>
        <w:t xml:space="preserve"> г</w:t>
      </w:r>
      <w:r w:rsidRPr="00E268F6">
        <w:rPr>
          <w:snapToGrid w:val="0"/>
        </w:rPr>
        <w:t>.</w:t>
      </w:r>
      <w:r w:rsidRPr="006F6B4B">
        <w:rPr>
          <w:snapToGrid w:val="0"/>
        </w:rPr>
        <w:t xml:space="preserve"> </w:t>
      </w:r>
      <w:r>
        <w:rPr>
          <w:snapToGrid w:val="0"/>
        </w:rPr>
        <w:t>составят 1</w:t>
      </w:r>
      <w:r w:rsidRPr="006F6B4B">
        <w:rPr>
          <w:snapToGrid w:val="0"/>
        </w:rPr>
        <w:t>1,</w:t>
      </w:r>
      <w:r>
        <w:rPr>
          <w:snapToGrid w:val="0"/>
        </w:rPr>
        <w:t>3</w:t>
      </w:r>
      <w:r w:rsidRPr="006F6B4B">
        <w:rPr>
          <w:snapToGrid w:val="0"/>
        </w:rPr>
        <w:t xml:space="preserve"> млрд руб</w:t>
      </w:r>
      <w:r w:rsidRPr="00E268F6">
        <w:rPr>
          <w:snapToGrid w:val="0"/>
        </w:rPr>
        <w:t>.</w:t>
      </w:r>
      <w:r>
        <w:rPr>
          <w:snapToGrid w:val="0"/>
        </w:rPr>
        <w:t>, в 2021-2022</w:t>
      </w:r>
      <w:r w:rsidRPr="006F6B4B">
        <w:rPr>
          <w:snapToGrid w:val="0"/>
        </w:rPr>
        <w:t xml:space="preserve"> г</w:t>
      </w:r>
      <w:r w:rsidRPr="00E268F6">
        <w:rPr>
          <w:snapToGrid w:val="0"/>
        </w:rPr>
        <w:t>.</w:t>
      </w:r>
      <w:r w:rsidRPr="006F6B4B">
        <w:rPr>
          <w:snapToGrid w:val="0"/>
        </w:rPr>
        <w:t xml:space="preserve"> –</w:t>
      </w:r>
      <w:r>
        <w:rPr>
          <w:snapToGrid w:val="0"/>
        </w:rPr>
        <w:t xml:space="preserve"> по</w:t>
      </w:r>
      <w:r w:rsidRPr="006F6B4B">
        <w:rPr>
          <w:snapToGrid w:val="0"/>
        </w:rPr>
        <w:t xml:space="preserve"> </w:t>
      </w:r>
      <w:r>
        <w:rPr>
          <w:snapToGrid w:val="0"/>
        </w:rPr>
        <w:t>3</w:t>
      </w:r>
      <w:r w:rsidRPr="006F6B4B">
        <w:rPr>
          <w:snapToGrid w:val="0"/>
        </w:rPr>
        <w:t>,</w:t>
      </w:r>
      <w:r>
        <w:rPr>
          <w:snapToGrid w:val="0"/>
        </w:rPr>
        <w:t>6</w:t>
      </w:r>
      <w:r w:rsidRPr="006F6B4B">
        <w:rPr>
          <w:snapToGrid w:val="0"/>
        </w:rPr>
        <w:t xml:space="preserve"> млрд руб</w:t>
      </w:r>
      <w:r w:rsidRPr="00E268F6">
        <w:rPr>
          <w:snapToGrid w:val="0"/>
        </w:rPr>
        <w:t>.</w:t>
      </w:r>
      <w:r>
        <w:rPr>
          <w:snapToGrid w:val="0"/>
        </w:rPr>
        <w:t xml:space="preserve"> ежегодно</w:t>
      </w:r>
      <w:r w:rsidRPr="006F6B4B">
        <w:rPr>
          <w:snapToGrid w:val="0"/>
        </w:rPr>
        <w:t>.</w:t>
      </w:r>
      <w:r>
        <w:rPr>
          <w:snapToGrid w:val="0"/>
        </w:rPr>
        <w:t xml:space="preserve"> Их роль д</w:t>
      </w:r>
      <w:r w:rsidRPr="009F7B7E">
        <w:t>ля финансирования дефицита федерального бюджета</w:t>
      </w:r>
      <w:r>
        <w:t xml:space="preserve"> будет минимальна</w:t>
      </w:r>
      <w:r w:rsidRPr="00144ACA">
        <w:t>:</w:t>
      </w:r>
      <w:r w:rsidRPr="006631D8">
        <w:t xml:space="preserve"> </w:t>
      </w:r>
      <w:r w:rsidRPr="009F7B7E">
        <w:t>в 20</w:t>
      </w:r>
      <w:r>
        <w:t>20-2022 гг</w:t>
      </w:r>
      <w:r w:rsidRPr="00F1421F">
        <w:t xml:space="preserve">. </w:t>
      </w:r>
      <w:r w:rsidRPr="009F7B7E">
        <w:t xml:space="preserve">ожидаемая величина приватизационных доходов составит </w:t>
      </w:r>
      <w:r>
        <w:t>менее 1%</w:t>
      </w:r>
      <w:r w:rsidRPr="009F7B7E">
        <w:t xml:space="preserve"> от средств, предполагаемых к привлечению </w:t>
      </w:r>
      <w:r>
        <w:t>п</w:t>
      </w:r>
      <w:r w:rsidRPr="009F7B7E">
        <w:t>о</w:t>
      </w:r>
      <w:r>
        <w:t xml:space="preserve"> государственным заимствованиям.</w:t>
      </w:r>
      <w:r w:rsidRPr="001F6DE3">
        <w:t xml:space="preserve"> </w:t>
      </w:r>
      <w:r>
        <w:t xml:space="preserve">По сравнению с прогнозом поступления средств </w:t>
      </w:r>
      <w:r>
        <w:rPr>
          <w:spacing w:val="-4"/>
        </w:rPr>
        <w:t xml:space="preserve">от </w:t>
      </w:r>
      <w:r w:rsidRPr="00666B12">
        <w:rPr>
          <w:spacing w:val="-4"/>
        </w:rPr>
        <w:t>продажи федерального имущества без учета стоим</w:t>
      </w:r>
      <w:r>
        <w:rPr>
          <w:spacing w:val="-4"/>
        </w:rPr>
        <w:t>ости акций крупнейших компаний из</w:t>
      </w:r>
      <w:r w:rsidRPr="00E03CBB">
        <w:rPr>
          <w:spacing w:val="-4"/>
        </w:rPr>
        <w:t xml:space="preserve"> </w:t>
      </w:r>
      <w:r>
        <w:rPr>
          <w:spacing w:val="-4"/>
        </w:rPr>
        <w:t>материалов к законопроекту о федеральном бюджете на 2019 г</w:t>
      </w:r>
      <w:r w:rsidRPr="00E03CBB">
        <w:rPr>
          <w:spacing w:val="-4"/>
        </w:rPr>
        <w:t>.</w:t>
      </w:r>
      <w:r>
        <w:rPr>
          <w:spacing w:val="-4"/>
        </w:rPr>
        <w:t xml:space="preserve"> </w:t>
      </w:r>
      <w:r>
        <w:rPr>
          <w:rFonts w:eastAsia="MS Mincho"/>
          <w:lang w:eastAsia="ja-JP"/>
        </w:rPr>
        <w:t>и плановый период 2020-2021 гг</w:t>
      </w:r>
      <w:r w:rsidRPr="002A31C4">
        <w:rPr>
          <w:rFonts w:eastAsia="MS Mincho"/>
          <w:lang w:eastAsia="ja-JP"/>
        </w:rPr>
        <w:t>.</w:t>
      </w:r>
      <w:r w:rsidRPr="00930220">
        <w:rPr>
          <w:rFonts w:eastAsia="MS Mincho"/>
          <w:lang w:eastAsia="ja-JP"/>
        </w:rPr>
        <w:t>,</w:t>
      </w:r>
      <w:r w:rsidRPr="00930220">
        <w:rPr>
          <w:spacing w:val="-4"/>
        </w:rPr>
        <w:t xml:space="preserve"> </w:t>
      </w:r>
      <w:r>
        <w:rPr>
          <w:spacing w:val="-4"/>
        </w:rPr>
        <w:t>вносившемуся российским правительством прошлой осенью (</w:t>
      </w:r>
      <w:r>
        <w:rPr>
          <w:snapToGrid w:val="0"/>
        </w:rPr>
        <w:t>10,9</w:t>
      </w:r>
      <w:r w:rsidRPr="006F6B4B">
        <w:rPr>
          <w:snapToGrid w:val="0"/>
        </w:rPr>
        <w:t xml:space="preserve"> млрд руб</w:t>
      </w:r>
      <w:r w:rsidRPr="00E268F6">
        <w:rPr>
          <w:snapToGrid w:val="0"/>
        </w:rPr>
        <w:t>.</w:t>
      </w:r>
      <w:r>
        <w:rPr>
          <w:snapToGrid w:val="0"/>
        </w:rPr>
        <w:t xml:space="preserve"> в 2020 г</w:t>
      </w:r>
      <w:r w:rsidRPr="002C47C8">
        <w:rPr>
          <w:snapToGrid w:val="0"/>
        </w:rPr>
        <w:t>.</w:t>
      </w:r>
      <w:r>
        <w:rPr>
          <w:snapToGrid w:val="0"/>
        </w:rPr>
        <w:t xml:space="preserve"> и отсутствие </w:t>
      </w:r>
      <w:r>
        <w:rPr>
          <w:spacing w:val="-4"/>
        </w:rPr>
        <w:t>поступлений</w:t>
      </w:r>
      <w:r w:rsidRPr="001F6DE3">
        <w:rPr>
          <w:spacing w:val="-4"/>
        </w:rPr>
        <w:t xml:space="preserve">, </w:t>
      </w:r>
      <w:r>
        <w:rPr>
          <w:spacing w:val="-4"/>
        </w:rPr>
        <w:t>как таковых</w:t>
      </w:r>
      <w:r w:rsidRPr="001F6DE3">
        <w:rPr>
          <w:spacing w:val="-4"/>
        </w:rPr>
        <w:t>,</w:t>
      </w:r>
      <w:r>
        <w:rPr>
          <w:spacing w:val="-4"/>
        </w:rPr>
        <w:t xml:space="preserve"> в 2021 г</w:t>
      </w:r>
      <w:r w:rsidRPr="001F6DE3">
        <w:rPr>
          <w:spacing w:val="-4"/>
        </w:rPr>
        <w:t>.</w:t>
      </w:r>
      <w:r>
        <w:rPr>
          <w:snapToGrid w:val="0"/>
        </w:rPr>
        <w:t>)</w:t>
      </w:r>
      <w:r w:rsidRPr="00930220">
        <w:rPr>
          <w:spacing w:val="-4"/>
        </w:rPr>
        <w:t>,</w:t>
      </w:r>
      <w:r w:rsidRPr="001F6DE3">
        <w:rPr>
          <w:spacing w:val="-4"/>
        </w:rPr>
        <w:t xml:space="preserve"> </w:t>
      </w:r>
      <w:r>
        <w:rPr>
          <w:spacing w:val="-4"/>
        </w:rPr>
        <w:t>у</w:t>
      </w:r>
      <w:r>
        <w:t>казанные величины отличаются в большую сторону</w:t>
      </w:r>
      <w:r w:rsidRPr="001F6DE3">
        <w:t>.</w:t>
      </w:r>
    </w:p>
    <w:p w14:paraId="2BE87A7A" w14:textId="307F6E08" w:rsidR="00EE0097" w:rsidRDefault="00EE0097" w:rsidP="00EE0097">
      <w:pPr>
        <w:spacing w:after="60"/>
        <w:ind w:firstLine="709"/>
        <w:jc w:val="both"/>
      </w:pPr>
      <w:r>
        <w:rPr>
          <w:szCs w:val="28"/>
        </w:rPr>
        <w:t xml:space="preserve">Обоснование прогноза </w:t>
      </w:r>
      <w:r w:rsidRPr="00B204BD">
        <w:t>поступления в федеральный бюджет средств от приватизации</w:t>
      </w:r>
      <w:r>
        <w:t xml:space="preserve"> исходит из проекта прогнозного плана (программы) приватизации на 2020-2022 гг</w:t>
      </w:r>
      <w:r w:rsidRPr="00D37DDD">
        <w:t xml:space="preserve">., </w:t>
      </w:r>
      <w:r w:rsidRPr="00590F1E">
        <w:t>представленного письмом Минэкономразвития России от 03.09.2019 № 29482-ОТ/Д06и.</w:t>
      </w:r>
      <w:r>
        <w:t xml:space="preserve"> </w:t>
      </w:r>
      <w:r>
        <w:rPr>
          <w:szCs w:val="28"/>
        </w:rPr>
        <w:t>В нем анонсирована приватизация некоторых крупнейших компаний н</w:t>
      </w:r>
      <w:r w:rsidRPr="0002579C">
        <w:t>а основании отдель</w:t>
      </w:r>
      <w:r>
        <w:t>ных решений Президента Р</w:t>
      </w:r>
      <w:r w:rsidRPr="0002579C">
        <w:t>Ф и Правительства РФ</w:t>
      </w:r>
      <w:r>
        <w:t xml:space="preserve"> при определении к</w:t>
      </w:r>
      <w:r w:rsidRPr="00526475">
        <w:t>онкретны</w:t>
      </w:r>
      <w:r>
        <w:t>х</w:t>
      </w:r>
      <w:r w:rsidRPr="00526475">
        <w:t xml:space="preserve"> срок</w:t>
      </w:r>
      <w:r>
        <w:t>ов</w:t>
      </w:r>
      <w:r w:rsidRPr="00526475">
        <w:t xml:space="preserve"> и способ</w:t>
      </w:r>
      <w:r>
        <w:t>ов</w:t>
      </w:r>
      <w:r w:rsidRPr="00526475">
        <w:t xml:space="preserve"> </w:t>
      </w:r>
      <w:r>
        <w:t xml:space="preserve">с учетом конъюнктуры рынка и </w:t>
      </w:r>
      <w:r w:rsidRPr="00526475">
        <w:t>рекомендаций ведущих инвестиционных консультантов.</w:t>
      </w:r>
      <w:r>
        <w:t xml:space="preserve"> До 2022 г</w:t>
      </w:r>
      <w:r w:rsidRPr="00BD743A">
        <w:t xml:space="preserve">. планируется </w:t>
      </w:r>
      <w:r>
        <w:t xml:space="preserve">сокращение </w:t>
      </w:r>
      <w:r w:rsidRPr="00BD743A">
        <w:t>дол</w:t>
      </w:r>
      <w:r>
        <w:t>и</w:t>
      </w:r>
      <w:r w:rsidRPr="00BD743A">
        <w:t xml:space="preserve"> участия </w:t>
      </w:r>
      <w:r>
        <w:t>государства</w:t>
      </w:r>
      <w:r w:rsidRPr="00BD743A">
        <w:t xml:space="preserve"> в уставных капиталах акционерных обществ (</w:t>
      </w:r>
      <w:r>
        <w:t>АО</w:t>
      </w:r>
      <w:r w:rsidRPr="00BD743A">
        <w:t xml:space="preserve">) </w:t>
      </w:r>
      <w:r>
        <w:t>«</w:t>
      </w:r>
      <w:r w:rsidRPr="00BD743A">
        <w:t>РусГидро</w:t>
      </w:r>
      <w:r>
        <w:t>»</w:t>
      </w:r>
      <w:r w:rsidRPr="00BD743A">
        <w:t xml:space="preserve">, «Современный коммерческий флот», </w:t>
      </w:r>
      <w:r>
        <w:t>«</w:t>
      </w:r>
      <w:r w:rsidRPr="00BD743A">
        <w:t>Транснефть</w:t>
      </w:r>
      <w:r>
        <w:t>»</w:t>
      </w:r>
      <w:r w:rsidRPr="00BD743A">
        <w:t xml:space="preserve">, </w:t>
      </w:r>
      <w:r>
        <w:t>«</w:t>
      </w:r>
      <w:r w:rsidRPr="00BD743A">
        <w:t>Ростелеком</w:t>
      </w:r>
      <w:r>
        <w:t>»</w:t>
      </w:r>
      <w:r w:rsidRPr="00BD743A">
        <w:t xml:space="preserve">, </w:t>
      </w:r>
      <w:r>
        <w:t>«</w:t>
      </w:r>
      <w:r w:rsidRPr="00BD743A">
        <w:t>Российские сети</w:t>
      </w:r>
      <w:r>
        <w:t>»</w:t>
      </w:r>
      <w:r w:rsidRPr="00BD743A">
        <w:t xml:space="preserve">, </w:t>
      </w:r>
      <w:r>
        <w:t>«</w:t>
      </w:r>
      <w:r w:rsidRPr="00BD743A">
        <w:t>Объединенная зерновая компания</w:t>
      </w:r>
      <w:r>
        <w:t>»</w:t>
      </w:r>
      <w:r w:rsidRPr="00BD743A">
        <w:t>.</w:t>
      </w:r>
      <w:r>
        <w:t xml:space="preserve"> Однако в</w:t>
      </w:r>
      <w:r w:rsidRPr="00526475">
        <w:t xml:space="preserve"> отсутствие принятых Правительством РФ решений об отчуждении пакетов</w:t>
      </w:r>
      <w:r>
        <w:t xml:space="preserve"> акций крупнейших компаний в 2020</w:t>
      </w:r>
      <w:r w:rsidRPr="00526475">
        <w:t>-202</w:t>
      </w:r>
      <w:r>
        <w:t>2</w:t>
      </w:r>
      <w:r w:rsidRPr="00526475">
        <w:t xml:space="preserve"> г</w:t>
      </w:r>
      <w:r>
        <w:t>г</w:t>
      </w:r>
      <w:r w:rsidRPr="00526475">
        <w:t xml:space="preserve">. поступление средств от </w:t>
      </w:r>
      <w:r>
        <w:t xml:space="preserve">их </w:t>
      </w:r>
      <w:r w:rsidRPr="00526475">
        <w:t>продажи не прогнозируется.</w:t>
      </w:r>
    </w:p>
    <w:p w14:paraId="10AF6028" w14:textId="3EF32F33" w:rsidR="00EE0097" w:rsidRPr="007D6C1A" w:rsidRDefault="00EE0097" w:rsidP="00EE0097">
      <w:pPr>
        <w:spacing w:after="60"/>
        <w:ind w:firstLine="709"/>
        <w:jc w:val="both"/>
      </w:pPr>
      <w:r w:rsidRPr="00A52431">
        <w:t xml:space="preserve"> </w:t>
      </w:r>
      <w:r>
        <w:t>В 201</w:t>
      </w:r>
      <w:r w:rsidRPr="00637064">
        <w:t>8</w:t>
      </w:r>
      <w:r>
        <w:t xml:space="preserve"> г</w:t>
      </w:r>
      <w:r w:rsidRPr="00C42A7A">
        <w:t>.</w:t>
      </w:r>
      <w:r>
        <w:t xml:space="preserve"> общие п</w:t>
      </w:r>
      <w:r>
        <w:rPr>
          <w:spacing w:val="-4"/>
        </w:rPr>
        <w:t xml:space="preserve">оступления от приватизации в части средств </w:t>
      </w:r>
      <w:r>
        <w:t xml:space="preserve">от продажи пакетов акций (долей в уставном капитале) составили </w:t>
      </w:r>
      <w:r w:rsidRPr="00C42A7A">
        <w:t>1</w:t>
      </w:r>
      <w:r w:rsidRPr="00637064">
        <w:t>2</w:t>
      </w:r>
      <w:r w:rsidRPr="00C42A7A">
        <w:t>,</w:t>
      </w:r>
      <w:r w:rsidRPr="00637064">
        <w:t>8</w:t>
      </w:r>
      <w:r w:rsidRPr="00C42A7A">
        <w:t xml:space="preserve"> </w:t>
      </w:r>
      <w:r>
        <w:t>млрд</w:t>
      </w:r>
      <w:r w:rsidRPr="00C42A7A">
        <w:t xml:space="preserve"> </w:t>
      </w:r>
      <w:r>
        <w:t>руб</w:t>
      </w:r>
      <w:r w:rsidRPr="00C42A7A">
        <w:t>.</w:t>
      </w:r>
      <w:r w:rsidRPr="00A52431">
        <w:t xml:space="preserve">, </w:t>
      </w:r>
      <w:r>
        <w:t>включая около 2</w:t>
      </w:r>
      <w:r w:rsidRPr="00A52431">
        <w:t>,</w:t>
      </w:r>
      <w:r>
        <w:t>5</w:t>
      </w:r>
      <w:r w:rsidRPr="00A52431">
        <w:t xml:space="preserve"> </w:t>
      </w:r>
      <w:r>
        <w:t>млрд</w:t>
      </w:r>
      <w:r w:rsidRPr="00C42A7A">
        <w:t xml:space="preserve"> </w:t>
      </w:r>
      <w:r>
        <w:t>руб</w:t>
      </w:r>
      <w:r w:rsidRPr="00C42A7A">
        <w:t>.</w:t>
      </w:r>
      <w:r w:rsidRPr="00A52431">
        <w:t xml:space="preserve"> </w:t>
      </w:r>
      <w:r>
        <w:t>без учета крупнейших сделок</w:t>
      </w:r>
      <w:r w:rsidRPr="00190BBA">
        <w:t>.</w:t>
      </w:r>
      <w:r>
        <w:t xml:space="preserve"> Наиболее весомой бюджетообразующей сделкой (10</w:t>
      </w:r>
      <w:r w:rsidRPr="00ED0484">
        <w:t xml:space="preserve">,3 </w:t>
      </w:r>
      <w:r>
        <w:t>млрд руб</w:t>
      </w:r>
      <w:r w:rsidRPr="00ED0484">
        <w:t>.</w:t>
      </w:r>
      <w:r>
        <w:t>)</w:t>
      </w:r>
      <w:r w:rsidRPr="00EF78D7">
        <w:t xml:space="preserve">, </w:t>
      </w:r>
      <w:r>
        <w:t xml:space="preserve">как </w:t>
      </w:r>
      <w:r w:rsidR="000F34A0">
        <w:t xml:space="preserve">и </w:t>
      </w:r>
      <w:r>
        <w:t>в 2017 г</w:t>
      </w:r>
      <w:r w:rsidRPr="0066225F">
        <w:t xml:space="preserve">. </w:t>
      </w:r>
      <w:r>
        <w:t>(8</w:t>
      </w:r>
      <w:r w:rsidRPr="00ED0484">
        <w:t>,</w:t>
      </w:r>
      <w:r>
        <w:t>5</w:t>
      </w:r>
      <w:r w:rsidRPr="00ED0484">
        <w:t xml:space="preserve"> </w:t>
      </w:r>
      <w:r>
        <w:t>млрд руб</w:t>
      </w:r>
      <w:r w:rsidRPr="00ED0484">
        <w:t>.)</w:t>
      </w:r>
      <w:r w:rsidRPr="00EF78D7">
        <w:t>,</w:t>
      </w:r>
      <w:r w:rsidRPr="00ED0484">
        <w:t xml:space="preserve"> </w:t>
      </w:r>
      <w:r>
        <w:t>являлась сделка по выкупу в рассрочку пакета акций телекоммуникационной компании</w:t>
      </w:r>
      <w:r w:rsidRPr="000017C7">
        <w:t xml:space="preserve">, </w:t>
      </w:r>
      <w:r>
        <w:t>являющейся совместным российско-индийским предприятием</w:t>
      </w:r>
      <w:r w:rsidRPr="00997009">
        <w:t>,</w:t>
      </w:r>
      <w:r>
        <w:t xml:space="preserve"> со стороны </w:t>
      </w:r>
      <w:r w:rsidRPr="00522485">
        <w:t>АФК «Система»</w:t>
      </w:r>
      <w:r w:rsidRPr="00EF78D7">
        <w:t>.</w:t>
      </w:r>
      <w:r w:rsidRPr="00ED0484">
        <w:t xml:space="preserve"> </w:t>
      </w:r>
      <w:r>
        <w:t>Сделки с акциями компаний</w:t>
      </w:r>
      <w:r w:rsidRPr="00874872">
        <w:t xml:space="preserve">, </w:t>
      </w:r>
      <w:r>
        <w:t xml:space="preserve">которые выделены в прогнозном плане для приватизации </w:t>
      </w:r>
      <w:r>
        <w:rPr>
          <w:szCs w:val="28"/>
        </w:rPr>
        <w:t>н</w:t>
      </w:r>
      <w:r w:rsidRPr="0002579C">
        <w:t>а основании отдель</w:t>
      </w:r>
      <w:r>
        <w:t>ных решений Президента Р</w:t>
      </w:r>
      <w:r w:rsidRPr="0002579C">
        <w:t>Ф и Правительства РФ</w:t>
      </w:r>
      <w:r w:rsidRPr="00874872">
        <w:t xml:space="preserve">, </w:t>
      </w:r>
      <w:r>
        <w:t>не проводились</w:t>
      </w:r>
      <w:r w:rsidRPr="00EF78D7">
        <w:t xml:space="preserve">, </w:t>
      </w:r>
      <w:r>
        <w:t>а общее бюджетное назначение по средствам от продажи акций оказалось невыполненным</w:t>
      </w:r>
      <w:r w:rsidRPr="007D6C1A">
        <w:t>.</w:t>
      </w:r>
    </w:p>
    <w:p w14:paraId="33089D19" w14:textId="096FB173" w:rsidR="00EE0097" w:rsidRPr="00B84D70" w:rsidRDefault="00EE0097" w:rsidP="00EE0097">
      <w:pPr>
        <w:spacing w:after="60"/>
        <w:ind w:firstLine="709"/>
        <w:jc w:val="both"/>
      </w:pPr>
      <w:r>
        <w:t>П</w:t>
      </w:r>
      <w:r>
        <w:rPr>
          <w:rStyle w:val="paragraph"/>
        </w:rPr>
        <w:t xml:space="preserve">о данным оперативного </w:t>
      </w:r>
      <w:r>
        <w:rPr>
          <w:rFonts w:eastAsia="MS Mincho"/>
          <w:lang w:eastAsia="ja-JP"/>
        </w:rPr>
        <w:t xml:space="preserve">Отчета об исполнении федерального бюджета на 1 сентября 2019 г. (по источникам внутреннего финансирования дефицита), представленного на сайте Федерального казначейства, средства от продажи акций и иных форм участия в капитале, находящихся в федеральной собственности, составили </w:t>
      </w:r>
      <w:r w:rsidRPr="003F35E3">
        <w:rPr>
          <w:rFonts w:eastAsia="MS Mincho"/>
          <w:lang w:eastAsia="ja-JP"/>
        </w:rPr>
        <w:t>5</w:t>
      </w:r>
      <w:r w:rsidR="004D3F1C">
        <w:rPr>
          <w:rFonts w:eastAsia="MS Mincho"/>
          <w:lang w:eastAsia="ja-JP"/>
        </w:rPr>
        <w:t>,</w:t>
      </w:r>
      <w:r w:rsidRPr="003F35E3">
        <w:rPr>
          <w:rFonts w:eastAsia="MS Mincho"/>
          <w:lang w:eastAsia="ja-JP"/>
        </w:rPr>
        <w:t>5</w:t>
      </w:r>
      <w:r w:rsidR="004D3F1C">
        <w:rPr>
          <w:rFonts w:eastAsia="MS Mincho"/>
          <w:lang w:eastAsia="ja-JP"/>
        </w:rPr>
        <w:t xml:space="preserve"> млрд</w:t>
      </w:r>
      <w:r w:rsidRPr="002C3516">
        <w:t xml:space="preserve"> </w:t>
      </w:r>
      <w:r>
        <w:t>руб</w:t>
      </w:r>
      <w:r w:rsidRPr="002C3516">
        <w:t>.</w:t>
      </w:r>
      <w:r w:rsidRPr="007E3628">
        <w:t>,</w:t>
      </w:r>
      <w:r>
        <w:t xml:space="preserve"> что сопоставимо с ежегодной величиной поступлений помимо крупнейших сделок</w:t>
      </w:r>
      <w:r w:rsidRPr="007F176F">
        <w:t xml:space="preserve">, </w:t>
      </w:r>
      <w:r>
        <w:t>содержащейся в приватизационной программе 2017-2019 гг</w:t>
      </w:r>
      <w:r w:rsidRPr="00D37DDD">
        <w:t>.</w:t>
      </w:r>
      <w:r>
        <w:t xml:space="preserve"> (5</w:t>
      </w:r>
      <w:r w:rsidRPr="006A6194">
        <w:t xml:space="preserve">,6 </w:t>
      </w:r>
      <w:r>
        <w:t>млрд</w:t>
      </w:r>
      <w:r w:rsidRPr="00C42A7A">
        <w:t xml:space="preserve"> </w:t>
      </w:r>
      <w:r>
        <w:t>руб</w:t>
      </w:r>
      <w:r w:rsidRPr="00C42A7A">
        <w:t>.</w:t>
      </w:r>
      <w:r w:rsidRPr="006A6194">
        <w:t>)</w:t>
      </w:r>
      <w:r w:rsidRPr="00B84D70">
        <w:t xml:space="preserve">. </w:t>
      </w:r>
      <w:r>
        <w:t>Таким образом</w:t>
      </w:r>
      <w:r w:rsidRPr="007043DE">
        <w:t xml:space="preserve">, </w:t>
      </w:r>
      <w:r>
        <w:t>представленные данные в принципе свидетельствуют о реальности намеченных бюджетных проектировок</w:t>
      </w:r>
      <w:r w:rsidR="00B86BFC">
        <w:t>.</w:t>
      </w:r>
    </w:p>
    <w:p w14:paraId="6C7F9541" w14:textId="346AD1B4" w:rsidR="00EE0097" w:rsidRPr="006138D0" w:rsidRDefault="00EE0097" w:rsidP="00EE0097">
      <w:pPr>
        <w:spacing w:after="60"/>
        <w:ind w:firstLine="709"/>
        <w:jc w:val="both"/>
        <w:rPr>
          <w:lang w:eastAsia="en-US"/>
        </w:rPr>
      </w:pPr>
      <w:r w:rsidRPr="009F7B7E">
        <w:t>Весомая роль при формировании доходной части федерального бюджета</w:t>
      </w:r>
      <w:r w:rsidRPr="006D1E15">
        <w:rPr>
          <w:lang w:eastAsia="en-US"/>
        </w:rPr>
        <w:t xml:space="preserve"> </w:t>
      </w:r>
      <w:r w:rsidRPr="009F7B7E">
        <w:rPr>
          <w:lang w:eastAsia="en-US"/>
        </w:rPr>
        <w:t xml:space="preserve">на </w:t>
      </w:r>
      <w:r>
        <w:rPr>
          <w:lang w:eastAsia="en-US"/>
        </w:rPr>
        <w:t xml:space="preserve">будущий </w:t>
      </w:r>
      <w:r w:rsidRPr="009F7B7E">
        <w:rPr>
          <w:lang w:eastAsia="en-US"/>
        </w:rPr>
        <w:t>г</w:t>
      </w:r>
      <w:r>
        <w:rPr>
          <w:lang w:eastAsia="en-US"/>
        </w:rPr>
        <w:t>од</w:t>
      </w:r>
      <w:r w:rsidRPr="009F7B7E">
        <w:t xml:space="preserve"> отведена поступлениям от продажи </w:t>
      </w:r>
      <w:r w:rsidRPr="009F7B7E">
        <w:rPr>
          <w:lang w:eastAsia="en-US"/>
        </w:rPr>
        <w:t xml:space="preserve">материальных и нематериальных активов, которые прогнозируются в сумме </w:t>
      </w:r>
      <w:r>
        <w:rPr>
          <w:lang w:eastAsia="en-US"/>
        </w:rPr>
        <w:t>около 10</w:t>
      </w:r>
      <w:r w:rsidRPr="00542B2D">
        <w:rPr>
          <w:lang w:eastAsia="en-US"/>
        </w:rPr>
        <w:t>9</w:t>
      </w:r>
      <w:r w:rsidRPr="001B148C">
        <w:rPr>
          <w:lang w:eastAsia="en-US"/>
        </w:rPr>
        <w:t>,</w:t>
      </w:r>
      <w:r w:rsidRPr="00542B2D">
        <w:rPr>
          <w:lang w:eastAsia="en-US"/>
        </w:rPr>
        <w:t>6</w:t>
      </w:r>
      <w:r w:rsidRPr="009F7B7E">
        <w:rPr>
          <w:lang w:eastAsia="en-US"/>
        </w:rPr>
        <w:t xml:space="preserve"> млрд руб</w:t>
      </w:r>
      <w:r>
        <w:rPr>
          <w:lang w:eastAsia="en-US"/>
        </w:rPr>
        <w:t>. Для 202</w:t>
      </w:r>
      <w:r w:rsidRPr="00542B2D">
        <w:rPr>
          <w:lang w:eastAsia="en-US"/>
        </w:rPr>
        <w:t>1</w:t>
      </w:r>
      <w:r>
        <w:rPr>
          <w:lang w:eastAsia="en-US"/>
        </w:rPr>
        <w:t xml:space="preserve"> г</w:t>
      </w:r>
      <w:r w:rsidRPr="006138D0">
        <w:rPr>
          <w:lang w:eastAsia="en-US"/>
        </w:rPr>
        <w:t xml:space="preserve">. </w:t>
      </w:r>
      <w:r>
        <w:rPr>
          <w:lang w:eastAsia="en-US"/>
        </w:rPr>
        <w:t>и 20</w:t>
      </w:r>
      <w:r w:rsidRPr="00971065">
        <w:rPr>
          <w:lang w:eastAsia="en-US"/>
        </w:rPr>
        <w:t>2</w:t>
      </w:r>
      <w:r w:rsidRPr="00542B2D">
        <w:rPr>
          <w:lang w:eastAsia="en-US"/>
        </w:rPr>
        <w:t>2</w:t>
      </w:r>
      <w:r>
        <w:rPr>
          <w:lang w:eastAsia="en-US"/>
        </w:rPr>
        <w:t xml:space="preserve"> г</w:t>
      </w:r>
      <w:r w:rsidRPr="006138D0">
        <w:rPr>
          <w:lang w:eastAsia="en-US"/>
        </w:rPr>
        <w:t xml:space="preserve">. </w:t>
      </w:r>
      <w:r>
        <w:rPr>
          <w:lang w:eastAsia="en-US"/>
        </w:rPr>
        <w:t>эти величины составят 9</w:t>
      </w:r>
      <w:r w:rsidRPr="00542B2D">
        <w:rPr>
          <w:lang w:eastAsia="en-US"/>
        </w:rPr>
        <w:t>1</w:t>
      </w:r>
      <w:r w:rsidRPr="006138D0">
        <w:rPr>
          <w:lang w:eastAsia="en-US"/>
        </w:rPr>
        <w:t>,</w:t>
      </w:r>
      <w:r w:rsidR="0081751D">
        <w:rPr>
          <w:lang w:eastAsia="en-US"/>
        </w:rPr>
        <w:t>9</w:t>
      </w:r>
      <w:r w:rsidRPr="006138D0">
        <w:rPr>
          <w:lang w:eastAsia="en-US"/>
        </w:rPr>
        <w:t xml:space="preserve"> </w:t>
      </w:r>
      <w:r>
        <w:rPr>
          <w:lang w:eastAsia="en-US"/>
        </w:rPr>
        <w:t>млрд</w:t>
      </w:r>
      <w:r w:rsidRPr="006138D0">
        <w:rPr>
          <w:lang w:eastAsia="en-US"/>
        </w:rPr>
        <w:t xml:space="preserve"> </w:t>
      </w:r>
      <w:r>
        <w:rPr>
          <w:lang w:eastAsia="en-US"/>
        </w:rPr>
        <w:t>руб</w:t>
      </w:r>
      <w:r w:rsidRPr="006138D0">
        <w:rPr>
          <w:lang w:eastAsia="en-US"/>
        </w:rPr>
        <w:t xml:space="preserve">. </w:t>
      </w:r>
      <w:r>
        <w:rPr>
          <w:lang w:eastAsia="en-US"/>
        </w:rPr>
        <w:t xml:space="preserve">и </w:t>
      </w:r>
      <w:r w:rsidRPr="00542B2D">
        <w:rPr>
          <w:lang w:eastAsia="en-US"/>
        </w:rPr>
        <w:t>88</w:t>
      </w:r>
      <w:r w:rsidRPr="006138D0">
        <w:rPr>
          <w:lang w:eastAsia="en-US"/>
        </w:rPr>
        <w:t>,</w:t>
      </w:r>
      <w:r w:rsidRPr="00542B2D">
        <w:rPr>
          <w:lang w:eastAsia="en-US"/>
        </w:rPr>
        <w:t>2</w:t>
      </w:r>
      <w:r w:rsidRPr="006138D0">
        <w:rPr>
          <w:lang w:eastAsia="en-US"/>
        </w:rPr>
        <w:t xml:space="preserve"> </w:t>
      </w:r>
      <w:r>
        <w:rPr>
          <w:lang w:eastAsia="en-US"/>
        </w:rPr>
        <w:t>млрд</w:t>
      </w:r>
      <w:r w:rsidRPr="006138D0">
        <w:rPr>
          <w:lang w:eastAsia="en-US"/>
        </w:rPr>
        <w:t xml:space="preserve"> </w:t>
      </w:r>
      <w:r>
        <w:rPr>
          <w:lang w:eastAsia="en-US"/>
        </w:rPr>
        <w:t>руб</w:t>
      </w:r>
      <w:r w:rsidRPr="006138D0">
        <w:rPr>
          <w:lang w:eastAsia="en-US"/>
        </w:rPr>
        <w:t xml:space="preserve">. </w:t>
      </w:r>
      <w:r>
        <w:rPr>
          <w:lang w:eastAsia="en-US"/>
        </w:rPr>
        <w:t>соответственно</w:t>
      </w:r>
      <w:r w:rsidRPr="006138D0">
        <w:rPr>
          <w:lang w:eastAsia="en-US"/>
        </w:rPr>
        <w:t>.</w:t>
      </w:r>
    </w:p>
    <w:p w14:paraId="758DE242" w14:textId="5383EA66" w:rsidR="00EE0097" w:rsidRDefault="00EE0097" w:rsidP="00EE0097">
      <w:pPr>
        <w:spacing w:after="60"/>
        <w:ind w:firstLine="709"/>
        <w:jc w:val="both"/>
        <w:rPr>
          <w:lang w:eastAsia="en-US"/>
        </w:rPr>
      </w:pPr>
      <w:r w:rsidRPr="009F7B7E">
        <w:rPr>
          <w:lang w:eastAsia="en-US"/>
        </w:rPr>
        <w:t xml:space="preserve">В структуре </w:t>
      </w:r>
      <w:r>
        <w:rPr>
          <w:lang w:eastAsia="en-US"/>
        </w:rPr>
        <w:t>этих поступлений в 20</w:t>
      </w:r>
      <w:r w:rsidRPr="00542B2D">
        <w:rPr>
          <w:lang w:eastAsia="en-US"/>
        </w:rPr>
        <w:t>20</w:t>
      </w:r>
      <w:r w:rsidRPr="009F7B7E">
        <w:rPr>
          <w:lang w:eastAsia="en-US"/>
        </w:rPr>
        <w:t xml:space="preserve"> г. превалируют доходы </w:t>
      </w:r>
      <w:r>
        <w:rPr>
          <w:lang w:eastAsia="en-US"/>
        </w:rPr>
        <w:t xml:space="preserve">от </w:t>
      </w:r>
      <w:r w:rsidRPr="009F7B7E">
        <w:rPr>
          <w:lang w:eastAsia="en-US"/>
        </w:rPr>
        <w:t xml:space="preserve">выпуска материальных ценностей из государственного резерва </w:t>
      </w:r>
      <w:r>
        <w:rPr>
          <w:lang w:eastAsia="en-US"/>
        </w:rPr>
        <w:t>(</w:t>
      </w:r>
      <w:r w:rsidRPr="00542B2D">
        <w:rPr>
          <w:lang w:eastAsia="en-US"/>
        </w:rPr>
        <w:t>4</w:t>
      </w:r>
      <w:r>
        <w:rPr>
          <w:lang w:eastAsia="en-US"/>
        </w:rPr>
        <w:t>3</w:t>
      </w:r>
      <w:r w:rsidRPr="009F7B7E">
        <w:rPr>
          <w:lang w:eastAsia="en-US"/>
        </w:rPr>
        <w:t>,</w:t>
      </w:r>
      <w:r>
        <w:rPr>
          <w:lang w:eastAsia="en-US"/>
        </w:rPr>
        <w:t>5 млрд руб.)</w:t>
      </w:r>
      <w:r w:rsidR="00A27E4D">
        <w:rPr>
          <w:lang w:eastAsia="en-US"/>
        </w:rPr>
        <w:t xml:space="preserve"> </w:t>
      </w:r>
      <w:r w:rsidRPr="009F7B7E">
        <w:rPr>
          <w:lang w:eastAsia="en-US"/>
        </w:rPr>
        <w:t>в виде доли прибыльной продукции государства</w:t>
      </w:r>
      <w:r w:rsidRPr="00DB21A3">
        <w:rPr>
          <w:lang w:eastAsia="en-US"/>
        </w:rPr>
        <w:t xml:space="preserve"> </w:t>
      </w:r>
      <w:r w:rsidRPr="009F7B7E">
        <w:rPr>
          <w:lang w:eastAsia="en-US"/>
        </w:rPr>
        <w:t>при выполнении соглашений о разделе продукции (СРП)</w:t>
      </w:r>
      <w:r>
        <w:rPr>
          <w:lang w:eastAsia="en-US"/>
        </w:rPr>
        <w:t xml:space="preserve"> (2</w:t>
      </w:r>
      <w:r w:rsidRPr="00542B2D">
        <w:rPr>
          <w:lang w:eastAsia="en-US"/>
        </w:rPr>
        <w:t>7</w:t>
      </w:r>
      <w:r w:rsidRPr="009F7B7E">
        <w:rPr>
          <w:lang w:eastAsia="en-US"/>
        </w:rPr>
        <w:t>,</w:t>
      </w:r>
      <w:r>
        <w:rPr>
          <w:lang w:eastAsia="en-US"/>
        </w:rPr>
        <w:t>7</w:t>
      </w:r>
      <w:r w:rsidRPr="009F7B7E">
        <w:rPr>
          <w:lang w:eastAsia="en-US"/>
        </w:rPr>
        <w:t xml:space="preserve"> млрд руб.)</w:t>
      </w:r>
      <w:r>
        <w:rPr>
          <w:rStyle w:val="aa"/>
          <w:lang w:eastAsia="en-US"/>
        </w:rPr>
        <w:footnoteReference w:id="6"/>
      </w:r>
      <w:r w:rsidRPr="00DB21A3">
        <w:rPr>
          <w:lang w:eastAsia="en-US"/>
        </w:rPr>
        <w:t xml:space="preserve"> </w:t>
      </w:r>
      <w:r w:rsidRPr="009F7B7E">
        <w:rPr>
          <w:lang w:eastAsia="en-US"/>
        </w:rPr>
        <w:t>и</w:t>
      </w:r>
      <w:r w:rsidRPr="00DB21A3">
        <w:rPr>
          <w:lang w:eastAsia="en-US"/>
        </w:rPr>
        <w:t xml:space="preserve"> </w:t>
      </w:r>
      <w:r w:rsidRPr="009F7B7E">
        <w:rPr>
          <w:lang w:eastAsia="en-US"/>
        </w:rPr>
        <w:t xml:space="preserve">от привлечения осужденных к оплачиваемому труду (в части </w:t>
      </w:r>
      <w:r>
        <w:rPr>
          <w:lang w:eastAsia="en-US"/>
        </w:rPr>
        <w:t>реализации готовой продукции) (2</w:t>
      </w:r>
      <w:r w:rsidRPr="00542B2D">
        <w:rPr>
          <w:lang w:eastAsia="en-US"/>
        </w:rPr>
        <w:t>2</w:t>
      </w:r>
      <w:r w:rsidRPr="009F7B7E">
        <w:rPr>
          <w:lang w:eastAsia="en-US"/>
        </w:rPr>
        <w:t>,</w:t>
      </w:r>
      <w:r w:rsidRPr="00542B2D">
        <w:rPr>
          <w:lang w:eastAsia="en-US"/>
        </w:rPr>
        <w:t>4</w:t>
      </w:r>
      <w:r w:rsidRPr="009F7B7E">
        <w:rPr>
          <w:lang w:eastAsia="en-US"/>
        </w:rPr>
        <w:t xml:space="preserve"> млрд руб.).</w:t>
      </w:r>
    </w:p>
    <w:p w14:paraId="5F2E03B9" w14:textId="39325B68" w:rsidR="00EE0097" w:rsidRDefault="00EE0097" w:rsidP="00EE0097">
      <w:pPr>
        <w:spacing w:after="60"/>
        <w:ind w:firstLine="709"/>
        <w:jc w:val="both"/>
        <w:rPr>
          <w:lang w:eastAsia="en-US"/>
        </w:rPr>
      </w:pPr>
      <w:r>
        <w:rPr>
          <w:lang w:eastAsia="en-US"/>
        </w:rPr>
        <w:t xml:space="preserve">Другими значимыми источниками являются </w:t>
      </w:r>
      <w:r w:rsidRPr="002A4A50">
        <w:rPr>
          <w:color w:val="000000"/>
        </w:rPr>
        <w:t>выпуск материальных ценностей из государственного запаса специального сырья и делящихся материалов (в части доходов от реализации, от предоставления во временное заимствование и иного использования материальных ценностей по указанному имуществу)</w:t>
      </w:r>
      <w:r>
        <w:rPr>
          <w:color w:val="000000"/>
        </w:rPr>
        <w:t xml:space="preserve"> (3</w:t>
      </w:r>
      <w:r w:rsidRPr="002A4A50">
        <w:rPr>
          <w:color w:val="000000"/>
        </w:rPr>
        <w:t>,</w:t>
      </w:r>
      <w:r>
        <w:rPr>
          <w:color w:val="000000"/>
        </w:rPr>
        <w:t>4</w:t>
      </w:r>
      <w:r w:rsidRPr="002A4A50">
        <w:rPr>
          <w:color w:val="000000"/>
        </w:rPr>
        <w:t xml:space="preserve"> </w:t>
      </w:r>
      <w:r>
        <w:rPr>
          <w:color w:val="000000"/>
        </w:rPr>
        <w:t>млрд</w:t>
      </w:r>
      <w:r w:rsidRPr="002A4A50">
        <w:rPr>
          <w:color w:val="000000"/>
        </w:rPr>
        <w:t xml:space="preserve"> </w:t>
      </w:r>
      <w:r>
        <w:rPr>
          <w:color w:val="000000"/>
        </w:rPr>
        <w:t>руб</w:t>
      </w:r>
      <w:r w:rsidRPr="002A4A50">
        <w:rPr>
          <w:color w:val="000000"/>
        </w:rPr>
        <w:t xml:space="preserve">.), </w:t>
      </w:r>
      <w:r w:rsidRPr="00E95293">
        <w:t>реализаци</w:t>
      </w:r>
      <w:r>
        <w:t>я</w:t>
      </w:r>
      <w:r w:rsidRPr="00E95293">
        <w:t xml:space="preserve">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w:t>
      </w:r>
      <w:r>
        <w:rPr>
          <w:sz w:val="20"/>
        </w:rPr>
        <w:t xml:space="preserve"> (</w:t>
      </w:r>
      <w:r>
        <w:rPr>
          <w:spacing w:val="4"/>
          <w:szCs w:val="28"/>
          <w:lang w:eastAsia="en-US"/>
        </w:rPr>
        <w:t>около 3</w:t>
      </w:r>
      <w:r w:rsidRPr="001B148C">
        <w:rPr>
          <w:spacing w:val="4"/>
          <w:szCs w:val="28"/>
          <w:lang w:eastAsia="en-US"/>
        </w:rPr>
        <w:t>,</w:t>
      </w:r>
      <w:r>
        <w:rPr>
          <w:spacing w:val="4"/>
          <w:szCs w:val="28"/>
          <w:lang w:eastAsia="en-US"/>
        </w:rPr>
        <w:t>5</w:t>
      </w:r>
      <w:r w:rsidRPr="001B148C">
        <w:rPr>
          <w:spacing w:val="4"/>
          <w:szCs w:val="28"/>
          <w:lang w:eastAsia="en-US"/>
        </w:rPr>
        <w:t xml:space="preserve"> </w:t>
      </w:r>
      <w:r>
        <w:rPr>
          <w:lang w:eastAsia="en-US"/>
        </w:rPr>
        <w:t>млрд</w:t>
      </w:r>
      <w:r w:rsidRPr="001B148C">
        <w:rPr>
          <w:lang w:eastAsia="en-US"/>
        </w:rPr>
        <w:t xml:space="preserve"> </w:t>
      </w:r>
      <w:r>
        <w:rPr>
          <w:lang w:eastAsia="en-US"/>
        </w:rPr>
        <w:t>руб</w:t>
      </w:r>
      <w:r w:rsidRPr="001B148C">
        <w:rPr>
          <w:lang w:eastAsia="en-US"/>
        </w:rPr>
        <w:t>.</w:t>
      </w:r>
      <w:r>
        <w:rPr>
          <w:lang w:eastAsia="en-US"/>
        </w:rPr>
        <w:t>)</w:t>
      </w:r>
      <w:r w:rsidRPr="0060101C">
        <w:rPr>
          <w:lang w:eastAsia="en-US"/>
        </w:rPr>
        <w:t xml:space="preserve">, </w:t>
      </w:r>
      <w:r>
        <w:rPr>
          <w:lang w:eastAsia="en-US"/>
        </w:rPr>
        <w:t xml:space="preserve">а также </w:t>
      </w:r>
      <w:r w:rsidRPr="006F6B4B">
        <w:rPr>
          <w:spacing w:val="4"/>
          <w:szCs w:val="28"/>
          <w:lang w:eastAsia="en-US"/>
        </w:rPr>
        <w:t>иного имущества, находящегося в федеральной собственности (за исключением имущества федеральных бюджетных и автономных учреждений, федеральных государственных унитарных предприятий, в том числе казенных)</w:t>
      </w:r>
      <w:r w:rsidRPr="00B55186">
        <w:rPr>
          <w:spacing w:val="4"/>
          <w:szCs w:val="28"/>
          <w:lang w:eastAsia="en-US"/>
        </w:rPr>
        <w:t xml:space="preserve"> </w:t>
      </w:r>
      <w:r>
        <w:rPr>
          <w:spacing w:val="4"/>
          <w:szCs w:val="28"/>
          <w:lang w:eastAsia="en-US"/>
        </w:rPr>
        <w:t>– более 4</w:t>
      </w:r>
      <w:r w:rsidRPr="001B148C">
        <w:rPr>
          <w:spacing w:val="4"/>
          <w:szCs w:val="28"/>
          <w:lang w:eastAsia="en-US"/>
        </w:rPr>
        <w:t>,</w:t>
      </w:r>
      <w:r>
        <w:rPr>
          <w:spacing w:val="4"/>
          <w:szCs w:val="28"/>
          <w:lang w:eastAsia="en-US"/>
        </w:rPr>
        <w:t>5</w:t>
      </w:r>
      <w:r w:rsidRPr="001B148C">
        <w:rPr>
          <w:spacing w:val="4"/>
          <w:szCs w:val="28"/>
          <w:lang w:eastAsia="en-US"/>
        </w:rPr>
        <w:t xml:space="preserve"> </w:t>
      </w:r>
      <w:r>
        <w:rPr>
          <w:lang w:eastAsia="en-US"/>
        </w:rPr>
        <w:t>млрд</w:t>
      </w:r>
      <w:r w:rsidRPr="001B148C">
        <w:rPr>
          <w:lang w:eastAsia="en-US"/>
        </w:rPr>
        <w:t xml:space="preserve"> </w:t>
      </w:r>
      <w:r>
        <w:rPr>
          <w:lang w:eastAsia="en-US"/>
        </w:rPr>
        <w:t>руб</w:t>
      </w:r>
      <w:r w:rsidRPr="001B148C">
        <w:rPr>
          <w:lang w:eastAsia="en-US"/>
        </w:rPr>
        <w:t>.</w:t>
      </w:r>
      <w:r>
        <w:rPr>
          <w:rStyle w:val="aa"/>
          <w:lang w:eastAsia="en-US"/>
        </w:rPr>
        <w:footnoteReference w:id="7"/>
      </w:r>
      <w:r w:rsidRPr="00E16DC1">
        <w:rPr>
          <w:lang w:eastAsia="en-US"/>
        </w:rPr>
        <w:t>.</w:t>
      </w:r>
    </w:p>
    <w:p w14:paraId="0351B2E4" w14:textId="5BE9830A" w:rsidR="00EE0097" w:rsidRPr="00843A10" w:rsidRDefault="00EE0097" w:rsidP="00EE0097">
      <w:pPr>
        <w:spacing w:after="60"/>
        <w:ind w:firstLine="709"/>
        <w:jc w:val="both"/>
        <w:rPr>
          <w:lang w:eastAsia="en-US"/>
        </w:rPr>
      </w:pPr>
      <w:r w:rsidRPr="009F7B7E">
        <w:rPr>
          <w:lang w:eastAsia="en-US"/>
        </w:rPr>
        <w:t xml:space="preserve">Как следует из представленного перечня, </w:t>
      </w:r>
      <w:r>
        <w:rPr>
          <w:lang w:eastAsia="en-US"/>
        </w:rPr>
        <w:t xml:space="preserve">основная </w:t>
      </w:r>
      <w:r w:rsidRPr="009F7B7E">
        <w:rPr>
          <w:lang w:eastAsia="en-US"/>
        </w:rPr>
        <w:t>часть доходных статей бюджета</w:t>
      </w:r>
      <w:r w:rsidRPr="001B148C">
        <w:rPr>
          <w:lang w:eastAsia="en-US"/>
        </w:rPr>
        <w:t xml:space="preserve"> </w:t>
      </w:r>
      <w:r>
        <w:rPr>
          <w:lang w:eastAsia="en-US"/>
        </w:rPr>
        <w:t xml:space="preserve">по этому разделу </w:t>
      </w:r>
      <w:r w:rsidRPr="009F7B7E">
        <w:rPr>
          <w:lang w:eastAsia="en-US"/>
        </w:rPr>
        <w:t>имеет весьма отдаленное отношение к классической приватизационной проблематике.</w:t>
      </w:r>
      <w:r>
        <w:rPr>
          <w:lang w:eastAsia="en-US"/>
        </w:rPr>
        <w:t xml:space="preserve"> В большей мере к ней относятся </w:t>
      </w:r>
      <w:r w:rsidRPr="009F7B7E">
        <w:rPr>
          <w:lang w:eastAsia="en-US"/>
        </w:rPr>
        <w:t>доход</w:t>
      </w:r>
      <w:r>
        <w:rPr>
          <w:lang w:eastAsia="en-US"/>
        </w:rPr>
        <w:t>ы</w:t>
      </w:r>
      <w:r w:rsidRPr="009F7B7E">
        <w:rPr>
          <w:lang w:eastAsia="en-US"/>
        </w:rPr>
        <w:t xml:space="preserve"> от продажи земельных участков, находящихся в федеральной собственности (за исключением земельных участков федеральных бюджетных и автономных учреждений), </w:t>
      </w:r>
      <w:r>
        <w:rPr>
          <w:lang w:eastAsia="en-US"/>
        </w:rPr>
        <w:t>которые прогнозируются на 2020-2022 г</w:t>
      </w:r>
      <w:r w:rsidRPr="009F7B7E">
        <w:rPr>
          <w:lang w:eastAsia="en-US"/>
        </w:rPr>
        <w:t xml:space="preserve">г. в </w:t>
      </w:r>
      <w:r>
        <w:rPr>
          <w:lang w:eastAsia="en-US"/>
        </w:rPr>
        <w:t>сумме</w:t>
      </w:r>
      <w:r w:rsidRPr="009F7B7E">
        <w:rPr>
          <w:lang w:eastAsia="en-US"/>
        </w:rPr>
        <w:t xml:space="preserve"> </w:t>
      </w:r>
      <w:r>
        <w:rPr>
          <w:lang w:eastAsia="en-US"/>
        </w:rPr>
        <w:t>около 1</w:t>
      </w:r>
      <w:r w:rsidRPr="006138D0">
        <w:rPr>
          <w:lang w:eastAsia="en-US"/>
        </w:rPr>
        <w:t>,</w:t>
      </w:r>
      <w:r>
        <w:rPr>
          <w:lang w:eastAsia="en-US"/>
        </w:rPr>
        <w:t>9-2</w:t>
      </w:r>
      <w:r w:rsidRPr="0060101C">
        <w:rPr>
          <w:lang w:eastAsia="en-US"/>
        </w:rPr>
        <w:t>,</w:t>
      </w:r>
      <w:r>
        <w:rPr>
          <w:lang w:eastAsia="en-US"/>
        </w:rPr>
        <w:t>0</w:t>
      </w:r>
      <w:r w:rsidRPr="006138D0">
        <w:rPr>
          <w:lang w:eastAsia="en-US"/>
        </w:rPr>
        <w:t xml:space="preserve"> </w:t>
      </w:r>
      <w:r w:rsidRPr="009F7B7E">
        <w:rPr>
          <w:lang w:eastAsia="en-US"/>
        </w:rPr>
        <w:t>млрд руб.</w:t>
      </w:r>
      <w:r w:rsidRPr="006138D0">
        <w:rPr>
          <w:lang w:eastAsia="en-US"/>
        </w:rPr>
        <w:t xml:space="preserve"> </w:t>
      </w:r>
      <w:r>
        <w:rPr>
          <w:lang w:eastAsia="en-US"/>
        </w:rPr>
        <w:t>ежегодно</w:t>
      </w:r>
      <w:r w:rsidRPr="009F7B7E">
        <w:rPr>
          <w:lang w:eastAsia="en-US"/>
        </w:rPr>
        <w:t>,</w:t>
      </w:r>
      <w:r>
        <w:rPr>
          <w:lang w:eastAsia="en-US"/>
        </w:rPr>
        <w:t xml:space="preserve"> что превосходит величину показателя 2018 г</w:t>
      </w:r>
      <w:r w:rsidRPr="00F16936">
        <w:rPr>
          <w:lang w:eastAsia="en-US"/>
        </w:rPr>
        <w:t xml:space="preserve">. </w:t>
      </w:r>
      <w:r>
        <w:rPr>
          <w:lang w:eastAsia="en-US"/>
        </w:rPr>
        <w:t>на 14-23%</w:t>
      </w:r>
      <w:r w:rsidRPr="00843A10">
        <w:rPr>
          <w:lang w:eastAsia="en-US"/>
        </w:rPr>
        <w:t xml:space="preserve">, </w:t>
      </w:r>
      <w:r>
        <w:rPr>
          <w:lang w:eastAsia="en-US"/>
        </w:rPr>
        <w:t>а поступления</w:t>
      </w:r>
      <w:r w:rsidRPr="006138D0">
        <w:rPr>
          <w:lang w:eastAsia="en-US"/>
        </w:rPr>
        <w:t xml:space="preserve">, </w:t>
      </w:r>
      <w:r>
        <w:rPr>
          <w:lang w:eastAsia="en-US"/>
        </w:rPr>
        <w:t>ожидаемые в 2019 г</w:t>
      </w:r>
      <w:r w:rsidRPr="006138D0">
        <w:rPr>
          <w:lang w:eastAsia="en-US"/>
        </w:rPr>
        <w:t>.</w:t>
      </w:r>
      <w:r w:rsidRPr="00BF0205">
        <w:rPr>
          <w:lang w:eastAsia="en-US"/>
        </w:rPr>
        <w:t>,</w:t>
      </w:r>
      <w:r>
        <w:rPr>
          <w:lang w:eastAsia="en-US"/>
        </w:rPr>
        <w:t xml:space="preserve"> – на 39-50%</w:t>
      </w:r>
      <w:r w:rsidRPr="00843A10">
        <w:rPr>
          <w:lang w:eastAsia="en-US"/>
        </w:rPr>
        <w:t>.</w:t>
      </w:r>
    </w:p>
    <w:p w14:paraId="1D67D671" w14:textId="77777777" w:rsidR="0006181E" w:rsidRDefault="0006181E" w:rsidP="00FF6CB8">
      <w:pPr>
        <w:spacing w:after="60"/>
        <w:ind w:firstLine="709"/>
        <w:jc w:val="both"/>
        <w:rPr>
          <w:rFonts w:eastAsia="MS Mincho"/>
          <w:b/>
          <w:i/>
          <w:szCs w:val="20"/>
          <w:lang w:eastAsia="ja-JP"/>
        </w:rPr>
      </w:pPr>
    </w:p>
    <w:p w14:paraId="19726595" w14:textId="4B26751E" w:rsidR="00FF6CB8" w:rsidRPr="00365C20" w:rsidRDefault="00FF6CB8" w:rsidP="00FF6CB8">
      <w:pPr>
        <w:spacing w:after="60"/>
        <w:ind w:firstLine="709"/>
        <w:jc w:val="both"/>
        <w:rPr>
          <w:rFonts w:eastAsia="MS Mincho"/>
          <w:b/>
          <w:i/>
          <w:szCs w:val="20"/>
          <w:lang w:eastAsia="ja-JP"/>
        </w:rPr>
      </w:pPr>
      <w:r w:rsidRPr="00365C20">
        <w:rPr>
          <w:rFonts w:eastAsia="MS Mincho"/>
          <w:b/>
          <w:i/>
          <w:szCs w:val="20"/>
          <w:lang w:eastAsia="ja-JP"/>
        </w:rPr>
        <w:t>Доходы от использования государственного имущества</w:t>
      </w:r>
    </w:p>
    <w:p w14:paraId="4DE16D24" w14:textId="7CFA3440" w:rsidR="005768D2" w:rsidRDefault="005768D2" w:rsidP="005768D2">
      <w:pPr>
        <w:spacing w:after="60"/>
        <w:ind w:firstLine="709"/>
        <w:jc w:val="both"/>
        <w:rPr>
          <w:szCs w:val="28"/>
          <w:lang w:eastAsia="en-US"/>
        </w:rPr>
      </w:pPr>
      <w:r w:rsidRPr="006F6B4B">
        <w:rPr>
          <w:szCs w:val="28"/>
          <w:lang w:eastAsia="en-US"/>
        </w:rPr>
        <w:t>Доходы от использования имущества, находящегося в государственной и муниципальной собственности, на 20</w:t>
      </w:r>
      <w:r>
        <w:rPr>
          <w:szCs w:val="28"/>
          <w:lang w:eastAsia="en-US"/>
        </w:rPr>
        <w:t xml:space="preserve">20 </w:t>
      </w:r>
      <w:r w:rsidRPr="006F6B4B">
        <w:rPr>
          <w:szCs w:val="28"/>
          <w:lang w:eastAsia="en-US"/>
        </w:rPr>
        <w:t>г</w:t>
      </w:r>
      <w:r w:rsidRPr="0047584F">
        <w:rPr>
          <w:szCs w:val="28"/>
          <w:lang w:eastAsia="en-US"/>
        </w:rPr>
        <w:t>.</w:t>
      </w:r>
      <w:r w:rsidRPr="006F6B4B">
        <w:rPr>
          <w:szCs w:val="28"/>
          <w:lang w:eastAsia="en-US"/>
        </w:rPr>
        <w:t xml:space="preserve"> прогнозируются в объеме </w:t>
      </w:r>
      <w:r>
        <w:rPr>
          <w:szCs w:val="28"/>
          <w:lang w:eastAsia="en-US"/>
        </w:rPr>
        <w:t>868</w:t>
      </w:r>
      <w:r w:rsidRPr="0047584F">
        <w:rPr>
          <w:szCs w:val="28"/>
          <w:lang w:eastAsia="en-US"/>
        </w:rPr>
        <w:t>,</w:t>
      </w:r>
      <w:r>
        <w:rPr>
          <w:szCs w:val="28"/>
          <w:lang w:eastAsia="en-US"/>
        </w:rPr>
        <w:t>5</w:t>
      </w:r>
      <w:r w:rsidRPr="006F6B4B">
        <w:rPr>
          <w:szCs w:val="28"/>
          <w:lang w:eastAsia="en-US"/>
        </w:rPr>
        <w:t xml:space="preserve"> мл</w:t>
      </w:r>
      <w:r>
        <w:rPr>
          <w:szCs w:val="28"/>
          <w:lang w:eastAsia="en-US"/>
        </w:rPr>
        <w:t>рд</w:t>
      </w:r>
      <w:r w:rsidRPr="006F6B4B">
        <w:rPr>
          <w:szCs w:val="28"/>
          <w:lang w:eastAsia="en-US"/>
        </w:rPr>
        <w:t xml:space="preserve"> руб</w:t>
      </w:r>
      <w:r w:rsidRPr="0047584F">
        <w:rPr>
          <w:szCs w:val="28"/>
          <w:lang w:eastAsia="en-US"/>
        </w:rPr>
        <w:t>.</w:t>
      </w:r>
      <w:r w:rsidRPr="006F6B4B">
        <w:rPr>
          <w:szCs w:val="28"/>
          <w:lang w:eastAsia="en-US"/>
        </w:rPr>
        <w:t xml:space="preserve">, что на </w:t>
      </w:r>
      <w:r>
        <w:rPr>
          <w:szCs w:val="28"/>
          <w:lang w:eastAsia="en-US"/>
        </w:rPr>
        <w:t>99</w:t>
      </w:r>
      <w:r w:rsidRPr="00B4210F">
        <w:rPr>
          <w:szCs w:val="28"/>
          <w:lang w:eastAsia="en-US"/>
        </w:rPr>
        <w:t>,</w:t>
      </w:r>
      <w:r>
        <w:rPr>
          <w:szCs w:val="28"/>
          <w:lang w:eastAsia="en-US"/>
        </w:rPr>
        <w:t>1</w:t>
      </w:r>
      <w:r w:rsidRPr="006F6B4B">
        <w:rPr>
          <w:szCs w:val="28"/>
          <w:lang w:eastAsia="en-US"/>
        </w:rPr>
        <w:t xml:space="preserve"> мл</w:t>
      </w:r>
      <w:r>
        <w:rPr>
          <w:szCs w:val="28"/>
          <w:lang w:eastAsia="en-US"/>
        </w:rPr>
        <w:t>рд</w:t>
      </w:r>
      <w:r w:rsidRPr="006F6B4B">
        <w:rPr>
          <w:szCs w:val="28"/>
          <w:lang w:eastAsia="en-US"/>
        </w:rPr>
        <w:t xml:space="preserve"> руб</w:t>
      </w:r>
      <w:r w:rsidRPr="00B4210F">
        <w:rPr>
          <w:szCs w:val="28"/>
          <w:lang w:eastAsia="en-US"/>
        </w:rPr>
        <w:t>.</w:t>
      </w:r>
      <w:r w:rsidRPr="006F6B4B">
        <w:rPr>
          <w:szCs w:val="28"/>
          <w:lang w:eastAsia="en-US"/>
        </w:rPr>
        <w:t xml:space="preserve"> </w:t>
      </w:r>
      <w:r>
        <w:rPr>
          <w:szCs w:val="28"/>
          <w:lang w:eastAsia="en-US"/>
        </w:rPr>
        <w:t>бол</w:t>
      </w:r>
      <w:r w:rsidRPr="006F6B4B">
        <w:rPr>
          <w:szCs w:val="28"/>
          <w:lang w:eastAsia="en-US"/>
        </w:rPr>
        <w:t>ьше уточненной оценки соответствующих поступлений в 201</w:t>
      </w:r>
      <w:r>
        <w:rPr>
          <w:szCs w:val="28"/>
          <w:lang w:eastAsia="en-US"/>
        </w:rPr>
        <w:t>9</w:t>
      </w:r>
      <w:r w:rsidRPr="006F6B4B">
        <w:rPr>
          <w:szCs w:val="28"/>
          <w:lang w:eastAsia="en-US"/>
        </w:rPr>
        <w:t xml:space="preserve"> г.</w:t>
      </w:r>
      <w:r>
        <w:rPr>
          <w:szCs w:val="28"/>
          <w:lang w:eastAsia="en-US"/>
        </w:rPr>
        <w:t xml:space="preserve"> </w:t>
      </w:r>
      <w:r w:rsidRPr="006F6B4B">
        <w:rPr>
          <w:szCs w:val="28"/>
          <w:lang w:eastAsia="en-US"/>
        </w:rPr>
        <w:t xml:space="preserve">Прогноз по данному виду доходов на </w:t>
      </w:r>
      <w:r>
        <w:rPr>
          <w:szCs w:val="28"/>
          <w:lang w:eastAsia="en-US"/>
        </w:rPr>
        <w:t>2021 г</w:t>
      </w:r>
      <w:r w:rsidRPr="0047584F">
        <w:rPr>
          <w:szCs w:val="28"/>
          <w:lang w:eastAsia="en-US"/>
        </w:rPr>
        <w:t>.</w:t>
      </w:r>
      <w:r w:rsidRPr="006F6B4B">
        <w:rPr>
          <w:szCs w:val="28"/>
          <w:lang w:eastAsia="en-US"/>
        </w:rPr>
        <w:t xml:space="preserve"> составляет </w:t>
      </w:r>
      <w:r>
        <w:rPr>
          <w:szCs w:val="28"/>
          <w:lang w:eastAsia="en-US"/>
        </w:rPr>
        <w:t>979</w:t>
      </w:r>
      <w:r w:rsidRPr="0047584F">
        <w:rPr>
          <w:szCs w:val="28"/>
          <w:lang w:eastAsia="en-US"/>
        </w:rPr>
        <w:t>,</w:t>
      </w:r>
      <w:r>
        <w:rPr>
          <w:szCs w:val="28"/>
          <w:lang w:eastAsia="en-US"/>
        </w:rPr>
        <w:t>8</w:t>
      </w:r>
      <w:r w:rsidRPr="006F6B4B">
        <w:rPr>
          <w:szCs w:val="28"/>
          <w:lang w:eastAsia="en-US"/>
        </w:rPr>
        <w:t xml:space="preserve"> мл</w:t>
      </w:r>
      <w:r>
        <w:rPr>
          <w:szCs w:val="28"/>
          <w:lang w:eastAsia="en-US"/>
        </w:rPr>
        <w:t>рд</w:t>
      </w:r>
      <w:r w:rsidRPr="006F6B4B">
        <w:rPr>
          <w:szCs w:val="28"/>
          <w:lang w:eastAsia="en-US"/>
        </w:rPr>
        <w:t xml:space="preserve"> руб</w:t>
      </w:r>
      <w:r w:rsidRPr="0047584F">
        <w:rPr>
          <w:szCs w:val="28"/>
          <w:lang w:eastAsia="en-US"/>
        </w:rPr>
        <w:t>.</w:t>
      </w:r>
      <w:r>
        <w:rPr>
          <w:szCs w:val="28"/>
          <w:lang w:eastAsia="en-US"/>
        </w:rPr>
        <w:t>, а на 2022 г</w:t>
      </w:r>
      <w:r w:rsidRPr="0047584F">
        <w:rPr>
          <w:szCs w:val="28"/>
          <w:lang w:eastAsia="en-US"/>
        </w:rPr>
        <w:t>.</w:t>
      </w:r>
      <w:r>
        <w:rPr>
          <w:szCs w:val="28"/>
          <w:lang w:eastAsia="en-US"/>
        </w:rPr>
        <w:t xml:space="preserve"> – 1031</w:t>
      </w:r>
      <w:r w:rsidRPr="006F6B4B">
        <w:rPr>
          <w:szCs w:val="28"/>
          <w:lang w:eastAsia="en-US"/>
        </w:rPr>
        <w:t>,</w:t>
      </w:r>
      <w:r>
        <w:rPr>
          <w:szCs w:val="28"/>
          <w:lang w:eastAsia="en-US"/>
        </w:rPr>
        <w:t>0</w:t>
      </w:r>
      <w:r w:rsidRPr="006F6B4B">
        <w:rPr>
          <w:szCs w:val="28"/>
          <w:lang w:eastAsia="en-US"/>
        </w:rPr>
        <w:t xml:space="preserve"> </w:t>
      </w:r>
      <w:r>
        <w:rPr>
          <w:szCs w:val="28"/>
          <w:lang w:eastAsia="en-US"/>
        </w:rPr>
        <w:t>млрд</w:t>
      </w:r>
      <w:r w:rsidRPr="006F6B4B">
        <w:rPr>
          <w:szCs w:val="28"/>
          <w:lang w:eastAsia="en-US"/>
        </w:rPr>
        <w:t xml:space="preserve"> руб.</w:t>
      </w:r>
    </w:p>
    <w:p w14:paraId="5C24CCD4" w14:textId="05477BEA" w:rsidR="005768D2" w:rsidRDefault="005768D2" w:rsidP="005768D2">
      <w:pPr>
        <w:spacing w:after="60"/>
        <w:ind w:firstLine="709"/>
        <w:jc w:val="both"/>
        <w:rPr>
          <w:szCs w:val="28"/>
          <w:lang w:eastAsia="en-US"/>
        </w:rPr>
      </w:pPr>
      <w:r>
        <w:rPr>
          <w:szCs w:val="28"/>
          <w:lang w:eastAsia="en-US"/>
        </w:rPr>
        <w:t>Основную (более</w:t>
      </w:r>
      <w:r w:rsidRPr="006F2CB0">
        <w:rPr>
          <w:szCs w:val="28"/>
          <w:lang w:eastAsia="en-US"/>
        </w:rPr>
        <w:t xml:space="preserve"> 60%</w:t>
      </w:r>
      <w:r w:rsidRPr="00ED39D1">
        <w:rPr>
          <w:szCs w:val="28"/>
          <w:lang w:eastAsia="en-US"/>
        </w:rPr>
        <w:t>)</w:t>
      </w:r>
      <w:r>
        <w:rPr>
          <w:szCs w:val="28"/>
          <w:lang w:eastAsia="en-US"/>
        </w:rPr>
        <w:t xml:space="preserve"> и ежегодно возрастающую часть</w:t>
      </w:r>
      <w:r w:rsidRPr="006F6B4B">
        <w:rPr>
          <w:szCs w:val="28"/>
          <w:lang w:eastAsia="en-US"/>
        </w:rPr>
        <w:t xml:space="preserve"> поступлени</w:t>
      </w:r>
      <w:r>
        <w:rPr>
          <w:szCs w:val="28"/>
          <w:lang w:eastAsia="en-US"/>
        </w:rPr>
        <w:t>й</w:t>
      </w:r>
      <w:r w:rsidRPr="006F6B4B">
        <w:rPr>
          <w:szCs w:val="28"/>
          <w:lang w:eastAsia="en-US"/>
        </w:rPr>
        <w:t xml:space="preserve"> </w:t>
      </w:r>
      <w:r>
        <w:rPr>
          <w:szCs w:val="28"/>
          <w:lang w:eastAsia="en-US"/>
        </w:rPr>
        <w:t xml:space="preserve">от использования госимущества должны обеспечить </w:t>
      </w:r>
      <w:r w:rsidRPr="006F6B4B">
        <w:rPr>
          <w:szCs w:val="28"/>
          <w:lang w:eastAsia="en-US"/>
        </w:rPr>
        <w:t>доход</w:t>
      </w:r>
      <w:r>
        <w:rPr>
          <w:szCs w:val="28"/>
          <w:lang w:eastAsia="en-US"/>
        </w:rPr>
        <w:t>ы</w:t>
      </w:r>
      <w:r w:rsidRPr="006F6B4B">
        <w:rPr>
          <w:szCs w:val="28"/>
          <w:lang w:eastAsia="en-US"/>
        </w:rPr>
        <w:t xml:space="preserve"> в виде прибыли, приходящейся на доли в уставных (складочных) капиталах хозяйственных товариществ и обществ, или дивидендов по акциям, принадлежащим </w:t>
      </w:r>
      <w:r>
        <w:rPr>
          <w:szCs w:val="28"/>
          <w:lang w:eastAsia="en-US"/>
        </w:rPr>
        <w:t>государству</w:t>
      </w:r>
      <w:r w:rsidRPr="0047584F">
        <w:rPr>
          <w:szCs w:val="28"/>
          <w:lang w:eastAsia="en-US"/>
        </w:rPr>
        <w:t xml:space="preserve">: </w:t>
      </w:r>
      <w:r>
        <w:rPr>
          <w:szCs w:val="28"/>
          <w:lang w:eastAsia="en-US"/>
        </w:rPr>
        <w:t>543</w:t>
      </w:r>
      <w:r w:rsidRPr="0047584F">
        <w:rPr>
          <w:szCs w:val="28"/>
          <w:lang w:eastAsia="en-US"/>
        </w:rPr>
        <w:t>,</w:t>
      </w:r>
      <w:r>
        <w:rPr>
          <w:szCs w:val="28"/>
          <w:lang w:eastAsia="en-US"/>
        </w:rPr>
        <w:t>5</w:t>
      </w:r>
      <w:r w:rsidRPr="006F6B4B">
        <w:rPr>
          <w:szCs w:val="28"/>
          <w:lang w:eastAsia="en-US"/>
        </w:rPr>
        <w:t xml:space="preserve"> мл</w:t>
      </w:r>
      <w:r>
        <w:rPr>
          <w:szCs w:val="28"/>
          <w:lang w:eastAsia="en-US"/>
        </w:rPr>
        <w:t>рд</w:t>
      </w:r>
      <w:r w:rsidRPr="006F6B4B">
        <w:rPr>
          <w:szCs w:val="28"/>
          <w:lang w:eastAsia="en-US"/>
        </w:rPr>
        <w:t xml:space="preserve"> руб</w:t>
      </w:r>
      <w:r w:rsidRPr="0047584F">
        <w:rPr>
          <w:szCs w:val="28"/>
          <w:lang w:eastAsia="en-US"/>
        </w:rPr>
        <w:t>.</w:t>
      </w:r>
      <w:r>
        <w:rPr>
          <w:szCs w:val="28"/>
          <w:lang w:eastAsia="en-US"/>
        </w:rPr>
        <w:t xml:space="preserve"> (или 62</w:t>
      </w:r>
      <w:r w:rsidRPr="00F1131C">
        <w:rPr>
          <w:szCs w:val="28"/>
          <w:lang w:eastAsia="en-US"/>
        </w:rPr>
        <w:t>,</w:t>
      </w:r>
      <w:r>
        <w:rPr>
          <w:szCs w:val="28"/>
          <w:lang w:eastAsia="en-US"/>
        </w:rPr>
        <w:t>6</w:t>
      </w:r>
      <w:r w:rsidRPr="00ED39D1">
        <w:rPr>
          <w:szCs w:val="28"/>
          <w:lang w:eastAsia="en-US"/>
        </w:rPr>
        <w:t>%)</w:t>
      </w:r>
      <w:r>
        <w:rPr>
          <w:szCs w:val="28"/>
          <w:lang w:eastAsia="en-US"/>
        </w:rPr>
        <w:t xml:space="preserve"> в 2020</w:t>
      </w:r>
      <w:r w:rsidRPr="006F6B4B">
        <w:rPr>
          <w:szCs w:val="28"/>
          <w:lang w:eastAsia="en-US"/>
        </w:rPr>
        <w:t xml:space="preserve"> г</w:t>
      </w:r>
      <w:r w:rsidRPr="0047584F">
        <w:rPr>
          <w:szCs w:val="28"/>
          <w:lang w:eastAsia="en-US"/>
        </w:rPr>
        <w:t>.</w:t>
      </w:r>
      <w:r>
        <w:rPr>
          <w:szCs w:val="28"/>
          <w:lang w:eastAsia="en-US"/>
        </w:rPr>
        <w:t>, 676</w:t>
      </w:r>
      <w:r w:rsidRPr="0047584F">
        <w:rPr>
          <w:szCs w:val="28"/>
          <w:lang w:eastAsia="en-US"/>
        </w:rPr>
        <w:t>,</w:t>
      </w:r>
      <w:r>
        <w:rPr>
          <w:szCs w:val="28"/>
          <w:lang w:eastAsia="en-US"/>
        </w:rPr>
        <w:t>3</w:t>
      </w:r>
      <w:r w:rsidRPr="006F6B4B">
        <w:rPr>
          <w:szCs w:val="28"/>
          <w:lang w:eastAsia="en-US"/>
        </w:rPr>
        <w:t> </w:t>
      </w:r>
      <w:r>
        <w:rPr>
          <w:szCs w:val="28"/>
          <w:lang w:eastAsia="en-US"/>
        </w:rPr>
        <w:t>млрд</w:t>
      </w:r>
      <w:r w:rsidRPr="006F6B4B">
        <w:rPr>
          <w:szCs w:val="28"/>
          <w:lang w:eastAsia="en-US"/>
        </w:rPr>
        <w:t xml:space="preserve"> руб</w:t>
      </w:r>
      <w:r w:rsidRPr="0047584F">
        <w:rPr>
          <w:szCs w:val="28"/>
          <w:lang w:eastAsia="en-US"/>
        </w:rPr>
        <w:t>.</w:t>
      </w:r>
      <w:r w:rsidRPr="00ED39D1">
        <w:rPr>
          <w:szCs w:val="28"/>
          <w:lang w:eastAsia="en-US"/>
        </w:rPr>
        <w:t xml:space="preserve"> (</w:t>
      </w:r>
      <w:r>
        <w:rPr>
          <w:szCs w:val="28"/>
          <w:lang w:eastAsia="en-US"/>
        </w:rPr>
        <w:t>или 69</w:t>
      </w:r>
      <w:r w:rsidRPr="00ED39D1">
        <w:rPr>
          <w:szCs w:val="28"/>
          <w:lang w:eastAsia="en-US"/>
        </w:rPr>
        <w:t>,</w:t>
      </w:r>
      <w:r w:rsidRPr="00F1131C">
        <w:rPr>
          <w:szCs w:val="28"/>
          <w:lang w:eastAsia="en-US"/>
        </w:rPr>
        <w:t>0</w:t>
      </w:r>
      <w:r w:rsidRPr="00ED39D1">
        <w:rPr>
          <w:szCs w:val="28"/>
          <w:lang w:eastAsia="en-US"/>
        </w:rPr>
        <w:t>%)</w:t>
      </w:r>
      <w:r w:rsidRPr="006F6B4B">
        <w:rPr>
          <w:szCs w:val="28"/>
          <w:lang w:eastAsia="en-US"/>
        </w:rPr>
        <w:t xml:space="preserve"> </w:t>
      </w:r>
      <w:r w:rsidRPr="0047584F">
        <w:rPr>
          <w:szCs w:val="28"/>
          <w:lang w:eastAsia="en-US"/>
        </w:rPr>
        <w:t xml:space="preserve">– </w:t>
      </w:r>
      <w:r>
        <w:rPr>
          <w:szCs w:val="28"/>
          <w:lang w:eastAsia="en-US"/>
        </w:rPr>
        <w:t>в 2021</w:t>
      </w:r>
      <w:r w:rsidRPr="006F6B4B">
        <w:rPr>
          <w:szCs w:val="28"/>
          <w:lang w:eastAsia="en-US"/>
        </w:rPr>
        <w:t xml:space="preserve"> г</w:t>
      </w:r>
      <w:r w:rsidRPr="0047584F">
        <w:rPr>
          <w:szCs w:val="28"/>
          <w:lang w:eastAsia="en-US"/>
        </w:rPr>
        <w:t>.</w:t>
      </w:r>
      <w:r>
        <w:rPr>
          <w:szCs w:val="28"/>
          <w:lang w:eastAsia="en-US"/>
        </w:rPr>
        <w:t>, 794</w:t>
      </w:r>
      <w:r w:rsidRPr="0047584F">
        <w:rPr>
          <w:szCs w:val="28"/>
          <w:lang w:eastAsia="en-US"/>
        </w:rPr>
        <w:t>,</w:t>
      </w:r>
      <w:r>
        <w:rPr>
          <w:szCs w:val="28"/>
          <w:lang w:eastAsia="en-US"/>
        </w:rPr>
        <w:t>3</w:t>
      </w:r>
      <w:r w:rsidRPr="006F6B4B">
        <w:rPr>
          <w:szCs w:val="28"/>
          <w:lang w:eastAsia="en-US"/>
        </w:rPr>
        <w:t xml:space="preserve"> мл</w:t>
      </w:r>
      <w:r>
        <w:rPr>
          <w:szCs w:val="28"/>
          <w:lang w:eastAsia="en-US"/>
        </w:rPr>
        <w:t>рд</w:t>
      </w:r>
      <w:r w:rsidRPr="006F6B4B">
        <w:rPr>
          <w:szCs w:val="28"/>
          <w:lang w:eastAsia="en-US"/>
        </w:rPr>
        <w:t xml:space="preserve"> руб</w:t>
      </w:r>
      <w:r w:rsidRPr="0047584F">
        <w:rPr>
          <w:szCs w:val="28"/>
          <w:lang w:eastAsia="en-US"/>
        </w:rPr>
        <w:t>.</w:t>
      </w:r>
      <w:r w:rsidRPr="00ED39D1">
        <w:rPr>
          <w:szCs w:val="28"/>
          <w:lang w:eastAsia="en-US"/>
        </w:rPr>
        <w:t xml:space="preserve"> (</w:t>
      </w:r>
      <w:r>
        <w:rPr>
          <w:szCs w:val="28"/>
          <w:lang w:eastAsia="en-US"/>
        </w:rPr>
        <w:t>или 77</w:t>
      </w:r>
      <w:r w:rsidRPr="00ED39D1">
        <w:rPr>
          <w:szCs w:val="28"/>
          <w:lang w:eastAsia="en-US"/>
        </w:rPr>
        <w:t>,</w:t>
      </w:r>
      <w:r>
        <w:rPr>
          <w:szCs w:val="28"/>
          <w:lang w:eastAsia="en-US"/>
        </w:rPr>
        <w:t>0</w:t>
      </w:r>
      <w:r w:rsidRPr="00ED39D1">
        <w:rPr>
          <w:szCs w:val="28"/>
          <w:lang w:eastAsia="en-US"/>
        </w:rPr>
        <w:t>%) –</w:t>
      </w:r>
      <w:r w:rsidRPr="006F6B4B">
        <w:rPr>
          <w:szCs w:val="28"/>
          <w:lang w:eastAsia="en-US"/>
        </w:rPr>
        <w:t xml:space="preserve"> в 20</w:t>
      </w:r>
      <w:r>
        <w:rPr>
          <w:szCs w:val="28"/>
          <w:lang w:eastAsia="en-US"/>
        </w:rPr>
        <w:t>2</w:t>
      </w:r>
      <w:r w:rsidRPr="005768D2">
        <w:rPr>
          <w:szCs w:val="28"/>
          <w:lang w:eastAsia="en-US"/>
        </w:rPr>
        <w:t>2</w:t>
      </w:r>
      <w:r w:rsidRPr="006F6B4B">
        <w:rPr>
          <w:szCs w:val="28"/>
          <w:lang w:eastAsia="en-US"/>
        </w:rPr>
        <w:t xml:space="preserve"> г</w:t>
      </w:r>
      <w:r w:rsidRPr="0047584F">
        <w:rPr>
          <w:szCs w:val="28"/>
          <w:lang w:eastAsia="en-US"/>
        </w:rPr>
        <w:t>.</w:t>
      </w:r>
    </w:p>
    <w:p w14:paraId="0AD2B730" w14:textId="12D6AA6B" w:rsidR="005768D2" w:rsidRDefault="005768D2" w:rsidP="005768D2">
      <w:pPr>
        <w:spacing w:after="60"/>
        <w:ind w:firstLine="709"/>
        <w:jc w:val="both"/>
      </w:pPr>
      <w:r>
        <w:rPr>
          <w:szCs w:val="28"/>
          <w:lang w:eastAsia="en-US"/>
        </w:rPr>
        <w:t xml:space="preserve">По своему размеру они превосходят совокупные бюджетные доходы </w:t>
      </w:r>
      <w:r w:rsidRPr="006F6B4B">
        <w:rPr>
          <w:szCs w:val="28"/>
          <w:lang w:eastAsia="en-US"/>
        </w:rPr>
        <w:t>от размещения средств федерального бюджета</w:t>
      </w:r>
      <w:r w:rsidRPr="00C825CC">
        <w:rPr>
          <w:szCs w:val="28"/>
          <w:lang w:eastAsia="en-US"/>
        </w:rPr>
        <w:t xml:space="preserve">, </w:t>
      </w:r>
      <w:r>
        <w:rPr>
          <w:szCs w:val="28"/>
          <w:lang w:eastAsia="en-US"/>
        </w:rPr>
        <w:t>в том числе</w:t>
      </w:r>
      <w:r w:rsidRPr="004F1A2C">
        <w:rPr>
          <w:szCs w:val="28"/>
          <w:lang w:eastAsia="en-US"/>
        </w:rPr>
        <w:t xml:space="preserve"> </w:t>
      </w:r>
      <w:r>
        <w:rPr>
          <w:szCs w:val="28"/>
          <w:lang w:eastAsia="en-US"/>
        </w:rPr>
        <w:t>от управления средствами ФНБ</w:t>
      </w:r>
      <w:r w:rsidRPr="00073F00">
        <w:rPr>
          <w:szCs w:val="28"/>
          <w:lang w:eastAsia="en-US"/>
        </w:rPr>
        <w:t>,</w:t>
      </w:r>
      <w:r w:rsidRPr="006F6B4B">
        <w:rPr>
          <w:szCs w:val="28"/>
          <w:lang w:eastAsia="en-US"/>
        </w:rPr>
        <w:t xml:space="preserve"> процентов по государственным кредитам</w:t>
      </w:r>
      <w:r>
        <w:rPr>
          <w:szCs w:val="28"/>
          <w:lang w:eastAsia="en-US"/>
        </w:rPr>
        <w:t xml:space="preserve"> при отсутствии перечисления части прибыли </w:t>
      </w:r>
      <w:r w:rsidRPr="00DF396D">
        <w:rPr>
          <w:szCs w:val="28"/>
        </w:rPr>
        <w:t>Ц</w:t>
      </w:r>
      <w:r>
        <w:rPr>
          <w:szCs w:val="28"/>
        </w:rPr>
        <w:t xml:space="preserve">Б </w:t>
      </w:r>
      <w:r w:rsidRPr="00DF396D">
        <w:rPr>
          <w:szCs w:val="28"/>
        </w:rPr>
        <w:t xml:space="preserve">РФ </w:t>
      </w:r>
      <w:r>
        <w:rPr>
          <w:szCs w:val="28"/>
          <w:lang w:eastAsia="en-US"/>
        </w:rPr>
        <w:t>в 2020-2022 гг</w:t>
      </w:r>
      <w:r w:rsidRPr="00073F00">
        <w:t>.</w:t>
      </w:r>
      <w:r w:rsidRPr="00FB214C">
        <w:t xml:space="preserve">, </w:t>
      </w:r>
      <w:r>
        <w:t>кроме доходов от участия в капитале ПАО «Сбербанк России»</w:t>
      </w:r>
      <w:r>
        <w:rPr>
          <w:rStyle w:val="aa"/>
        </w:rPr>
        <w:footnoteReference w:id="8"/>
      </w:r>
      <w:r w:rsidRPr="00725BEA">
        <w:t>.</w:t>
      </w:r>
      <w:r>
        <w:t xml:space="preserve"> </w:t>
      </w:r>
    </w:p>
    <w:p w14:paraId="50CA5B91" w14:textId="56C04290" w:rsidR="005768D2" w:rsidRPr="0097023D" w:rsidRDefault="005768D2" w:rsidP="005768D2">
      <w:pPr>
        <w:spacing w:after="60"/>
        <w:ind w:firstLine="709"/>
        <w:jc w:val="both"/>
        <w:rPr>
          <w:szCs w:val="28"/>
          <w:lang w:eastAsia="en-US"/>
        </w:rPr>
      </w:pPr>
      <w:r>
        <w:rPr>
          <w:szCs w:val="28"/>
          <w:lang w:eastAsia="en-US"/>
        </w:rPr>
        <w:t>При этом прогноз на 2020</w:t>
      </w:r>
      <w:r w:rsidRPr="006F6B4B">
        <w:rPr>
          <w:szCs w:val="28"/>
          <w:lang w:eastAsia="en-US"/>
        </w:rPr>
        <w:t xml:space="preserve"> г</w:t>
      </w:r>
      <w:r w:rsidRPr="00CE0C0C">
        <w:rPr>
          <w:szCs w:val="28"/>
          <w:lang w:eastAsia="en-US"/>
        </w:rPr>
        <w:t>.</w:t>
      </w:r>
      <w:r w:rsidRPr="006F6B4B">
        <w:rPr>
          <w:szCs w:val="28"/>
          <w:lang w:eastAsia="en-US"/>
        </w:rPr>
        <w:t xml:space="preserve"> </w:t>
      </w:r>
      <w:r>
        <w:rPr>
          <w:szCs w:val="28"/>
          <w:lang w:eastAsia="en-US"/>
        </w:rPr>
        <w:t xml:space="preserve">примерно на 24% превосходит </w:t>
      </w:r>
      <w:r w:rsidRPr="006F6B4B">
        <w:rPr>
          <w:szCs w:val="28"/>
          <w:lang w:eastAsia="en-US"/>
        </w:rPr>
        <w:t>уточненн</w:t>
      </w:r>
      <w:r>
        <w:rPr>
          <w:szCs w:val="28"/>
          <w:lang w:eastAsia="en-US"/>
        </w:rPr>
        <w:t>ую</w:t>
      </w:r>
      <w:r w:rsidRPr="006F6B4B">
        <w:rPr>
          <w:szCs w:val="28"/>
          <w:lang w:eastAsia="en-US"/>
        </w:rPr>
        <w:t xml:space="preserve"> оценк</w:t>
      </w:r>
      <w:r>
        <w:rPr>
          <w:szCs w:val="28"/>
          <w:lang w:eastAsia="en-US"/>
        </w:rPr>
        <w:t>у</w:t>
      </w:r>
      <w:r w:rsidRPr="006F6B4B">
        <w:rPr>
          <w:szCs w:val="28"/>
          <w:lang w:eastAsia="en-US"/>
        </w:rPr>
        <w:t xml:space="preserve"> на 201</w:t>
      </w:r>
      <w:r>
        <w:rPr>
          <w:szCs w:val="28"/>
          <w:lang w:eastAsia="en-US"/>
        </w:rPr>
        <w:t>9</w:t>
      </w:r>
      <w:r w:rsidRPr="006F6B4B">
        <w:rPr>
          <w:szCs w:val="28"/>
          <w:lang w:eastAsia="en-US"/>
        </w:rPr>
        <w:t xml:space="preserve"> г</w:t>
      </w:r>
      <w:r w:rsidRPr="00CE0C0C">
        <w:rPr>
          <w:szCs w:val="28"/>
          <w:lang w:eastAsia="en-US"/>
        </w:rPr>
        <w:t>.</w:t>
      </w:r>
      <w:r w:rsidRPr="00A43200">
        <w:rPr>
          <w:szCs w:val="28"/>
          <w:lang w:eastAsia="en-US"/>
        </w:rPr>
        <w:t xml:space="preserve"> (</w:t>
      </w:r>
      <w:r>
        <w:rPr>
          <w:szCs w:val="28"/>
          <w:lang w:eastAsia="en-US"/>
        </w:rPr>
        <w:t>438</w:t>
      </w:r>
      <w:r w:rsidRPr="00A43200">
        <w:rPr>
          <w:szCs w:val="28"/>
          <w:lang w:eastAsia="en-US"/>
        </w:rPr>
        <w:t>,</w:t>
      </w:r>
      <w:r>
        <w:rPr>
          <w:szCs w:val="28"/>
          <w:lang w:eastAsia="en-US"/>
        </w:rPr>
        <w:t>7</w:t>
      </w:r>
      <w:r w:rsidRPr="00A43200">
        <w:rPr>
          <w:szCs w:val="28"/>
          <w:lang w:eastAsia="en-US"/>
        </w:rPr>
        <w:t xml:space="preserve"> </w:t>
      </w:r>
      <w:r>
        <w:rPr>
          <w:szCs w:val="28"/>
          <w:lang w:eastAsia="en-US"/>
        </w:rPr>
        <w:t>млрд</w:t>
      </w:r>
      <w:r w:rsidRPr="00A43200">
        <w:rPr>
          <w:szCs w:val="28"/>
          <w:lang w:eastAsia="en-US"/>
        </w:rPr>
        <w:t xml:space="preserve"> </w:t>
      </w:r>
      <w:r>
        <w:rPr>
          <w:szCs w:val="28"/>
          <w:lang w:eastAsia="en-US"/>
        </w:rPr>
        <w:t>руб</w:t>
      </w:r>
      <w:r w:rsidRPr="00A43200">
        <w:rPr>
          <w:szCs w:val="28"/>
          <w:lang w:eastAsia="en-US"/>
        </w:rPr>
        <w:t>.)</w:t>
      </w:r>
      <w:r>
        <w:rPr>
          <w:szCs w:val="28"/>
          <w:lang w:eastAsia="en-US"/>
        </w:rPr>
        <w:t xml:space="preserve"> в основном за с</w:t>
      </w:r>
      <w:r w:rsidRPr="00582DFD">
        <w:rPr>
          <w:szCs w:val="28"/>
          <w:lang w:eastAsia="en-US"/>
        </w:rPr>
        <w:t>ч</w:t>
      </w:r>
      <w:r>
        <w:rPr>
          <w:szCs w:val="28"/>
          <w:lang w:eastAsia="en-US"/>
        </w:rPr>
        <w:t>е</w:t>
      </w:r>
      <w:r w:rsidRPr="00582DFD">
        <w:rPr>
          <w:szCs w:val="28"/>
          <w:lang w:eastAsia="en-US"/>
        </w:rPr>
        <w:t xml:space="preserve">т </w:t>
      </w:r>
      <w:r>
        <w:rPr>
          <w:szCs w:val="28"/>
        </w:rPr>
        <w:t>изменения размера чистой прибыли компаний</w:t>
      </w:r>
      <w:r w:rsidRPr="00517EDE">
        <w:rPr>
          <w:szCs w:val="28"/>
        </w:rPr>
        <w:t>,</w:t>
      </w:r>
      <w:r>
        <w:rPr>
          <w:szCs w:val="28"/>
        </w:rPr>
        <w:t xml:space="preserve"> тогда как в последующие два года более половины прироста поступления дивидендов прогнозируется за счет изменения норматива дивидендных выплат</w:t>
      </w:r>
      <w:r w:rsidRPr="00517EDE">
        <w:rPr>
          <w:szCs w:val="28"/>
        </w:rPr>
        <w:t>.</w:t>
      </w:r>
      <w:r>
        <w:rPr>
          <w:szCs w:val="28"/>
        </w:rPr>
        <w:t xml:space="preserve"> В результате </w:t>
      </w:r>
      <w:r>
        <w:rPr>
          <w:szCs w:val="28"/>
          <w:lang w:eastAsia="en-US"/>
        </w:rPr>
        <w:t xml:space="preserve">в </w:t>
      </w:r>
      <w:r>
        <w:rPr>
          <w:szCs w:val="28"/>
        </w:rPr>
        <w:t>2021-2022 гг</w:t>
      </w:r>
      <w:r w:rsidRPr="00C825CC">
        <w:rPr>
          <w:szCs w:val="28"/>
        </w:rPr>
        <w:t xml:space="preserve">. </w:t>
      </w:r>
      <w:r>
        <w:rPr>
          <w:szCs w:val="28"/>
        </w:rPr>
        <w:t>они</w:t>
      </w:r>
      <w:r>
        <w:rPr>
          <w:szCs w:val="28"/>
          <w:lang w:eastAsia="en-US"/>
        </w:rPr>
        <w:t xml:space="preserve"> должны увеличиться более чем на 24% и 17% соответственно</w:t>
      </w:r>
      <w:r w:rsidRPr="000C4DD4">
        <w:rPr>
          <w:szCs w:val="28"/>
          <w:lang w:eastAsia="en-US"/>
        </w:rPr>
        <w:t>.</w:t>
      </w:r>
      <w:r>
        <w:rPr>
          <w:szCs w:val="28"/>
          <w:lang w:eastAsia="en-US"/>
        </w:rPr>
        <w:t xml:space="preserve"> </w:t>
      </w:r>
      <w:r>
        <w:rPr>
          <w:rStyle w:val="paragraph"/>
        </w:rPr>
        <w:t>В свете динамики дивидендных поступлений в последние годы (</w:t>
      </w:r>
      <w:r>
        <w:rPr>
          <w:szCs w:val="28"/>
          <w:lang w:eastAsia="en-US"/>
        </w:rPr>
        <w:t>прирост на 10</w:t>
      </w:r>
      <w:r w:rsidRPr="00936330">
        <w:rPr>
          <w:szCs w:val="28"/>
          <w:lang w:eastAsia="en-US"/>
        </w:rPr>
        <w:t xml:space="preserve">,9% </w:t>
      </w:r>
      <w:r>
        <w:rPr>
          <w:szCs w:val="28"/>
          <w:lang w:eastAsia="en-US"/>
        </w:rPr>
        <w:t>в 2017 г</w:t>
      </w:r>
      <w:r w:rsidRPr="00936330">
        <w:rPr>
          <w:szCs w:val="28"/>
          <w:lang w:eastAsia="en-US"/>
        </w:rPr>
        <w:t xml:space="preserve">. </w:t>
      </w:r>
      <w:r>
        <w:rPr>
          <w:rStyle w:val="paragraph"/>
        </w:rPr>
        <w:t>(до 251</w:t>
      </w:r>
      <w:r w:rsidRPr="00936330">
        <w:rPr>
          <w:rStyle w:val="paragraph"/>
        </w:rPr>
        <w:t xml:space="preserve">,3 </w:t>
      </w:r>
      <w:r>
        <w:rPr>
          <w:szCs w:val="28"/>
          <w:lang w:eastAsia="en-US"/>
        </w:rPr>
        <w:t>млрд руб.) и на 24</w:t>
      </w:r>
      <w:r w:rsidRPr="0097023D">
        <w:rPr>
          <w:szCs w:val="28"/>
          <w:lang w:eastAsia="en-US"/>
        </w:rPr>
        <w:t xml:space="preserve">,4% </w:t>
      </w:r>
      <w:r>
        <w:rPr>
          <w:szCs w:val="28"/>
          <w:lang w:eastAsia="en-US"/>
        </w:rPr>
        <w:t>в 2018 г</w:t>
      </w:r>
      <w:r w:rsidRPr="0097023D">
        <w:rPr>
          <w:szCs w:val="28"/>
          <w:lang w:eastAsia="en-US"/>
        </w:rPr>
        <w:t xml:space="preserve">. </w:t>
      </w:r>
      <w:r>
        <w:rPr>
          <w:rStyle w:val="paragraph"/>
        </w:rPr>
        <w:t>(до 312</w:t>
      </w:r>
      <w:r w:rsidRPr="00936330">
        <w:rPr>
          <w:rStyle w:val="paragraph"/>
        </w:rPr>
        <w:t>,</w:t>
      </w:r>
      <w:r>
        <w:rPr>
          <w:rStyle w:val="paragraph"/>
        </w:rPr>
        <w:t>6</w:t>
      </w:r>
      <w:r w:rsidRPr="00936330">
        <w:rPr>
          <w:rStyle w:val="paragraph"/>
        </w:rPr>
        <w:t xml:space="preserve"> </w:t>
      </w:r>
      <w:r>
        <w:rPr>
          <w:szCs w:val="28"/>
          <w:lang w:eastAsia="en-US"/>
        </w:rPr>
        <w:t>млрд руб.) такой прогноз выглядит достаточно реалистично</w:t>
      </w:r>
      <w:r w:rsidRPr="0097023D">
        <w:rPr>
          <w:szCs w:val="28"/>
          <w:lang w:eastAsia="en-US"/>
        </w:rPr>
        <w:t>.</w:t>
      </w:r>
      <w:r>
        <w:rPr>
          <w:szCs w:val="28"/>
          <w:lang w:eastAsia="en-US"/>
        </w:rPr>
        <w:t xml:space="preserve"> </w:t>
      </w:r>
    </w:p>
    <w:p w14:paraId="7E27AD2D" w14:textId="5048C984" w:rsidR="005768D2" w:rsidRPr="00A81E40" w:rsidRDefault="005768D2" w:rsidP="005768D2">
      <w:pPr>
        <w:spacing w:after="60"/>
        <w:ind w:firstLine="709"/>
        <w:jc w:val="both"/>
      </w:pPr>
      <w:r>
        <w:rPr>
          <w:lang w:eastAsia="en-US"/>
        </w:rPr>
        <w:t>С</w:t>
      </w:r>
      <w:r w:rsidRPr="00597E74">
        <w:rPr>
          <w:lang w:eastAsia="en-US"/>
        </w:rPr>
        <w:t xml:space="preserve">умма дивидендов, предполагаемых к получению </w:t>
      </w:r>
      <w:r w:rsidRPr="00DF396D">
        <w:rPr>
          <w:szCs w:val="28"/>
        </w:rPr>
        <w:t>Ц</w:t>
      </w:r>
      <w:r>
        <w:rPr>
          <w:szCs w:val="28"/>
        </w:rPr>
        <w:t xml:space="preserve">Б </w:t>
      </w:r>
      <w:r w:rsidRPr="00DF396D">
        <w:rPr>
          <w:szCs w:val="28"/>
        </w:rPr>
        <w:t xml:space="preserve">РФ </w:t>
      </w:r>
      <w:r w:rsidRPr="00597E74">
        <w:rPr>
          <w:lang w:eastAsia="en-US"/>
        </w:rPr>
        <w:t>от Сбербанк</w:t>
      </w:r>
      <w:r>
        <w:rPr>
          <w:lang w:eastAsia="en-US"/>
        </w:rPr>
        <w:t>а</w:t>
      </w:r>
      <w:r w:rsidRPr="00597E74">
        <w:rPr>
          <w:lang w:eastAsia="en-US"/>
        </w:rPr>
        <w:t xml:space="preserve">, </w:t>
      </w:r>
      <w:r>
        <w:rPr>
          <w:lang w:eastAsia="en-US"/>
        </w:rPr>
        <w:t>должна составить в 2020 г</w:t>
      </w:r>
      <w:r w:rsidRPr="009F0136">
        <w:rPr>
          <w:lang w:eastAsia="en-US"/>
        </w:rPr>
        <w:t xml:space="preserve">. </w:t>
      </w:r>
      <w:r>
        <w:rPr>
          <w:lang w:eastAsia="en-US"/>
        </w:rPr>
        <w:t>2</w:t>
      </w:r>
      <w:r w:rsidRPr="00A476CF">
        <w:rPr>
          <w:lang w:eastAsia="en-US"/>
        </w:rPr>
        <w:t>17</w:t>
      </w:r>
      <w:r w:rsidRPr="00597E74">
        <w:rPr>
          <w:lang w:eastAsia="en-US"/>
        </w:rPr>
        <w:t>,</w:t>
      </w:r>
      <w:r w:rsidRPr="00A476CF">
        <w:rPr>
          <w:lang w:eastAsia="en-US"/>
        </w:rPr>
        <w:t>1</w:t>
      </w:r>
      <w:r w:rsidRPr="00597E74">
        <w:rPr>
          <w:lang w:eastAsia="en-US"/>
        </w:rPr>
        <w:t xml:space="preserve"> </w:t>
      </w:r>
      <w:r>
        <w:rPr>
          <w:szCs w:val="28"/>
          <w:lang w:eastAsia="en-US"/>
        </w:rPr>
        <w:t>млрд</w:t>
      </w:r>
      <w:r w:rsidRPr="00FC16A3">
        <w:rPr>
          <w:szCs w:val="28"/>
          <w:lang w:eastAsia="en-US"/>
        </w:rPr>
        <w:t xml:space="preserve"> </w:t>
      </w:r>
      <w:r>
        <w:rPr>
          <w:szCs w:val="28"/>
          <w:lang w:eastAsia="en-US"/>
        </w:rPr>
        <w:t>руб</w:t>
      </w:r>
      <w:r w:rsidRPr="00FC16A3">
        <w:rPr>
          <w:szCs w:val="28"/>
          <w:lang w:eastAsia="en-US"/>
        </w:rPr>
        <w:t>.</w:t>
      </w:r>
      <w:r w:rsidRPr="00597E74">
        <w:rPr>
          <w:szCs w:val="28"/>
          <w:lang w:eastAsia="en-US"/>
        </w:rPr>
        <w:t xml:space="preserve"> </w:t>
      </w:r>
      <w:r>
        <w:rPr>
          <w:szCs w:val="28"/>
          <w:lang w:eastAsia="en-US"/>
        </w:rPr>
        <w:t>против 1</w:t>
      </w:r>
      <w:r w:rsidRPr="00A476CF">
        <w:rPr>
          <w:szCs w:val="28"/>
          <w:lang w:eastAsia="en-US"/>
        </w:rPr>
        <w:t>80</w:t>
      </w:r>
      <w:r w:rsidRPr="00597E74">
        <w:rPr>
          <w:szCs w:val="28"/>
          <w:lang w:eastAsia="en-US"/>
        </w:rPr>
        <w:t>,</w:t>
      </w:r>
      <w:r w:rsidRPr="00A476CF">
        <w:rPr>
          <w:szCs w:val="28"/>
          <w:lang w:eastAsia="en-US"/>
        </w:rPr>
        <w:t>7</w:t>
      </w:r>
      <w:r w:rsidRPr="00597E74">
        <w:rPr>
          <w:szCs w:val="28"/>
          <w:lang w:eastAsia="en-US"/>
        </w:rPr>
        <w:t xml:space="preserve"> </w:t>
      </w:r>
      <w:r>
        <w:rPr>
          <w:szCs w:val="28"/>
          <w:lang w:eastAsia="en-US"/>
        </w:rPr>
        <w:t>млрд</w:t>
      </w:r>
      <w:r w:rsidRPr="00FC16A3">
        <w:rPr>
          <w:szCs w:val="28"/>
          <w:lang w:eastAsia="en-US"/>
        </w:rPr>
        <w:t xml:space="preserve"> </w:t>
      </w:r>
      <w:r>
        <w:rPr>
          <w:szCs w:val="28"/>
          <w:lang w:eastAsia="en-US"/>
        </w:rPr>
        <w:t>руб</w:t>
      </w:r>
      <w:r w:rsidRPr="00FC16A3">
        <w:rPr>
          <w:szCs w:val="28"/>
          <w:lang w:eastAsia="en-US"/>
        </w:rPr>
        <w:t>.</w:t>
      </w:r>
      <w:r w:rsidRPr="00597E74">
        <w:rPr>
          <w:szCs w:val="28"/>
          <w:lang w:eastAsia="en-US"/>
        </w:rPr>
        <w:t xml:space="preserve"> </w:t>
      </w:r>
      <w:r>
        <w:rPr>
          <w:szCs w:val="28"/>
          <w:lang w:eastAsia="en-US"/>
        </w:rPr>
        <w:t>по оценке за 201</w:t>
      </w:r>
      <w:r w:rsidRPr="00A476CF">
        <w:rPr>
          <w:szCs w:val="28"/>
          <w:lang w:eastAsia="en-US"/>
        </w:rPr>
        <w:t>9</w:t>
      </w:r>
      <w:r>
        <w:rPr>
          <w:szCs w:val="28"/>
          <w:lang w:eastAsia="en-US"/>
        </w:rPr>
        <w:t xml:space="preserve"> г</w:t>
      </w:r>
      <w:r w:rsidRPr="00597E74">
        <w:rPr>
          <w:szCs w:val="28"/>
          <w:lang w:eastAsia="en-US"/>
        </w:rPr>
        <w:t>.</w:t>
      </w:r>
      <w:r>
        <w:rPr>
          <w:szCs w:val="28"/>
          <w:lang w:eastAsia="en-US"/>
        </w:rPr>
        <w:t xml:space="preserve"> (прирост на </w:t>
      </w:r>
      <w:r w:rsidRPr="007D7CAB">
        <w:rPr>
          <w:szCs w:val="28"/>
          <w:lang w:eastAsia="en-US"/>
        </w:rPr>
        <w:t>20%</w:t>
      </w:r>
      <w:r w:rsidRPr="009F0136">
        <w:rPr>
          <w:szCs w:val="28"/>
          <w:lang w:eastAsia="en-US"/>
        </w:rPr>
        <w:t>).</w:t>
      </w:r>
      <w:r w:rsidRPr="00597E74">
        <w:rPr>
          <w:szCs w:val="28"/>
          <w:lang w:eastAsia="en-US"/>
        </w:rPr>
        <w:t xml:space="preserve"> </w:t>
      </w:r>
      <w:r>
        <w:rPr>
          <w:szCs w:val="28"/>
          <w:lang w:eastAsia="en-US"/>
        </w:rPr>
        <w:t>Лишь менее чем на 1</w:t>
      </w:r>
      <w:r w:rsidRPr="00A476CF">
        <w:rPr>
          <w:szCs w:val="28"/>
          <w:lang w:eastAsia="en-US"/>
        </w:rPr>
        <w:t>/4</w:t>
      </w:r>
      <w:r>
        <w:rPr>
          <w:szCs w:val="28"/>
          <w:lang w:eastAsia="en-US"/>
        </w:rPr>
        <w:t xml:space="preserve"> такой прирост обусловлен направлением </w:t>
      </w:r>
      <w:r>
        <w:rPr>
          <w:color w:val="000000"/>
        </w:rPr>
        <w:t>половины</w:t>
      </w:r>
      <w:r w:rsidRPr="00597E74">
        <w:rPr>
          <w:color w:val="000000"/>
        </w:rPr>
        <w:t xml:space="preserve"> чистой прибыли</w:t>
      </w:r>
      <w:r>
        <w:rPr>
          <w:color w:val="000000"/>
        </w:rPr>
        <w:t xml:space="preserve"> в федеральный бюджет</w:t>
      </w:r>
      <w:r>
        <w:rPr>
          <w:szCs w:val="28"/>
        </w:rPr>
        <w:t xml:space="preserve">, тогда как основным фактором является изменение размера самой чистой прибыли ПАО </w:t>
      </w:r>
      <w:r w:rsidRPr="00DF396D">
        <w:rPr>
          <w:szCs w:val="28"/>
        </w:rPr>
        <w:t>«Сб</w:t>
      </w:r>
      <w:r>
        <w:rPr>
          <w:szCs w:val="28"/>
        </w:rPr>
        <w:t>ербанк России»</w:t>
      </w:r>
      <w:r w:rsidRPr="00C825CC">
        <w:rPr>
          <w:szCs w:val="28"/>
        </w:rPr>
        <w:t>.</w:t>
      </w:r>
      <w:r w:rsidRPr="00273F2D">
        <w:rPr>
          <w:szCs w:val="28"/>
        </w:rPr>
        <w:t xml:space="preserve"> </w:t>
      </w:r>
      <w:r>
        <w:rPr>
          <w:szCs w:val="28"/>
        </w:rPr>
        <w:t>Этот же фактор остается единственным</w:t>
      </w:r>
      <w:r w:rsidRPr="00454F9C">
        <w:rPr>
          <w:szCs w:val="28"/>
        </w:rPr>
        <w:t xml:space="preserve">, </w:t>
      </w:r>
      <w:r>
        <w:rPr>
          <w:szCs w:val="28"/>
        </w:rPr>
        <w:t>влияющим на прогноз бюджетных доходов в этой части в последующие два года</w:t>
      </w:r>
      <w:r w:rsidRPr="00C825CC">
        <w:rPr>
          <w:szCs w:val="28"/>
        </w:rPr>
        <w:t>.</w:t>
      </w:r>
      <w:r>
        <w:rPr>
          <w:szCs w:val="28"/>
        </w:rPr>
        <w:t xml:space="preserve"> В результате</w:t>
      </w:r>
      <w:r w:rsidR="00BE12C9">
        <w:rPr>
          <w:szCs w:val="28"/>
        </w:rPr>
        <w:t>,</w:t>
      </w:r>
      <w:r>
        <w:rPr>
          <w:szCs w:val="28"/>
        </w:rPr>
        <w:t xml:space="preserve"> </w:t>
      </w:r>
      <w:r>
        <w:rPr>
          <w:szCs w:val="28"/>
          <w:lang w:eastAsia="en-US"/>
        </w:rPr>
        <w:t>величина поступлений</w:t>
      </w:r>
      <w:r w:rsidRPr="00A43200">
        <w:rPr>
          <w:szCs w:val="28"/>
          <w:lang w:eastAsia="en-US"/>
        </w:rPr>
        <w:t xml:space="preserve"> </w:t>
      </w:r>
      <w:r>
        <w:rPr>
          <w:szCs w:val="28"/>
          <w:lang w:eastAsia="en-US"/>
        </w:rPr>
        <w:t xml:space="preserve">в </w:t>
      </w:r>
      <w:r>
        <w:rPr>
          <w:szCs w:val="28"/>
        </w:rPr>
        <w:t>2021-2022 гг</w:t>
      </w:r>
      <w:r w:rsidRPr="00C825CC">
        <w:rPr>
          <w:szCs w:val="28"/>
        </w:rPr>
        <w:t xml:space="preserve">. </w:t>
      </w:r>
      <w:r>
        <w:rPr>
          <w:szCs w:val="28"/>
          <w:lang w:eastAsia="en-US"/>
        </w:rPr>
        <w:t>должна увеличиться на 17% и 11% соответственно</w:t>
      </w:r>
      <w:r w:rsidRPr="000C4DD4">
        <w:rPr>
          <w:szCs w:val="28"/>
          <w:lang w:eastAsia="en-US"/>
        </w:rPr>
        <w:t>.</w:t>
      </w:r>
      <w:r w:rsidRPr="00A81E40">
        <w:rPr>
          <w:szCs w:val="28"/>
          <w:lang w:eastAsia="en-US"/>
        </w:rPr>
        <w:t xml:space="preserve"> </w:t>
      </w:r>
      <w:r>
        <w:rPr>
          <w:rFonts w:eastAsia="Calibri"/>
        </w:rPr>
        <w:t>Д</w:t>
      </w:r>
      <w:r w:rsidRPr="00DF396D">
        <w:rPr>
          <w:szCs w:val="28"/>
        </w:rPr>
        <w:t>оход</w:t>
      </w:r>
      <w:r>
        <w:rPr>
          <w:szCs w:val="28"/>
        </w:rPr>
        <w:t>ы</w:t>
      </w:r>
      <w:r w:rsidRPr="00DF396D">
        <w:rPr>
          <w:szCs w:val="28"/>
        </w:rPr>
        <w:t xml:space="preserve"> </w:t>
      </w:r>
      <w:r w:rsidRPr="00597E74">
        <w:rPr>
          <w:lang w:eastAsia="en-US"/>
        </w:rPr>
        <w:t>Банк</w:t>
      </w:r>
      <w:r>
        <w:rPr>
          <w:lang w:eastAsia="en-US"/>
        </w:rPr>
        <w:t>а</w:t>
      </w:r>
      <w:r w:rsidRPr="00597E74">
        <w:rPr>
          <w:lang w:eastAsia="en-US"/>
        </w:rPr>
        <w:t xml:space="preserve"> России </w:t>
      </w:r>
      <w:r>
        <w:rPr>
          <w:szCs w:val="28"/>
        </w:rPr>
        <w:t xml:space="preserve">от ПАО </w:t>
      </w:r>
      <w:r w:rsidRPr="00DF396D">
        <w:rPr>
          <w:szCs w:val="28"/>
        </w:rPr>
        <w:t>«Сб</w:t>
      </w:r>
      <w:r>
        <w:rPr>
          <w:szCs w:val="28"/>
        </w:rPr>
        <w:t>ербанк России»</w:t>
      </w:r>
      <w:r w:rsidRPr="00253C3D">
        <w:rPr>
          <w:szCs w:val="28"/>
        </w:rPr>
        <w:t xml:space="preserve"> </w:t>
      </w:r>
      <w:r>
        <w:rPr>
          <w:szCs w:val="28"/>
        </w:rPr>
        <w:t>отнесены к прочим неналоговым доходам бюджета, как и к</w:t>
      </w:r>
      <w:r w:rsidRPr="00A81E40">
        <w:t>упонные</w:t>
      </w:r>
      <w:r>
        <w:t xml:space="preserve"> </w:t>
      </w:r>
      <w:r w:rsidRPr="00A81E40">
        <w:t>доходы</w:t>
      </w:r>
      <w:r>
        <w:t xml:space="preserve"> </w:t>
      </w:r>
      <w:r w:rsidRPr="00A81E40">
        <w:t>по</w:t>
      </w:r>
      <w:r>
        <w:t xml:space="preserve"> </w:t>
      </w:r>
      <w:r w:rsidRPr="00A81E40">
        <w:t>субординированным</w:t>
      </w:r>
      <w:r>
        <w:t xml:space="preserve"> </w:t>
      </w:r>
      <w:r w:rsidRPr="00A81E40">
        <w:t>облигациям</w:t>
      </w:r>
      <w:r>
        <w:t xml:space="preserve"> </w:t>
      </w:r>
      <w:r w:rsidRPr="00A81E40">
        <w:t>российских</w:t>
      </w:r>
      <w:r>
        <w:t xml:space="preserve"> </w:t>
      </w:r>
      <w:r w:rsidRPr="00A81E40">
        <w:t>банков,</w:t>
      </w:r>
      <w:r>
        <w:t xml:space="preserve"> </w:t>
      </w:r>
      <w:r w:rsidRPr="00A81E40">
        <w:t>доходы</w:t>
      </w:r>
      <w:r>
        <w:t xml:space="preserve"> </w:t>
      </w:r>
      <w:r w:rsidRPr="00A81E40">
        <w:t>в</w:t>
      </w:r>
      <w:r>
        <w:t xml:space="preserve"> </w:t>
      </w:r>
      <w:r w:rsidRPr="00A81E40">
        <w:t>виде</w:t>
      </w:r>
      <w:r>
        <w:t xml:space="preserve"> </w:t>
      </w:r>
      <w:r w:rsidRPr="00A81E40">
        <w:t>дивидендов</w:t>
      </w:r>
      <w:r>
        <w:t xml:space="preserve"> п</w:t>
      </w:r>
      <w:r w:rsidRPr="00A81E40">
        <w:t>о</w:t>
      </w:r>
      <w:r>
        <w:t xml:space="preserve"> </w:t>
      </w:r>
      <w:r w:rsidRPr="00A81E40">
        <w:t>приобретенным</w:t>
      </w:r>
      <w:r>
        <w:t xml:space="preserve"> </w:t>
      </w:r>
      <w:r w:rsidRPr="00A81E40">
        <w:t>обыкновенным</w:t>
      </w:r>
      <w:r>
        <w:t xml:space="preserve"> </w:t>
      </w:r>
      <w:r w:rsidRPr="00A81E40">
        <w:t>и</w:t>
      </w:r>
      <w:r>
        <w:t xml:space="preserve"> </w:t>
      </w:r>
      <w:r w:rsidRPr="00A81E40">
        <w:t>привилегированным</w:t>
      </w:r>
      <w:r>
        <w:t xml:space="preserve"> </w:t>
      </w:r>
      <w:r w:rsidRPr="00A81E40">
        <w:t>акциям</w:t>
      </w:r>
      <w:r>
        <w:t xml:space="preserve"> </w:t>
      </w:r>
      <w:r w:rsidRPr="00A81E40">
        <w:t>банков,</w:t>
      </w:r>
      <w:r>
        <w:t xml:space="preserve"> </w:t>
      </w:r>
      <w:r w:rsidRPr="00A81E40">
        <w:t>получаемые</w:t>
      </w:r>
      <w:r>
        <w:t xml:space="preserve"> </w:t>
      </w:r>
      <w:r w:rsidRPr="00A81E40">
        <w:t>ГК</w:t>
      </w:r>
      <w:r>
        <w:t xml:space="preserve"> </w:t>
      </w:r>
      <w:r w:rsidRPr="00A81E40">
        <w:t>«Агентство</w:t>
      </w:r>
      <w:r>
        <w:t xml:space="preserve"> </w:t>
      </w:r>
      <w:r w:rsidRPr="00A81E40">
        <w:t>по</w:t>
      </w:r>
      <w:r>
        <w:t xml:space="preserve"> </w:t>
      </w:r>
      <w:r w:rsidRPr="00A81E40">
        <w:t>страхованию</w:t>
      </w:r>
      <w:r>
        <w:t xml:space="preserve"> </w:t>
      </w:r>
      <w:r w:rsidRPr="00A81E40">
        <w:t>вкладов»</w:t>
      </w:r>
      <w:r>
        <w:t xml:space="preserve"> </w:t>
      </w:r>
      <w:r w:rsidRPr="00A81E40">
        <w:t>и подлежащие перечислению в федеральный бюджет</w:t>
      </w:r>
      <w:r>
        <w:t xml:space="preserve"> в 2020-2022 гг</w:t>
      </w:r>
      <w:r w:rsidRPr="00A81E40">
        <w:t>.</w:t>
      </w:r>
      <w:r>
        <w:t xml:space="preserve"> в размере 45,6-45</w:t>
      </w:r>
      <w:r w:rsidRPr="00A81E40">
        <w:t xml:space="preserve">,8 </w:t>
      </w:r>
      <w:r>
        <w:rPr>
          <w:szCs w:val="28"/>
          <w:lang w:eastAsia="en-US"/>
        </w:rPr>
        <w:t>млрд</w:t>
      </w:r>
      <w:r w:rsidRPr="00FC16A3">
        <w:rPr>
          <w:szCs w:val="28"/>
          <w:lang w:eastAsia="en-US"/>
        </w:rPr>
        <w:t xml:space="preserve"> </w:t>
      </w:r>
      <w:r>
        <w:rPr>
          <w:szCs w:val="28"/>
          <w:lang w:eastAsia="en-US"/>
        </w:rPr>
        <w:t>руб</w:t>
      </w:r>
      <w:r w:rsidRPr="00FC16A3">
        <w:rPr>
          <w:szCs w:val="28"/>
          <w:lang w:eastAsia="en-US"/>
        </w:rPr>
        <w:t>.</w:t>
      </w:r>
      <w:r w:rsidRPr="00A81E40">
        <w:rPr>
          <w:szCs w:val="28"/>
          <w:lang w:eastAsia="en-US"/>
        </w:rPr>
        <w:t xml:space="preserve"> </w:t>
      </w:r>
      <w:r>
        <w:rPr>
          <w:szCs w:val="28"/>
          <w:lang w:eastAsia="en-US"/>
        </w:rPr>
        <w:t>ежегодно</w:t>
      </w:r>
      <w:r w:rsidRPr="00A81E40">
        <w:rPr>
          <w:szCs w:val="28"/>
          <w:lang w:eastAsia="en-US"/>
        </w:rPr>
        <w:t>.</w:t>
      </w:r>
    </w:p>
    <w:p w14:paraId="532B9FF1" w14:textId="41C2D34B" w:rsidR="005768D2" w:rsidRDefault="005768D2" w:rsidP="005768D2">
      <w:pPr>
        <w:spacing w:after="60"/>
        <w:ind w:firstLine="709"/>
        <w:jc w:val="both"/>
        <w:rPr>
          <w:szCs w:val="28"/>
          <w:lang w:eastAsia="en-US"/>
        </w:rPr>
      </w:pPr>
      <w:r w:rsidRPr="009F7B7E">
        <w:t>Прочие же виды доходов федерального бюджета от использования государственного имущества носят дополняющий характер.</w:t>
      </w:r>
      <w:r>
        <w:t xml:space="preserve"> </w:t>
      </w:r>
      <w:r w:rsidRPr="009F7B7E">
        <w:rPr>
          <w:lang w:eastAsia="en-US"/>
        </w:rPr>
        <w:t xml:space="preserve">Основное место </w:t>
      </w:r>
      <w:r>
        <w:rPr>
          <w:lang w:eastAsia="en-US"/>
        </w:rPr>
        <w:t xml:space="preserve">среди них </w:t>
      </w:r>
      <w:r w:rsidRPr="009F7B7E">
        <w:rPr>
          <w:lang w:eastAsia="en-US"/>
        </w:rPr>
        <w:t>занимают</w:t>
      </w:r>
      <w:r w:rsidRPr="000958FD">
        <w:rPr>
          <w:lang w:eastAsia="en-US"/>
        </w:rPr>
        <w:t>:</w:t>
      </w:r>
      <w:r w:rsidRPr="009F7B7E">
        <w:rPr>
          <w:lang w:eastAsia="en-US"/>
        </w:rPr>
        <w:t xml:space="preserve"> </w:t>
      </w:r>
      <w:r w:rsidRPr="009F7B7E">
        <w:rPr>
          <w:szCs w:val="28"/>
          <w:lang w:eastAsia="en-US"/>
        </w:rPr>
        <w:t xml:space="preserve">(1) доходы, получаемые в виде арендной платы, а также средства от продажи права на заключение договоров аренды за земли, находящиеся в федеральной собственности (за исключением земельных участков федеральных бюджетных и автономных учреждений), в сумме </w:t>
      </w:r>
      <w:r w:rsidRPr="00273F2D">
        <w:rPr>
          <w:szCs w:val="28"/>
          <w:lang w:eastAsia="en-US"/>
        </w:rPr>
        <w:t>12</w:t>
      </w:r>
      <w:r w:rsidRPr="009F7B7E">
        <w:rPr>
          <w:szCs w:val="28"/>
          <w:lang w:eastAsia="en-US"/>
        </w:rPr>
        <w:t>,</w:t>
      </w:r>
      <w:r w:rsidRPr="00273F2D">
        <w:rPr>
          <w:szCs w:val="28"/>
          <w:lang w:eastAsia="en-US"/>
        </w:rPr>
        <w:t>8</w:t>
      </w:r>
      <w:r>
        <w:rPr>
          <w:szCs w:val="28"/>
          <w:lang w:eastAsia="en-US"/>
        </w:rPr>
        <w:t xml:space="preserve"> млрд руб., (2</w:t>
      </w:r>
      <w:r w:rsidRPr="009F7B7E">
        <w:rPr>
          <w:szCs w:val="28"/>
          <w:lang w:eastAsia="en-US"/>
        </w:rPr>
        <w:t xml:space="preserve">) </w:t>
      </w:r>
      <w:r>
        <w:t xml:space="preserve">перечисления части чистой прибыли от </w:t>
      </w:r>
      <w:r w:rsidRPr="006F6B4B">
        <w:rPr>
          <w:szCs w:val="28"/>
        </w:rPr>
        <w:t>федеральных государственных унитарных предприятий</w:t>
      </w:r>
      <w:r>
        <w:rPr>
          <w:szCs w:val="28"/>
        </w:rPr>
        <w:t xml:space="preserve"> (ФГУПов)</w:t>
      </w:r>
      <w:r w:rsidRPr="005D4511">
        <w:rPr>
          <w:szCs w:val="28"/>
        </w:rPr>
        <w:t xml:space="preserve"> – </w:t>
      </w:r>
      <w:r w:rsidRPr="00273F2D">
        <w:rPr>
          <w:szCs w:val="28"/>
        </w:rPr>
        <w:t>6</w:t>
      </w:r>
      <w:r w:rsidRPr="009F7B7E">
        <w:rPr>
          <w:szCs w:val="28"/>
          <w:lang w:eastAsia="en-US"/>
        </w:rPr>
        <w:t>,</w:t>
      </w:r>
      <w:r w:rsidRPr="00273F2D">
        <w:rPr>
          <w:szCs w:val="28"/>
          <w:lang w:eastAsia="en-US"/>
        </w:rPr>
        <w:t>4</w:t>
      </w:r>
      <w:r w:rsidRPr="009F7B7E">
        <w:rPr>
          <w:szCs w:val="28"/>
          <w:lang w:eastAsia="en-US"/>
        </w:rPr>
        <w:t xml:space="preserve"> млрд руб.</w:t>
      </w:r>
      <w:r w:rsidRPr="002A6A11">
        <w:rPr>
          <w:szCs w:val="28"/>
          <w:lang w:eastAsia="en-US"/>
        </w:rPr>
        <w:t xml:space="preserve">, </w:t>
      </w:r>
      <w:r>
        <w:rPr>
          <w:szCs w:val="28"/>
          <w:lang w:eastAsia="en-US"/>
        </w:rPr>
        <w:t>(3</w:t>
      </w:r>
      <w:r w:rsidRPr="009F7B7E">
        <w:rPr>
          <w:szCs w:val="28"/>
          <w:lang w:eastAsia="en-US"/>
        </w:rPr>
        <w:t xml:space="preserve">) 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 </w:t>
      </w:r>
      <w:r w:rsidRPr="005D4511">
        <w:rPr>
          <w:szCs w:val="28"/>
          <w:lang w:eastAsia="en-US"/>
        </w:rPr>
        <w:t>5</w:t>
      </w:r>
      <w:r w:rsidRPr="009F7B7E">
        <w:rPr>
          <w:szCs w:val="28"/>
          <w:lang w:eastAsia="en-US"/>
        </w:rPr>
        <w:t>,</w:t>
      </w:r>
      <w:r w:rsidRPr="005D4511">
        <w:rPr>
          <w:szCs w:val="28"/>
          <w:lang w:eastAsia="en-US"/>
        </w:rPr>
        <w:t>1</w:t>
      </w:r>
      <w:r w:rsidRPr="009F7B7E">
        <w:rPr>
          <w:szCs w:val="28"/>
          <w:lang w:eastAsia="en-US"/>
        </w:rPr>
        <w:t xml:space="preserve"> млрд руб.</w:t>
      </w:r>
      <w:r>
        <w:rPr>
          <w:szCs w:val="28"/>
          <w:lang w:eastAsia="en-US"/>
        </w:rPr>
        <w:t xml:space="preserve"> П</w:t>
      </w:r>
      <w:r w:rsidRPr="00D02EA6">
        <w:rPr>
          <w:szCs w:val="28"/>
          <w:lang w:eastAsia="en-US"/>
        </w:rPr>
        <w:t>о сравнению с оценкой за 201</w:t>
      </w:r>
      <w:r w:rsidRPr="002A6A11">
        <w:rPr>
          <w:szCs w:val="28"/>
          <w:lang w:eastAsia="en-US"/>
        </w:rPr>
        <w:t>9</w:t>
      </w:r>
      <w:r w:rsidRPr="00D02EA6">
        <w:rPr>
          <w:szCs w:val="28"/>
          <w:lang w:eastAsia="en-US"/>
        </w:rPr>
        <w:t xml:space="preserve"> г</w:t>
      </w:r>
      <w:r w:rsidRPr="000958FD">
        <w:rPr>
          <w:szCs w:val="28"/>
          <w:lang w:eastAsia="en-US"/>
        </w:rPr>
        <w:t>.</w:t>
      </w:r>
      <w:r>
        <w:rPr>
          <w:szCs w:val="28"/>
          <w:lang w:eastAsia="en-US"/>
        </w:rPr>
        <w:t xml:space="preserve"> прирост доходов </w:t>
      </w:r>
      <w:r w:rsidRPr="00D02EA6">
        <w:rPr>
          <w:szCs w:val="28"/>
          <w:lang w:eastAsia="en-US"/>
        </w:rPr>
        <w:t>прогнозируется</w:t>
      </w:r>
      <w:r w:rsidRPr="002A6A11">
        <w:rPr>
          <w:szCs w:val="28"/>
          <w:lang w:eastAsia="en-US"/>
        </w:rPr>
        <w:t xml:space="preserve"> </w:t>
      </w:r>
      <w:r>
        <w:rPr>
          <w:szCs w:val="28"/>
          <w:lang w:eastAsia="en-US"/>
        </w:rPr>
        <w:t>только по первой из вышеназванных статей (более чем на 14%)</w:t>
      </w:r>
      <w:r w:rsidRPr="002A6A11">
        <w:rPr>
          <w:szCs w:val="28"/>
          <w:lang w:eastAsia="en-US"/>
        </w:rPr>
        <w:t xml:space="preserve">, </w:t>
      </w:r>
      <w:r>
        <w:rPr>
          <w:szCs w:val="28"/>
          <w:lang w:eastAsia="en-US"/>
        </w:rPr>
        <w:t>тогда как поступления от аренды имущества должны сократиться более чем на 2</w:t>
      </w:r>
      <w:r w:rsidRPr="002A6A11">
        <w:rPr>
          <w:szCs w:val="28"/>
          <w:lang w:eastAsia="en-US"/>
        </w:rPr>
        <w:t xml:space="preserve">,5%, </w:t>
      </w:r>
      <w:r>
        <w:rPr>
          <w:szCs w:val="28"/>
          <w:lang w:eastAsia="en-US"/>
        </w:rPr>
        <w:t>а чистой прибыли ФГУПов – почти на 17%</w:t>
      </w:r>
      <w:r w:rsidRPr="002A6A11">
        <w:rPr>
          <w:szCs w:val="28"/>
          <w:lang w:eastAsia="en-US"/>
        </w:rPr>
        <w:t>.</w:t>
      </w:r>
    </w:p>
    <w:p w14:paraId="2A20C2C3" w14:textId="0E743058" w:rsidR="0013248E" w:rsidRDefault="0013248E" w:rsidP="00173630">
      <w:pPr>
        <w:spacing w:after="60"/>
        <w:ind w:firstLine="709"/>
        <w:jc w:val="both"/>
        <w:rPr>
          <w:rFonts w:eastAsia="MS Mincho"/>
          <w:szCs w:val="20"/>
          <w:lang w:eastAsia="ja-JP"/>
        </w:rPr>
      </w:pPr>
      <w:r>
        <w:rPr>
          <w:rFonts w:eastAsia="MS Mincho"/>
          <w:szCs w:val="20"/>
          <w:lang w:eastAsia="ja-JP"/>
        </w:rPr>
        <w:br w:type="page"/>
      </w:r>
    </w:p>
    <w:p w14:paraId="50C5193D" w14:textId="24BAE1CE" w:rsidR="007D098C" w:rsidRPr="008E6B24" w:rsidRDefault="002D146E" w:rsidP="004A7C37">
      <w:pPr>
        <w:keepNext/>
        <w:spacing w:before="240" w:after="360"/>
        <w:jc w:val="center"/>
        <w:outlineLvl w:val="0"/>
        <w:rPr>
          <w:b/>
          <w:szCs w:val="20"/>
        </w:rPr>
      </w:pPr>
      <w:bookmarkStart w:id="14" w:name="_Toc21436745"/>
      <w:r>
        <w:rPr>
          <w:b/>
          <w:kern w:val="28"/>
          <w:sz w:val="28"/>
          <w:szCs w:val="20"/>
        </w:rPr>
        <w:t>6</w:t>
      </w:r>
      <w:r w:rsidR="00995E45" w:rsidRPr="006C63D9">
        <w:rPr>
          <w:b/>
          <w:kern w:val="28"/>
          <w:sz w:val="28"/>
          <w:szCs w:val="20"/>
        </w:rPr>
        <w:t xml:space="preserve"> Анализ структуры и динамики расходов</w:t>
      </w:r>
      <w:bookmarkStart w:id="15" w:name="_Toc465966604"/>
      <w:bookmarkEnd w:id="14"/>
    </w:p>
    <w:p w14:paraId="469E1D77" w14:textId="58B1590F" w:rsidR="007C4B50" w:rsidRPr="007C4B50" w:rsidRDefault="002D146E" w:rsidP="00ED539A">
      <w:pPr>
        <w:keepNext/>
        <w:spacing w:before="240" w:after="60"/>
        <w:jc w:val="center"/>
        <w:outlineLvl w:val="1"/>
        <w:rPr>
          <w:b/>
          <w:szCs w:val="20"/>
        </w:rPr>
      </w:pPr>
      <w:bookmarkStart w:id="16" w:name="_Toc21436746"/>
      <w:r>
        <w:rPr>
          <w:b/>
          <w:szCs w:val="20"/>
        </w:rPr>
        <w:t>6</w:t>
      </w:r>
      <w:r w:rsidR="007C4B50" w:rsidRPr="0006181E">
        <w:rPr>
          <w:b/>
          <w:szCs w:val="20"/>
        </w:rPr>
        <w:t xml:space="preserve">.1 </w:t>
      </w:r>
      <w:r w:rsidR="007C4B50" w:rsidRPr="008A699D">
        <w:rPr>
          <w:b/>
          <w:szCs w:val="20"/>
        </w:rPr>
        <w:t>Реализация национал</w:t>
      </w:r>
      <w:r w:rsidR="007C4B50" w:rsidRPr="001D3373">
        <w:rPr>
          <w:b/>
          <w:szCs w:val="20"/>
        </w:rPr>
        <w:t>ьных проектов: первые итоги</w:t>
      </w:r>
      <w:bookmarkEnd w:id="16"/>
    </w:p>
    <w:p w14:paraId="12DC5A68" w14:textId="18EF188E" w:rsidR="0098464F" w:rsidRDefault="0098464F" w:rsidP="00C37F1E">
      <w:pPr>
        <w:spacing w:after="60"/>
        <w:ind w:firstLine="709"/>
        <w:jc w:val="both"/>
      </w:pPr>
      <w:r w:rsidRPr="00C37F1E">
        <w:t>Определенные Президентом Р</w:t>
      </w:r>
      <w:r w:rsidR="00191F82">
        <w:t>оссийской Федерации</w:t>
      </w:r>
      <w:r w:rsidRPr="00C37F1E">
        <w:t xml:space="preserve"> в Указе </w:t>
      </w:r>
      <w:r w:rsidR="00191F82">
        <w:t xml:space="preserve">от 7 мая 2018 года </w:t>
      </w:r>
      <w:r w:rsidR="00C37F1E">
        <w:t xml:space="preserve">№ </w:t>
      </w:r>
      <w:r w:rsidRPr="00C37F1E">
        <w:t xml:space="preserve">204 </w:t>
      </w:r>
      <w:r w:rsidR="00733417" w:rsidRPr="001A412B">
        <w:t>«</w:t>
      </w:r>
      <w:r w:rsidR="00733417">
        <w:t>О</w:t>
      </w:r>
      <w:r w:rsidR="00733417" w:rsidRPr="001A412B">
        <w:t xml:space="preserve"> национальных целях и стратегических задачах развития российской федерации на период до 2024 года»</w:t>
      </w:r>
      <w:r w:rsidR="00733417">
        <w:t xml:space="preserve"> (далее – Указ Президента РФ № 204, майский Указ Президента РФ) </w:t>
      </w:r>
      <w:r w:rsidRPr="00C37F1E">
        <w:t>национальные приоритеты было решено реализовывать посредством национальных проектов. Общий объем их финансирования за период 2019-2024 гг. составляет 25,7 трлн рублей, из которых порядка 50% приходится на федеральный бюджет, 20% на региональные бюджеты и остальные 30% на внебюджетные источники. При этом, вероятнее всего, что под внебюджетными источниками будут преимущественно пониматься госкомпании или организации с госучастием.</w:t>
      </w:r>
      <w:r w:rsidR="00682459">
        <w:t xml:space="preserve"> </w:t>
      </w:r>
      <w:r w:rsidR="00682459" w:rsidRPr="00682459">
        <w:t>Ежегодно на финансирование нацпроектов планируется расходовать 3,2-4,0% ВВП. Порядка 10% расходов федерального бюджета и около 5-6% расходов региональных бюджетов будут направлены на 13 нацпроектов. При этом не следует забывать, что оставшиеся расходы бюджетной системы – текущие расходы на образование, здравоохранение, расходы на строительство дорог, субсидии на поддержку предприятий реального сектора экономики – также должны выстраиваться в логику изменений, которые происходят в результате национальных проектов.</w:t>
      </w:r>
    </w:p>
    <w:p w14:paraId="41D9637B" w14:textId="685DA75C" w:rsidR="0066068F" w:rsidRPr="0033726B" w:rsidRDefault="0066068F" w:rsidP="0066068F">
      <w:pPr>
        <w:spacing w:after="60"/>
        <w:ind w:firstLine="709"/>
        <w:jc w:val="both"/>
      </w:pPr>
      <w:r w:rsidRPr="0033726B">
        <w:t>Объем расходов регионов на нацпроекты</w:t>
      </w:r>
      <w:r>
        <w:t xml:space="preserve">, с одной стороны, </w:t>
      </w:r>
      <w:r w:rsidRPr="0033726B">
        <w:t>не высок</w:t>
      </w:r>
      <w:r w:rsidR="00F2010B">
        <w:t>, да и с</w:t>
      </w:r>
      <w:r w:rsidRPr="0033726B">
        <w:t xml:space="preserve">колько из этих средств уже </w:t>
      </w:r>
      <w:r>
        <w:t>заложены</w:t>
      </w:r>
      <w:r w:rsidRPr="0033726B">
        <w:t xml:space="preserve"> в бюджетах, а сколько будет дополнительных расходов </w:t>
      </w:r>
      <w:r>
        <w:t>в настоящее время затруднительно однозначно оценить.</w:t>
      </w:r>
      <w:r w:rsidRPr="0033726B">
        <w:t xml:space="preserve"> </w:t>
      </w:r>
      <w:r>
        <w:t xml:space="preserve">С другой стороны, </w:t>
      </w:r>
      <w:r w:rsidRPr="0033726B">
        <w:t xml:space="preserve">есть риск, что рост реального объема собственных расходов регионов на реализацию нацпроектов при сокращении общего реального объема бюджетных расходов может привести к тому, что на региональном уровне национальные проекты будут финансироваться за счет недофинансирования по другим направлениям, в отношении которых будет действовать остаточный принцип. В частности, можно поставить под вопрос возможность поддержания зарплат бюджетников на указном уровне. Уже </w:t>
      </w:r>
      <w:r w:rsidR="00F2010B">
        <w:t xml:space="preserve">по состоянию на 1июля 2019 г. </w:t>
      </w:r>
      <w:r w:rsidRPr="0033726B">
        <w:t xml:space="preserve">только 4 региона удерживают </w:t>
      </w:r>
      <w:r w:rsidR="00F2010B">
        <w:t>зарплаты</w:t>
      </w:r>
      <w:r w:rsidRPr="0033726B">
        <w:t xml:space="preserve"> бюджетников на целевом уровне. </w:t>
      </w:r>
    </w:p>
    <w:p w14:paraId="619C6763" w14:textId="60A45A31" w:rsidR="007C4B50" w:rsidRDefault="007C4B50" w:rsidP="007C4B50">
      <w:pPr>
        <w:spacing w:after="60"/>
        <w:ind w:firstLine="709"/>
        <w:jc w:val="both"/>
      </w:pPr>
      <w:r>
        <w:t>Для оценки перспектив реализации национальных проектов при рассмотрении проекта закона «О федеральном бюджете на 2020 год и на плановый период 2021 и 2022 годов» было проведено сопоставление расходов, предусмотренных на их реализацию в соответствии с проектом закона и утвержденными версиями паспортов национальных проектов</w:t>
      </w:r>
      <w:r w:rsidR="00600DF7">
        <w:t xml:space="preserve"> (</w:t>
      </w:r>
      <w:r w:rsidR="00600DF7" w:rsidRPr="00600DF7">
        <w:rPr>
          <w:i/>
        </w:rPr>
        <w:t>таблица</w:t>
      </w:r>
      <w:r w:rsidR="00600DF7">
        <w:t xml:space="preserve"> </w:t>
      </w:r>
      <w:r w:rsidR="00C84D38">
        <w:rPr>
          <w:i/>
          <w:noProof/>
        </w:rPr>
        <w:t>7</w:t>
      </w:r>
      <w:r w:rsidR="00600DF7">
        <w:t>)</w:t>
      </w:r>
      <w:r>
        <w:t>.</w:t>
      </w:r>
    </w:p>
    <w:p w14:paraId="4F68D380" w14:textId="1B1AC587" w:rsidR="007C4B50" w:rsidRPr="007C4B50" w:rsidRDefault="007C4B50" w:rsidP="007C4B50">
      <w:pPr>
        <w:spacing w:after="60"/>
        <w:jc w:val="right"/>
        <w:rPr>
          <w:i/>
        </w:rPr>
      </w:pPr>
      <w:r w:rsidRPr="009663B5">
        <w:rPr>
          <w:i/>
        </w:rPr>
        <w:t xml:space="preserve">Таблица </w:t>
      </w:r>
      <w:bookmarkStart w:id="17" w:name="_Ref21340065"/>
      <w:r w:rsidR="00BF098E">
        <w:rPr>
          <w:i/>
          <w:noProof/>
        </w:rPr>
        <w:t>7</w:t>
      </w:r>
      <w:bookmarkEnd w:id="17"/>
    </w:p>
    <w:p w14:paraId="56ECD153" w14:textId="3AFE78B0" w:rsidR="007C4B50" w:rsidRPr="007C4B50" w:rsidRDefault="007C4B50" w:rsidP="007C4B50">
      <w:pPr>
        <w:spacing w:after="60"/>
        <w:jc w:val="center"/>
        <w:rPr>
          <w:b/>
        </w:rPr>
      </w:pPr>
      <w:r w:rsidRPr="007C4B50">
        <w:rPr>
          <w:b/>
        </w:rPr>
        <w:t>Сопоставление общего объема расходов на национальные проекты</w:t>
      </w:r>
    </w:p>
    <w:tbl>
      <w:tblPr>
        <w:tblW w:w="9072" w:type="dxa"/>
        <w:tblInd w:w="-5" w:type="dxa"/>
        <w:tblLayout w:type="fixed"/>
        <w:tblLook w:val="04A0" w:firstRow="1" w:lastRow="0" w:firstColumn="1" w:lastColumn="0" w:noHBand="0" w:noVBand="1"/>
      </w:tblPr>
      <w:tblGrid>
        <w:gridCol w:w="5640"/>
        <w:gridCol w:w="1191"/>
        <w:gridCol w:w="1191"/>
        <w:gridCol w:w="1050"/>
      </w:tblGrid>
      <w:tr w:rsidR="007C4B50" w:rsidRPr="002B03E7" w14:paraId="4639B266" w14:textId="77777777" w:rsidTr="00600DF7">
        <w:trPr>
          <w:trHeight w:val="255"/>
          <w:tblHeader/>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2E9BB" w14:textId="77777777" w:rsidR="007C4B50" w:rsidRPr="002B03E7" w:rsidRDefault="007C4B50" w:rsidP="00C9484E">
            <w:pPr>
              <w:rPr>
                <w:sz w:val="20"/>
              </w:rPr>
            </w:pPr>
            <w:r w:rsidRPr="002B03E7">
              <w:rPr>
                <w:sz w:val="20"/>
              </w:rPr>
              <w:t> </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5B0D72A3" w14:textId="7765CA20" w:rsidR="007C4B50" w:rsidRPr="007C4B50" w:rsidRDefault="007C4B50" w:rsidP="007C4B50">
            <w:pPr>
              <w:jc w:val="center"/>
              <w:rPr>
                <w:b/>
                <w:color w:val="000000"/>
                <w:sz w:val="20"/>
              </w:rPr>
            </w:pPr>
            <w:r w:rsidRPr="007C4B50">
              <w:rPr>
                <w:b/>
                <w:color w:val="000000"/>
                <w:sz w:val="20"/>
              </w:rPr>
              <w:t>2020</w:t>
            </w:r>
            <w:r>
              <w:rPr>
                <w:b/>
                <w:color w:val="000000"/>
                <w:sz w:val="20"/>
              </w:rPr>
              <w:t xml:space="preserve"> г.</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2DF3D0E6" w14:textId="681FA975" w:rsidR="007C4B50" w:rsidRPr="007C4B50" w:rsidRDefault="007C4B50" w:rsidP="007C4B50">
            <w:pPr>
              <w:jc w:val="center"/>
              <w:rPr>
                <w:b/>
                <w:color w:val="000000"/>
                <w:sz w:val="20"/>
              </w:rPr>
            </w:pPr>
            <w:r w:rsidRPr="007C4B50">
              <w:rPr>
                <w:b/>
                <w:color w:val="000000"/>
                <w:sz w:val="20"/>
              </w:rPr>
              <w:t>2021</w:t>
            </w:r>
            <w:r>
              <w:rPr>
                <w:b/>
                <w:color w:val="000000"/>
                <w:sz w:val="20"/>
              </w:rPr>
              <w:t xml:space="preserve"> г.</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7DA1E0CA" w14:textId="34FECB34" w:rsidR="007C4B50" w:rsidRPr="007C4B50" w:rsidRDefault="007C4B50" w:rsidP="007C4B50">
            <w:pPr>
              <w:jc w:val="center"/>
              <w:rPr>
                <w:b/>
                <w:color w:val="000000"/>
                <w:sz w:val="20"/>
              </w:rPr>
            </w:pPr>
            <w:r w:rsidRPr="007C4B50">
              <w:rPr>
                <w:b/>
                <w:color w:val="000000"/>
                <w:sz w:val="20"/>
              </w:rPr>
              <w:t>2022</w:t>
            </w:r>
            <w:r>
              <w:rPr>
                <w:b/>
                <w:color w:val="000000"/>
                <w:sz w:val="20"/>
              </w:rPr>
              <w:t xml:space="preserve"> г.</w:t>
            </w:r>
          </w:p>
        </w:tc>
      </w:tr>
      <w:tr w:rsidR="007C4B50" w:rsidRPr="002B03E7" w14:paraId="41D8C89D" w14:textId="77777777" w:rsidTr="007C4B50">
        <w:trPr>
          <w:trHeight w:val="510"/>
        </w:trPr>
        <w:tc>
          <w:tcPr>
            <w:tcW w:w="5640" w:type="dxa"/>
            <w:tcBorders>
              <w:top w:val="nil"/>
              <w:left w:val="single" w:sz="4" w:space="0" w:color="auto"/>
              <w:bottom w:val="single" w:sz="4" w:space="0" w:color="auto"/>
              <w:right w:val="single" w:sz="4" w:space="0" w:color="auto"/>
            </w:tcBorders>
            <w:shd w:val="clear" w:color="000000" w:fill="FFFFFF"/>
            <w:vAlign w:val="center"/>
            <w:hideMark/>
          </w:tcPr>
          <w:p w14:paraId="2E7DC733" w14:textId="72F92740" w:rsidR="007C4B50" w:rsidRPr="002B03E7" w:rsidRDefault="007C4B50" w:rsidP="00C9484E">
            <w:pPr>
              <w:rPr>
                <w:sz w:val="20"/>
              </w:rPr>
            </w:pPr>
            <w:r w:rsidRPr="002B03E7">
              <w:rPr>
                <w:sz w:val="20"/>
              </w:rPr>
              <w:t>Расходы федерального бюджета на реализацию национальных проектов, всего, млрд руб</w:t>
            </w:r>
            <w:r w:rsidR="00C9484E">
              <w:rPr>
                <w:sz w:val="20"/>
              </w:rPr>
              <w:t>.</w:t>
            </w:r>
          </w:p>
        </w:tc>
        <w:tc>
          <w:tcPr>
            <w:tcW w:w="1191" w:type="dxa"/>
            <w:tcBorders>
              <w:top w:val="nil"/>
              <w:left w:val="nil"/>
              <w:bottom w:val="single" w:sz="4" w:space="0" w:color="auto"/>
              <w:right w:val="single" w:sz="4" w:space="0" w:color="auto"/>
            </w:tcBorders>
            <w:shd w:val="clear" w:color="auto" w:fill="auto"/>
            <w:noWrap/>
            <w:vAlign w:val="bottom"/>
            <w:hideMark/>
          </w:tcPr>
          <w:p w14:paraId="2A4FC8B2" w14:textId="77777777" w:rsidR="007C4B50" w:rsidRPr="007C4B50" w:rsidRDefault="007C4B50" w:rsidP="007C4B50">
            <w:pPr>
              <w:jc w:val="center"/>
              <w:rPr>
                <w:b/>
                <w:color w:val="000000"/>
                <w:sz w:val="20"/>
              </w:rPr>
            </w:pPr>
          </w:p>
        </w:tc>
        <w:tc>
          <w:tcPr>
            <w:tcW w:w="1191" w:type="dxa"/>
            <w:tcBorders>
              <w:top w:val="nil"/>
              <w:left w:val="nil"/>
              <w:bottom w:val="single" w:sz="4" w:space="0" w:color="auto"/>
              <w:right w:val="single" w:sz="4" w:space="0" w:color="auto"/>
            </w:tcBorders>
            <w:shd w:val="clear" w:color="auto" w:fill="auto"/>
            <w:noWrap/>
            <w:vAlign w:val="bottom"/>
            <w:hideMark/>
          </w:tcPr>
          <w:p w14:paraId="51D30DFC" w14:textId="77777777" w:rsidR="007C4B50" w:rsidRPr="007C4B50" w:rsidRDefault="007C4B50" w:rsidP="007C4B50">
            <w:pPr>
              <w:jc w:val="center"/>
              <w:rPr>
                <w:b/>
                <w:color w:val="000000"/>
                <w:sz w:val="20"/>
              </w:rPr>
            </w:pPr>
          </w:p>
        </w:tc>
        <w:tc>
          <w:tcPr>
            <w:tcW w:w="1050" w:type="dxa"/>
            <w:tcBorders>
              <w:top w:val="nil"/>
              <w:left w:val="nil"/>
              <w:bottom w:val="single" w:sz="4" w:space="0" w:color="auto"/>
              <w:right w:val="single" w:sz="4" w:space="0" w:color="auto"/>
            </w:tcBorders>
            <w:shd w:val="clear" w:color="auto" w:fill="auto"/>
            <w:noWrap/>
            <w:vAlign w:val="bottom"/>
            <w:hideMark/>
          </w:tcPr>
          <w:p w14:paraId="28CC54AA" w14:textId="77777777" w:rsidR="007C4B50" w:rsidRPr="007C4B50" w:rsidRDefault="007C4B50" w:rsidP="007C4B50">
            <w:pPr>
              <w:jc w:val="center"/>
              <w:rPr>
                <w:b/>
                <w:color w:val="000000"/>
                <w:sz w:val="20"/>
              </w:rPr>
            </w:pPr>
          </w:p>
        </w:tc>
      </w:tr>
      <w:tr w:rsidR="007C4B50" w:rsidRPr="002B03E7" w14:paraId="6489A45C" w14:textId="77777777" w:rsidTr="007C4B50">
        <w:trPr>
          <w:trHeight w:val="510"/>
        </w:trPr>
        <w:tc>
          <w:tcPr>
            <w:tcW w:w="5640" w:type="dxa"/>
            <w:tcBorders>
              <w:top w:val="nil"/>
              <w:left w:val="single" w:sz="4" w:space="0" w:color="auto"/>
              <w:bottom w:val="single" w:sz="4" w:space="0" w:color="auto"/>
              <w:right w:val="single" w:sz="4" w:space="0" w:color="auto"/>
            </w:tcBorders>
            <w:shd w:val="clear" w:color="000000" w:fill="FFFFFF"/>
            <w:vAlign w:val="center"/>
            <w:hideMark/>
          </w:tcPr>
          <w:p w14:paraId="3494F41F" w14:textId="77777777" w:rsidR="007C4B50" w:rsidRPr="002B03E7" w:rsidRDefault="007C4B50" w:rsidP="00C9484E">
            <w:pPr>
              <w:jc w:val="right"/>
              <w:rPr>
                <w:sz w:val="20"/>
              </w:rPr>
            </w:pPr>
            <w:r w:rsidRPr="002B03E7">
              <w:rPr>
                <w:sz w:val="20"/>
              </w:rPr>
              <w:t xml:space="preserve">в соответствии с проектом закона «О федеральном бюджете на 2020 год и на плановый период 2021 и 2022 годов» </w:t>
            </w:r>
          </w:p>
        </w:tc>
        <w:tc>
          <w:tcPr>
            <w:tcW w:w="1191" w:type="dxa"/>
            <w:tcBorders>
              <w:top w:val="nil"/>
              <w:left w:val="nil"/>
              <w:bottom w:val="single" w:sz="4" w:space="0" w:color="auto"/>
              <w:right w:val="single" w:sz="4" w:space="0" w:color="auto"/>
            </w:tcBorders>
            <w:shd w:val="clear" w:color="auto" w:fill="auto"/>
            <w:noWrap/>
            <w:vAlign w:val="bottom"/>
            <w:hideMark/>
          </w:tcPr>
          <w:p w14:paraId="51660EDF" w14:textId="77777777" w:rsidR="007C4B50" w:rsidRPr="002B03E7" w:rsidRDefault="007C4B50" w:rsidP="00C9484E">
            <w:pPr>
              <w:rPr>
                <w:color w:val="000000"/>
                <w:sz w:val="20"/>
              </w:rPr>
            </w:pPr>
            <w:r w:rsidRPr="002B03E7">
              <w:rPr>
                <w:color w:val="000000"/>
                <w:sz w:val="20"/>
              </w:rPr>
              <w:t>1</w:t>
            </w:r>
            <w:r>
              <w:rPr>
                <w:color w:val="000000"/>
                <w:sz w:val="20"/>
              </w:rPr>
              <w:t xml:space="preserve"> </w:t>
            </w:r>
            <w:r w:rsidRPr="002B03E7">
              <w:rPr>
                <w:color w:val="000000"/>
                <w:sz w:val="20"/>
              </w:rPr>
              <w:t>983</w:t>
            </w:r>
          </w:p>
        </w:tc>
        <w:tc>
          <w:tcPr>
            <w:tcW w:w="1191" w:type="dxa"/>
            <w:tcBorders>
              <w:top w:val="nil"/>
              <w:left w:val="nil"/>
              <w:bottom w:val="single" w:sz="4" w:space="0" w:color="auto"/>
              <w:right w:val="single" w:sz="4" w:space="0" w:color="auto"/>
            </w:tcBorders>
            <w:shd w:val="clear" w:color="auto" w:fill="auto"/>
            <w:noWrap/>
            <w:vAlign w:val="bottom"/>
            <w:hideMark/>
          </w:tcPr>
          <w:p w14:paraId="53555109" w14:textId="77777777" w:rsidR="007C4B50" w:rsidRPr="002B03E7" w:rsidRDefault="007C4B50" w:rsidP="00C9484E">
            <w:pPr>
              <w:rPr>
                <w:color w:val="000000"/>
                <w:sz w:val="20"/>
              </w:rPr>
            </w:pPr>
            <w:r w:rsidRPr="002B03E7">
              <w:rPr>
                <w:color w:val="000000"/>
                <w:sz w:val="20"/>
              </w:rPr>
              <w:t>2</w:t>
            </w:r>
            <w:r>
              <w:rPr>
                <w:color w:val="000000"/>
                <w:sz w:val="20"/>
              </w:rPr>
              <w:t xml:space="preserve"> </w:t>
            </w:r>
            <w:r w:rsidRPr="002B03E7">
              <w:rPr>
                <w:color w:val="000000"/>
                <w:sz w:val="20"/>
              </w:rPr>
              <w:t>218</w:t>
            </w:r>
          </w:p>
        </w:tc>
        <w:tc>
          <w:tcPr>
            <w:tcW w:w="1050" w:type="dxa"/>
            <w:tcBorders>
              <w:top w:val="nil"/>
              <w:left w:val="nil"/>
              <w:bottom w:val="single" w:sz="4" w:space="0" w:color="auto"/>
              <w:right w:val="single" w:sz="4" w:space="0" w:color="auto"/>
            </w:tcBorders>
            <w:shd w:val="clear" w:color="auto" w:fill="auto"/>
            <w:noWrap/>
            <w:vAlign w:val="bottom"/>
            <w:hideMark/>
          </w:tcPr>
          <w:p w14:paraId="0B129FD0" w14:textId="77777777" w:rsidR="007C4B50" w:rsidRPr="002B03E7" w:rsidRDefault="007C4B50" w:rsidP="00C9484E">
            <w:pPr>
              <w:rPr>
                <w:color w:val="000000"/>
                <w:sz w:val="20"/>
              </w:rPr>
            </w:pPr>
            <w:r w:rsidRPr="002B03E7">
              <w:rPr>
                <w:color w:val="000000"/>
                <w:sz w:val="20"/>
              </w:rPr>
              <w:t>2</w:t>
            </w:r>
            <w:r>
              <w:rPr>
                <w:color w:val="000000"/>
                <w:sz w:val="20"/>
              </w:rPr>
              <w:t xml:space="preserve"> </w:t>
            </w:r>
            <w:r w:rsidRPr="002B03E7">
              <w:rPr>
                <w:color w:val="000000"/>
                <w:sz w:val="20"/>
              </w:rPr>
              <w:t>693</w:t>
            </w:r>
          </w:p>
        </w:tc>
      </w:tr>
      <w:tr w:rsidR="007C4B50" w:rsidRPr="002B03E7" w14:paraId="74F46A5C" w14:textId="77777777" w:rsidTr="007C4B50">
        <w:trPr>
          <w:trHeight w:val="1020"/>
        </w:trPr>
        <w:tc>
          <w:tcPr>
            <w:tcW w:w="5640" w:type="dxa"/>
            <w:tcBorders>
              <w:top w:val="nil"/>
              <w:left w:val="single" w:sz="4" w:space="0" w:color="auto"/>
              <w:bottom w:val="single" w:sz="4" w:space="0" w:color="auto"/>
              <w:right w:val="single" w:sz="4" w:space="0" w:color="auto"/>
            </w:tcBorders>
            <w:shd w:val="clear" w:color="000000" w:fill="FFFFFF"/>
            <w:vAlign w:val="center"/>
            <w:hideMark/>
          </w:tcPr>
          <w:p w14:paraId="0F73474D" w14:textId="1D83A9C0" w:rsidR="007C4B50" w:rsidRPr="002B03E7" w:rsidRDefault="007C4B50" w:rsidP="00C9484E">
            <w:pPr>
              <w:jc w:val="right"/>
              <w:rPr>
                <w:sz w:val="20"/>
              </w:rPr>
            </w:pPr>
            <w:r w:rsidRPr="002B03E7">
              <w:rPr>
                <w:sz w:val="20"/>
              </w:rPr>
              <w:t xml:space="preserve">в соответствии с утвержденными президиумом Совета при Президенте Российской Федерации по стратегическому развитию и национальным проектам паспортами </w:t>
            </w:r>
            <w:r w:rsidR="00C9484E" w:rsidRPr="002B03E7">
              <w:rPr>
                <w:sz w:val="20"/>
              </w:rPr>
              <w:t>национальных проектов</w:t>
            </w:r>
            <w:r>
              <w:rPr>
                <w:sz w:val="20"/>
              </w:rPr>
              <w:t xml:space="preserve">, финансирование из </w:t>
            </w:r>
            <w:r w:rsidR="00ED1C7D">
              <w:rPr>
                <w:sz w:val="20"/>
              </w:rPr>
              <w:t>ф</w:t>
            </w:r>
            <w:r>
              <w:rPr>
                <w:sz w:val="20"/>
              </w:rPr>
              <w:t>едерального бюджета</w:t>
            </w:r>
          </w:p>
        </w:tc>
        <w:tc>
          <w:tcPr>
            <w:tcW w:w="1191" w:type="dxa"/>
            <w:tcBorders>
              <w:top w:val="nil"/>
              <w:left w:val="nil"/>
              <w:bottom w:val="single" w:sz="4" w:space="0" w:color="auto"/>
              <w:right w:val="single" w:sz="4" w:space="0" w:color="auto"/>
            </w:tcBorders>
            <w:shd w:val="clear" w:color="auto" w:fill="auto"/>
            <w:noWrap/>
            <w:vAlign w:val="bottom"/>
            <w:hideMark/>
          </w:tcPr>
          <w:p w14:paraId="5482FB56" w14:textId="77777777" w:rsidR="007C4B50" w:rsidRPr="002B03E7" w:rsidRDefault="007C4B50" w:rsidP="00C9484E">
            <w:pPr>
              <w:rPr>
                <w:color w:val="000000"/>
                <w:sz w:val="20"/>
              </w:rPr>
            </w:pPr>
            <w:r w:rsidRPr="002B03E7">
              <w:rPr>
                <w:color w:val="000000"/>
                <w:sz w:val="20"/>
              </w:rPr>
              <w:t>1</w:t>
            </w:r>
            <w:r>
              <w:rPr>
                <w:color w:val="000000"/>
                <w:sz w:val="20"/>
              </w:rPr>
              <w:t xml:space="preserve"> </w:t>
            </w:r>
            <w:r w:rsidRPr="002B03E7">
              <w:rPr>
                <w:color w:val="000000"/>
                <w:sz w:val="20"/>
              </w:rPr>
              <w:t>895</w:t>
            </w:r>
          </w:p>
        </w:tc>
        <w:tc>
          <w:tcPr>
            <w:tcW w:w="1191" w:type="dxa"/>
            <w:tcBorders>
              <w:top w:val="nil"/>
              <w:left w:val="nil"/>
              <w:bottom w:val="single" w:sz="4" w:space="0" w:color="auto"/>
              <w:right w:val="single" w:sz="4" w:space="0" w:color="auto"/>
            </w:tcBorders>
            <w:shd w:val="clear" w:color="auto" w:fill="auto"/>
            <w:noWrap/>
            <w:vAlign w:val="bottom"/>
            <w:hideMark/>
          </w:tcPr>
          <w:p w14:paraId="3FF0EC15" w14:textId="77777777" w:rsidR="007C4B50" w:rsidRPr="002B03E7" w:rsidRDefault="007C4B50" w:rsidP="00C9484E">
            <w:pPr>
              <w:rPr>
                <w:color w:val="000000"/>
                <w:sz w:val="20"/>
              </w:rPr>
            </w:pPr>
            <w:r w:rsidRPr="002B03E7">
              <w:rPr>
                <w:color w:val="000000"/>
                <w:sz w:val="20"/>
              </w:rPr>
              <w:t>2</w:t>
            </w:r>
            <w:r>
              <w:rPr>
                <w:color w:val="000000"/>
                <w:sz w:val="20"/>
              </w:rPr>
              <w:t xml:space="preserve"> </w:t>
            </w:r>
            <w:r w:rsidRPr="002B03E7">
              <w:rPr>
                <w:color w:val="000000"/>
                <w:sz w:val="20"/>
              </w:rPr>
              <w:t>124</w:t>
            </w:r>
          </w:p>
        </w:tc>
        <w:tc>
          <w:tcPr>
            <w:tcW w:w="1050" w:type="dxa"/>
            <w:tcBorders>
              <w:top w:val="nil"/>
              <w:left w:val="nil"/>
              <w:bottom w:val="single" w:sz="4" w:space="0" w:color="auto"/>
              <w:right w:val="single" w:sz="4" w:space="0" w:color="auto"/>
            </w:tcBorders>
            <w:shd w:val="clear" w:color="auto" w:fill="auto"/>
            <w:noWrap/>
            <w:vAlign w:val="bottom"/>
            <w:hideMark/>
          </w:tcPr>
          <w:p w14:paraId="189DB34E" w14:textId="77777777" w:rsidR="007C4B50" w:rsidRPr="002B03E7" w:rsidRDefault="007C4B50" w:rsidP="00C9484E">
            <w:pPr>
              <w:rPr>
                <w:color w:val="000000"/>
                <w:sz w:val="20"/>
              </w:rPr>
            </w:pPr>
            <w:r w:rsidRPr="002B03E7">
              <w:rPr>
                <w:color w:val="000000"/>
                <w:sz w:val="20"/>
              </w:rPr>
              <w:t>2</w:t>
            </w:r>
            <w:r>
              <w:rPr>
                <w:color w:val="000000"/>
                <w:sz w:val="20"/>
              </w:rPr>
              <w:t xml:space="preserve"> </w:t>
            </w:r>
            <w:r w:rsidRPr="002B03E7">
              <w:rPr>
                <w:color w:val="000000"/>
                <w:sz w:val="20"/>
              </w:rPr>
              <w:t>558</w:t>
            </w:r>
          </w:p>
        </w:tc>
      </w:tr>
      <w:tr w:rsidR="007C4B50" w:rsidRPr="002B03E7" w14:paraId="590E0621" w14:textId="77777777" w:rsidTr="007C4B50">
        <w:trPr>
          <w:trHeight w:val="20"/>
        </w:trPr>
        <w:tc>
          <w:tcPr>
            <w:tcW w:w="5640" w:type="dxa"/>
            <w:tcBorders>
              <w:top w:val="nil"/>
              <w:left w:val="single" w:sz="4" w:space="0" w:color="auto"/>
              <w:bottom w:val="single" w:sz="4" w:space="0" w:color="auto"/>
              <w:right w:val="single" w:sz="4" w:space="0" w:color="auto"/>
            </w:tcBorders>
            <w:shd w:val="clear" w:color="000000" w:fill="FFFFFF"/>
            <w:vAlign w:val="center"/>
            <w:hideMark/>
          </w:tcPr>
          <w:p w14:paraId="5FA14002" w14:textId="77777777" w:rsidR="007C4B50" w:rsidRPr="007C4B50" w:rsidRDefault="007C4B50" w:rsidP="00C9484E">
            <w:pPr>
              <w:jc w:val="right"/>
              <w:rPr>
                <w:i/>
                <w:sz w:val="20"/>
              </w:rPr>
            </w:pPr>
            <w:r w:rsidRPr="007C4B50">
              <w:rPr>
                <w:i/>
                <w:sz w:val="20"/>
              </w:rPr>
              <w:t>Увеличение расходов относительно объемов, заложенных в паспортах национальных проектов, %</w:t>
            </w:r>
          </w:p>
        </w:tc>
        <w:tc>
          <w:tcPr>
            <w:tcW w:w="1191" w:type="dxa"/>
            <w:tcBorders>
              <w:top w:val="nil"/>
              <w:left w:val="nil"/>
              <w:bottom w:val="single" w:sz="4" w:space="0" w:color="auto"/>
              <w:right w:val="single" w:sz="4" w:space="0" w:color="auto"/>
            </w:tcBorders>
            <w:shd w:val="clear" w:color="auto" w:fill="auto"/>
            <w:noWrap/>
            <w:vAlign w:val="center"/>
            <w:hideMark/>
          </w:tcPr>
          <w:p w14:paraId="48217ED8" w14:textId="1C77183F" w:rsidR="007C4B50" w:rsidRPr="007C4B50" w:rsidRDefault="007C4B50" w:rsidP="00C9484E">
            <w:pPr>
              <w:jc w:val="right"/>
              <w:rPr>
                <w:i/>
                <w:color w:val="000000"/>
                <w:sz w:val="20"/>
              </w:rPr>
            </w:pPr>
            <w:r w:rsidRPr="007C4B50">
              <w:rPr>
                <w:i/>
                <w:color w:val="000000"/>
                <w:sz w:val="20"/>
              </w:rPr>
              <w:t>4</w:t>
            </w:r>
            <w:r w:rsidR="00ED1C7D">
              <w:rPr>
                <w:i/>
                <w:color w:val="000000"/>
                <w:sz w:val="20"/>
              </w:rPr>
              <w:t>,</w:t>
            </w:r>
            <w:r w:rsidRPr="007C4B50">
              <w:rPr>
                <w:i/>
                <w:color w:val="000000"/>
                <w:sz w:val="20"/>
              </w:rPr>
              <w:t>6</w:t>
            </w:r>
          </w:p>
        </w:tc>
        <w:tc>
          <w:tcPr>
            <w:tcW w:w="1191" w:type="dxa"/>
            <w:tcBorders>
              <w:top w:val="nil"/>
              <w:left w:val="nil"/>
              <w:bottom w:val="single" w:sz="4" w:space="0" w:color="auto"/>
              <w:right w:val="single" w:sz="4" w:space="0" w:color="auto"/>
            </w:tcBorders>
            <w:shd w:val="clear" w:color="auto" w:fill="auto"/>
            <w:noWrap/>
            <w:vAlign w:val="center"/>
            <w:hideMark/>
          </w:tcPr>
          <w:p w14:paraId="480BF072" w14:textId="6DC55EC5" w:rsidR="007C4B50" w:rsidRPr="007C4B50" w:rsidRDefault="007C4B50" w:rsidP="00C9484E">
            <w:pPr>
              <w:jc w:val="right"/>
              <w:rPr>
                <w:i/>
                <w:color w:val="000000"/>
                <w:sz w:val="20"/>
              </w:rPr>
            </w:pPr>
            <w:r w:rsidRPr="007C4B50">
              <w:rPr>
                <w:i/>
                <w:color w:val="000000"/>
                <w:sz w:val="20"/>
              </w:rPr>
              <w:t>4</w:t>
            </w:r>
            <w:r w:rsidR="00ED1C7D">
              <w:rPr>
                <w:i/>
                <w:color w:val="000000"/>
                <w:sz w:val="20"/>
              </w:rPr>
              <w:t>,</w:t>
            </w:r>
            <w:r w:rsidRPr="007C4B50">
              <w:rPr>
                <w:i/>
                <w:color w:val="000000"/>
                <w:sz w:val="20"/>
              </w:rPr>
              <w:t>4</w:t>
            </w:r>
          </w:p>
        </w:tc>
        <w:tc>
          <w:tcPr>
            <w:tcW w:w="1050" w:type="dxa"/>
            <w:tcBorders>
              <w:top w:val="nil"/>
              <w:left w:val="nil"/>
              <w:bottom w:val="single" w:sz="4" w:space="0" w:color="auto"/>
              <w:right w:val="single" w:sz="4" w:space="0" w:color="auto"/>
            </w:tcBorders>
            <w:shd w:val="clear" w:color="auto" w:fill="auto"/>
            <w:noWrap/>
            <w:vAlign w:val="center"/>
            <w:hideMark/>
          </w:tcPr>
          <w:p w14:paraId="0D14264D" w14:textId="4D2B4AC4" w:rsidR="007C4B50" w:rsidRPr="007C4B50" w:rsidRDefault="007C4B50" w:rsidP="00C9484E">
            <w:pPr>
              <w:jc w:val="right"/>
              <w:rPr>
                <w:i/>
                <w:color w:val="000000"/>
                <w:sz w:val="20"/>
              </w:rPr>
            </w:pPr>
            <w:r w:rsidRPr="007C4B50">
              <w:rPr>
                <w:i/>
                <w:color w:val="000000"/>
                <w:sz w:val="20"/>
              </w:rPr>
              <w:t>5</w:t>
            </w:r>
            <w:r w:rsidR="00ED1C7D">
              <w:rPr>
                <w:i/>
                <w:color w:val="000000"/>
                <w:sz w:val="20"/>
              </w:rPr>
              <w:t>,</w:t>
            </w:r>
            <w:r w:rsidRPr="007C4B50">
              <w:rPr>
                <w:i/>
                <w:color w:val="000000"/>
                <w:sz w:val="20"/>
              </w:rPr>
              <w:t>3</w:t>
            </w:r>
          </w:p>
        </w:tc>
      </w:tr>
      <w:tr w:rsidR="007C4B50" w:rsidRPr="002B03E7" w14:paraId="0692741E" w14:textId="77777777" w:rsidTr="007C4B50">
        <w:trPr>
          <w:trHeight w:val="20"/>
        </w:trPr>
        <w:tc>
          <w:tcPr>
            <w:tcW w:w="5640" w:type="dxa"/>
            <w:tcBorders>
              <w:top w:val="nil"/>
              <w:left w:val="single" w:sz="4" w:space="0" w:color="auto"/>
              <w:bottom w:val="single" w:sz="4" w:space="0" w:color="auto"/>
              <w:right w:val="single" w:sz="4" w:space="0" w:color="auto"/>
            </w:tcBorders>
            <w:shd w:val="clear" w:color="000000" w:fill="FFFFFF"/>
            <w:vAlign w:val="center"/>
          </w:tcPr>
          <w:p w14:paraId="0A0DF5A3" w14:textId="77777777" w:rsidR="007C4B50" w:rsidRPr="007C4B50" w:rsidRDefault="007C4B50" w:rsidP="00C9484E">
            <w:pPr>
              <w:jc w:val="right"/>
              <w:rPr>
                <w:i/>
                <w:sz w:val="20"/>
              </w:rPr>
            </w:pPr>
            <w:r w:rsidRPr="007C4B50">
              <w:rPr>
                <w:i/>
                <w:sz w:val="20"/>
              </w:rPr>
              <w:t>Увеличение расходов к предыдущему году, %</w:t>
            </w:r>
          </w:p>
        </w:tc>
        <w:tc>
          <w:tcPr>
            <w:tcW w:w="1191" w:type="dxa"/>
            <w:tcBorders>
              <w:top w:val="nil"/>
              <w:left w:val="nil"/>
              <w:bottom w:val="single" w:sz="4" w:space="0" w:color="auto"/>
              <w:right w:val="single" w:sz="4" w:space="0" w:color="auto"/>
            </w:tcBorders>
            <w:shd w:val="clear" w:color="auto" w:fill="auto"/>
            <w:noWrap/>
            <w:vAlign w:val="center"/>
          </w:tcPr>
          <w:p w14:paraId="549512EE" w14:textId="10E01593" w:rsidR="007C4B50" w:rsidRPr="007C4B50" w:rsidRDefault="007C4B50" w:rsidP="00C9484E">
            <w:pPr>
              <w:jc w:val="right"/>
              <w:rPr>
                <w:i/>
                <w:color w:val="000000"/>
                <w:sz w:val="20"/>
              </w:rPr>
            </w:pPr>
            <w:r w:rsidRPr="007C4B50">
              <w:rPr>
                <w:i/>
                <w:color w:val="000000"/>
                <w:sz w:val="20"/>
              </w:rPr>
              <w:t>10,0</w:t>
            </w:r>
          </w:p>
        </w:tc>
        <w:tc>
          <w:tcPr>
            <w:tcW w:w="1191" w:type="dxa"/>
            <w:tcBorders>
              <w:top w:val="nil"/>
              <w:left w:val="nil"/>
              <w:bottom w:val="single" w:sz="4" w:space="0" w:color="auto"/>
              <w:right w:val="single" w:sz="4" w:space="0" w:color="auto"/>
            </w:tcBorders>
            <w:shd w:val="clear" w:color="auto" w:fill="auto"/>
            <w:noWrap/>
            <w:vAlign w:val="center"/>
          </w:tcPr>
          <w:p w14:paraId="76040E72" w14:textId="7FA8701B" w:rsidR="007C4B50" w:rsidRPr="007C4B50" w:rsidRDefault="007C4B50" w:rsidP="00C9484E">
            <w:pPr>
              <w:jc w:val="right"/>
              <w:rPr>
                <w:i/>
                <w:color w:val="000000"/>
                <w:sz w:val="20"/>
              </w:rPr>
            </w:pPr>
            <w:r w:rsidRPr="007C4B50">
              <w:rPr>
                <w:i/>
                <w:color w:val="000000"/>
                <w:sz w:val="20"/>
              </w:rPr>
              <w:t>12,1</w:t>
            </w:r>
          </w:p>
        </w:tc>
        <w:tc>
          <w:tcPr>
            <w:tcW w:w="1050" w:type="dxa"/>
            <w:tcBorders>
              <w:top w:val="nil"/>
              <w:left w:val="nil"/>
              <w:bottom w:val="single" w:sz="4" w:space="0" w:color="auto"/>
              <w:right w:val="single" w:sz="4" w:space="0" w:color="auto"/>
            </w:tcBorders>
            <w:shd w:val="clear" w:color="auto" w:fill="auto"/>
            <w:noWrap/>
            <w:vAlign w:val="center"/>
          </w:tcPr>
          <w:p w14:paraId="14AB3164" w14:textId="7BE1B57D" w:rsidR="007C4B50" w:rsidRPr="007C4B50" w:rsidRDefault="007C4B50" w:rsidP="00C9484E">
            <w:pPr>
              <w:jc w:val="right"/>
              <w:rPr>
                <w:i/>
                <w:color w:val="000000"/>
                <w:sz w:val="20"/>
              </w:rPr>
            </w:pPr>
            <w:r w:rsidRPr="007C4B50">
              <w:rPr>
                <w:i/>
                <w:color w:val="000000"/>
                <w:sz w:val="20"/>
              </w:rPr>
              <w:t>20,4</w:t>
            </w:r>
          </w:p>
        </w:tc>
      </w:tr>
      <w:tr w:rsidR="007C4B50" w:rsidRPr="002B03E7" w14:paraId="50C6A54C" w14:textId="77777777" w:rsidTr="007C4B50">
        <w:trPr>
          <w:trHeight w:val="255"/>
        </w:trPr>
        <w:tc>
          <w:tcPr>
            <w:tcW w:w="9072" w:type="dxa"/>
            <w:gridSpan w:val="4"/>
            <w:tcBorders>
              <w:top w:val="nil"/>
              <w:left w:val="single" w:sz="4" w:space="0" w:color="auto"/>
              <w:bottom w:val="single" w:sz="4" w:space="0" w:color="auto"/>
              <w:right w:val="single" w:sz="4" w:space="0" w:color="auto"/>
            </w:tcBorders>
            <w:shd w:val="clear" w:color="000000" w:fill="FFFFFF"/>
            <w:vAlign w:val="center"/>
            <w:hideMark/>
          </w:tcPr>
          <w:p w14:paraId="3B7D4B83" w14:textId="77777777" w:rsidR="007C4B50" w:rsidRPr="002B03E7" w:rsidRDefault="007C4B50" w:rsidP="00C9484E">
            <w:pPr>
              <w:rPr>
                <w:color w:val="000000"/>
                <w:sz w:val="20"/>
              </w:rPr>
            </w:pPr>
            <w:r w:rsidRPr="002B03E7">
              <w:rPr>
                <w:sz w:val="20"/>
              </w:rPr>
              <w:t> </w:t>
            </w:r>
          </w:p>
        </w:tc>
      </w:tr>
      <w:tr w:rsidR="007C4B50" w:rsidRPr="002B03E7" w14:paraId="68A40B1D" w14:textId="77777777" w:rsidTr="007C4B50">
        <w:trPr>
          <w:trHeight w:val="765"/>
        </w:trPr>
        <w:tc>
          <w:tcPr>
            <w:tcW w:w="5640" w:type="dxa"/>
            <w:tcBorders>
              <w:top w:val="nil"/>
              <w:left w:val="single" w:sz="4" w:space="0" w:color="auto"/>
              <w:bottom w:val="single" w:sz="4" w:space="0" w:color="auto"/>
              <w:right w:val="single" w:sz="4" w:space="0" w:color="auto"/>
            </w:tcBorders>
            <w:shd w:val="clear" w:color="000000" w:fill="FFFFFF"/>
            <w:vAlign w:val="center"/>
            <w:hideMark/>
          </w:tcPr>
          <w:p w14:paraId="6FC0441A" w14:textId="22279EBB" w:rsidR="007C4B50" w:rsidRPr="002B03E7" w:rsidRDefault="007C4B50" w:rsidP="00C9484E">
            <w:pPr>
              <w:rPr>
                <w:sz w:val="20"/>
              </w:rPr>
            </w:pPr>
            <w:r w:rsidRPr="002B03E7">
              <w:rPr>
                <w:sz w:val="20"/>
              </w:rPr>
              <w:t xml:space="preserve">Справочно, </w:t>
            </w:r>
            <w:r w:rsidRPr="00ED1C7D">
              <w:rPr>
                <w:sz w:val="20"/>
              </w:rPr>
              <w:t>д</w:t>
            </w:r>
            <w:r w:rsidR="00ED1C7D" w:rsidRPr="00ED1C7D">
              <w:rPr>
                <w:sz w:val="20"/>
              </w:rPr>
              <w:t>о</w:t>
            </w:r>
            <w:r w:rsidRPr="00ED1C7D">
              <w:rPr>
                <w:sz w:val="20"/>
              </w:rPr>
              <w:t>ля</w:t>
            </w:r>
            <w:r w:rsidRPr="002B03E7">
              <w:rPr>
                <w:sz w:val="20"/>
              </w:rPr>
              <w:t xml:space="preserve"> расходов в соответствии с проектом закона «О федеральном бюджете на 2020 год и на плановый период 2021 и 2022 годов» </w:t>
            </w:r>
          </w:p>
        </w:tc>
        <w:tc>
          <w:tcPr>
            <w:tcW w:w="1191" w:type="dxa"/>
            <w:tcBorders>
              <w:top w:val="nil"/>
              <w:left w:val="nil"/>
              <w:bottom w:val="single" w:sz="4" w:space="0" w:color="auto"/>
              <w:right w:val="single" w:sz="4" w:space="0" w:color="auto"/>
            </w:tcBorders>
            <w:shd w:val="clear" w:color="auto" w:fill="auto"/>
            <w:noWrap/>
            <w:vAlign w:val="bottom"/>
            <w:hideMark/>
          </w:tcPr>
          <w:p w14:paraId="3E017E13" w14:textId="77777777" w:rsidR="007C4B50" w:rsidRPr="002B03E7" w:rsidRDefault="007C4B50" w:rsidP="00C9484E">
            <w:pPr>
              <w:rPr>
                <w:color w:val="000000"/>
                <w:sz w:val="20"/>
              </w:rPr>
            </w:pPr>
          </w:p>
        </w:tc>
        <w:tc>
          <w:tcPr>
            <w:tcW w:w="1191" w:type="dxa"/>
            <w:tcBorders>
              <w:top w:val="nil"/>
              <w:left w:val="nil"/>
              <w:bottom w:val="single" w:sz="4" w:space="0" w:color="auto"/>
              <w:right w:val="single" w:sz="4" w:space="0" w:color="auto"/>
            </w:tcBorders>
            <w:shd w:val="clear" w:color="auto" w:fill="auto"/>
            <w:noWrap/>
            <w:vAlign w:val="bottom"/>
            <w:hideMark/>
          </w:tcPr>
          <w:p w14:paraId="5A4E76A4" w14:textId="77777777" w:rsidR="007C4B50" w:rsidRPr="002B03E7" w:rsidRDefault="007C4B50" w:rsidP="00C9484E">
            <w:pPr>
              <w:rPr>
                <w:color w:val="000000"/>
                <w:sz w:val="20"/>
              </w:rPr>
            </w:pPr>
          </w:p>
        </w:tc>
        <w:tc>
          <w:tcPr>
            <w:tcW w:w="1050" w:type="dxa"/>
            <w:tcBorders>
              <w:top w:val="nil"/>
              <w:left w:val="nil"/>
              <w:bottom w:val="single" w:sz="4" w:space="0" w:color="auto"/>
              <w:right w:val="single" w:sz="4" w:space="0" w:color="auto"/>
            </w:tcBorders>
            <w:shd w:val="clear" w:color="auto" w:fill="auto"/>
            <w:noWrap/>
            <w:vAlign w:val="bottom"/>
            <w:hideMark/>
          </w:tcPr>
          <w:p w14:paraId="0F2A6652" w14:textId="77777777" w:rsidR="007C4B50" w:rsidRPr="002B03E7" w:rsidRDefault="007C4B50" w:rsidP="00C9484E">
            <w:pPr>
              <w:rPr>
                <w:color w:val="000000"/>
                <w:sz w:val="20"/>
              </w:rPr>
            </w:pPr>
          </w:p>
        </w:tc>
      </w:tr>
      <w:tr w:rsidR="007C4B50" w:rsidRPr="002B03E7" w14:paraId="7F3516FA" w14:textId="77777777" w:rsidTr="007C4B50">
        <w:trPr>
          <w:trHeight w:val="255"/>
        </w:trPr>
        <w:tc>
          <w:tcPr>
            <w:tcW w:w="5640" w:type="dxa"/>
            <w:tcBorders>
              <w:top w:val="nil"/>
              <w:left w:val="single" w:sz="4" w:space="0" w:color="auto"/>
              <w:bottom w:val="single" w:sz="4" w:space="0" w:color="auto"/>
              <w:right w:val="single" w:sz="4" w:space="0" w:color="auto"/>
            </w:tcBorders>
            <w:shd w:val="clear" w:color="000000" w:fill="FFFFFF"/>
            <w:vAlign w:val="center"/>
            <w:hideMark/>
          </w:tcPr>
          <w:p w14:paraId="784B41A1" w14:textId="77777777" w:rsidR="007C4B50" w:rsidRPr="007C4B50" w:rsidRDefault="007C4B50" w:rsidP="00600DF7">
            <w:pPr>
              <w:jc w:val="right"/>
              <w:rPr>
                <w:i/>
                <w:sz w:val="20"/>
              </w:rPr>
            </w:pPr>
            <w:r w:rsidRPr="007C4B50">
              <w:rPr>
                <w:i/>
                <w:sz w:val="20"/>
              </w:rPr>
              <w:t>Финансирование национальных проектов всего в % от ВВП</w:t>
            </w:r>
          </w:p>
        </w:tc>
        <w:tc>
          <w:tcPr>
            <w:tcW w:w="1191" w:type="dxa"/>
            <w:tcBorders>
              <w:top w:val="nil"/>
              <w:left w:val="nil"/>
              <w:bottom w:val="single" w:sz="4" w:space="0" w:color="auto"/>
              <w:right w:val="single" w:sz="4" w:space="0" w:color="auto"/>
            </w:tcBorders>
            <w:shd w:val="clear" w:color="auto" w:fill="auto"/>
            <w:noWrap/>
            <w:vAlign w:val="bottom"/>
            <w:hideMark/>
          </w:tcPr>
          <w:p w14:paraId="7A21C57B" w14:textId="1CFC7C04" w:rsidR="007C4B50" w:rsidRPr="007C4B50" w:rsidRDefault="007C4B50" w:rsidP="00C9484E">
            <w:pPr>
              <w:jc w:val="right"/>
              <w:rPr>
                <w:i/>
                <w:color w:val="000000"/>
                <w:sz w:val="20"/>
              </w:rPr>
            </w:pPr>
            <w:r w:rsidRPr="007C4B50">
              <w:rPr>
                <w:i/>
                <w:color w:val="000000"/>
                <w:sz w:val="20"/>
              </w:rPr>
              <w:t>1,76</w:t>
            </w:r>
          </w:p>
        </w:tc>
        <w:tc>
          <w:tcPr>
            <w:tcW w:w="1191" w:type="dxa"/>
            <w:tcBorders>
              <w:top w:val="nil"/>
              <w:left w:val="nil"/>
              <w:bottom w:val="single" w:sz="4" w:space="0" w:color="auto"/>
              <w:right w:val="single" w:sz="4" w:space="0" w:color="auto"/>
            </w:tcBorders>
            <w:shd w:val="clear" w:color="auto" w:fill="auto"/>
            <w:noWrap/>
            <w:vAlign w:val="bottom"/>
            <w:hideMark/>
          </w:tcPr>
          <w:p w14:paraId="7CA1F398" w14:textId="1D2E65D2" w:rsidR="007C4B50" w:rsidRPr="007C4B50" w:rsidRDefault="007C4B50" w:rsidP="00C9484E">
            <w:pPr>
              <w:jc w:val="right"/>
              <w:rPr>
                <w:i/>
                <w:color w:val="000000"/>
                <w:sz w:val="20"/>
              </w:rPr>
            </w:pPr>
            <w:r w:rsidRPr="007C4B50">
              <w:rPr>
                <w:i/>
                <w:color w:val="000000"/>
                <w:sz w:val="20"/>
              </w:rPr>
              <w:t>1,84</w:t>
            </w:r>
          </w:p>
        </w:tc>
        <w:tc>
          <w:tcPr>
            <w:tcW w:w="1050" w:type="dxa"/>
            <w:tcBorders>
              <w:top w:val="nil"/>
              <w:left w:val="nil"/>
              <w:bottom w:val="single" w:sz="4" w:space="0" w:color="auto"/>
              <w:right w:val="single" w:sz="4" w:space="0" w:color="auto"/>
            </w:tcBorders>
            <w:shd w:val="clear" w:color="auto" w:fill="auto"/>
            <w:noWrap/>
            <w:vAlign w:val="bottom"/>
            <w:hideMark/>
          </w:tcPr>
          <w:p w14:paraId="6C0B0E6B" w14:textId="1804DDE4" w:rsidR="007C4B50" w:rsidRPr="007C4B50" w:rsidRDefault="007C4B50" w:rsidP="00C9484E">
            <w:pPr>
              <w:jc w:val="right"/>
              <w:rPr>
                <w:i/>
                <w:color w:val="000000"/>
                <w:sz w:val="20"/>
              </w:rPr>
            </w:pPr>
            <w:r w:rsidRPr="007C4B50">
              <w:rPr>
                <w:i/>
                <w:color w:val="000000"/>
                <w:sz w:val="20"/>
              </w:rPr>
              <w:t>2,10</w:t>
            </w:r>
          </w:p>
        </w:tc>
      </w:tr>
      <w:tr w:rsidR="007C4B50" w:rsidRPr="002B03E7" w14:paraId="15145B04" w14:textId="77777777" w:rsidTr="007C4B50">
        <w:trPr>
          <w:trHeight w:val="255"/>
        </w:trPr>
        <w:tc>
          <w:tcPr>
            <w:tcW w:w="5640" w:type="dxa"/>
            <w:tcBorders>
              <w:top w:val="nil"/>
              <w:left w:val="single" w:sz="4" w:space="0" w:color="auto"/>
              <w:bottom w:val="single" w:sz="4" w:space="0" w:color="auto"/>
              <w:right w:val="single" w:sz="4" w:space="0" w:color="auto"/>
            </w:tcBorders>
            <w:shd w:val="clear" w:color="000000" w:fill="FFFFFF"/>
            <w:vAlign w:val="center"/>
            <w:hideMark/>
          </w:tcPr>
          <w:p w14:paraId="32BF7B9E" w14:textId="77777777" w:rsidR="007C4B50" w:rsidRPr="007C4B50" w:rsidRDefault="007C4B50" w:rsidP="00600DF7">
            <w:pPr>
              <w:jc w:val="right"/>
              <w:rPr>
                <w:i/>
                <w:sz w:val="20"/>
              </w:rPr>
            </w:pPr>
            <w:r w:rsidRPr="007C4B50">
              <w:rPr>
                <w:i/>
                <w:sz w:val="20"/>
              </w:rPr>
              <w:t>Финансирование национальных проектов из ФБ в % от ФБ</w:t>
            </w:r>
          </w:p>
        </w:tc>
        <w:tc>
          <w:tcPr>
            <w:tcW w:w="1191" w:type="dxa"/>
            <w:tcBorders>
              <w:top w:val="nil"/>
              <w:left w:val="nil"/>
              <w:bottom w:val="single" w:sz="4" w:space="0" w:color="auto"/>
              <w:right w:val="single" w:sz="4" w:space="0" w:color="auto"/>
            </w:tcBorders>
            <w:shd w:val="clear" w:color="auto" w:fill="auto"/>
            <w:noWrap/>
            <w:vAlign w:val="bottom"/>
            <w:hideMark/>
          </w:tcPr>
          <w:p w14:paraId="76F62D8B" w14:textId="0DC13AF0" w:rsidR="007C4B50" w:rsidRPr="007C4B50" w:rsidRDefault="007C4B50" w:rsidP="00C9484E">
            <w:pPr>
              <w:jc w:val="right"/>
              <w:rPr>
                <w:i/>
                <w:color w:val="000000"/>
                <w:sz w:val="20"/>
              </w:rPr>
            </w:pPr>
            <w:r w:rsidRPr="007C4B50">
              <w:rPr>
                <w:i/>
                <w:color w:val="000000"/>
                <w:sz w:val="20"/>
              </w:rPr>
              <w:t>12,25</w:t>
            </w:r>
          </w:p>
        </w:tc>
        <w:tc>
          <w:tcPr>
            <w:tcW w:w="1191" w:type="dxa"/>
            <w:tcBorders>
              <w:top w:val="nil"/>
              <w:left w:val="nil"/>
              <w:bottom w:val="single" w:sz="4" w:space="0" w:color="auto"/>
              <w:right w:val="single" w:sz="4" w:space="0" w:color="auto"/>
            </w:tcBorders>
            <w:shd w:val="clear" w:color="auto" w:fill="auto"/>
            <w:noWrap/>
            <w:vAlign w:val="bottom"/>
            <w:hideMark/>
          </w:tcPr>
          <w:p w14:paraId="5D3E22D5" w14:textId="48FECB20" w:rsidR="007C4B50" w:rsidRPr="007C4B50" w:rsidRDefault="007C4B50" w:rsidP="00C9484E">
            <w:pPr>
              <w:jc w:val="right"/>
              <w:rPr>
                <w:i/>
                <w:color w:val="000000"/>
                <w:sz w:val="20"/>
              </w:rPr>
            </w:pPr>
            <w:r w:rsidRPr="007C4B50">
              <w:rPr>
                <w:i/>
                <w:color w:val="000000"/>
                <w:sz w:val="20"/>
              </w:rPr>
              <w:t>13,23</w:t>
            </w:r>
          </w:p>
        </w:tc>
        <w:tc>
          <w:tcPr>
            <w:tcW w:w="1050" w:type="dxa"/>
            <w:tcBorders>
              <w:top w:val="nil"/>
              <w:left w:val="nil"/>
              <w:bottom w:val="single" w:sz="4" w:space="0" w:color="auto"/>
              <w:right w:val="single" w:sz="4" w:space="0" w:color="auto"/>
            </w:tcBorders>
            <w:shd w:val="clear" w:color="auto" w:fill="auto"/>
            <w:noWrap/>
            <w:vAlign w:val="bottom"/>
            <w:hideMark/>
          </w:tcPr>
          <w:p w14:paraId="33CB309A" w14:textId="71C35E78" w:rsidR="007C4B50" w:rsidRPr="007C4B50" w:rsidRDefault="007C4B50" w:rsidP="00C9484E">
            <w:pPr>
              <w:jc w:val="right"/>
              <w:rPr>
                <w:i/>
                <w:color w:val="000000"/>
                <w:sz w:val="20"/>
              </w:rPr>
            </w:pPr>
            <w:r w:rsidRPr="007C4B50">
              <w:rPr>
                <w:i/>
                <w:color w:val="000000"/>
                <w:sz w:val="20"/>
              </w:rPr>
              <w:t>15,59</w:t>
            </w:r>
          </w:p>
        </w:tc>
      </w:tr>
      <w:tr w:rsidR="007C4B50" w:rsidRPr="002B03E7" w14:paraId="26ECB88D" w14:textId="77777777" w:rsidTr="007C4B50">
        <w:trPr>
          <w:trHeight w:val="255"/>
        </w:trPr>
        <w:tc>
          <w:tcPr>
            <w:tcW w:w="5640" w:type="dxa"/>
            <w:tcBorders>
              <w:top w:val="nil"/>
              <w:left w:val="single" w:sz="4" w:space="0" w:color="auto"/>
              <w:bottom w:val="single" w:sz="4" w:space="0" w:color="auto"/>
              <w:right w:val="single" w:sz="4" w:space="0" w:color="auto"/>
            </w:tcBorders>
            <w:shd w:val="clear" w:color="000000" w:fill="FFFFFF"/>
            <w:vAlign w:val="center"/>
            <w:hideMark/>
          </w:tcPr>
          <w:p w14:paraId="48F45E7A" w14:textId="6F0C053F" w:rsidR="007C4B50" w:rsidRPr="002B03E7" w:rsidRDefault="007C4B50" w:rsidP="00C9484E">
            <w:pPr>
              <w:rPr>
                <w:sz w:val="20"/>
              </w:rPr>
            </w:pPr>
            <w:r w:rsidRPr="002B03E7">
              <w:rPr>
                <w:sz w:val="20"/>
              </w:rPr>
              <w:t>Номинальный ВВП, млрд ру</w:t>
            </w:r>
            <w:r w:rsidR="00ED1C7D">
              <w:rPr>
                <w:sz w:val="20"/>
              </w:rPr>
              <w:t>б.</w:t>
            </w:r>
          </w:p>
        </w:tc>
        <w:tc>
          <w:tcPr>
            <w:tcW w:w="1191" w:type="dxa"/>
            <w:tcBorders>
              <w:top w:val="nil"/>
              <w:left w:val="nil"/>
              <w:bottom w:val="single" w:sz="4" w:space="0" w:color="auto"/>
              <w:right w:val="single" w:sz="4" w:space="0" w:color="auto"/>
            </w:tcBorders>
            <w:shd w:val="clear" w:color="auto" w:fill="auto"/>
            <w:noWrap/>
            <w:vAlign w:val="bottom"/>
            <w:hideMark/>
          </w:tcPr>
          <w:p w14:paraId="61D946BC" w14:textId="77777777" w:rsidR="007C4B50" w:rsidRPr="002B03E7" w:rsidRDefault="007C4B50" w:rsidP="00C9484E">
            <w:pPr>
              <w:rPr>
                <w:color w:val="000000"/>
                <w:sz w:val="20"/>
              </w:rPr>
            </w:pPr>
            <w:r w:rsidRPr="002B03E7">
              <w:rPr>
                <w:color w:val="000000"/>
                <w:sz w:val="20"/>
              </w:rPr>
              <w:t>112</w:t>
            </w:r>
            <w:r>
              <w:rPr>
                <w:color w:val="000000"/>
                <w:sz w:val="20"/>
              </w:rPr>
              <w:t xml:space="preserve"> </w:t>
            </w:r>
            <w:r w:rsidRPr="002B03E7">
              <w:rPr>
                <w:color w:val="000000"/>
                <w:sz w:val="20"/>
              </w:rPr>
              <w:t>863</w:t>
            </w:r>
          </w:p>
        </w:tc>
        <w:tc>
          <w:tcPr>
            <w:tcW w:w="1191" w:type="dxa"/>
            <w:tcBorders>
              <w:top w:val="nil"/>
              <w:left w:val="nil"/>
              <w:bottom w:val="single" w:sz="4" w:space="0" w:color="auto"/>
              <w:right w:val="single" w:sz="4" w:space="0" w:color="auto"/>
            </w:tcBorders>
            <w:shd w:val="clear" w:color="auto" w:fill="auto"/>
            <w:noWrap/>
            <w:vAlign w:val="bottom"/>
            <w:hideMark/>
          </w:tcPr>
          <w:p w14:paraId="677B8105" w14:textId="77777777" w:rsidR="007C4B50" w:rsidRPr="002B03E7" w:rsidRDefault="007C4B50" w:rsidP="00C9484E">
            <w:pPr>
              <w:rPr>
                <w:color w:val="000000"/>
                <w:sz w:val="20"/>
              </w:rPr>
            </w:pPr>
            <w:r w:rsidRPr="002B03E7">
              <w:rPr>
                <w:color w:val="000000"/>
                <w:sz w:val="20"/>
              </w:rPr>
              <w:t>120</w:t>
            </w:r>
            <w:r>
              <w:rPr>
                <w:color w:val="000000"/>
                <w:sz w:val="20"/>
              </w:rPr>
              <w:t xml:space="preserve"> </w:t>
            </w:r>
            <w:r w:rsidRPr="002B03E7">
              <w:rPr>
                <w:color w:val="000000"/>
                <w:sz w:val="20"/>
              </w:rPr>
              <w:t>364</w:t>
            </w:r>
          </w:p>
        </w:tc>
        <w:tc>
          <w:tcPr>
            <w:tcW w:w="1050" w:type="dxa"/>
            <w:tcBorders>
              <w:top w:val="nil"/>
              <w:left w:val="nil"/>
              <w:bottom w:val="single" w:sz="4" w:space="0" w:color="auto"/>
              <w:right w:val="single" w:sz="4" w:space="0" w:color="auto"/>
            </w:tcBorders>
            <w:shd w:val="clear" w:color="auto" w:fill="auto"/>
            <w:noWrap/>
            <w:vAlign w:val="bottom"/>
            <w:hideMark/>
          </w:tcPr>
          <w:p w14:paraId="08119E25" w14:textId="77777777" w:rsidR="007C4B50" w:rsidRPr="002B03E7" w:rsidRDefault="007C4B50" w:rsidP="00C9484E">
            <w:pPr>
              <w:rPr>
                <w:color w:val="000000"/>
                <w:sz w:val="20"/>
              </w:rPr>
            </w:pPr>
            <w:r w:rsidRPr="002B03E7">
              <w:rPr>
                <w:color w:val="000000"/>
                <w:sz w:val="20"/>
              </w:rPr>
              <w:t>128</w:t>
            </w:r>
            <w:r>
              <w:rPr>
                <w:color w:val="000000"/>
                <w:sz w:val="20"/>
              </w:rPr>
              <w:t xml:space="preserve"> </w:t>
            </w:r>
            <w:r w:rsidRPr="002B03E7">
              <w:rPr>
                <w:color w:val="000000"/>
                <w:sz w:val="20"/>
              </w:rPr>
              <w:t>508</w:t>
            </w:r>
          </w:p>
        </w:tc>
      </w:tr>
      <w:tr w:rsidR="007C4B50" w:rsidRPr="002B03E7" w14:paraId="0AEFB00E" w14:textId="77777777" w:rsidTr="007C4B50">
        <w:trPr>
          <w:trHeight w:val="255"/>
        </w:trPr>
        <w:tc>
          <w:tcPr>
            <w:tcW w:w="5640" w:type="dxa"/>
            <w:tcBorders>
              <w:top w:val="nil"/>
              <w:left w:val="single" w:sz="4" w:space="0" w:color="auto"/>
              <w:bottom w:val="single" w:sz="4" w:space="0" w:color="auto"/>
              <w:right w:val="single" w:sz="4" w:space="0" w:color="auto"/>
            </w:tcBorders>
            <w:shd w:val="clear" w:color="000000" w:fill="FFFFFF"/>
            <w:vAlign w:val="center"/>
            <w:hideMark/>
          </w:tcPr>
          <w:p w14:paraId="6270BB28" w14:textId="3B323234" w:rsidR="007C4B50" w:rsidRPr="002B03E7" w:rsidRDefault="007C4B50" w:rsidP="00C9484E">
            <w:pPr>
              <w:rPr>
                <w:sz w:val="20"/>
              </w:rPr>
            </w:pPr>
            <w:r w:rsidRPr="002B03E7">
              <w:rPr>
                <w:sz w:val="20"/>
              </w:rPr>
              <w:t>ФБ, млрд руб</w:t>
            </w:r>
            <w:r w:rsidR="00ED1C7D">
              <w:rPr>
                <w:sz w:val="20"/>
              </w:rPr>
              <w:t>.</w:t>
            </w:r>
          </w:p>
        </w:tc>
        <w:tc>
          <w:tcPr>
            <w:tcW w:w="1191" w:type="dxa"/>
            <w:tcBorders>
              <w:top w:val="nil"/>
              <w:left w:val="nil"/>
              <w:bottom w:val="single" w:sz="4" w:space="0" w:color="auto"/>
              <w:right w:val="single" w:sz="4" w:space="0" w:color="auto"/>
            </w:tcBorders>
            <w:shd w:val="clear" w:color="auto" w:fill="auto"/>
            <w:noWrap/>
            <w:vAlign w:val="bottom"/>
            <w:hideMark/>
          </w:tcPr>
          <w:p w14:paraId="19C8E7BE" w14:textId="77777777" w:rsidR="007C4B50" w:rsidRPr="002B03E7" w:rsidRDefault="007C4B50" w:rsidP="00C9484E">
            <w:pPr>
              <w:rPr>
                <w:color w:val="000000"/>
                <w:sz w:val="20"/>
              </w:rPr>
            </w:pPr>
            <w:r w:rsidRPr="002B03E7">
              <w:rPr>
                <w:color w:val="000000"/>
                <w:sz w:val="20"/>
              </w:rPr>
              <w:t>16</w:t>
            </w:r>
            <w:r>
              <w:rPr>
                <w:color w:val="000000"/>
                <w:sz w:val="20"/>
              </w:rPr>
              <w:t xml:space="preserve"> </w:t>
            </w:r>
            <w:r w:rsidRPr="002B03E7">
              <w:rPr>
                <w:color w:val="000000"/>
                <w:sz w:val="20"/>
              </w:rPr>
              <w:t>181</w:t>
            </w:r>
          </w:p>
        </w:tc>
        <w:tc>
          <w:tcPr>
            <w:tcW w:w="1191" w:type="dxa"/>
            <w:tcBorders>
              <w:top w:val="nil"/>
              <w:left w:val="nil"/>
              <w:bottom w:val="single" w:sz="4" w:space="0" w:color="auto"/>
              <w:right w:val="single" w:sz="4" w:space="0" w:color="auto"/>
            </w:tcBorders>
            <w:shd w:val="clear" w:color="auto" w:fill="auto"/>
            <w:noWrap/>
            <w:vAlign w:val="bottom"/>
            <w:hideMark/>
          </w:tcPr>
          <w:p w14:paraId="4B6F2150" w14:textId="77777777" w:rsidR="007C4B50" w:rsidRPr="002B03E7" w:rsidRDefault="007C4B50" w:rsidP="00C9484E">
            <w:pPr>
              <w:rPr>
                <w:color w:val="000000"/>
                <w:sz w:val="20"/>
              </w:rPr>
            </w:pPr>
            <w:r w:rsidRPr="002B03E7">
              <w:rPr>
                <w:color w:val="000000"/>
                <w:sz w:val="20"/>
              </w:rPr>
              <w:t>16</w:t>
            </w:r>
            <w:r>
              <w:rPr>
                <w:color w:val="000000"/>
                <w:sz w:val="20"/>
              </w:rPr>
              <w:t xml:space="preserve"> </w:t>
            </w:r>
            <w:r w:rsidRPr="002B03E7">
              <w:rPr>
                <w:color w:val="000000"/>
                <w:sz w:val="20"/>
              </w:rPr>
              <w:t>765</w:t>
            </w:r>
          </w:p>
        </w:tc>
        <w:tc>
          <w:tcPr>
            <w:tcW w:w="1050" w:type="dxa"/>
            <w:tcBorders>
              <w:top w:val="nil"/>
              <w:left w:val="nil"/>
              <w:bottom w:val="single" w:sz="4" w:space="0" w:color="auto"/>
              <w:right w:val="single" w:sz="4" w:space="0" w:color="auto"/>
            </w:tcBorders>
            <w:shd w:val="clear" w:color="auto" w:fill="auto"/>
            <w:noWrap/>
            <w:vAlign w:val="bottom"/>
            <w:hideMark/>
          </w:tcPr>
          <w:p w14:paraId="015DEA3C" w14:textId="77777777" w:rsidR="007C4B50" w:rsidRPr="002B03E7" w:rsidRDefault="007C4B50" w:rsidP="00C9484E">
            <w:pPr>
              <w:rPr>
                <w:color w:val="000000"/>
                <w:sz w:val="20"/>
              </w:rPr>
            </w:pPr>
            <w:r w:rsidRPr="002B03E7">
              <w:rPr>
                <w:color w:val="000000"/>
                <w:sz w:val="20"/>
              </w:rPr>
              <w:t>17</w:t>
            </w:r>
            <w:r>
              <w:rPr>
                <w:color w:val="000000"/>
                <w:sz w:val="20"/>
              </w:rPr>
              <w:t xml:space="preserve"> </w:t>
            </w:r>
            <w:r w:rsidRPr="002B03E7">
              <w:rPr>
                <w:color w:val="000000"/>
                <w:sz w:val="20"/>
              </w:rPr>
              <w:t>275</w:t>
            </w:r>
          </w:p>
        </w:tc>
      </w:tr>
      <w:tr w:rsidR="007C4B50" w:rsidRPr="002B03E7" w14:paraId="35997EC4" w14:textId="77777777" w:rsidTr="007C4B50">
        <w:trPr>
          <w:trHeight w:val="255"/>
        </w:trPr>
        <w:tc>
          <w:tcPr>
            <w:tcW w:w="5640" w:type="dxa"/>
            <w:tcBorders>
              <w:top w:val="nil"/>
              <w:left w:val="single" w:sz="4" w:space="0" w:color="auto"/>
              <w:bottom w:val="single" w:sz="4" w:space="0" w:color="auto"/>
              <w:right w:val="single" w:sz="4" w:space="0" w:color="auto"/>
            </w:tcBorders>
            <w:shd w:val="clear" w:color="auto" w:fill="auto"/>
            <w:vAlign w:val="center"/>
            <w:hideMark/>
          </w:tcPr>
          <w:p w14:paraId="2841BBAA" w14:textId="77777777" w:rsidR="007C4B50" w:rsidRPr="007C4B50" w:rsidRDefault="007C4B50" w:rsidP="00C9484E">
            <w:pPr>
              <w:rPr>
                <w:i/>
                <w:sz w:val="20"/>
              </w:rPr>
            </w:pPr>
            <w:r w:rsidRPr="007C4B50">
              <w:rPr>
                <w:i/>
                <w:sz w:val="20"/>
              </w:rPr>
              <w:t>Прогноз темпов роста ВВП, %</w:t>
            </w:r>
          </w:p>
        </w:tc>
        <w:tc>
          <w:tcPr>
            <w:tcW w:w="1191" w:type="dxa"/>
            <w:tcBorders>
              <w:top w:val="nil"/>
              <w:left w:val="nil"/>
              <w:bottom w:val="single" w:sz="4" w:space="0" w:color="auto"/>
              <w:right w:val="single" w:sz="4" w:space="0" w:color="auto"/>
            </w:tcBorders>
            <w:shd w:val="clear" w:color="auto" w:fill="auto"/>
            <w:noWrap/>
            <w:vAlign w:val="bottom"/>
            <w:hideMark/>
          </w:tcPr>
          <w:p w14:paraId="7CC93F09" w14:textId="5AF19AFB" w:rsidR="007C4B50" w:rsidRPr="007C4B50" w:rsidRDefault="007C4B50" w:rsidP="00C9484E">
            <w:pPr>
              <w:jc w:val="right"/>
              <w:rPr>
                <w:i/>
                <w:color w:val="000000"/>
                <w:sz w:val="20"/>
              </w:rPr>
            </w:pPr>
            <w:r w:rsidRPr="007C4B50">
              <w:rPr>
                <w:i/>
                <w:color w:val="000000"/>
                <w:sz w:val="20"/>
              </w:rPr>
              <w:t>1</w:t>
            </w:r>
            <w:r w:rsidR="00ED1C7D">
              <w:rPr>
                <w:i/>
                <w:color w:val="000000"/>
                <w:sz w:val="20"/>
              </w:rPr>
              <w:t>,</w:t>
            </w:r>
            <w:r w:rsidRPr="007C4B50">
              <w:rPr>
                <w:i/>
                <w:color w:val="000000"/>
                <w:sz w:val="20"/>
              </w:rPr>
              <w:t>7</w:t>
            </w:r>
          </w:p>
        </w:tc>
        <w:tc>
          <w:tcPr>
            <w:tcW w:w="1191" w:type="dxa"/>
            <w:tcBorders>
              <w:top w:val="nil"/>
              <w:left w:val="nil"/>
              <w:bottom w:val="single" w:sz="4" w:space="0" w:color="auto"/>
              <w:right w:val="single" w:sz="4" w:space="0" w:color="auto"/>
            </w:tcBorders>
            <w:shd w:val="clear" w:color="auto" w:fill="auto"/>
            <w:noWrap/>
            <w:vAlign w:val="bottom"/>
            <w:hideMark/>
          </w:tcPr>
          <w:p w14:paraId="4F842F65" w14:textId="296D7A74" w:rsidR="007C4B50" w:rsidRPr="007C4B50" w:rsidRDefault="007C4B50" w:rsidP="00C9484E">
            <w:pPr>
              <w:jc w:val="right"/>
              <w:rPr>
                <w:i/>
                <w:color w:val="000000"/>
                <w:sz w:val="20"/>
              </w:rPr>
            </w:pPr>
            <w:r w:rsidRPr="007C4B50">
              <w:rPr>
                <w:i/>
                <w:color w:val="000000"/>
                <w:sz w:val="20"/>
              </w:rPr>
              <w:t>3</w:t>
            </w:r>
            <w:r w:rsidR="00ED1C7D">
              <w:rPr>
                <w:i/>
                <w:color w:val="000000"/>
                <w:sz w:val="20"/>
              </w:rPr>
              <w:t>,</w:t>
            </w:r>
            <w:r w:rsidRPr="007C4B50">
              <w:rPr>
                <w:i/>
                <w:color w:val="000000"/>
                <w:sz w:val="20"/>
              </w:rPr>
              <w:t>1</w:t>
            </w:r>
          </w:p>
        </w:tc>
        <w:tc>
          <w:tcPr>
            <w:tcW w:w="1050" w:type="dxa"/>
            <w:tcBorders>
              <w:top w:val="nil"/>
              <w:left w:val="nil"/>
              <w:bottom w:val="single" w:sz="4" w:space="0" w:color="auto"/>
              <w:right w:val="single" w:sz="4" w:space="0" w:color="auto"/>
            </w:tcBorders>
            <w:shd w:val="clear" w:color="auto" w:fill="auto"/>
            <w:noWrap/>
            <w:vAlign w:val="bottom"/>
            <w:hideMark/>
          </w:tcPr>
          <w:p w14:paraId="1D1B2650" w14:textId="4E9865A8" w:rsidR="007C4B50" w:rsidRPr="007C4B50" w:rsidRDefault="007C4B50" w:rsidP="00C9484E">
            <w:pPr>
              <w:jc w:val="right"/>
              <w:rPr>
                <w:i/>
                <w:color w:val="000000"/>
                <w:sz w:val="20"/>
              </w:rPr>
            </w:pPr>
            <w:r w:rsidRPr="007C4B50">
              <w:rPr>
                <w:i/>
                <w:color w:val="000000"/>
                <w:sz w:val="20"/>
              </w:rPr>
              <w:t>3</w:t>
            </w:r>
            <w:r w:rsidR="00ED1C7D">
              <w:rPr>
                <w:i/>
                <w:color w:val="000000"/>
                <w:sz w:val="20"/>
              </w:rPr>
              <w:t>,</w:t>
            </w:r>
            <w:r w:rsidRPr="007C4B50">
              <w:rPr>
                <w:i/>
                <w:color w:val="000000"/>
                <w:sz w:val="20"/>
              </w:rPr>
              <w:t>2</w:t>
            </w:r>
          </w:p>
        </w:tc>
      </w:tr>
    </w:tbl>
    <w:p w14:paraId="3EB0A978" w14:textId="77777777" w:rsidR="007C4B50" w:rsidRPr="00CE65ED" w:rsidRDefault="007C4B50" w:rsidP="007C4B50">
      <w:pPr>
        <w:ind w:firstLine="708"/>
        <w:jc w:val="both"/>
        <w:rPr>
          <w:sz w:val="20"/>
        </w:rPr>
      </w:pPr>
      <w:r w:rsidRPr="007C4B50">
        <w:rPr>
          <w:i/>
          <w:sz w:val="20"/>
        </w:rPr>
        <w:t>Источник</w:t>
      </w:r>
      <w:r w:rsidRPr="00CE65ED">
        <w:rPr>
          <w:sz w:val="20"/>
        </w:rPr>
        <w:t>: приложение 14 к проекту закона «О федеральном бюджете на 2020 год и на плановый период 2021 и 2022 годов», среднесрочный прогноз социально-экономического развития Российской Федерации до 2024 года Минэкономразвития РФ (базовый вариант) от 01.10.2019, утвержденные президиумом Совета при Президенте Российской Федерации по стратегическому развитию и национальным проектам паспорта национальных проектов, расчеты авторов.</w:t>
      </w:r>
    </w:p>
    <w:p w14:paraId="54675F62" w14:textId="5DC32B7E" w:rsidR="007C4B50" w:rsidRDefault="007C4B50" w:rsidP="007C4B50"/>
    <w:p w14:paraId="45603484" w14:textId="03FE0876" w:rsidR="007C4B50" w:rsidRPr="00607E10" w:rsidRDefault="007C4B50" w:rsidP="007C4B50">
      <w:pPr>
        <w:spacing w:after="60"/>
        <w:ind w:firstLine="709"/>
        <w:jc w:val="both"/>
      </w:pPr>
      <w:r>
        <w:t xml:space="preserve">Как видно из </w:t>
      </w:r>
      <w:r w:rsidR="00600DF7" w:rsidRPr="00600DF7">
        <w:rPr>
          <w:i/>
        </w:rPr>
        <w:t>таблиц</w:t>
      </w:r>
      <w:r w:rsidR="00600DF7">
        <w:rPr>
          <w:i/>
        </w:rPr>
        <w:t>ы</w:t>
      </w:r>
      <w:r w:rsidR="00600DF7">
        <w:t xml:space="preserve"> </w:t>
      </w:r>
      <w:r w:rsidR="00C84D38">
        <w:rPr>
          <w:i/>
          <w:noProof/>
        </w:rPr>
        <w:t>7</w:t>
      </w:r>
      <w:r w:rsidR="00600DF7">
        <w:t>,</w:t>
      </w:r>
      <w:r>
        <w:t xml:space="preserve"> расходы на </w:t>
      </w:r>
      <w:r w:rsidR="00ED1C7D">
        <w:t xml:space="preserve">национальные </w:t>
      </w:r>
      <w:r>
        <w:t>проекты, заложенные в проекте</w:t>
      </w:r>
      <w:r w:rsidRPr="005C585A">
        <w:t xml:space="preserve"> закона «О федеральном бюджете на 2020 год и на плановый период 2021 и 2022 годов»</w:t>
      </w:r>
      <w:r>
        <w:t>, выше расходов, заложенных в паспортах национальных проектов, в среднем на 4,8%</w:t>
      </w:r>
      <w:r w:rsidR="00ED1C7D">
        <w:t>. П</w:t>
      </w:r>
      <w:r>
        <w:t>ри этом, если в 2020 и 2021 году увеличения запланированы на 4,6% и 4,4%, то в 2022 году плановое увеличение составит 5,3%. Рост совокупных расходов на национальные проекты год к году составит 10%, 12% и 20% в 2020, 2021 и 2022 году, соответственно. При этом важно отметить, что рост доли федерального бюджета, направленной на финансирование национальных проектов в 2022 году (15,6%) по отношению к текущему 2019 году (9,7%) составит более 61%</w:t>
      </w:r>
      <w:r>
        <w:rPr>
          <w:rStyle w:val="aa"/>
        </w:rPr>
        <w:footnoteReference w:id="9"/>
      </w:r>
      <w:r>
        <w:t>.</w:t>
      </w:r>
    </w:p>
    <w:p w14:paraId="16CB7E3A" w14:textId="3E0EA502" w:rsidR="007C4B50" w:rsidRDefault="007C4B50" w:rsidP="007C4B50">
      <w:pPr>
        <w:spacing w:after="60"/>
        <w:ind w:firstLine="709"/>
        <w:jc w:val="both"/>
      </w:pPr>
      <w:r>
        <w:t>Можно сделать вывод о том, что запланировано существенное увеличение расходов по национальным проектам, особенно в 2022 году, однако необходимо рассмотреть более детально</w:t>
      </w:r>
      <w:r w:rsidR="00ED1C7D">
        <w:t>,</w:t>
      </w:r>
      <w:r>
        <w:t xml:space="preserve"> как это увеличение расходов распределяется внутри самих национальных </w:t>
      </w:r>
      <w:r w:rsidRPr="00600DF7">
        <w:t>проектов (</w:t>
      </w:r>
      <w:r w:rsidRPr="00600DF7">
        <w:rPr>
          <w:i/>
        </w:rPr>
        <w:t>таблица</w:t>
      </w:r>
      <w:r w:rsidR="00600DF7">
        <w:rPr>
          <w:i/>
        </w:rPr>
        <w:t xml:space="preserve"> </w:t>
      </w:r>
      <w:r w:rsidR="00C84D38">
        <w:rPr>
          <w:i/>
          <w:noProof/>
        </w:rPr>
        <w:t>8</w:t>
      </w:r>
      <w:r w:rsidRPr="00600DF7">
        <w:t>).</w:t>
      </w:r>
    </w:p>
    <w:p w14:paraId="508E0D15" w14:textId="13E1F06D" w:rsidR="00600DF7" w:rsidRPr="00600DF7" w:rsidRDefault="00600DF7" w:rsidP="00600DF7">
      <w:pPr>
        <w:spacing w:after="60"/>
        <w:jc w:val="right"/>
        <w:rPr>
          <w:i/>
        </w:rPr>
      </w:pPr>
      <w:r w:rsidRPr="00600DF7">
        <w:rPr>
          <w:i/>
        </w:rPr>
        <w:t xml:space="preserve">Таблица </w:t>
      </w:r>
      <w:bookmarkStart w:id="18" w:name="_Ref21340149"/>
      <w:r w:rsidR="00BF098E">
        <w:rPr>
          <w:i/>
          <w:noProof/>
        </w:rPr>
        <w:t>8</w:t>
      </w:r>
      <w:bookmarkEnd w:id="18"/>
    </w:p>
    <w:p w14:paraId="17B63B7C" w14:textId="6D5CC094" w:rsidR="007C4B50" w:rsidRPr="007C4B50" w:rsidRDefault="007C4B50" w:rsidP="007C4B50">
      <w:pPr>
        <w:spacing w:after="60"/>
        <w:jc w:val="center"/>
        <w:rPr>
          <w:b/>
        </w:rPr>
      </w:pPr>
      <w:r w:rsidRPr="007C4B50">
        <w:rPr>
          <w:b/>
        </w:rPr>
        <w:t>Рост расходов по национальным проектам в соответствии с проектом закона «О федеральном бюджете на 2020 год и на плановый период 2021 и 2022 годов»</w:t>
      </w:r>
    </w:p>
    <w:tbl>
      <w:tblPr>
        <w:tblStyle w:val="a4"/>
        <w:tblW w:w="9498" w:type="dxa"/>
        <w:tblInd w:w="-147" w:type="dxa"/>
        <w:tblLayout w:type="fixed"/>
        <w:tblLook w:val="04A0" w:firstRow="1" w:lastRow="0" w:firstColumn="1" w:lastColumn="0" w:noHBand="0" w:noVBand="1"/>
      </w:tblPr>
      <w:tblGrid>
        <w:gridCol w:w="2127"/>
        <w:gridCol w:w="819"/>
        <w:gridCol w:w="819"/>
        <w:gridCol w:w="819"/>
        <w:gridCol w:w="819"/>
        <w:gridCol w:w="819"/>
        <w:gridCol w:w="819"/>
        <w:gridCol w:w="819"/>
        <w:gridCol w:w="819"/>
        <w:gridCol w:w="819"/>
      </w:tblGrid>
      <w:tr w:rsidR="00F64E9C" w:rsidRPr="00DA0084" w14:paraId="5E264774" w14:textId="77777777" w:rsidTr="00600DF7">
        <w:trPr>
          <w:trHeight w:val="645"/>
          <w:tblHeader/>
        </w:trPr>
        <w:tc>
          <w:tcPr>
            <w:tcW w:w="2127" w:type="dxa"/>
            <w:hideMark/>
          </w:tcPr>
          <w:p w14:paraId="2A1B16D2" w14:textId="77777777" w:rsidR="007C4B50" w:rsidRPr="00DA0084" w:rsidRDefault="007C4B50" w:rsidP="00C9484E">
            <w:pPr>
              <w:rPr>
                <w:sz w:val="20"/>
              </w:rPr>
            </w:pPr>
          </w:p>
        </w:tc>
        <w:tc>
          <w:tcPr>
            <w:tcW w:w="2457" w:type="dxa"/>
            <w:gridSpan w:val="3"/>
            <w:hideMark/>
          </w:tcPr>
          <w:p w14:paraId="6C472DE2" w14:textId="19B85333" w:rsidR="007C4B50" w:rsidRPr="007C4B50" w:rsidRDefault="007C4B50" w:rsidP="00C9484E">
            <w:pPr>
              <w:jc w:val="center"/>
              <w:rPr>
                <w:b/>
                <w:color w:val="000000"/>
                <w:sz w:val="20"/>
              </w:rPr>
            </w:pPr>
            <w:r w:rsidRPr="007C4B50">
              <w:rPr>
                <w:b/>
                <w:sz w:val="20"/>
              </w:rPr>
              <w:t>Проект закона «О федеральном бюджете на 2020 год и на плановый период 2021 и 2022 годов»</w:t>
            </w:r>
            <w:r w:rsidR="00AA5ABD">
              <w:rPr>
                <w:b/>
                <w:sz w:val="20"/>
              </w:rPr>
              <w:t xml:space="preserve">, </w:t>
            </w:r>
            <w:r w:rsidR="00AA5ABD" w:rsidRPr="00DA0084">
              <w:rPr>
                <w:b/>
                <w:bCs/>
                <w:color w:val="000000"/>
                <w:sz w:val="20"/>
              </w:rPr>
              <w:t>млрд руб</w:t>
            </w:r>
            <w:r w:rsidR="00AA5ABD">
              <w:rPr>
                <w:b/>
                <w:bCs/>
                <w:color w:val="000000"/>
                <w:sz w:val="20"/>
              </w:rPr>
              <w:t>.</w:t>
            </w:r>
          </w:p>
        </w:tc>
        <w:tc>
          <w:tcPr>
            <w:tcW w:w="2457" w:type="dxa"/>
            <w:gridSpan w:val="3"/>
            <w:hideMark/>
          </w:tcPr>
          <w:p w14:paraId="01B82EC4" w14:textId="7BF7EA05" w:rsidR="007C4B50" w:rsidRPr="007C4B50" w:rsidRDefault="007C4B50" w:rsidP="00C9484E">
            <w:pPr>
              <w:jc w:val="center"/>
              <w:rPr>
                <w:b/>
                <w:color w:val="000000"/>
                <w:sz w:val="20"/>
              </w:rPr>
            </w:pPr>
            <w:r w:rsidRPr="007C4B50">
              <w:rPr>
                <w:b/>
                <w:color w:val="000000"/>
                <w:sz w:val="20"/>
              </w:rPr>
              <w:t>Утвержденные паспорта национальных проектов, финансирование из Федерального бюджета</w:t>
            </w:r>
            <w:r w:rsidR="00AA5ABD">
              <w:rPr>
                <w:b/>
                <w:color w:val="000000"/>
                <w:sz w:val="20"/>
              </w:rPr>
              <w:t xml:space="preserve">, </w:t>
            </w:r>
            <w:r w:rsidR="00AA5ABD" w:rsidRPr="00DA0084">
              <w:rPr>
                <w:b/>
                <w:bCs/>
                <w:color w:val="000000"/>
                <w:sz w:val="20"/>
              </w:rPr>
              <w:t>млрд руб</w:t>
            </w:r>
            <w:r w:rsidR="00AA5ABD">
              <w:rPr>
                <w:b/>
                <w:bCs/>
                <w:color w:val="000000"/>
                <w:sz w:val="20"/>
              </w:rPr>
              <w:t>.</w:t>
            </w:r>
          </w:p>
        </w:tc>
        <w:tc>
          <w:tcPr>
            <w:tcW w:w="2457" w:type="dxa"/>
            <w:gridSpan w:val="3"/>
            <w:hideMark/>
          </w:tcPr>
          <w:p w14:paraId="11E6CBD4" w14:textId="5E37A30D" w:rsidR="007C4B50" w:rsidRPr="00576B90" w:rsidRDefault="007C4B50" w:rsidP="00F64E9C">
            <w:pPr>
              <w:jc w:val="center"/>
              <w:rPr>
                <w:b/>
                <w:i/>
                <w:color w:val="000000"/>
                <w:sz w:val="20"/>
              </w:rPr>
            </w:pPr>
            <w:r w:rsidRPr="00576B90">
              <w:rPr>
                <w:b/>
                <w:i/>
                <w:color w:val="000000"/>
                <w:sz w:val="20"/>
              </w:rPr>
              <w:t>Рост расходов по национальным проектам в соответствии с новым бюджетом</w:t>
            </w:r>
            <w:r w:rsidR="00AA5ABD">
              <w:rPr>
                <w:b/>
                <w:i/>
                <w:color w:val="000000"/>
                <w:sz w:val="20"/>
              </w:rPr>
              <w:t>, %</w:t>
            </w:r>
          </w:p>
        </w:tc>
      </w:tr>
      <w:tr w:rsidR="00F64E9C" w:rsidRPr="00DA0084" w14:paraId="43CF9806" w14:textId="77777777" w:rsidTr="00600DF7">
        <w:trPr>
          <w:trHeight w:val="510"/>
          <w:tblHeader/>
        </w:trPr>
        <w:tc>
          <w:tcPr>
            <w:tcW w:w="2127" w:type="dxa"/>
            <w:hideMark/>
          </w:tcPr>
          <w:p w14:paraId="7D9009E6" w14:textId="12BB127C" w:rsidR="00ED1C7D" w:rsidRPr="00DA0084" w:rsidRDefault="00ED1C7D" w:rsidP="00ED1C7D">
            <w:pPr>
              <w:rPr>
                <w:b/>
                <w:bCs/>
                <w:color w:val="000000"/>
                <w:sz w:val="20"/>
              </w:rPr>
            </w:pPr>
            <w:r w:rsidRPr="00DA0084">
              <w:rPr>
                <w:b/>
                <w:bCs/>
                <w:color w:val="000000"/>
                <w:sz w:val="20"/>
              </w:rPr>
              <w:t>Национальный проект (программа)</w:t>
            </w:r>
          </w:p>
        </w:tc>
        <w:tc>
          <w:tcPr>
            <w:tcW w:w="819" w:type="dxa"/>
            <w:noWrap/>
            <w:vAlign w:val="center"/>
            <w:hideMark/>
          </w:tcPr>
          <w:p w14:paraId="19D8B7D0" w14:textId="2DC0EB53" w:rsidR="00ED1C7D" w:rsidRPr="00DA0084" w:rsidRDefault="00ED1C7D" w:rsidP="008A699D">
            <w:pPr>
              <w:jc w:val="center"/>
              <w:rPr>
                <w:b/>
                <w:bCs/>
                <w:color w:val="000000"/>
                <w:sz w:val="20"/>
              </w:rPr>
            </w:pPr>
            <w:r w:rsidRPr="007C4B50">
              <w:rPr>
                <w:b/>
                <w:color w:val="000000"/>
                <w:sz w:val="20"/>
              </w:rPr>
              <w:t>2020</w:t>
            </w:r>
            <w:r>
              <w:rPr>
                <w:b/>
                <w:color w:val="000000"/>
                <w:sz w:val="20"/>
              </w:rPr>
              <w:t xml:space="preserve"> г.</w:t>
            </w:r>
          </w:p>
        </w:tc>
        <w:tc>
          <w:tcPr>
            <w:tcW w:w="819" w:type="dxa"/>
            <w:noWrap/>
            <w:vAlign w:val="center"/>
            <w:hideMark/>
          </w:tcPr>
          <w:p w14:paraId="2A1078C3" w14:textId="5D10A58B" w:rsidR="00ED1C7D" w:rsidRPr="00DA0084" w:rsidRDefault="00ED1C7D">
            <w:pPr>
              <w:jc w:val="center"/>
              <w:rPr>
                <w:b/>
                <w:bCs/>
                <w:color w:val="000000"/>
                <w:sz w:val="20"/>
              </w:rPr>
            </w:pPr>
            <w:r w:rsidRPr="007C4B50">
              <w:rPr>
                <w:b/>
                <w:color w:val="000000"/>
                <w:sz w:val="20"/>
              </w:rPr>
              <w:t>2021</w:t>
            </w:r>
            <w:r>
              <w:rPr>
                <w:b/>
                <w:color w:val="000000"/>
                <w:sz w:val="20"/>
              </w:rPr>
              <w:t xml:space="preserve"> г.</w:t>
            </w:r>
          </w:p>
        </w:tc>
        <w:tc>
          <w:tcPr>
            <w:tcW w:w="819" w:type="dxa"/>
            <w:noWrap/>
            <w:vAlign w:val="center"/>
            <w:hideMark/>
          </w:tcPr>
          <w:p w14:paraId="54F58E48" w14:textId="62ABAFE4" w:rsidR="00ED1C7D" w:rsidRPr="00DA0084" w:rsidRDefault="00ED1C7D">
            <w:pPr>
              <w:jc w:val="center"/>
              <w:rPr>
                <w:b/>
                <w:bCs/>
                <w:color w:val="000000"/>
                <w:sz w:val="20"/>
              </w:rPr>
            </w:pPr>
            <w:r w:rsidRPr="007C4B50">
              <w:rPr>
                <w:b/>
                <w:color w:val="000000"/>
                <w:sz w:val="20"/>
              </w:rPr>
              <w:t>2022</w:t>
            </w:r>
            <w:r>
              <w:rPr>
                <w:b/>
                <w:color w:val="000000"/>
                <w:sz w:val="20"/>
              </w:rPr>
              <w:t xml:space="preserve"> г.</w:t>
            </w:r>
          </w:p>
        </w:tc>
        <w:tc>
          <w:tcPr>
            <w:tcW w:w="819" w:type="dxa"/>
            <w:noWrap/>
            <w:vAlign w:val="center"/>
            <w:hideMark/>
          </w:tcPr>
          <w:p w14:paraId="6B6037E5" w14:textId="6F87BB55" w:rsidR="00ED1C7D" w:rsidRPr="00DA0084" w:rsidRDefault="00ED1C7D">
            <w:pPr>
              <w:jc w:val="center"/>
              <w:rPr>
                <w:b/>
                <w:bCs/>
                <w:color w:val="000000"/>
                <w:sz w:val="20"/>
              </w:rPr>
            </w:pPr>
            <w:r w:rsidRPr="007C4B50">
              <w:rPr>
                <w:b/>
                <w:color w:val="000000"/>
                <w:sz w:val="20"/>
              </w:rPr>
              <w:t>2020</w:t>
            </w:r>
            <w:r>
              <w:rPr>
                <w:b/>
                <w:color w:val="000000"/>
                <w:sz w:val="20"/>
              </w:rPr>
              <w:t xml:space="preserve"> г.</w:t>
            </w:r>
          </w:p>
        </w:tc>
        <w:tc>
          <w:tcPr>
            <w:tcW w:w="819" w:type="dxa"/>
            <w:noWrap/>
            <w:vAlign w:val="center"/>
            <w:hideMark/>
          </w:tcPr>
          <w:p w14:paraId="654D40EE" w14:textId="452A8F3C" w:rsidR="00ED1C7D" w:rsidRPr="00DA0084" w:rsidRDefault="00ED1C7D">
            <w:pPr>
              <w:jc w:val="center"/>
              <w:rPr>
                <w:b/>
                <w:bCs/>
                <w:color w:val="000000"/>
                <w:sz w:val="20"/>
              </w:rPr>
            </w:pPr>
            <w:r w:rsidRPr="007C4B50">
              <w:rPr>
                <w:b/>
                <w:color w:val="000000"/>
                <w:sz w:val="20"/>
              </w:rPr>
              <w:t>2021</w:t>
            </w:r>
            <w:r>
              <w:rPr>
                <w:b/>
                <w:color w:val="000000"/>
                <w:sz w:val="20"/>
              </w:rPr>
              <w:t xml:space="preserve"> г.</w:t>
            </w:r>
          </w:p>
        </w:tc>
        <w:tc>
          <w:tcPr>
            <w:tcW w:w="819" w:type="dxa"/>
            <w:noWrap/>
            <w:vAlign w:val="center"/>
            <w:hideMark/>
          </w:tcPr>
          <w:p w14:paraId="5FC0C44C" w14:textId="0CC5C53F" w:rsidR="00ED1C7D" w:rsidRPr="00DA0084" w:rsidRDefault="00ED1C7D">
            <w:pPr>
              <w:jc w:val="center"/>
              <w:rPr>
                <w:b/>
                <w:bCs/>
                <w:color w:val="000000"/>
                <w:sz w:val="20"/>
              </w:rPr>
            </w:pPr>
            <w:r w:rsidRPr="007C4B50">
              <w:rPr>
                <w:b/>
                <w:color w:val="000000"/>
                <w:sz w:val="20"/>
              </w:rPr>
              <w:t>2022</w:t>
            </w:r>
            <w:r>
              <w:rPr>
                <w:b/>
                <w:color w:val="000000"/>
                <w:sz w:val="20"/>
              </w:rPr>
              <w:t xml:space="preserve"> г.</w:t>
            </w:r>
          </w:p>
        </w:tc>
        <w:tc>
          <w:tcPr>
            <w:tcW w:w="819" w:type="dxa"/>
            <w:noWrap/>
            <w:vAlign w:val="center"/>
            <w:hideMark/>
          </w:tcPr>
          <w:p w14:paraId="01378FA6" w14:textId="1A2CAA33" w:rsidR="00ED1C7D" w:rsidRPr="00576B90" w:rsidRDefault="00ED1C7D">
            <w:pPr>
              <w:jc w:val="center"/>
              <w:rPr>
                <w:b/>
                <w:bCs/>
                <w:i/>
                <w:color w:val="000000"/>
                <w:sz w:val="20"/>
              </w:rPr>
            </w:pPr>
            <w:r w:rsidRPr="007C4B50">
              <w:rPr>
                <w:b/>
                <w:color w:val="000000"/>
                <w:sz w:val="20"/>
              </w:rPr>
              <w:t>2020</w:t>
            </w:r>
            <w:r>
              <w:rPr>
                <w:b/>
                <w:color w:val="000000"/>
                <w:sz w:val="20"/>
              </w:rPr>
              <w:t xml:space="preserve"> г.</w:t>
            </w:r>
          </w:p>
        </w:tc>
        <w:tc>
          <w:tcPr>
            <w:tcW w:w="819" w:type="dxa"/>
            <w:noWrap/>
            <w:vAlign w:val="center"/>
            <w:hideMark/>
          </w:tcPr>
          <w:p w14:paraId="4B8E8655" w14:textId="3E8A35BA" w:rsidR="00ED1C7D" w:rsidRPr="00576B90" w:rsidRDefault="00ED1C7D">
            <w:pPr>
              <w:jc w:val="center"/>
              <w:rPr>
                <w:b/>
                <w:bCs/>
                <w:i/>
                <w:color w:val="000000"/>
                <w:sz w:val="20"/>
              </w:rPr>
            </w:pPr>
            <w:r w:rsidRPr="007C4B50">
              <w:rPr>
                <w:b/>
                <w:color w:val="000000"/>
                <w:sz w:val="20"/>
              </w:rPr>
              <w:t>2021</w:t>
            </w:r>
            <w:r>
              <w:rPr>
                <w:b/>
                <w:color w:val="000000"/>
                <w:sz w:val="20"/>
              </w:rPr>
              <w:t xml:space="preserve"> г.</w:t>
            </w:r>
          </w:p>
        </w:tc>
        <w:tc>
          <w:tcPr>
            <w:tcW w:w="819" w:type="dxa"/>
            <w:noWrap/>
            <w:vAlign w:val="center"/>
            <w:hideMark/>
          </w:tcPr>
          <w:p w14:paraId="35C4391B" w14:textId="573BFA2F" w:rsidR="00ED1C7D" w:rsidRPr="00576B90" w:rsidRDefault="00ED1C7D">
            <w:pPr>
              <w:jc w:val="center"/>
              <w:rPr>
                <w:b/>
                <w:bCs/>
                <w:i/>
                <w:color w:val="000000"/>
                <w:sz w:val="20"/>
              </w:rPr>
            </w:pPr>
            <w:r w:rsidRPr="007C4B50">
              <w:rPr>
                <w:b/>
                <w:color w:val="000000"/>
                <w:sz w:val="20"/>
              </w:rPr>
              <w:t>2022</w:t>
            </w:r>
            <w:r>
              <w:rPr>
                <w:b/>
                <w:color w:val="000000"/>
                <w:sz w:val="20"/>
              </w:rPr>
              <w:t xml:space="preserve"> г.</w:t>
            </w:r>
          </w:p>
        </w:tc>
      </w:tr>
      <w:tr w:rsidR="00F64E9C" w:rsidRPr="00DA0084" w14:paraId="41AEEFFA" w14:textId="77777777" w:rsidTr="00F64E9C">
        <w:trPr>
          <w:trHeight w:val="255"/>
        </w:trPr>
        <w:tc>
          <w:tcPr>
            <w:tcW w:w="2127" w:type="dxa"/>
            <w:hideMark/>
          </w:tcPr>
          <w:p w14:paraId="0E080882" w14:textId="77777777" w:rsidR="007C4B50" w:rsidRPr="00DA0084" w:rsidRDefault="007C4B50" w:rsidP="00C9484E">
            <w:pPr>
              <w:rPr>
                <w:color w:val="000000"/>
                <w:sz w:val="20"/>
              </w:rPr>
            </w:pPr>
            <w:r w:rsidRPr="00DA0084">
              <w:rPr>
                <w:color w:val="000000"/>
                <w:sz w:val="20"/>
              </w:rPr>
              <w:t>Демография</w:t>
            </w:r>
          </w:p>
        </w:tc>
        <w:tc>
          <w:tcPr>
            <w:tcW w:w="819" w:type="dxa"/>
            <w:noWrap/>
            <w:vAlign w:val="bottom"/>
            <w:hideMark/>
          </w:tcPr>
          <w:p w14:paraId="653B0D09" w14:textId="77777777" w:rsidR="007C4B50" w:rsidRPr="000D147D" w:rsidRDefault="007C4B50" w:rsidP="00C9484E">
            <w:pPr>
              <w:jc w:val="center"/>
              <w:rPr>
                <w:color w:val="000000"/>
                <w:sz w:val="20"/>
              </w:rPr>
            </w:pPr>
            <w:r w:rsidRPr="000D147D">
              <w:rPr>
                <w:color w:val="000000"/>
                <w:sz w:val="20"/>
              </w:rPr>
              <w:t>616</w:t>
            </w:r>
          </w:p>
        </w:tc>
        <w:tc>
          <w:tcPr>
            <w:tcW w:w="819" w:type="dxa"/>
            <w:noWrap/>
            <w:vAlign w:val="bottom"/>
            <w:hideMark/>
          </w:tcPr>
          <w:p w14:paraId="256FF9BF" w14:textId="77777777" w:rsidR="007C4B50" w:rsidRPr="00172CF2" w:rsidRDefault="007C4B50" w:rsidP="00C9484E">
            <w:pPr>
              <w:jc w:val="center"/>
              <w:rPr>
                <w:color w:val="000000"/>
                <w:sz w:val="20"/>
              </w:rPr>
            </w:pPr>
            <w:r w:rsidRPr="000D147D">
              <w:rPr>
                <w:color w:val="000000"/>
                <w:sz w:val="20"/>
              </w:rPr>
              <w:t>635</w:t>
            </w:r>
          </w:p>
        </w:tc>
        <w:tc>
          <w:tcPr>
            <w:tcW w:w="819" w:type="dxa"/>
            <w:noWrap/>
            <w:vAlign w:val="bottom"/>
            <w:hideMark/>
          </w:tcPr>
          <w:p w14:paraId="53CCE84E" w14:textId="77777777" w:rsidR="007C4B50" w:rsidRPr="000A64D9" w:rsidRDefault="007C4B50" w:rsidP="00C9484E">
            <w:pPr>
              <w:jc w:val="center"/>
              <w:rPr>
                <w:color w:val="000000"/>
                <w:sz w:val="20"/>
              </w:rPr>
            </w:pPr>
            <w:r w:rsidRPr="000A64D9">
              <w:rPr>
                <w:color w:val="000000"/>
                <w:sz w:val="20"/>
              </w:rPr>
              <w:t>588</w:t>
            </w:r>
          </w:p>
        </w:tc>
        <w:tc>
          <w:tcPr>
            <w:tcW w:w="819" w:type="dxa"/>
            <w:noWrap/>
            <w:vAlign w:val="bottom"/>
            <w:hideMark/>
          </w:tcPr>
          <w:p w14:paraId="76F8E2F5" w14:textId="77777777" w:rsidR="007C4B50" w:rsidRPr="0099046B" w:rsidRDefault="007C4B50" w:rsidP="00C9484E">
            <w:pPr>
              <w:jc w:val="center"/>
              <w:rPr>
                <w:color w:val="000000"/>
                <w:sz w:val="20"/>
                <w:highlight w:val="yellow"/>
              </w:rPr>
            </w:pPr>
            <w:r w:rsidRPr="000A64D9">
              <w:rPr>
                <w:color w:val="000000"/>
                <w:sz w:val="20"/>
              </w:rPr>
              <w:t>532</w:t>
            </w:r>
          </w:p>
        </w:tc>
        <w:tc>
          <w:tcPr>
            <w:tcW w:w="819" w:type="dxa"/>
            <w:noWrap/>
            <w:vAlign w:val="bottom"/>
            <w:hideMark/>
          </w:tcPr>
          <w:p w14:paraId="4527BD0D" w14:textId="77777777" w:rsidR="007C4B50" w:rsidRPr="0099046B" w:rsidRDefault="007C4B50" w:rsidP="00C9484E">
            <w:pPr>
              <w:jc w:val="center"/>
              <w:rPr>
                <w:color w:val="000000"/>
                <w:sz w:val="20"/>
                <w:highlight w:val="yellow"/>
              </w:rPr>
            </w:pPr>
            <w:r w:rsidRPr="000D147D">
              <w:rPr>
                <w:color w:val="000000"/>
                <w:sz w:val="20"/>
              </w:rPr>
              <w:t>538</w:t>
            </w:r>
          </w:p>
        </w:tc>
        <w:tc>
          <w:tcPr>
            <w:tcW w:w="819" w:type="dxa"/>
            <w:noWrap/>
            <w:vAlign w:val="bottom"/>
            <w:hideMark/>
          </w:tcPr>
          <w:p w14:paraId="208C72DE" w14:textId="77777777" w:rsidR="007C4B50" w:rsidRPr="0099046B" w:rsidRDefault="007C4B50" w:rsidP="00C9484E">
            <w:pPr>
              <w:jc w:val="center"/>
              <w:rPr>
                <w:color w:val="000000"/>
                <w:sz w:val="20"/>
                <w:highlight w:val="yellow"/>
              </w:rPr>
            </w:pPr>
            <w:r w:rsidRPr="000D147D">
              <w:rPr>
                <w:color w:val="000000"/>
                <w:sz w:val="20"/>
              </w:rPr>
              <w:t>487</w:t>
            </w:r>
          </w:p>
        </w:tc>
        <w:tc>
          <w:tcPr>
            <w:tcW w:w="819" w:type="dxa"/>
            <w:noWrap/>
            <w:vAlign w:val="bottom"/>
            <w:hideMark/>
          </w:tcPr>
          <w:p w14:paraId="471F6BA4" w14:textId="32F9C035" w:rsidR="007C4B50" w:rsidRPr="00576B90" w:rsidRDefault="007C4B50" w:rsidP="00F64E9C">
            <w:pPr>
              <w:ind w:left="-104" w:right="-12"/>
              <w:jc w:val="right"/>
              <w:rPr>
                <w:b/>
                <w:i/>
                <w:color w:val="000000"/>
                <w:sz w:val="20"/>
              </w:rPr>
            </w:pPr>
            <w:r w:rsidRPr="00576B90">
              <w:rPr>
                <w:i/>
                <w:color w:val="000000"/>
                <w:sz w:val="20"/>
              </w:rPr>
              <w:t>16</w:t>
            </w:r>
          </w:p>
        </w:tc>
        <w:tc>
          <w:tcPr>
            <w:tcW w:w="819" w:type="dxa"/>
            <w:noWrap/>
            <w:vAlign w:val="bottom"/>
            <w:hideMark/>
          </w:tcPr>
          <w:p w14:paraId="1B7146E0" w14:textId="324F70A5" w:rsidR="007C4B50" w:rsidRPr="00576B90" w:rsidRDefault="007C4B50" w:rsidP="00F64E9C">
            <w:pPr>
              <w:ind w:left="-104" w:right="-12"/>
              <w:jc w:val="right"/>
              <w:rPr>
                <w:b/>
                <w:i/>
                <w:color w:val="000000"/>
                <w:sz w:val="20"/>
              </w:rPr>
            </w:pPr>
            <w:r w:rsidRPr="00576B90">
              <w:rPr>
                <w:i/>
                <w:color w:val="000000"/>
                <w:sz w:val="20"/>
              </w:rPr>
              <w:t>18</w:t>
            </w:r>
          </w:p>
        </w:tc>
        <w:tc>
          <w:tcPr>
            <w:tcW w:w="819" w:type="dxa"/>
            <w:noWrap/>
            <w:vAlign w:val="bottom"/>
            <w:hideMark/>
          </w:tcPr>
          <w:p w14:paraId="63B8C01C" w14:textId="2CA1370B" w:rsidR="007C4B50" w:rsidRPr="00576B90" w:rsidRDefault="007C4B50" w:rsidP="00F64E9C">
            <w:pPr>
              <w:ind w:left="-104" w:right="-12"/>
              <w:jc w:val="right"/>
              <w:rPr>
                <w:b/>
                <w:i/>
                <w:color w:val="000000"/>
                <w:sz w:val="20"/>
              </w:rPr>
            </w:pPr>
            <w:r w:rsidRPr="00576B90">
              <w:rPr>
                <w:i/>
                <w:color w:val="000000"/>
                <w:sz w:val="20"/>
              </w:rPr>
              <w:t>21</w:t>
            </w:r>
          </w:p>
        </w:tc>
      </w:tr>
      <w:tr w:rsidR="00F64E9C" w:rsidRPr="00DA0084" w14:paraId="075BDC13" w14:textId="77777777" w:rsidTr="00F64E9C">
        <w:trPr>
          <w:trHeight w:val="255"/>
        </w:trPr>
        <w:tc>
          <w:tcPr>
            <w:tcW w:w="2127" w:type="dxa"/>
            <w:hideMark/>
          </w:tcPr>
          <w:p w14:paraId="6F3922AF" w14:textId="77777777" w:rsidR="007C4B50" w:rsidRPr="00DA0084" w:rsidRDefault="007C4B50" w:rsidP="00C9484E">
            <w:pPr>
              <w:rPr>
                <w:color w:val="000000"/>
                <w:sz w:val="20"/>
              </w:rPr>
            </w:pPr>
            <w:r w:rsidRPr="00DA0084">
              <w:rPr>
                <w:color w:val="000000"/>
                <w:sz w:val="20"/>
              </w:rPr>
              <w:t>Здравоохранение</w:t>
            </w:r>
          </w:p>
        </w:tc>
        <w:tc>
          <w:tcPr>
            <w:tcW w:w="819" w:type="dxa"/>
            <w:noWrap/>
            <w:vAlign w:val="bottom"/>
            <w:hideMark/>
          </w:tcPr>
          <w:p w14:paraId="7DF47DBF" w14:textId="77777777" w:rsidR="007C4B50" w:rsidRPr="000D147D" w:rsidRDefault="007C4B50" w:rsidP="00C9484E">
            <w:pPr>
              <w:jc w:val="center"/>
              <w:rPr>
                <w:color w:val="000000"/>
                <w:sz w:val="20"/>
              </w:rPr>
            </w:pPr>
            <w:r w:rsidRPr="000D147D">
              <w:rPr>
                <w:color w:val="000000"/>
                <w:sz w:val="20"/>
              </w:rPr>
              <w:t>300</w:t>
            </w:r>
          </w:p>
        </w:tc>
        <w:tc>
          <w:tcPr>
            <w:tcW w:w="819" w:type="dxa"/>
            <w:noWrap/>
            <w:vAlign w:val="bottom"/>
            <w:hideMark/>
          </w:tcPr>
          <w:p w14:paraId="2788F110" w14:textId="77777777" w:rsidR="007C4B50" w:rsidRPr="00172CF2" w:rsidRDefault="007C4B50" w:rsidP="00C9484E">
            <w:pPr>
              <w:jc w:val="center"/>
              <w:rPr>
                <w:color w:val="000000"/>
                <w:sz w:val="20"/>
              </w:rPr>
            </w:pPr>
            <w:r w:rsidRPr="000D147D">
              <w:rPr>
                <w:color w:val="000000"/>
                <w:sz w:val="20"/>
              </w:rPr>
              <w:t>240</w:t>
            </w:r>
          </w:p>
        </w:tc>
        <w:tc>
          <w:tcPr>
            <w:tcW w:w="819" w:type="dxa"/>
            <w:noWrap/>
            <w:vAlign w:val="bottom"/>
            <w:hideMark/>
          </w:tcPr>
          <w:p w14:paraId="4B94C336" w14:textId="77777777" w:rsidR="007C4B50" w:rsidRPr="000A64D9" w:rsidRDefault="007C4B50" w:rsidP="00C9484E">
            <w:pPr>
              <w:jc w:val="center"/>
              <w:rPr>
                <w:color w:val="000000"/>
                <w:sz w:val="20"/>
              </w:rPr>
            </w:pPr>
            <w:r w:rsidRPr="000A64D9">
              <w:rPr>
                <w:color w:val="000000"/>
                <w:sz w:val="20"/>
              </w:rPr>
              <w:t>254</w:t>
            </w:r>
          </w:p>
        </w:tc>
        <w:tc>
          <w:tcPr>
            <w:tcW w:w="819" w:type="dxa"/>
            <w:noWrap/>
            <w:vAlign w:val="bottom"/>
            <w:hideMark/>
          </w:tcPr>
          <w:p w14:paraId="2511C4A3" w14:textId="77777777" w:rsidR="007C4B50" w:rsidRPr="0099046B" w:rsidRDefault="007C4B50" w:rsidP="00C9484E">
            <w:pPr>
              <w:jc w:val="center"/>
              <w:rPr>
                <w:color w:val="000000"/>
                <w:sz w:val="20"/>
                <w:highlight w:val="yellow"/>
              </w:rPr>
            </w:pPr>
            <w:r w:rsidRPr="000A64D9">
              <w:rPr>
                <w:color w:val="000000"/>
                <w:sz w:val="20"/>
              </w:rPr>
              <w:t>299</w:t>
            </w:r>
          </w:p>
        </w:tc>
        <w:tc>
          <w:tcPr>
            <w:tcW w:w="819" w:type="dxa"/>
            <w:noWrap/>
            <w:vAlign w:val="bottom"/>
            <w:hideMark/>
          </w:tcPr>
          <w:p w14:paraId="35B168C6" w14:textId="77777777" w:rsidR="007C4B50" w:rsidRPr="0099046B" w:rsidRDefault="007C4B50" w:rsidP="00C9484E">
            <w:pPr>
              <w:jc w:val="center"/>
              <w:rPr>
                <w:color w:val="000000"/>
                <w:sz w:val="20"/>
                <w:highlight w:val="yellow"/>
              </w:rPr>
            </w:pPr>
            <w:r w:rsidRPr="000D147D">
              <w:rPr>
                <w:color w:val="000000"/>
                <w:sz w:val="20"/>
              </w:rPr>
              <w:t>239</w:t>
            </w:r>
          </w:p>
        </w:tc>
        <w:tc>
          <w:tcPr>
            <w:tcW w:w="819" w:type="dxa"/>
            <w:noWrap/>
            <w:vAlign w:val="bottom"/>
            <w:hideMark/>
          </w:tcPr>
          <w:p w14:paraId="720D3950" w14:textId="77777777" w:rsidR="007C4B50" w:rsidRPr="0099046B" w:rsidRDefault="007C4B50" w:rsidP="00C9484E">
            <w:pPr>
              <w:jc w:val="center"/>
              <w:rPr>
                <w:color w:val="000000"/>
                <w:sz w:val="20"/>
                <w:highlight w:val="yellow"/>
              </w:rPr>
            </w:pPr>
            <w:r w:rsidRPr="000D147D">
              <w:rPr>
                <w:color w:val="000000"/>
                <w:sz w:val="20"/>
              </w:rPr>
              <w:t>251</w:t>
            </w:r>
          </w:p>
        </w:tc>
        <w:tc>
          <w:tcPr>
            <w:tcW w:w="819" w:type="dxa"/>
            <w:noWrap/>
            <w:vAlign w:val="bottom"/>
            <w:hideMark/>
          </w:tcPr>
          <w:p w14:paraId="005C938C" w14:textId="3FC97750" w:rsidR="007C4B50" w:rsidRPr="00576B90" w:rsidRDefault="007C4B50" w:rsidP="00F64E9C">
            <w:pPr>
              <w:ind w:left="-104" w:right="-12"/>
              <w:jc w:val="right"/>
              <w:rPr>
                <w:b/>
                <w:i/>
                <w:color w:val="000000"/>
                <w:sz w:val="20"/>
              </w:rPr>
            </w:pPr>
            <w:r w:rsidRPr="00576B90">
              <w:rPr>
                <w:i/>
                <w:color w:val="000000"/>
                <w:sz w:val="20"/>
              </w:rPr>
              <w:t>0</w:t>
            </w:r>
          </w:p>
        </w:tc>
        <w:tc>
          <w:tcPr>
            <w:tcW w:w="819" w:type="dxa"/>
            <w:noWrap/>
            <w:vAlign w:val="bottom"/>
            <w:hideMark/>
          </w:tcPr>
          <w:p w14:paraId="7A952178" w14:textId="2EF31B7E" w:rsidR="007C4B50" w:rsidRPr="00576B90" w:rsidRDefault="007C4B50" w:rsidP="00F64E9C">
            <w:pPr>
              <w:ind w:left="-104" w:right="-12"/>
              <w:jc w:val="right"/>
              <w:rPr>
                <w:b/>
                <w:i/>
                <w:color w:val="000000"/>
                <w:sz w:val="20"/>
              </w:rPr>
            </w:pPr>
            <w:r w:rsidRPr="00576B90">
              <w:rPr>
                <w:i/>
                <w:color w:val="000000"/>
                <w:sz w:val="20"/>
              </w:rPr>
              <w:t>1</w:t>
            </w:r>
          </w:p>
        </w:tc>
        <w:tc>
          <w:tcPr>
            <w:tcW w:w="819" w:type="dxa"/>
            <w:noWrap/>
            <w:vAlign w:val="bottom"/>
            <w:hideMark/>
          </w:tcPr>
          <w:p w14:paraId="463200F7" w14:textId="3F728C09" w:rsidR="007C4B50" w:rsidRPr="00576B90" w:rsidRDefault="007C4B50" w:rsidP="00F64E9C">
            <w:pPr>
              <w:ind w:left="-104" w:right="-12"/>
              <w:jc w:val="right"/>
              <w:rPr>
                <w:b/>
                <w:i/>
                <w:color w:val="000000"/>
                <w:sz w:val="20"/>
              </w:rPr>
            </w:pPr>
            <w:r w:rsidRPr="00576B90">
              <w:rPr>
                <w:i/>
                <w:color w:val="000000"/>
                <w:sz w:val="20"/>
              </w:rPr>
              <w:t>1</w:t>
            </w:r>
          </w:p>
        </w:tc>
      </w:tr>
      <w:tr w:rsidR="00F64E9C" w:rsidRPr="00DA0084" w14:paraId="18A3F544" w14:textId="77777777" w:rsidTr="00F64E9C">
        <w:trPr>
          <w:trHeight w:val="255"/>
        </w:trPr>
        <w:tc>
          <w:tcPr>
            <w:tcW w:w="2127" w:type="dxa"/>
            <w:hideMark/>
          </w:tcPr>
          <w:p w14:paraId="6A167E4C" w14:textId="77777777" w:rsidR="007C4B50" w:rsidRPr="00DA0084" w:rsidRDefault="007C4B50" w:rsidP="00C9484E">
            <w:pPr>
              <w:rPr>
                <w:color w:val="000000"/>
                <w:sz w:val="20"/>
              </w:rPr>
            </w:pPr>
            <w:r w:rsidRPr="00DA0084">
              <w:rPr>
                <w:color w:val="000000"/>
                <w:sz w:val="20"/>
              </w:rPr>
              <w:t>Образование</w:t>
            </w:r>
          </w:p>
        </w:tc>
        <w:tc>
          <w:tcPr>
            <w:tcW w:w="819" w:type="dxa"/>
            <w:noWrap/>
            <w:vAlign w:val="bottom"/>
            <w:hideMark/>
          </w:tcPr>
          <w:p w14:paraId="7BF808B1" w14:textId="77777777" w:rsidR="007C4B50" w:rsidRPr="000D147D" w:rsidRDefault="007C4B50" w:rsidP="00C9484E">
            <w:pPr>
              <w:jc w:val="center"/>
              <w:rPr>
                <w:color w:val="000000"/>
                <w:sz w:val="20"/>
              </w:rPr>
            </w:pPr>
            <w:r w:rsidRPr="000D147D">
              <w:rPr>
                <w:color w:val="000000"/>
                <w:sz w:val="20"/>
              </w:rPr>
              <w:t>126</w:t>
            </w:r>
          </w:p>
        </w:tc>
        <w:tc>
          <w:tcPr>
            <w:tcW w:w="819" w:type="dxa"/>
            <w:noWrap/>
            <w:vAlign w:val="bottom"/>
            <w:hideMark/>
          </w:tcPr>
          <w:p w14:paraId="75725B65" w14:textId="77777777" w:rsidR="007C4B50" w:rsidRPr="00172CF2" w:rsidRDefault="007C4B50" w:rsidP="00C9484E">
            <w:pPr>
              <w:jc w:val="center"/>
              <w:rPr>
                <w:color w:val="000000"/>
                <w:sz w:val="20"/>
              </w:rPr>
            </w:pPr>
            <w:r w:rsidRPr="000D147D">
              <w:rPr>
                <w:color w:val="000000"/>
                <w:sz w:val="20"/>
              </w:rPr>
              <w:t>135</w:t>
            </w:r>
          </w:p>
        </w:tc>
        <w:tc>
          <w:tcPr>
            <w:tcW w:w="819" w:type="dxa"/>
            <w:noWrap/>
            <w:vAlign w:val="bottom"/>
            <w:hideMark/>
          </w:tcPr>
          <w:p w14:paraId="3F291D83" w14:textId="77777777" w:rsidR="007C4B50" w:rsidRPr="000A64D9" w:rsidRDefault="007C4B50" w:rsidP="00C9484E">
            <w:pPr>
              <w:jc w:val="center"/>
              <w:rPr>
                <w:color w:val="000000"/>
                <w:sz w:val="20"/>
              </w:rPr>
            </w:pPr>
            <w:r w:rsidRPr="000A64D9">
              <w:rPr>
                <w:color w:val="000000"/>
                <w:sz w:val="20"/>
              </w:rPr>
              <w:t>119</w:t>
            </w:r>
          </w:p>
        </w:tc>
        <w:tc>
          <w:tcPr>
            <w:tcW w:w="819" w:type="dxa"/>
            <w:noWrap/>
            <w:vAlign w:val="bottom"/>
            <w:hideMark/>
          </w:tcPr>
          <w:p w14:paraId="275E131E" w14:textId="77777777" w:rsidR="007C4B50" w:rsidRPr="0099046B" w:rsidRDefault="007C4B50" w:rsidP="00C9484E">
            <w:pPr>
              <w:jc w:val="center"/>
              <w:rPr>
                <w:color w:val="000000"/>
                <w:sz w:val="20"/>
                <w:highlight w:val="yellow"/>
              </w:rPr>
            </w:pPr>
            <w:r w:rsidRPr="000A64D9">
              <w:rPr>
                <w:color w:val="000000"/>
                <w:sz w:val="20"/>
              </w:rPr>
              <w:t>123</w:t>
            </w:r>
          </w:p>
        </w:tc>
        <w:tc>
          <w:tcPr>
            <w:tcW w:w="819" w:type="dxa"/>
            <w:noWrap/>
            <w:vAlign w:val="bottom"/>
            <w:hideMark/>
          </w:tcPr>
          <w:p w14:paraId="5F102849" w14:textId="77777777" w:rsidR="007C4B50" w:rsidRPr="0099046B" w:rsidRDefault="007C4B50" w:rsidP="00C9484E">
            <w:pPr>
              <w:jc w:val="center"/>
              <w:rPr>
                <w:color w:val="000000"/>
                <w:sz w:val="20"/>
                <w:highlight w:val="yellow"/>
              </w:rPr>
            </w:pPr>
            <w:r w:rsidRPr="000D147D">
              <w:rPr>
                <w:color w:val="000000"/>
                <w:sz w:val="20"/>
              </w:rPr>
              <w:t>133</w:t>
            </w:r>
          </w:p>
        </w:tc>
        <w:tc>
          <w:tcPr>
            <w:tcW w:w="819" w:type="dxa"/>
            <w:noWrap/>
            <w:vAlign w:val="bottom"/>
            <w:hideMark/>
          </w:tcPr>
          <w:p w14:paraId="09E64FD1" w14:textId="77777777" w:rsidR="007C4B50" w:rsidRPr="0099046B" w:rsidRDefault="007C4B50" w:rsidP="00C9484E">
            <w:pPr>
              <w:jc w:val="center"/>
              <w:rPr>
                <w:color w:val="000000"/>
                <w:sz w:val="20"/>
                <w:highlight w:val="yellow"/>
              </w:rPr>
            </w:pPr>
            <w:r w:rsidRPr="000D147D">
              <w:rPr>
                <w:color w:val="000000"/>
                <w:sz w:val="20"/>
              </w:rPr>
              <w:t>119</w:t>
            </w:r>
          </w:p>
        </w:tc>
        <w:tc>
          <w:tcPr>
            <w:tcW w:w="819" w:type="dxa"/>
            <w:noWrap/>
            <w:vAlign w:val="bottom"/>
            <w:hideMark/>
          </w:tcPr>
          <w:p w14:paraId="6390A97D" w14:textId="28731840" w:rsidR="007C4B50" w:rsidRPr="00576B90" w:rsidRDefault="007C4B50" w:rsidP="00F64E9C">
            <w:pPr>
              <w:ind w:left="-104" w:right="-12"/>
              <w:jc w:val="right"/>
              <w:rPr>
                <w:b/>
                <w:i/>
                <w:color w:val="000000"/>
                <w:sz w:val="20"/>
              </w:rPr>
            </w:pPr>
            <w:r w:rsidRPr="00576B90">
              <w:rPr>
                <w:i/>
                <w:color w:val="000000"/>
                <w:sz w:val="20"/>
              </w:rPr>
              <w:t>3</w:t>
            </w:r>
          </w:p>
        </w:tc>
        <w:tc>
          <w:tcPr>
            <w:tcW w:w="819" w:type="dxa"/>
            <w:noWrap/>
            <w:vAlign w:val="bottom"/>
            <w:hideMark/>
          </w:tcPr>
          <w:p w14:paraId="3FC312D3" w14:textId="62762710" w:rsidR="007C4B50" w:rsidRPr="00576B90" w:rsidRDefault="007C4B50" w:rsidP="00F64E9C">
            <w:pPr>
              <w:ind w:left="-104" w:right="-12"/>
              <w:jc w:val="right"/>
              <w:rPr>
                <w:b/>
                <w:i/>
                <w:color w:val="000000"/>
                <w:sz w:val="20"/>
              </w:rPr>
            </w:pPr>
            <w:r w:rsidRPr="00576B90">
              <w:rPr>
                <w:i/>
                <w:color w:val="000000"/>
                <w:sz w:val="20"/>
              </w:rPr>
              <w:t>1</w:t>
            </w:r>
          </w:p>
        </w:tc>
        <w:tc>
          <w:tcPr>
            <w:tcW w:w="819" w:type="dxa"/>
            <w:noWrap/>
            <w:vAlign w:val="bottom"/>
            <w:hideMark/>
          </w:tcPr>
          <w:p w14:paraId="39B61081" w14:textId="69C58C84" w:rsidR="007C4B50" w:rsidRPr="00576B90" w:rsidRDefault="007C4B50" w:rsidP="00F64E9C">
            <w:pPr>
              <w:ind w:left="-104" w:right="-12"/>
              <w:jc w:val="right"/>
              <w:rPr>
                <w:b/>
                <w:i/>
                <w:color w:val="000000"/>
                <w:sz w:val="20"/>
              </w:rPr>
            </w:pPr>
            <w:r w:rsidRPr="00576B90">
              <w:rPr>
                <w:i/>
                <w:color w:val="000000"/>
                <w:sz w:val="20"/>
              </w:rPr>
              <w:t>0</w:t>
            </w:r>
          </w:p>
        </w:tc>
      </w:tr>
      <w:tr w:rsidR="00F64E9C" w:rsidRPr="00DA0084" w14:paraId="55B635F9" w14:textId="77777777" w:rsidTr="00F64E9C">
        <w:trPr>
          <w:trHeight w:val="255"/>
        </w:trPr>
        <w:tc>
          <w:tcPr>
            <w:tcW w:w="2127" w:type="dxa"/>
            <w:hideMark/>
          </w:tcPr>
          <w:p w14:paraId="6504E15B" w14:textId="77777777" w:rsidR="007C4B50" w:rsidRPr="00DA0084" w:rsidRDefault="007C4B50" w:rsidP="00C9484E">
            <w:pPr>
              <w:rPr>
                <w:color w:val="000000"/>
                <w:sz w:val="20"/>
              </w:rPr>
            </w:pPr>
            <w:r w:rsidRPr="00DA0084">
              <w:rPr>
                <w:color w:val="000000"/>
                <w:sz w:val="20"/>
              </w:rPr>
              <w:t>Жилье и городская среда</w:t>
            </w:r>
          </w:p>
        </w:tc>
        <w:tc>
          <w:tcPr>
            <w:tcW w:w="819" w:type="dxa"/>
            <w:noWrap/>
            <w:vAlign w:val="bottom"/>
            <w:hideMark/>
          </w:tcPr>
          <w:p w14:paraId="07464DFB" w14:textId="77777777" w:rsidR="007C4B50" w:rsidRPr="000D147D" w:rsidRDefault="007C4B50" w:rsidP="00C9484E">
            <w:pPr>
              <w:jc w:val="center"/>
              <w:rPr>
                <w:color w:val="000000"/>
                <w:sz w:val="20"/>
              </w:rPr>
            </w:pPr>
            <w:r w:rsidRPr="000D147D">
              <w:rPr>
                <w:color w:val="000000"/>
                <w:sz w:val="20"/>
              </w:rPr>
              <w:t>105</w:t>
            </w:r>
          </w:p>
        </w:tc>
        <w:tc>
          <w:tcPr>
            <w:tcW w:w="819" w:type="dxa"/>
            <w:noWrap/>
            <w:vAlign w:val="bottom"/>
            <w:hideMark/>
          </w:tcPr>
          <w:p w14:paraId="2F2A5B92" w14:textId="77777777" w:rsidR="007C4B50" w:rsidRPr="00172CF2" w:rsidRDefault="007C4B50" w:rsidP="00C9484E">
            <w:pPr>
              <w:jc w:val="center"/>
              <w:rPr>
                <w:color w:val="000000"/>
                <w:sz w:val="20"/>
              </w:rPr>
            </w:pPr>
            <w:r w:rsidRPr="000D147D">
              <w:rPr>
                <w:color w:val="000000"/>
                <w:sz w:val="20"/>
              </w:rPr>
              <w:t>108</w:t>
            </w:r>
          </w:p>
        </w:tc>
        <w:tc>
          <w:tcPr>
            <w:tcW w:w="819" w:type="dxa"/>
            <w:noWrap/>
            <w:vAlign w:val="bottom"/>
            <w:hideMark/>
          </w:tcPr>
          <w:p w14:paraId="0707AB29" w14:textId="77777777" w:rsidR="007C4B50" w:rsidRPr="000A64D9" w:rsidRDefault="007C4B50" w:rsidP="00C9484E">
            <w:pPr>
              <w:jc w:val="center"/>
              <w:rPr>
                <w:color w:val="000000"/>
                <w:sz w:val="20"/>
              </w:rPr>
            </w:pPr>
            <w:r w:rsidRPr="000A64D9">
              <w:rPr>
                <w:color w:val="000000"/>
                <w:sz w:val="20"/>
              </w:rPr>
              <w:t>189</w:t>
            </w:r>
          </w:p>
        </w:tc>
        <w:tc>
          <w:tcPr>
            <w:tcW w:w="819" w:type="dxa"/>
            <w:noWrap/>
            <w:vAlign w:val="bottom"/>
            <w:hideMark/>
          </w:tcPr>
          <w:p w14:paraId="4C3E036F" w14:textId="77777777" w:rsidR="007C4B50" w:rsidRPr="0099046B" w:rsidRDefault="007C4B50" w:rsidP="00C9484E">
            <w:pPr>
              <w:jc w:val="center"/>
              <w:rPr>
                <w:color w:val="000000"/>
                <w:sz w:val="20"/>
                <w:highlight w:val="yellow"/>
              </w:rPr>
            </w:pPr>
            <w:r w:rsidRPr="000A64D9">
              <w:rPr>
                <w:color w:val="000000"/>
                <w:sz w:val="20"/>
              </w:rPr>
              <w:t>105</w:t>
            </w:r>
          </w:p>
        </w:tc>
        <w:tc>
          <w:tcPr>
            <w:tcW w:w="819" w:type="dxa"/>
            <w:noWrap/>
            <w:vAlign w:val="bottom"/>
            <w:hideMark/>
          </w:tcPr>
          <w:p w14:paraId="0216945E" w14:textId="77777777" w:rsidR="007C4B50" w:rsidRPr="0099046B" w:rsidRDefault="007C4B50" w:rsidP="00C9484E">
            <w:pPr>
              <w:jc w:val="center"/>
              <w:rPr>
                <w:color w:val="000000"/>
                <w:sz w:val="20"/>
                <w:highlight w:val="yellow"/>
              </w:rPr>
            </w:pPr>
            <w:r w:rsidRPr="000D147D">
              <w:rPr>
                <w:color w:val="000000"/>
                <w:sz w:val="20"/>
              </w:rPr>
              <w:t>108</w:t>
            </w:r>
          </w:p>
        </w:tc>
        <w:tc>
          <w:tcPr>
            <w:tcW w:w="819" w:type="dxa"/>
            <w:noWrap/>
            <w:vAlign w:val="bottom"/>
            <w:hideMark/>
          </w:tcPr>
          <w:p w14:paraId="374681DC" w14:textId="77777777" w:rsidR="007C4B50" w:rsidRPr="0099046B" w:rsidRDefault="007C4B50" w:rsidP="00C9484E">
            <w:pPr>
              <w:jc w:val="center"/>
              <w:rPr>
                <w:color w:val="000000"/>
                <w:sz w:val="20"/>
                <w:highlight w:val="yellow"/>
              </w:rPr>
            </w:pPr>
            <w:r w:rsidRPr="000D147D">
              <w:rPr>
                <w:color w:val="000000"/>
                <w:sz w:val="20"/>
              </w:rPr>
              <w:t>189</w:t>
            </w:r>
          </w:p>
        </w:tc>
        <w:tc>
          <w:tcPr>
            <w:tcW w:w="819" w:type="dxa"/>
            <w:noWrap/>
            <w:vAlign w:val="bottom"/>
            <w:hideMark/>
          </w:tcPr>
          <w:p w14:paraId="26F0B91B" w14:textId="5AAC9FE2" w:rsidR="007C4B50" w:rsidRPr="00576B90" w:rsidRDefault="007C4B50" w:rsidP="00F64E9C">
            <w:pPr>
              <w:ind w:left="-104" w:right="-12"/>
              <w:jc w:val="right"/>
              <w:rPr>
                <w:b/>
                <w:i/>
                <w:color w:val="000000"/>
                <w:sz w:val="20"/>
              </w:rPr>
            </w:pPr>
            <w:r w:rsidRPr="00576B90">
              <w:rPr>
                <w:i/>
                <w:color w:val="000000"/>
                <w:sz w:val="20"/>
              </w:rPr>
              <w:t>0</w:t>
            </w:r>
          </w:p>
        </w:tc>
        <w:tc>
          <w:tcPr>
            <w:tcW w:w="819" w:type="dxa"/>
            <w:noWrap/>
            <w:vAlign w:val="bottom"/>
            <w:hideMark/>
          </w:tcPr>
          <w:p w14:paraId="7BFA05AA" w14:textId="2B7E8B94" w:rsidR="007C4B50" w:rsidRPr="00576B90" w:rsidRDefault="007C4B50" w:rsidP="00F64E9C">
            <w:pPr>
              <w:ind w:left="-104" w:right="-12"/>
              <w:jc w:val="right"/>
              <w:rPr>
                <w:b/>
                <w:i/>
                <w:color w:val="000000"/>
                <w:sz w:val="20"/>
              </w:rPr>
            </w:pPr>
            <w:r w:rsidRPr="00576B90">
              <w:rPr>
                <w:i/>
                <w:color w:val="000000"/>
                <w:sz w:val="20"/>
              </w:rPr>
              <w:t>0</w:t>
            </w:r>
          </w:p>
        </w:tc>
        <w:tc>
          <w:tcPr>
            <w:tcW w:w="819" w:type="dxa"/>
            <w:noWrap/>
            <w:vAlign w:val="bottom"/>
            <w:hideMark/>
          </w:tcPr>
          <w:p w14:paraId="41B84830" w14:textId="30BD6483" w:rsidR="007C4B50" w:rsidRPr="00576B90" w:rsidRDefault="007C4B50" w:rsidP="00F64E9C">
            <w:pPr>
              <w:ind w:left="-104" w:right="-12"/>
              <w:jc w:val="right"/>
              <w:rPr>
                <w:b/>
                <w:i/>
                <w:color w:val="000000"/>
                <w:sz w:val="20"/>
              </w:rPr>
            </w:pPr>
            <w:r w:rsidRPr="00576B90">
              <w:rPr>
                <w:i/>
                <w:color w:val="000000"/>
                <w:sz w:val="20"/>
              </w:rPr>
              <w:t>0</w:t>
            </w:r>
          </w:p>
        </w:tc>
      </w:tr>
      <w:tr w:rsidR="00F64E9C" w:rsidRPr="00DA0084" w14:paraId="05F0810A" w14:textId="77777777" w:rsidTr="00F64E9C">
        <w:trPr>
          <w:trHeight w:val="255"/>
        </w:trPr>
        <w:tc>
          <w:tcPr>
            <w:tcW w:w="2127" w:type="dxa"/>
            <w:hideMark/>
          </w:tcPr>
          <w:p w14:paraId="4A4177CF" w14:textId="77777777" w:rsidR="007C4B50" w:rsidRPr="00DA0084" w:rsidRDefault="007C4B50" w:rsidP="00C9484E">
            <w:pPr>
              <w:rPr>
                <w:color w:val="000000"/>
                <w:sz w:val="20"/>
              </w:rPr>
            </w:pPr>
            <w:r w:rsidRPr="00DA0084">
              <w:rPr>
                <w:color w:val="000000"/>
                <w:sz w:val="20"/>
              </w:rPr>
              <w:t>Экология</w:t>
            </w:r>
          </w:p>
        </w:tc>
        <w:tc>
          <w:tcPr>
            <w:tcW w:w="819" w:type="dxa"/>
            <w:noWrap/>
            <w:vAlign w:val="bottom"/>
            <w:hideMark/>
          </w:tcPr>
          <w:p w14:paraId="4C9E1EAF" w14:textId="77777777" w:rsidR="007C4B50" w:rsidRPr="000D147D" w:rsidRDefault="007C4B50" w:rsidP="00C9484E">
            <w:pPr>
              <w:jc w:val="center"/>
              <w:rPr>
                <w:color w:val="000000"/>
                <w:sz w:val="20"/>
              </w:rPr>
            </w:pPr>
            <w:r w:rsidRPr="000D147D">
              <w:rPr>
                <w:color w:val="000000"/>
                <w:sz w:val="20"/>
              </w:rPr>
              <w:t>88</w:t>
            </w:r>
          </w:p>
        </w:tc>
        <w:tc>
          <w:tcPr>
            <w:tcW w:w="819" w:type="dxa"/>
            <w:noWrap/>
            <w:vAlign w:val="bottom"/>
            <w:hideMark/>
          </w:tcPr>
          <w:p w14:paraId="690BFB49" w14:textId="77777777" w:rsidR="007C4B50" w:rsidRPr="00172CF2" w:rsidRDefault="007C4B50" w:rsidP="00C9484E">
            <w:pPr>
              <w:jc w:val="center"/>
              <w:rPr>
                <w:color w:val="000000"/>
                <w:sz w:val="20"/>
              </w:rPr>
            </w:pPr>
            <w:r w:rsidRPr="000D147D">
              <w:rPr>
                <w:color w:val="000000"/>
                <w:sz w:val="20"/>
              </w:rPr>
              <w:t>123</w:t>
            </w:r>
          </w:p>
        </w:tc>
        <w:tc>
          <w:tcPr>
            <w:tcW w:w="819" w:type="dxa"/>
            <w:noWrap/>
            <w:vAlign w:val="bottom"/>
            <w:hideMark/>
          </w:tcPr>
          <w:p w14:paraId="0BB405F3" w14:textId="77777777" w:rsidR="007C4B50" w:rsidRPr="000A64D9" w:rsidRDefault="007C4B50" w:rsidP="00C9484E">
            <w:pPr>
              <w:jc w:val="center"/>
              <w:rPr>
                <w:color w:val="000000"/>
                <w:sz w:val="20"/>
              </w:rPr>
            </w:pPr>
            <w:r w:rsidRPr="000A64D9">
              <w:rPr>
                <w:color w:val="000000"/>
                <w:sz w:val="20"/>
              </w:rPr>
              <w:t>146</w:t>
            </w:r>
          </w:p>
        </w:tc>
        <w:tc>
          <w:tcPr>
            <w:tcW w:w="819" w:type="dxa"/>
            <w:noWrap/>
            <w:vAlign w:val="bottom"/>
            <w:hideMark/>
          </w:tcPr>
          <w:p w14:paraId="1454FA5F" w14:textId="77777777" w:rsidR="007C4B50" w:rsidRPr="0099046B" w:rsidRDefault="007C4B50" w:rsidP="00C9484E">
            <w:pPr>
              <w:jc w:val="center"/>
              <w:rPr>
                <w:color w:val="000000"/>
                <w:sz w:val="20"/>
                <w:highlight w:val="yellow"/>
              </w:rPr>
            </w:pPr>
            <w:r w:rsidRPr="000A64D9">
              <w:rPr>
                <w:color w:val="000000"/>
                <w:sz w:val="20"/>
              </w:rPr>
              <w:t>89</w:t>
            </w:r>
          </w:p>
        </w:tc>
        <w:tc>
          <w:tcPr>
            <w:tcW w:w="819" w:type="dxa"/>
            <w:noWrap/>
            <w:vAlign w:val="bottom"/>
            <w:hideMark/>
          </w:tcPr>
          <w:p w14:paraId="1B15BFBE" w14:textId="77777777" w:rsidR="007C4B50" w:rsidRPr="0099046B" w:rsidRDefault="007C4B50" w:rsidP="00C9484E">
            <w:pPr>
              <w:jc w:val="center"/>
              <w:rPr>
                <w:color w:val="000000"/>
                <w:sz w:val="20"/>
                <w:highlight w:val="yellow"/>
              </w:rPr>
            </w:pPr>
            <w:r w:rsidRPr="000D147D">
              <w:rPr>
                <w:color w:val="000000"/>
                <w:sz w:val="20"/>
              </w:rPr>
              <w:t>127</w:t>
            </w:r>
          </w:p>
        </w:tc>
        <w:tc>
          <w:tcPr>
            <w:tcW w:w="819" w:type="dxa"/>
            <w:noWrap/>
            <w:vAlign w:val="bottom"/>
            <w:hideMark/>
          </w:tcPr>
          <w:p w14:paraId="2C699C77" w14:textId="77777777" w:rsidR="007C4B50" w:rsidRPr="0099046B" w:rsidRDefault="007C4B50" w:rsidP="00C9484E">
            <w:pPr>
              <w:jc w:val="center"/>
              <w:rPr>
                <w:color w:val="000000"/>
                <w:sz w:val="20"/>
                <w:highlight w:val="yellow"/>
              </w:rPr>
            </w:pPr>
            <w:r w:rsidRPr="000D147D">
              <w:rPr>
                <w:color w:val="000000"/>
                <w:sz w:val="20"/>
              </w:rPr>
              <w:t>147</w:t>
            </w:r>
          </w:p>
        </w:tc>
        <w:tc>
          <w:tcPr>
            <w:tcW w:w="819" w:type="dxa"/>
            <w:noWrap/>
            <w:vAlign w:val="bottom"/>
            <w:hideMark/>
          </w:tcPr>
          <w:p w14:paraId="6AA43CCC" w14:textId="6CC5D4D2" w:rsidR="007C4B50" w:rsidRPr="00576B90" w:rsidRDefault="007C4B50" w:rsidP="00F64E9C">
            <w:pPr>
              <w:ind w:left="-104" w:right="-12"/>
              <w:jc w:val="right"/>
              <w:rPr>
                <w:b/>
                <w:i/>
                <w:color w:val="000000"/>
                <w:sz w:val="20"/>
              </w:rPr>
            </w:pPr>
            <w:r w:rsidRPr="00576B90">
              <w:rPr>
                <w:i/>
                <w:color w:val="000000"/>
                <w:sz w:val="20"/>
              </w:rPr>
              <w:t>-1</w:t>
            </w:r>
          </w:p>
        </w:tc>
        <w:tc>
          <w:tcPr>
            <w:tcW w:w="819" w:type="dxa"/>
            <w:noWrap/>
            <w:vAlign w:val="bottom"/>
            <w:hideMark/>
          </w:tcPr>
          <w:p w14:paraId="39BD4776" w14:textId="7C827751" w:rsidR="007C4B50" w:rsidRPr="00576B90" w:rsidRDefault="007C4B50" w:rsidP="00F64E9C">
            <w:pPr>
              <w:ind w:left="-104" w:right="-12"/>
              <w:jc w:val="right"/>
              <w:rPr>
                <w:b/>
                <w:i/>
                <w:color w:val="000000"/>
                <w:sz w:val="20"/>
              </w:rPr>
            </w:pPr>
            <w:r w:rsidRPr="00576B90">
              <w:rPr>
                <w:i/>
                <w:color w:val="000000"/>
                <w:sz w:val="20"/>
              </w:rPr>
              <w:t>-3</w:t>
            </w:r>
          </w:p>
        </w:tc>
        <w:tc>
          <w:tcPr>
            <w:tcW w:w="819" w:type="dxa"/>
            <w:noWrap/>
            <w:vAlign w:val="bottom"/>
            <w:hideMark/>
          </w:tcPr>
          <w:p w14:paraId="2D6B3C2E" w14:textId="34286885" w:rsidR="007C4B50" w:rsidRPr="00576B90" w:rsidRDefault="007C4B50" w:rsidP="00F64E9C">
            <w:pPr>
              <w:ind w:left="-104" w:right="-12"/>
              <w:jc w:val="right"/>
              <w:rPr>
                <w:b/>
                <w:i/>
                <w:color w:val="000000"/>
                <w:sz w:val="20"/>
              </w:rPr>
            </w:pPr>
            <w:r w:rsidRPr="00576B90">
              <w:rPr>
                <w:i/>
                <w:color w:val="000000"/>
                <w:sz w:val="20"/>
              </w:rPr>
              <w:t>0</w:t>
            </w:r>
          </w:p>
        </w:tc>
      </w:tr>
      <w:tr w:rsidR="00F64E9C" w:rsidRPr="00DA0084" w14:paraId="28F0D778" w14:textId="77777777" w:rsidTr="00F64E9C">
        <w:trPr>
          <w:trHeight w:val="510"/>
        </w:trPr>
        <w:tc>
          <w:tcPr>
            <w:tcW w:w="2127" w:type="dxa"/>
            <w:hideMark/>
          </w:tcPr>
          <w:p w14:paraId="76930551" w14:textId="77777777" w:rsidR="007C4B50" w:rsidRPr="00DA0084" w:rsidRDefault="007C4B50" w:rsidP="00C9484E">
            <w:pPr>
              <w:rPr>
                <w:color w:val="000000"/>
                <w:sz w:val="20"/>
              </w:rPr>
            </w:pPr>
            <w:r w:rsidRPr="00DA0084">
              <w:rPr>
                <w:color w:val="000000"/>
                <w:sz w:val="20"/>
              </w:rPr>
              <w:t>Безопасные и качественные автомобильные дороги</w:t>
            </w:r>
          </w:p>
        </w:tc>
        <w:tc>
          <w:tcPr>
            <w:tcW w:w="819" w:type="dxa"/>
            <w:noWrap/>
            <w:vAlign w:val="bottom"/>
            <w:hideMark/>
          </w:tcPr>
          <w:p w14:paraId="013FE679" w14:textId="77777777" w:rsidR="007C4B50" w:rsidRPr="000D147D" w:rsidRDefault="007C4B50" w:rsidP="00C9484E">
            <w:pPr>
              <w:jc w:val="center"/>
              <w:rPr>
                <w:color w:val="000000"/>
                <w:sz w:val="20"/>
              </w:rPr>
            </w:pPr>
            <w:r w:rsidRPr="000D147D">
              <w:rPr>
                <w:color w:val="000000"/>
                <w:sz w:val="20"/>
              </w:rPr>
              <w:t>104</w:t>
            </w:r>
          </w:p>
        </w:tc>
        <w:tc>
          <w:tcPr>
            <w:tcW w:w="819" w:type="dxa"/>
            <w:noWrap/>
            <w:vAlign w:val="bottom"/>
            <w:hideMark/>
          </w:tcPr>
          <w:p w14:paraId="0B794EC2" w14:textId="77777777" w:rsidR="007C4B50" w:rsidRPr="00172CF2" w:rsidRDefault="007C4B50" w:rsidP="00C9484E">
            <w:pPr>
              <w:jc w:val="center"/>
              <w:rPr>
                <w:color w:val="000000"/>
                <w:sz w:val="20"/>
              </w:rPr>
            </w:pPr>
            <w:r w:rsidRPr="000D147D">
              <w:rPr>
                <w:color w:val="000000"/>
                <w:sz w:val="20"/>
              </w:rPr>
              <w:t>137</w:t>
            </w:r>
          </w:p>
        </w:tc>
        <w:tc>
          <w:tcPr>
            <w:tcW w:w="819" w:type="dxa"/>
            <w:noWrap/>
            <w:vAlign w:val="bottom"/>
            <w:hideMark/>
          </w:tcPr>
          <w:p w14:paraId="47CF0EB1" w14:textId="77777777" w:rsidR="007C4B50" w:rsidRPr="000A64D9" w:rsidRDefault="007C4B50" w:rsidP="00C9484E">
            <w:pPr>
              <w:jc w:val="center"/>
              <w:rPr>
                <w:color w:val="000000"/>
                <w:sz w:val="20"/>
              </w:rPr>
            </w:pPr>
            <w:r w:rsidRPr="000A64D9">
              <w:rPr>
                <w:color w:val="000000"/>
                <w:sz w:val="20"/>
              </w:rPr>
              <w:t>24</w:t>
            </w:r>
          </w:p>
        </w:tc>
        <w:tc>
          <w:tcPr>
            <w:tcW w:w="819" w:type="dxa"/>
            <w:noWrap/>
            <w:vAlign w:val="bottom"/>
            <w:hideMark/>
          </w:tcPr>
          <w:p w14:paraId="6D7373B4" w14:textId="77777777" w:rsidR="007C4B50" w:rsidRPr="0099046B" w:rsidRDefault="007C4B50" w:rsidP="00C9484E">
            <w:pPr>
              <w:jc w:val="center"/>
              <w:rPr>
                <w:color w:val="000000"/>
                <w:sz w:val="20"/>
                <w:highlight w:val="yellow"/>
              </w:rPr>
            </w:pPr>
            <w:r w:rsidRPr="000A64D9">
              <w:rPr>
                <w:color w:val="000000"/>
                <w:sz w:val="20"/>
              </w:rPr>
              <w:t>93</w:t>
            </w:r>
          </w:p>
        </w:tc>
        <w:tc>
          <w:tcPr>
            <w:tcW w:w="819" w:type="dxa"/>
            <w:noWrap/>
            <w:vAlign w:val="bottom"/>
            <w:hideMark/>
          </w:tcPr>
          <w:p w14:paraId="012AA8FF" w14:textId="77777777" w:rsidR="007C4B50" w:rsidRPr="0099046B" w:rsidRDefault="007C4B50" w:rsidP="00C9484E">
            <w:pPr>
              <w:jc w:val="center"/>
              <w:rPr>
                <w:color w:val="000000"/>
                <w:sz w:val="20"/>
                <w:highlight w:val="yellow"/>
              </w:rPr>
            </w:pPr>
            <w:r w:rsidRPr="000D147D">
              <w:rPr>
                <w:color w:val="000000"/>
                <w:sz w:val="20"/>
              </w:rPr>
              <w:t>137</w:t>
            </w:r>
          </w:p>
        </w:tc>
        <w:tc>
          <w:tcPr>
            <w:tcW w:w="819" w:type="dxa"/>
            <w:noWrap/>
            <w:vAlign w:val="bottom"/>
            <w:hideMark/>
          </w:tcPr>
          <w:p w14:paraId="5CA1E1A0" w14:textId="77777777" w:rsidR="007C4B50" w:rsidRPr="0099046B" w:rsidRDefault="007C4B50" w:rsidP="00C9484E">
            <w:pPr>
              <w:jc w:val="center"/>
              <w:rPr>
                <w:color w:val="000000"/>
                <w:sz w:val="20"/>
                <w:highlight w:val="yellow"/>
              </w:rPr>
            </w:pPr>
            <w:r w:rsidRPr="000D147D">
              <w:rPr>
                <w:color w:val="000000"/>
                <w:sz w:val="20"/>
              </w:rPr>
              <w:t>24</w:t>
            </w:r>
          </w:p>
        </w:tc>
        <w:tc>
          <w:tcPr>
            <w:tcW w:w="819" w:type="dxa"/>
            <w:noWrap/>
            <w:vAlign w:val="bottom"/>
            <w:hideMark/>
          </w:tcPr>
          <w:p w14:paraId="4959B0A9" w14:textId="0D3E872B" w:rsidR="007C4B50" w:rsidRPr="00576B90" w:rsidRDefault="007C4B50" w:rsidP="00F64E9C">
            <w:pPr>
              <w:ind w:left="-104" w:right="-12"/>
              <w:jc w:val="right"/>
              <w:rPr>
                <w:b/>
                <w:i/>
                <w:color w:val="000000"/>
                <w:sz w:val="20"/>
              </w:rPr>
            </w:pPr>
            <w:r w:rsidRPr="00576B90">
              <w:rPr>
                <w:i/>
                <w:color w:val="000000"/>
                <w:sz w:val="20"/>
              </w:rPr>
              <w:t>12</w:t>
            </w:r>
          </w:p>
        </w:tc>
        <w:tc>
          <w:tcPr>
            <w:tcW w:w="819" w:type="dxa"/>
            <w:noWrap/>
            <w:vAlign w:val="bottom"/>
            <w:hideMark/>
          </w:tcPr>
          <w:p w14:paraId="10DB1A2A" w14:textId="32D42FB9" w:rsidR="007C4B50" w:rsidRPr="00576B90" w:rsidRDefault="007C4B50" w:rsidP="00F64E9C">
            <w:pPr>
              <w:ind w:left="-104" w:right="-12"/>
              <w:jc w:val="right"/>
              <w:rPr>
                <w:b/>
                <w:i/>
                <w:color w:val="000000"/>
                <w:sz w:val="20"/>
              </w:rPr>
            </w:pPr>
            <w:r w:rsidRPr="00576B90">
              <w:rPr>
                <w:i/>
                <w:color w:val="000000"/>
                <w:sz w:val="20"/>
              </w:rPr>
              <w:t>0</w:t>
            </w:r>
          </w:p>
        </w:tc>
        <w:tc>
          <w:tcPr>
            <w:tcW w:w="819" w:type="dxa"/>
            <w:noWrap/>
            <w:vAlign w:val="bottom"/>
            <w:hideMark/>
          </w:tcPr>
          <w:p w14:paraId="40877DC5" w14:textId="1137A167" w:rsidR="007C4B50" w:rsidRPr="00576B90" w:rsidRDefault="007C4B50" w:rsidP="00F64E9C">
            <w:pPr>
              <w:ind w:left="-104" w:right="-12"/>
              <w:jc w:val="right"/>
              <w:rPr>
                <w:b/>
                <w:i/>
                <w:color w:val="000000"/>
                <w:sz w:val="20"/>
              </w:rPr>
            </w:pPr>
            <w:r w:rsidRPr="00576B90">
              <w:rPr>
                <w:i/>
                <w:color w:val="000000"/>
                <w:sz w:val="20"/>
              </w:rPr>
              <w:t>0</w:t>
            </w:r>
          </w:p>
        </w:tc>
      </w:tr>
      <w:tr w:rsidR="00F64E9C" w:rsidRPr="00DA0084" w14:paraId="72346B5A" w14:textId="77777777" w:rsidTr="00F64E9C">
        <w:trPr>
          <w:trHeight w:val="510"/>
        </w:trPr>
        <w:tc>
          <w:tcPr>
            <w:tcW w:w="2127" w:type="dxa"/>
            <w:hideMark/>
          </w:tcPr>
          <w:p w14:paraId="3A86D576" w14:textId="77777777" w:rsidR="007C4B50" w:rsidRPr="00DA0084" w:rsidRDefault="007C4B50" w:rsidP="00C9484E">
            <w:pPr>
              <w:rPr>
                <w:color w:val="000000"/>
                <w:sz w:val="20"/>
              </w:rPr>
            </w:pPr>
            <w:r w:rsidRPr="00DA0084">
              <w:rPr>
                <w:color w:val="000000"/>
                <w:sz w:val="20"/>
              </w:rPr>
              <w:t>Производительность труда и поддержка занятости</w:t>
            </w:r>
          </w:p>
        </w:tc>
        <w:tc>
          <w:tcPr>
            <w:tcW w:w="819" w:type="dxa"/>
            <w:noWrap/>
            <w:vAlign w:val="bottom"/>
            <w:hideMark/>
          </w:tcPr>
          <w:p w14:paraId="61B7D28D" w14:textId="77777777" w:rsidR="007C4B50" w:rsidRPr="000D147D" w:rsidRDefault="007C4B50" w:rsidP="00C9484E">
            <w:pPr>
              <w:jc w:val="center"/>
              <w:rPr>
                <w:color w:val="000000"/>
                <w:sz w:val="20"/>
              </w:rPr>
            </w:pPr>
            <w:r w:rsidRPr="000D147D">
              <w:rPr>
                <w:color w:val="000000"/>
                <w:sz w:val="20"/>
              </w:rPr>
              <w:t>7</w:t>
            </w:r>
          </w:p>
        </w:tc>
        <w:tc>
          <w:tcPr>
            <w:tcW w:w="819" w:type="dxa"/>
            <w:noWrap/>
            <w:vAlign w:val="bottom"/>
            <w:hideMark/>
          </w:tcPr>
          <w:p w14:paraId="64155E63" w14:textId="77777777" w:rsidR="007C4B50" w:rsidRPr="00172CF2" w:rsidRDefault="007C4B50" w:rsidP="00C9484E">
            <w:pPr>
              <w:jc w:val="center"/>
              <w:rPr>
                <w:color w:val="000000"/>
                <w:sz w:val="20"/>
              </w:rPr>
            </w:pPr>
            <w:r w:rsidRPr="000D147D">
              <w:rPr>
                <w:color w:val="000000"/>
                <w:sz w:val="20"/>
              </w:rPr>
              <w:t>7</w:t>
            </w:r>
          </w:p>
        </w:tc>
        <w:tc>
          <w:tcPr>
            <w:tcW w:w="819" w:type="dxa"/>
            <w:noWrap/>
            <w:vAlign w:val="bottom"/>
            <w:hideMark/>
          </w:tcPr>
          <w:p w14:paraId="22D2DCC6" w14:textId="77777777" w:rsidR="007C4B50" w:rsidRPr="000A64D9" w:rsidRDefault="007C4B50" w:rsidP="00C9484E">
            <w:pPr>
              <w:jc w:val="center"/>
              <w:rPr>
                <w:color w:val="000000"/>
                <w:sz w:val="20"/>
              </w:rPr>
            </w:pPr>
            <w:r w:rsidRPr="000A64D9">
              <w:rPr>
                <w:color w:val="000000"/>
                <w:sz w:val="20"/>
              </w:rPr>
              <w:t>7</w:t>
            </w:r>
          </w:p>
        </w:tc>
        <w:tc>
          <w:tcPr>
            <w:tcW w:w="819" w:type="dxa"/>
            <w:noWrap/>
            <w:vAlign w:val="bottom"/>
            <w:hideMark/>
          </w:tcPr>
          <w:p w14:paraId="0E6C657C" w14:textId="77777777" w:rsidR="007C4B50" w:rsidRPr="0099046B" w:rsidRDefault="007C4B50" w:rsidP="00C9484E">
            <w:pPr>
              <w:jc w:val="center"/>
              <w:rPr>
                <w:color w:val="000000"/>
                <w:sz w:val="20"/>
                <w:highlight w:val="yellow"/>
              </w:rPr>
            </w:pPr>
            <w:r w:rsidRPr="000A64D9">
              <w:rPr>
                <w:color w:val="000000"/>
                <w:sz w:val="20"/>
              </w:rPr>
              <w:t>7</w:t>
            </w:r>
          </w:p>
        </w:tc>
        <w:tc>
          <w:tcPr>
            <w:tcW w:w="819" w:type="dxa"/>
            <w:noWrap/>
            <w:vAlign w:val="bottom"/>
            <w:hideMark/>
          </w:tcPr>
          <w:p w14:paraId="6F7DF972" w14:textId="77777777" w:rsidR="007C4B50" w:rsidRPr="0099046B" w:rsidRDefault="007C4B50" w:rsidP="00C9484E">
            <w:pPr>
              <w:jc w:val="center"/>
              <w:rPr>
                <w:color w:val="000000"/>
                <w:sz w:val="20"/>
                <w:highlight w:val="yellow"/>
              </w:rPr>
            </w:pPr>
            <w:r w:rsidRPr="000D147D">
              <w:rPr>
                <w:color w:val="000000"/>
                <w:sz w:val="20"/>
              </w:rPr>
              <w:t>7</w:t>
            </w:r>
          </w:p>
        </w:tc>
        <w:tc>
          <w:tcPr>
            <w:tcW w:w="819" w:type="dxa"/>
            <w:noWrap/>
            <w:vAlign w:val="bottom"/>
            <w:hideMark/>
          </w:tcPr>
          <w:p w14:paraId="4ED77B7B" w14:textId="77777777" w:rsidR="007C4B50" w:rsidRPr="0099046B" w:rsidRDefault="007C4B50" w:rsidP="00C9484E">
            <w:pPr>
              <w:jc w:val="center"/>
              <w:rPr>
                <w:color w:val="000000"/>
                <w:sz w:val="20"/>
                <w:highlight w:val="yellow"/>
              </w:rPr>
            </w:pPr>
            <w:r w:rsidRPr="000D147D">
              <w:rPr>
                <w:color w:val="000000"/>
                <w:sz w:val="20"/>
              </w:rPr>
              <w:t>7</w:t>
            </w:r>
          </w:p>
        </w:tc>
        <w:tc>
          <w:tcPr>
            <w:tcW w:w="819" w:type="dxa"/>
            <w:noWrap/>
            <w:vAlign w:val="bottom"/>
            <w:hideMark/>
          </w:tcPr>
          <w:p w14:paraId="3BA8FB45" w14:textId="1E37B40D" w:rsidR="007C4B50" w:rsidRPr="00576B90" w:rsidRDefault="007C4B50" w:rsidP="00F64E9C">
            <w:pPr>
              <w:ind w:left="-104" w:right="-12"/>
              <w:jc w:val="right"/>
              <w:rPr>
                <w:b/>
                <w:i/>
                <w:color w:val="000000"/>
                <w:sz w:val="20"/>
              </w:rPr>
            </w:pPr>
            <w:r w:rsidRPr="00576B90">
              <w:rPr>
                <w:i/>
                <w:color w:val="000000"/>
                <w:sz w:val="20"/>
              </w:rPr>
              <w:t>0</w:t>
            </w:r>
          </w:p>
        </w:tc>
        <w:tc>
          <w:tcPr>
            <w:tcW w:w="819" w:type="dxa"/>
            <w:noWrap/>
            <w:vAlign w:val="bottom"/>
            <w:hideMark/>
          </w:tcPr>
          <w:p w14:paraId="5CBC5AE2" w14:textId="5A032313" w:rsidR="007C4B50" w:rsidRPr="00576B90" w:rsidRDefault="007C4B50" w:rsidP="00F64E9C">
            <w:pPr>
              <w:ind w:left="-104" w:right="-12"/>
              <w:jc w:val="right"/>
              <w:rPr>
                <w:b/>
                <w:i/>
                <w:color w:val="000000"/>
                <w:sz w:val="20"/>
              </w:rPr>
            </w:pPr>
            <w:r w:rsidRPr="00576B90">
              <w:rPr>
                <w:i/>
                <w:color w:val="000000"/>
                <w:sz w:val="20"/>
              </w:rPr>
              <w:t>0</w:t>
            </w:r>
          </w:p>
        </w:tc>
        <w:tc>
          <w:tcPr>
            <w:tcW w:w="819" w:type="dxa"/>
            <w:noWrap/>
            <w:vAlign w:val="bottom"/>
            <w:hideMark/>
          </w:tcPr>
          <w:p w14:paraId="40F7819E" w14:textId="45656D43" w:rsidR="007C4B50" w:rsidRPr="00576B90" w:rsidRDefault="007C4B50" w:rsidP="00F64E9C">
            <w:pPr>
              <w:ind w:left="-104" w:right="-12"/>
              <w:jc w:val="right"/>
              <w:rPr>
                <w:b/>
                <w:i/>
                <w:color w:val="000000"/>
                <w:sz w:val="20"/>
              </w:rPr>
            </w:pPr>
            <w:r w:rsidRPr="00576B90">
              <w:rPr>
                <w:i/>
                <w:color w:val="000000"/>
                <w:sz w:val="20"/>
              </w:rPr>
              <w:t>0</w:t>
            </w:r>
          </w:p>
        </w:tc>
      </w:tr>
      <w:tr w:rsidR="00F64E9C" w:rsidRPr="00DA0084" w14:paraId="38B8C0C9" w14:textId="77777777" w:rsidTr="00F64E9C">
        <w:trPr>
          <w:trHeight w:val="255"/>
        </w:trPr>
        <w:tc>
          <w:tcPr>
            <w:tcW w:w="2127" w:type="dxa"/>
            <w:hideMark/>
          </w:tcPr>
          <w:p w14:paraId="60075D8B" w14:textId="77777777" w:rsidR="007C4B50" w:rsidRPr="00DA0084" w:rsidRDefault="007C4B50" w:rsidP="00C9484E">
            <w:pPr>
              <w:rPr>
                <w:color w:val="000000"/>
                <w:sz w:val="20"/>
              </w:rPr>
            </w:pPr>
            <w:r w:rsidRPr="00DA0084">
              <w:rPr>
                <w:color w:val="000000"/>
                <w:sz w:val="20"/>
              </w:rPr>
              <w:t>Наука</w:t>
            </w:r>
          </w:p>
        </w:tc>
        <w:tc>
          <w:tcPr>
            <w:tcW w:w="819" w:type="dxa"/>
            <w:noWrap/>
            <w:vAlign w:val="bottom"/>
            <w:hideMark/>
          </w:tcPr>
          <w:p w14:paraId="159C9576" w14:textId="77777777" w:rsidR="007C4B50" w:rsidRPr="000D147D" w:rsidRDefault="007C4B50" w:rsidP="00C9484E">
            <w:pPr>
              <w:jc w:val="center"/>
              <w:rPr>
                <w:color w:val="000000"/>
                <w:sz w:val="20"/>
              </w:rPr>
            </w:pPr>
            <w:r w:rsidRPr="000D147D">
              <w:rPr>
                <w:color w:val="000000"/>
                <w:sz w:val="20"/>
              </w:rPr>
              <w:t>47</w:t>
            </w:r>
          </w:p>
        </w:tc>
        <w:tc>
          <w:tcPr>
            <w:tcW w:w="819" w:type="dxa"/>
            <w:noWrap/>
            <w:vAlign w:val="bottom"/>
            <w:hideMark/>
          </w:tcPr>
          <w:p w14:paraId="331E7BED" w14:textId="77777777" w:rsidR="007C4B50" w:rsidRPr="00172CF2" w:rsidRDefault="007C4B50" w:rsidP="00C9484E">
            <w:pPr>
              <w:jc w:val="center"/>
              <w:rPr>
                <w:color w:val="000000"/>
                <w:sz w:val="20"/>
              </w:rPr>
            </w:pPr>
            <w:r w:rsidRPr="000D147D">
              <w:rPr>
                <w:color w:val="000000"/>
                <w:sz w:val="20"/>
              </w:rPr>
              <w:t>70</w:t>
            </w:r>
          </w:p>
        </w:tc>
        <w:tc>
          <w:tcPr>
            <w:tcW w:w="819" w:type="dxa"/>
            <w:noWrap/>
            <w:vAlign w:val="bottom"/>
            <w:hideMark/>
          </w:tcPr>
          <w:p w14:paraId="33850572" w14:textId="77777777" w:rsidR="007C4B50" w:rsidRPr="000A64D9" w:rsidRDefault="007C4B50" w:rsidP="00C9484E">
            <w:pPr>
              <w:jc w:val="center"/>
              <w:rPr>
                <w:color w:val="000000"/>
                <w:sz w:val="20"/>
              </w:rPr>
            </w:pPr>
            <w:r w:rsidRPr="000A64D9">
              <w:rPr>
                <w:color w:val="000000"/>
                <w:sz w:val="20"/>
              </w:rPr>
              <w:t>96</w:t>
            </w:r>
          </w:p>
        </w:tc>
        <w:tc>
          <w:tcPr>
            <w:tcW w:w="819" w:type="dxa"/>
            <w:noWrap/>
            <w:vAlign w:val="bottom"/>
            <w:hideMark/>
          </w:tcPr>
          <w:p w14:paraId="112EB1CC" w14:textId="77777777" w:rsidR="007C4B50" w:rsidRPr="0099046B" w:rsidRDefault="007C4B50" w:rsidP="00C9484E">
            <w:pPr>
              <w:jc w:val="center"/>
              <w:rPr>
                <w:color w:val="000000"/>
                <w:sz w:val="20"/>
                <w:highlight w:val="yellow"/>
              </w:rPr>
            </w:pPr>
            <w:r w:rsidRPr="000A64D9">
              <w:rPr>
                <w:color w:val="000000"/>
                <w:sz w:val="20"/>
              </w:rPr>
              <w:t>42</w:t>
            </w:r>
          </w:p>
        </w:tc>
        <w:tc>
          <w:tcPr>
            <w:tcW w:w="819" w:type="dxa"/>
            <w:noWrap/>
            <w:vAlign w:val="bottom"/>
            <w:hideMark/>
          </w:tcPr>
          <w:p w14:paraId="4767883F" w14:textId="77777777" w:rsidR="007C4B50" w:rsidRPr="0099046B" w:rsidRDefault="007C4B50" w:rsidP="00C9484E">
            <w:pPr>
              <w:jc w:val="center"/>
              <w:rPr>
                <w:color w:val="000000"/>
                <w:sz w:val="20"/>
                <w:highlight w:val="yellow"/>
              </w:rPr>
            </w:pPr>
            <w:r w:rsidRPr="000D147D">
              <w:rPr>
                <w:color w:val="000000"/>
                <w:sz w:val="20"/>
              </w:rPr>
              <w:t>54</w:t>
            </w:r>
          </w:p>
        </w:tc>
        <w:tc>
          <w:tcPr>
            <w:tcW w:w="819" w:type="dxa"/>
            <w:noWrap/>
            <w:vAlign w:val="bottom"/>
            <w:hideMark/>
          </w:tcPr>
          <w:p w14:paraId="69E2A802" w14:textId="77777777" w:rsidR="007C4B50" w:rsidRPr="0099046B" w:rsidRDefault="007C4B50" w:rsidP="00C9484E">
            <w:pPr>
              <w:jc w:val="center"/>
              <w:rPr>
                <w:color w:val="000000"/>
                <w:sz w:val="20"/>
                <w:highlight w:val="yellow"/>
              </w:rPr>
            </w:pPr>
            <w:r w:rsidRPr="000D147D">
              <w:rPr>
                <w:color w:val="000000"/>
                <w:sz w:val="20"/>
              </w:rPr>
              <w:t>80</w:t>
            </w:r>
          </w:p>
        </w:tc>
        <w:tc>
          <w:tcPr>
            <w:tcW w:w="819" w:type="dxa"/>
            <w:noWrap/>
            <w:vAlign w:val="bottom"/>
            <w:hideMark/>
          </w:tcPr>
          <w:p w14:paraId="37544DBD" w14:textId="5F1D899E" w:rsidR="007C4B50" w:rsidRPr="00576B90" w:rsidRDefault="007C4B50" w:rsidP="00F64E9C">
            <w:pPr>
              <w:ind w:left="-104" w:right="-12"/>
              <w:jc w:val="right"/>
              <w:rPr>
                <w:b/>
                <w:i/>
                <w:color w:val="000000"/>
                <w:sz w:val="20"/>
              </w:rPr>
            </w:pPr>
            <w:r w:rsidRPr="00576B90">
              <w:rPr>
                <w:i/>
                <w:color w:val="000000"/>
                <w:sz w:val="20"/>
              </w:rPr>
              <w:t>13</w:t>
            </w:r>
          </w:p>
        </w:tc>
        <w:tc>
          <w:tcPr>
            <w:tcW w:w="819" w:type="dxa"/>
            <w:noWrap/>
            <w:vAlign w:val="bottom"/>
            <w:hideMark/>
          </w:tcPr>
          <w:p w14:paraId="38370C8D" w14:textId="0B3549EB" w:rsidR="007C4B50" w:rsidRPr="00576B90" w:rsidRDefault="007C4B50" w:rsidP="00F64E9C">
            <w:pPr>
              <w:ind w:left="-104" w:right="-12"/>
              <w:jc w:val="right"/>
              <w:rPr>
                <w:b/>
                <w:i/>
                <w:color w:val="000000"/>
                <w:sz w:val="20"/>
              </w:rPr>
            </w:pPr>
            <w:r w:rsidRPr="00576B90">
              <w:rPr>
                <w:i/>
                <w:color w:val="000000"/>
                <w:sz w:val="20"/>
              </w:rPr>
              <w:t>28</w:t>
            </w:r>
          </w:p>
        </w:tc>
        <w:tc>
          <w:tcPr>
            <w:tcW w:w="819" w:type="dxa"/>
            <w:noWrap/>
            <w:vAlign w:val="bottom"/>
            <w:hideMark/>
          </w:tcPr>
          <w:p w14:paraId="32E93C3D" w14:textId="166175D8" w:rsidR="007C4B50" w:rsidRPr="00576B90" w:rsidRDefault="007C4B50" w:rsidP="00F64E9C">
            <w:pPr>
              <w:ind w:left="-104" w:right="-12"/>
              <w:jc w:val="right"/>
              <w:rPr>
                <w:b/>
                <w:i/>
                <w:color w:val="000000"/>
                <w:sz w:val="20"/>
              </w:rPr>
            </w:pPr>
            <w:r w:rsidRPr="00576B90">
              <w:rPr>
                <w:i/>
                <w:color w:val="000000"/>
                <w:sz w:val="20"/>
              </w:rPr>
              <w:t>20</w:t>
            </w:r>
          </w:p>
        </w:tc>
      </w:tr>
      <w:tr w:rsidR="00F64E9C" w:rsidRPr="00DA0084" w14:paraId="32193354" w14:textId="77777777" w:rsidTr="00F64E9C">
        <w:trPr>
          <w:trHeight w:val="510"/>
        </w:trPr>
        <w:tc>
          <w:tcPr>
            <w:tcW w:w="2127" w:type="dxa"/>
            <w:hideMark/>
          </w:tcPr>
          <w:p w14:paraId="22C8A395" w14:textId="77777777" w:rsidR="007C4B50" w:rsidRPr="00DA0084" w:rsidRDefault="007C4B50" w:rsidP="00C9484E">
            <w:pPr>
              <w:rPr>
                <w:color w:val="000000"/>
                <w:sz w:val="20"/>
              </w:rPr>
            </w:pPr>
            <w:r w:rsidRPr="00DA0084">
              <w:rPr>
                <w:color w:val="000000"/>
                <w:sz w:val="20"/>
              </w:rPr>
              <w:t>Цифровая экономика Российской Федерации</w:t>
            </w:r>
          </w:p>
        </w:tc>
        <w:tc>
          <w:tcPr>
            <w:tcW w:w="819" w:type="dxa"/>
            <w:noWrap/>
            <w:vAlign w:val="bottom"/>
            <w:hideMark/>
          </w:tcPr>
          <w:p w14:paraId="06384653" w14:textId="77777777" w:rsidR="007C4B50" w:rsidRPr="000D147D" w:rsidRDefault="007C4B50" w:rsidP="00C9484E">
            <w:pPr>
              <w:jc w:val="center"/>
              <w:rPr>
                <w:color w:val="000000"/>
                <w:sz w:val="20"/>
              </w:rPr>
            </w:pPr>
            <w:r w:rsidRPr="000D147D">
              <w:rPr>
                <w:color w:val="000000"/>
                <w:sz w:val="20"/>
              </w:rPr>
              <w:t>124</w:t>
            </w:r>
          </w:p>
        </w:tc>
        <w:tc>
          <w:tcPr>
            <w:tcW w:w="819" w:type="dxa"/>
            <w:noWrap/>
            <w:vAlign w:val="bottom"/>
            <w:hideMark/>
          </w:tcPr>
          <w:p w14:paraId="37EEA4A9" w14:textId="77777777" w:rsidR="007C4B50" w:rsidRPr="000A64D9" w:rsidRDefault="007C4B50" w:rsidP="00C9484E">
            <w:pPr>
              <w:jc w:val="center"/>
              <w:rPr>
                <w:color w:val="000000"/>
                <w:sz w:val="20"/>
              </w:rPr>
            </w:pPr>
            <w:r w:rsidRPr="000D147D">
              <w:rPr>
                <w:color w:val="000000"/>
                <w:sz w:val="20"/>
              </w:rPr>
              <w:t>178</w:t>
            </w:r>
          </w:p>
        </w:tc>
        <w:tc>
          <w:tcPr>
            <w:tcW w:w="819" w:type="dxa"/>
            <w:noWrap/>
            <w:vAlign w:val="bottom"/>
            <w:hideMark/>
          </w:tcPr>
          <w:p w14:paraId="592FBE4F" w14:textId="77777777" w:rsidR="007C4B50" w:rsidRPr="000A64D9" w:rsidRDefault="007C4B50" w:rsidP="00C9484E">
            <w:pPr>
              <w:jc w:val="center"/>
              <w:rPr>
                <w:color w:val="000000"/>
                <w:sz w:val="20"/>
              </w:rPr>
            </w:pPr>
            <w:r w:rsidRPr="000A64D9">
              <w:rPr>
                <w:color w:val="000000"/>
                <w:sz w:val="20"/>
              </w:rPr>
              <w:t>258</w:t>
            </w:r>
          </w:p>
        </w:tc>
        <w:tc>
          <w:tcPr>
            <w:tcW w:w="819" w:type="dxa"/>
            <w:noWrap/>
            <w:vAlign w:val="bottom"/>
            <w:hideMark/>
          </w:tcPr>
          <w:p w14:paraId="17A4D184" w14:textId="77777777" w:rsidR="007C4B50" w:rsidRPr="0099046B" w:rsidRDefault="007C4B50" w:rsidP="00C9484E">
            <w:pPr>
              <w:jc w:val="center"/>
              <w:rPr>
                <w:color w:val="000000"/>
                <w:sz w:val="20"/>
                <w:highlight w:val="yellow"/>
              </w:rPr>
            </w:pPr>
            <w:r w:rsidRPr="000A64D9">
              <w:rPr>
                <w:color w:val="000000"/>
                <w:sz w:val="20"/>
              </w:rPr>
              <w:t>124</w:t>
            </w:r>
          </w:p>
        </w:tc>
        <w:tc>
          <w:tcPr>
            <w:tcW w:w="819" w:type="dxa"/>
            <w:noWrap/>
            <w:vAlign w:val="bottom"/>
            <w:hideMark/>
          </w:tcPr>
          <w:p w14:paraId="29066F40" w14:textId="77777777" w:rsidR="007C4B50" w:rsidRPr="0099046B" w:rsidRDefault="007C4B50" w:rsidP="00C9484E">
            <w:pPr>
              <w:jc w:val="center"/>
              <w:rPr>
                <w:color w:val="000000"/>
                <w:sz w:val="20"/>
                <w:highlight w:val="yellow"/>
              </w:rPr>
            </w:pPr>
            <w:r w:rsidRPr="000D147D">
              <w:rPr>
                <w:color w:val="000000"/>
                <w:sz w:val="20"/>
              </w:rPr>
              <w:t>178</w:t>
            </w:r>
          </w:p>
        </w:tc>
        <w:tc>
          <w:tcPr>
            <w:tcW w:w="819" w:type="dxa"/>
            <w:noWrap/>
            <w:vAlign w:val="bottom"/>
            <w:hideMark/>
          </w:tcPr>
          <w:p w14:paraId="76E6A9DC" w14:textId="77777777" w:rsidR="007C4B50" w:rsidRPr="0099046B" w:rsidRDefault="007C4B50" w:rsidP="00C9484E">
            <w:pPr>
              <w:jc w:val="center"/>
              <w:rPr>
                <w:color w:val="000000"/>
                <w:sz w:val="20"/>
                <w:highlight w:val="yellow"/>
              </w:rPr>
            </w:pPr>
            <w:r w:rsidRPr="000D147D">
              <w:rPr>
                <w:color w:val="000000"/>
                <w:sz w:val="20"/>
              </w:rPr>
              <w:t>258</w:t>
            </w:r>
          </w:p>
        </w:tc>
        <w:tc>
          <w:tcPr>
            <w:tcW w:w="819" w:type="dxa"/>
            <w:noWrap/>
            <w:vAlign w:val="bottom"/>
            <w:hideMark/>
          </w:tcPr>
          <w:p w14:paraId="0A0F654C" w14:textId="33F29F29" w:rsidR="007C4B50" w:rsidRPr="00576B90" w:rsidRDefault="007C4B50" w:rsidP="00F64E9C">
            <w:pPr>
              <w:ind w:left="-104" w:right="-12"/>
              <w:jc w:val="right"/>
              <w:rPr>
                <w:b/>
                <w:i/>
                <w:color w:val="000000"/>
                <w:sz w:val="20"/>
              </w:rPr>
            </w:pPr>
            <w:r w:rsidRPr="00576B90">
              <w:rPr>
                <w:i/>
                <w:color w:val="000000"/>
                <w:sz w:val="20"/>
              </w:rPr>
              <w:t>0</w:t>
            </w:r>
          </w:p>
        </w:tc>
        <w:tc>
          <w:tcPr>
            <w:tcW w:w="819" w:type="dxa"/>
            <w:noWrap/>
            <w:vAlign w:val="bottom"/>
            <w:hideMark/>
          </w:tcPr>
          <w:p w14:paraId="0BADB834" w14:textId="7DD0AA81" w:rsidR="007C4B50" w:rsidRPr="00576B90" w:rsidRDefault="007C4B50" w:rsidP="00F64E9C">
            <w:pPr>
              <w:ind w:left="-104" w:right="-12"/>
              <w:jc w:val="right"/>
              <w:rPr>
                <w:b/>
                <w:i/>
                <w:color w:val="000000"/>
                <w:sz w:val="20"/>
              </w:rPr>
            </w:pPr>
            <w:r w:rsidRPr="00576B90">
              <w:rPr>
                <w:i/>
                <w:color w:val="000000"/>
                <w:sz w:val="20"/>
              </w:rPr>
              <w:t>0</w:t>
            </w:r>
          </w:p>
        </w:tc>
        <w:tc>
          <w:tcPr>
            <w:tcW w:w="819" w:type="dxa"/>
            <w:noWrap/>
            <w:vAlign w:val="bottom"/>
            <w:hideMark/>
          </w:tcPr>
          <w:p w14:paraId="22806115" w14:textId="492A030F" w:rsidR="007C4B50" w:rsidRPr="00576B90" w:rsidRDefault="007C4B50" w:rsidP="00F64E9C">
            <w:pPr>
              <w:ind w:left="-104" w:right="-12"/>
              <w:jc w:val="right"/>
              <w:rPr>
                <w:b/>
                <w:i/>
                <w:color w:val="000000"/>
                <w:sz w:val="20"/>
              </w:rPr>
            </w:pPr>
            <w:r w:rsidRPr="00576B90">
              <w:rPr>
                <w:i/>
                <w:color w:val="000000"/>
                <w:sz w:val="20"/>
              </w:rPr>
              <w:t>0</w:t>
            </w:r>
          </w:p>
        </w:tc>
      </w:tr>
      <w:tr w:rsidR="00F64E9C" w:rsidRPr="00DA0084" w14:paraId="210FC859" w14:textId="77777777" w:rsidTr="00F64E9C">
        <w:trPr>
          <w:trHeight w:val="255"/>
        </w:trPr>
        <w:tc>
          <w:tcPr>
            <w:tcW w:w="2127" w:type="dxa"/>
            <w:hideMark/>
          </w:tcPr>
          <w:p w14:paraId="0BD2E90C" w14:textId="77777777" w:rsidR="007C4B50" w:rsidRPr="00DA0084" w:rsidRDefault="007C4B50" w:rsidP="00C9484E">
            <w:pPr>
              <w:rPr>
                <w:color w:val="000000"/>
                <w:sz w:val="20"/>
              </w:rPr>
            </w:pPr>
            <w:r w:rsidRPr="00DA0084">
              <w:rPr>
                <w:color w:val="000000"/>
                <w:sz w:val="20"/>
              </w:rPr>
              <w:t>Культура</w:t>
            </w:r>
          </w:p>
        </w:tc>
        <w:tc>
          <w:tcPr>
            <w:tcW w:w="819" w:type="dxa"/>
            <w:noWrap/>
            <w:vAlign w:val="bottom"/>
            <w:hideMark/>
          </w:tcPr>
          <w:p w14:paraId="3543286F" w14:textId="77777777" w:rsidR="007C4B50" w:rsidRPr="000D147D" w:rsidRDefault="007C4B50" w:rsidP="00C9484E">
            <w:pPr>
              <w:jc w:val="center"/>
              <w:rPr>
                <w:color w:val="000000"/>
                <w:sz w:val="20"/>
              </w:rPr>
            </w:pPr>
            <w:r w:rsidRPr="000D147D">
              <w:rPr>
                <w:color w:val="000000"/>
                <w:sz w:val="20"/>
              </w:rPr>
              <w:t>15</w:t>
            </w:r>
          </w:p>
        </w:tc>
        <w:tc>
          <w:tcPr>
            <w:tcW w:w="819" w:type="dxa"/>
            <w:noWrap/>
            <w:vAlign w:val="bottom"/>
            <w:hideMark/>
          </w:tcPr>
          <w:p w14:paraId="6C72F134" w14:textId="77777777" w:rsidR="007C4B50" w:rsidRPr="00172CF2" w:rsidRDefault="007C4B50" w:rsidP="00C9484E">
            <w:pPr>
              <w:jc w:val="center"/>
              <w:rPr>
                <w:color w:val="000000"/>
                <w:sz w:val="20"/>
              </w:rPr>
            </w:pPr>
            <w:r w:rsidRPr="000D147D">
              <w:rPr>
                <w:color w:val="000000"/>
                <w:sz w:val="20"/>
              </w:rPr>
              <w:t>18</w:t>
            </w:r>
          </w:p>
        </w:tc>
        <w:tc>
          <w:tcPr>
            <w:tcW w:w="819" w:type="dxa"/>
            <w:noWrap/>
            <w:vAlign w:val="bottom"/>
            <w:hideMark/>
          </w:tcPr>
          <w:p w14:paraId="109C51A7" w14:textId="77777777" w:rsidR="007C4B50" w:rsidRPr="000A64D9" w:rsidRDefault="007C4B50" w:rsidP="00C9484E">
            <w:pPr>
              <w:jc w:val="center"/>
              <w:rPr>
                <w:color w:val="000000"/>
                <w:sz w:val="20"/>
              </w:rPr>
            </w:pPr>
            <w:r w:rsidRPr="000A64D9">
              <w:rPr>
                <w:color w:val="000000"/>
                <w:sz w:val="20"/>
              </w:rPr>
              <w:t>21</w:t>
            </w:r>
          </w:p>
        </w:tc>
        <w:tc>
          <w:tcPr>
            <w:tcW w:w="819" w:type="dxa"/>
            <w:noWrap/>
            <w:vAlign w:val="bottom"/>
            <w:hideMark/>
          </w:tcPr>
          <w:p w14:paraId="57F52D96" w14:textId="77777777" w:rsidR="007C4B50" w:rsidRPr="0099046B" w:rsidRDefault="007C4B50" w:rsidP="00C9484E">
            <w:pPr>
              <w:jc w:val="center"/>
              <w:rPr>
                <w:color w:val="000000"/>
                <w:sz w:val="20"/>
                <w:highlight w:val="yellow"/>
              </w:rPr>
            </w:pPr>
            <w:r w:rsidRPr="000A64D9">
              <w:rPr>
                <w:color w:val="000000"/>
                <w:sz w:val="20"/>
              </w:rPr>
              <w:t>15</w:t>
            </w:r>
          </w:p>
        </w:tc>
        <w:tc>
          <w:tcPr>
            <w:tcW w:w="819" w:type="dxa"/>
            <w:noWrap/>
            <w:vAlign w:val="bottom"/>
            <w:hideMark/>
          </w:tcPr>
          <w:p w14:paraId="73E2BCFD" w14:textId="77777777" w:rsidR="007C4B50" w:rsidRPr="0099046B" w:rsidRDefault="007C4B50" w:rsidP="00C9484E">
            <w:pPr>
              <w:jc w:val="center"/>
              <w:rPr>
                <w:color w:val="000000"/>
                <w:sz w:val="20"/>
                <w:highlight w:val="yellow"/>
              </w:rPr>
            </w:pPr>
            <w:r w:rsidRPr="000D147D">
              <w:rPr>
                <w:color w:val="000000"/>
                <w:sz w:val="20"/>
              </w:rPr>
              <w:t>18</w:t>
            </w:r>
          </w:p>
        </w:tc>
        <w:tc>
          <w:tcPr>
            <w:tcW w:w="819" w:type="dxa"/>
            <w:noWrap/>
            <w:vAlign w:val="bottom"/>
            <w:hideMark/>
          </w:tcPr>
          <w:p w14:paraId="5C792C85" w14:textId="77777777" w:rsidR="007C4B50" w:rsidRPr="0099046B" w:rsidRDefault="007C4B50" w:rsidP="00C9484E">
            <w:pPr>
              <w:jc w:val="center"/>
              <w:rPr>
                <w:color w:val="000000"/>
                <w:sz w:val="20"/>
                <w:highlight w:val="yellow"/>
              </w:rPr>
            </w:pPr>
            <w:r w:rsidRPr="000D147D">
              <w:rPr>
                <w:color w:val="000000"/>
                <w:sz w:val="20"/>
              </w:rPr>
              <w:t>21</w:t>
            </w:r>
          </w:p>
        </w:tc>
        <w:tc>
          <w:tcPr>
            <w:tcW w:w="819" w:type="dxa"/>
            <w:noWrap/>
            <w:vAlign w:val="bottom"/>
            <w:hideMark/>
          </w:tcPr>
          <w:p w14:paraId="2FADD8D6" w14:textId="6BC43B60" w:rsidR="007C4B50" w:rsidRPr="00576B90" w:rsidRDefault="007C4B50" w:rsidP="00F64E9C">
            <w:pPr>
              <w:ind w:left="-104" w:right="-12"/>
              <w:jc w:val="right"/>
              <w:rPr>
                <w:b/>
                <w:i/>
                <w:color w:val="000000"/>
                <w:sz w:val="20"/>
              </w:rPr>
            </w:pPr>
            <w:r w:rsidRPr="00576B90">
              <w:rPr>
                <w:i/>
                <w:color w:val="000000"/>
                <w:sz w:val="20"/>
              </w:rPr>
              <w:t>0</w:t>
            </w:r>
          </w:p>
        </w:tc>
        <w:tc>
          <w:tcPr>
            <w:tcW w:w="819" w:type="dxa"/>
            <w:noWrap/>
            <w:vAlign w:val="bottom"/>
            <w:hideMark/>
          </w:tcPr>
          <w:p w14:paraId="3B646082" w14:textId="6226C56A" w:rsidR="007C4B50" w:rsidRPr="00576B90" w:rsidRDefault="007C4B50" w:rsidP="00F64E9C">
            <w:pPr>
              <w:ind w:left="-104" w:right="-12"/>
              <w:jc w:val="right"/>
              <w:rPr>
                <w:b/>
                <w:i/>
                <w:color w:val="000000"/>
                <w:sz w:val="20"/>
              </w:rPr>
            </w:pPr>
            <w:r w:rsidRPr="00576B90">
              <w:rPr>
                <w:i/>
                <w:color w:val="000000"/>
                <w:sz w:val="20"/>
              </w:rPr>
              <w:t>0</w:t>
            </w:r>
          </w:p>
        </w:tc>
        <w:tc>
          <w:tcPr>
            <w:tcW w:w="819" w:type="dxa"/>
            <w:noWrap/>
            <w:vAlign w:val="bottom"/>
            <w:hideMark/>
          </w:tcPr>
          <w:p w14:paraId="14D7421B" w14:textId="047050F3" w:rsidR="007C4B50" w:rsidRPr="00576B90" w:rsidRDefault="007C4B50" w:rsidP="00F64E9C">
            <w:pPr>
              <w:ind w:left="-104" w:right="-12"/>
              <w:jc w:val="right"/>
              <w:rPr>
                <w:b/>
                <w:i/>
                <w:color w:val="000000"/>
                <w:sz w:val="20"/>
              </w:rPr>
            </w:pPr>
            <w:r w:rsidRPr="00576B90">
              <w:rPr>
                <w:i/>
                <w:color w:val="000000"/>
                <w:sz w:val="20"/>
              </w:rPr>
              <w:t>0</w:t>
            </w:r>
          </w:p>
        </w:tc>
      </w:tr>
      <w:tr w:rsidR="00F64E9C" w:rsidRPr="00DA0084" w14:paraId="718BBA73" w14:textId="77777777" w:rsidTr="00F64E9C">
        <w:trPr>
          <w:trHeight w:val="1275"/>
        </w:trPr>
        <w:tc>
          <w:tcPr>
            <w:tcW w:w="2127" w:type="dxa"/>
            <w:hideMark/>
          </w:tcPr>
          <w:p w14:paraId="7585BD32" w14:textId="77777777" w:rsidR="007C4B50" w:rsidRPr="00DA0084" w:rsidRDefault="007C4B50" w:rsidP="00C9484E">
            <w:pPr>
              <w:rPr>
                <w:color w:val="000000"/>
                <w:sz w:val="20"/>
              </w:rPr>
            </w:pPr>
            <w:r w:rsidRPr="00DA0084">
              <w:rPr>
                <w:color w:val="000000"/>
                <w:sz w:val="20"/>
              </w:rPr>
              <w:t>Малое и среднее предпринимательство и поддержка индивидуальной предпринимательской инициативы</w:t>
            </w:r>
          </w:p>
        </w:tc>
        <w:tc>
          <w:tcPr>
            <w:tcW w:w="819" w:type="dxa"/>
            <w:noWrap/>
            <w:vAlign w:val="bottom"/>
            <w:hideMark/>
          </w:tcPr>
          <w:p w14:paraId="26B81037" w14:textId="77777777" w:rsidR="007C4B50" w:rsidRPr="000D147D" w:rsidRDefault="007C4B50" w:rsidP="00C9484E">
            <w:pPr>
              <w:jc w:val="center"/>
              <w:rPr>
                <w:color w:val="000000"/>
                <w:sz w:val="20"/>
              </w:rPr>
            </w:pPr>
            <w:r w:rsidRPr="000D147D">
              <w:rPr>
                <w:color w:val="000000"/>
                <w:sz w:val="20"/>
              </w:rPr>
              <w:t>39</w:t>
            </w:r>
          </w:p>
        </w:tc>
        <w:tc>
          <w:tcPr>
            <w:tcW w:w="819" w:type="dxa"/>
            <w:noWrap/>
            <w:vAlign w:val="bottom"/>
            <w:hideMark/>
          </w:tcPr>
          <w:p w14:paraId="7E52DAEE" w14:textId="77777777" w:rsidR="007C4B50" w:rsidRPr="00172CF2" w:rsidRDefault="007C4B50" w:rsidP="00C9484E">
            <w:pPr>
              <w:jc w:val="center"/>
              <w:rPr>
                <w:color w:val="000000"/>
                <w:sz w:val="20"/>
              </w:rPr>
            </w:pPr>
            <w:r w:rsidRPr="000D147D">
              <w:rPr>
                <w:color w:val="000000"/>
                <w:sz w:val="20"/>
              </w:rPr>
              <w:t>51</w:t>
            </w:r>
          </w:p>
        </w:tc>
        <w:tc>
          <w:tcPr>
            <w:tcW w:w="819" w:type="dxa"/>
            <w:noWrap/>
            <w:vAlign w:val="bottom"/>
            <w:hideMark/>
          </w:tcPr>
          <w:p w14:paraId="4BA5CB34" w14:textId="77777777" w:rsidR="007C4B50" w:rsidRPr="000A64D9" w:rsidRDefault="007C4B50" w:rsidP="00C9484E">
            <w:pPr>
              <w:jc w:val="center"/>
              <w:rPr>
                <w:color w:val="000000"/>
                <w:sz w:val="20"/>
              </w:rPr>
            </w:pPr>
            <w:r w:rsidRPr="000A64D9">
              <w:rPr>
                <w:color w:val="000000"/>
                <w:sz w:val="20"/>
              </w:rPr>
              <w:t>95</w:t>
            </w:r>
          </w:p>
        </w:tc>
        <w:tc>
          <w:tcPr>
            <w:tcW w:w="819" w:type="dxa"/>
            <w:noWrap/>
            <w:vAlign w:val="bottom"/>
            <w:hideMark/>
          </w:tcPr>
          <w:p w14:paraId="327175B7" w14:textId="77777777" w:rsidR="007C4B50" w:rsidRPr="0099046B" w:rsidRDefault="007C4B50" w:rsidP="00C9484E">
            <w:pPr>
              <w:jc w:val="center"/>
              <w:rPr>
                <w:color w:val="000000"/>
                <w:sz w:val="20"/>
                <w:highlight w:val="yellow"/>
              </w:rPr>
            </w:pPr>
            <w:r w:rsidRPr="000A64D9">
              <w:rPr>
                <w:color w:val="000000"/>
                <w:sz w:val="20"/>
              </w:rPr>
              <w:t>39</w:t>
            </w:r>
          </w:p>
        </w:tc>
        <w:tc>
          <w:tcPr>
            <w:tcW w:w="819" w:type="dxa"/>
            <w:noWrap/>
            <w:vAlign w:val="bottom"/>
            <w:hideMark/>
          </w:tcPr>
          <w:p w14:paraId="45BDAF91" w14:textId="77777777" w:rsidR="007C4B50" w:rsidRPr="0099046B" w:rsidRDefault="007C4B50" w:rsidP="00C9484E">
            <w:pPr>
              <w:jc w:val="center"/>
              <w:rPr>
                <w:color w:val="000000"/>
                <w:sz w:val="20"/>
                <w:highlight w:val="yellow"/>
              </w:rPr>
            </w:pPr>
            <w:r w:rsidRPr="000D147D">
              <w:rPr>
                <w:color w:val="000000"/>
                <w:sz w:val="20"/>
              </w:rPr>
              <w:t>51</w:t>
            </w:r>
          </w:p>
        </w:tc>
        <w:tc>
          <w:tcPr>
            <w:tcW w:w="819" w:type="dxa"/>
            <w:noWrap/>
            <w:vAlign w:val="bottom"/>
            <w:hideMark/>
          </w:tcPr>
          <w:p w14:paraId="19052F76" w14:textId="77777777" w:rsidR="007C4B50" w:rsidRPr="0099046B" w:rsidRDefault="007C4B50" w:rsidP="00C9484E">
            <w:pPr>
              <w:jc w:val="center"/>
              <w:rPr>
                <w:color w:val="000000"/>
                <w:sz w:val="20"/>
                <w:highlight w:val="yellow"/>
              </w:rPr>
            </w:pPr>
            <w:r w:rsidRPr="000D147D">
              <w:rPr>
                <w:color w:val="000000"/>
                <w:sz w:val="20"/>
              </w:rPr>
              <w:t>96</w:t>
            </w:r>
          </w:p>
        </w:tc>
        <w:tc>
          <w:tcPr>
            <w:tcW w:w="819" w:type="dxa"/>
            <w:noWrap/>
            <w:vAlign w:val="bottom"/>
            <w:hideMark/>
          </w:tcPr>
          <w:p w14:paraId="76FA76EA" w14:textId="63DE1ACB" w:rsidR="007C4B50" w:rsidRPr="00576B90" w:rsidRDefault="007C4B50" w:rsidP="00F64E9C">
            <w:pPr>
              <w:ind w:left="-104" w:right="-12"/>
              <w:jc w:val="right"/>
              <w:rPr>
                <w:b/>
                <w:i/>
                <w:color w:val="000000"/>
                <w:sz w:val="20"/>
              </w:rPr>
            </w:pPr>
            <w:r w:rsidRPr="00576B90">
              <w:rPr>
                <w:i/>
                <w:color w:val="000000"/>
                <w:sz w:val="20"/>
              </w:rPr>
              <w:t>0</w:t>
            </w:r>
          </w:p>
        </w:tc>
        <w:tc>
          <w:tcPr>
            <w:tcW w:w="819" w:type="dxa"/>
            <w:noWrap/>
            <w:vAlign w:val="bottom"/>
            <w:hideMark/>
          </w:tcPr>
          <w:p w14:paraId="01B0DFEE" w14:textId="5AB6D781" w:rsidR="007C4B50" w:rsidRPr="00576B90" w:rsidRDefault="007C4B50" w:rsidP="00F64E9C">
            <w:pPr>
              <w:ind w:left="-104" w:right="-12"/>
              <w:jc w:val="right"/>
              <w:rPr>
                <w:b/>
                <w:i/>
                <w:color w:val="000000"/>
                <w:sz w:val="20"/>
              </w:rPr>
            </w:pPr>
            <w:r w:rsidRPr="00576B90">
              <w:rPr>
                <w:i/>
                <w:color w:val="000000"/>
                <w:sz w:val="20"/>
              </w:rPr>
              <w:t>0</w:t>
            </w:r>
          </w:p>
        </w:tc>
        <w:tc>
          <w:tcPr>
            <w:tcW w:w="819" w:type="dxa"/>
            <w:noWrap/>
            <w:vAlign w:val="bottom"/>
            <w:hideMark/>
          </w:tcPr>
          <w:p w14:paraId="798B56BE" w14:textId="33765013" w:rsidR="007C4B50" w:rsidRPr="00576B90" w:rsidRDefault="007C4B50" w:rsidP="00F64E9C">
            <w:pPr>
              <w:ind w:left="-104" w:right="-12"/>
              <w:jc w:val="right"/>
              <w:rPr>
                <w:b/>
                <w:i/>
                <w:color w:val="000000"/>
                <w:sz w:val="20"/>
              </w:rPr>
            </w:pPr>
            <w:r w:rsidRPr="00576B90">
              <w:rPr>
                <w:i/>
                <w:color w:val="000000"/>
                <w:sz w:val="20"/>
              </w:rPr>
              <w:t>0</w:t>
            </w:r>
          </w:p>
        </w:tc>
      </w:tr>
      <w:tr w:rsidR="00F64E9C" w:rsidRPr="00DA0084" w14:paraId="4A15426C" w14:textId="77777777" w:rsidTr="00F64E9C">
        <w:trPr>
          <w:trHeight w:val="510"/>
        </w:trPr>
        <w:tc>
          <w:tcPr>
            <w:tcW w:w="2127" w:type="dxa"/>
            <w:hideMark/>
          </w:tcPr>
          <w:p w14:paraId="187CAF43" w14:textId="77777777" w:rsidR="007C4B50" w:rsidRPr="00DA0084" w:rsidRDefault="007C4B50" w:rsidP="00C9484E">
            <w:pPr>
              <w:rPr>
                <w:color w:val="000000"/>
                <w:sz w:val="20"/>
              </w:rPr>
            </w:pPr>
            <w:r w:rsidRPr="00DA0084">
              <w:rPr>
                <w:color w:val="000000"/>
                <w:sz w:val="20"/>
              </w:rPr>
              <w:t>Международная кооперация и экспорт</w:t>
            </w:r>
          </w:p>
        </w:tc>
        <w:tc>
          <w:tcPr>
            <w:tcW w:w="819" w:type="dxa"/>
            <w:noWrap/>
            <w:vAlign w:val="bottom"/>
            <w:hideMark/>
          </w:tcPr>
          <w:p w14:paraId="025C5CF5" w14:textId="77777777" w:rsidR="007C4B50" w:rsidRPr="000D147D" w:rsidRDefault="007C4B50" w:rsidP="00C9484E">
            <w:pPr>
              <w:jc w:val="center"/>
              <w:rPr>
                <w:color w:val="000000"/>
                <w:sz w:val="20"/>
              </w:rPr>
            </w:pPr>
            <w:r w:rsidRPr="000D147D">
              <w:rPr>
                <w:color w:val="000000"/>
                <w:sz w:val="20"/>
              </w:rPr>
              <w:t>75</w:t>
            </w:r>
          </w:p>
        </w:tc>
        <w:tc>
          <w:tcPr>
            <w:tcW w:w="819" w:type="dxa"/>
            <w:noWrap/>
            <w:vAlign w:val="bottom"/>
            <w:hideMark/>
          </w:tcPr>
          <w:p w14:paraId="2C66DEA6" w14:textId="77777777" w:rsidR="007C4B50" w:rsidRPr="000A64D9" w:rsidRDefault="007C4B50" w:rsidP="00C9484E">
            <w:pPr>
              <w:jc w:val="center"/>
              <w:rPr>
                <w:color w:val="000000"/>
                <w:sz w:val="20"/>
              </w:rPr>
            </w:pPr>
            <w:r w:rsidRPr="000D147D">
              <w:rPr>
                <w:color w:val="000000"/>
                <w:sz w:val="20"/>
              </w:rPr>
              <w:t>124</w:t>
            </w:r>
          </w:p>
        </w:tc>
        <w:tc>
          <w:tcPr>
            <w:tcW w:w="819" w:type="dxa"/>
            <w:noWrap/>
            <w:vAlign w:val="bottom"/>
            <w:hideMark/>
          </w:tcPr>
          <w:p w14:paraId="01785044" w14:textId="77777777" w:rsidR="007C4B50" w:rsidRPr="000A64D9" w:rsidRDefault="007C4B50" w:rsidP="00C9484E">
            <w:pPr>
              <w:jc w:val="center"/>
              <w:rPr>
                <w:color w:val="000000"/>
                <w:sz w:val="20"/>
              </w:rPr>
            </w:pPr>
            <w:r w:rsidRPr="000A64D9">
              <w:rPr>
                <w:color w:val="000000"/>
                <w:sz w:val="20"/>
              </w:rPr>
              <w:t>219</w:t>
            </w:r>
          </w:p>
        </w:tc>
        <w:tc>
          <w:tcPr>
            <w:tcW w:w="819" w:type="dxa"/>
            <w:noWrap/>
            <w:vAlign w:val="bottom"/>
            <w:hideMark/>
          </w:tcPr>
          <w:p w14:paraId="7FABEF88" w14:textId="77777777" w:rsidR="007C4B50" w:rsidRPr="0099046B" w:rsidRDefault="007C4B50" w:rsidP="00C9484E">
            <w:pPr>
              <w:jc w:val="center"/>
              <w:rPr>
                <w:color w:val="000000"/>
                <w:sz w:val="20"/>
                <w:highlight w:val="yellow"/>
              </w:rPr>
            </w:pPr>
            <w:r w:rsidRPr="000A64D9">
              <w:rPr>
                <w:color w:val="000000"/>
                <w:sz w:val="20"/>
              </w:rPr>
              <w:t>79</w:t>
            </w:r>
          </w:p>
        </w:tc>
        <w:tc>
          <w:tcPr>
            <w:tcW w:w="819" w:type="dxa"/>
            <w:noWrap/>
            <w:vAlign w:val="bottom"/>
            <w:hideMark/>
          </w:tcPr>
          <w:p w14:paraId="02112268" w14:textId="77777777" w:rsidR="007C4B50" w:rsidRPr="0099046B" w:rsidRDefault="007C4B50" w:rsidP="00C9484E">
            <w:pPr>
              <w:jc w:val="center"/>
              <w:rPr>
                <w:color w:val="000000"/>
                <w:sz w:val="20"/>
                <w:highlight w:val="yellow"/>
              </w:rPr>
            </w:pPr>
            <w:r w:rsidRPr="000D147D">
              <w:rPr>
                <w:color w:val="000000"/>
                <w:sz w:val="20"/>
              </w:rPr>
              <w:t>129</w:t>
            </w:r>
          </w:p>
        </w:tc>
        <w:tc>
          <w:tcPr>
            <w:tcW w:w="819" w:type="dxa"/>
            <w:noWrap/>
            <w:vAlign w:val="bottom"/>
            <w:hideMark/>
          </w:tcPr>
          <w:p w14:paraId="6661A14F" w14:textId="77777777" w:rsidR="007C4B50" w:rsidRPr="0099046B" w:rsidRDefault="007C4B50" w:rsidP="00C9484E">
            <w:pPr>
              <w:jc w:val="center"/>
              <w:rPr>
                <w:color w:val="000000"/>
                <w:sz w:val="20"/>
                <w:highlight w:val="yellow"/>
              </w:rPr>
            </w:pPr>
            <w:r w:rsidRPr="000D147D">
              <w:rPr>
                <w:color w:val="000000"/>
                <w:sz w:val="20"/>
              </w:rPr>
              <w:t>234</w:t>
            </w:r>
          </w:p>
        </w:tc>
        <w:tc>
          <w:tcPr>
            <w:tcW w:w="819" w:type="dxa"/>
            <w:noWrap/>
            <w:vAlign w:val="bottom"/>
            <w:hideMark/>
          </w:tcPr>
          <w:p w14:paraId="4A763003" w14:textId="5CEAA511" w:rsidR="007C4B50" w:rsidRPr="00576B90" w:rsidRDefault="007C4B50" w:rsidP="00F64E9C">
            <w:pPr>
              <w:ind w:left="-104" w:right="-12"/>
              <w:jc w:val="right"/>
              <w:rPr>
                <w:b/>
                <w:i/>
                <w:color w:val="000000"/>
                <w:sz w:val="20"/>
              </w:rPr>
            </w:pPr>
            <w:r w:rsidRPr="00576B90">
              <w:rPr>
                <w:i/>
                <w:color w:val="000000"/>
                <w:sz w:val="20"/>
              </w:rPr>
              <w:t>-6</w:t>
            </w:r>
          </w:p>
        </w:tc>
        <w:tc>
          <w:tcPr>
            <w:tcW w:w="819" w:type="dxa"/>
            <w:noWrap/>
            <w:vAlign w:val="bottom"/>
            <w:hideMark/>
          </w:tcPr>
          <w:p w14:paraId="331CCB8A" w14:textId="30CB77E9" w:rsidR="007C4B50" w:rsidRPr="00576B90" w:rsidRDefault="007C4B50" w:rsidP="00F64E9C">
            <w:pPr>
              <w:ind w:left="-104" w:right="-12"/>
              <w:jc w:val="right"/>
              <w:rPr>
                <w:b/>
                <w:i/>
                <w:color w:val="000000"/>
                <w:sz w:val="20"/>
              </w:rPr>
            </w:pPr>
            <w:r w:rsidRPr="00576B90">
              <w:rPr>
                <w:i/>
                <w:color w:val="000000"/>
                <w:sz w:val="20"/>
              </w:rPr>
              <w:t>-4</w:t>
            </w:r>
          </w:p>
        </w:tc>
        <w:tc>
          <w:tcPr>
            <w:tcW w:w="819" w:type="dxa"/>
            <w:noWrap/>
            <w:vAlign w:val="bottom"/>
            <w:hideMark/>
          </w:tcPr>
          <w:p w14:paraId="72B94EE9" w14:textId="08C3ED5B" w:rsidR="007C4B50" w:rsidRPr="00576B90" w:rsidRDefault="007C4B50" w:rsidP="00F64E9C">
            <w:pPr>
              <w:ind w:left="-104" w:right="-12"/>
              <w:jc w:val="right"/>
              <w:rPr>
                <w:b/>
                <w:i/>
                <w:color w:val="000000"/>
                <w:sz w:val="20"/>
              </w:rPr>
            </w:pPr>
            <w:r w:rsidRPr="00576B90">
              <w:rPr>
                <w:i/>
                <w:color w:val="000000"/>
                <w:sz w:val="20"/>
              </w:rPr>
              <w:t>-6</w:t>
            </w:r>
          </w:p>
        </w:tc>
      </w:tr>
      <w:tr w:rsidR="00F64E9C" w:rsidRPr="00DA0084" w14:paraId="1F5EA961" w14:textId="77777777" w:rsidTr="00F64E9C">
        <w:trPr>
          <w:trHeight w:val="765"/>
        </w:trPr>
        <w:tc>
          <w:tcPr>
            <w:tcW w:w="2127" w:type="dxa"/>
            <w:hideMark/>
          </w:tcPr>
          <w:p w14:paraId="2CA1F3CA" w14:textId="77777777" w:rsidR="007C4B50" w:rsidRPr="00DA0084" w:rsidRDefault="007C4B50" w:rsidP="00C9484E">
            <w:pPr>
              <w:rPr>
                <w:color w:val="000000"/>
                <w:sz w:val="20"/>
              </w:rPr>
            </w:pPr>
            <w:r w:rsidRPr="00DA0084">
              <w:rPr>
                <w:color w:val="000000"/>
                <w:sz w:val="20"/>
              </w:rPr>
              <w:t>Ком</w:t>
            </w:r>
            <w:r>
              <w:rPr>
                <w:color w:val="000000"/>
                <w:sz w:val="20"/>
              </w:rPr>
              <w:t>п</w:t>
            </w:r>
            <w:r w:rsidRPr="00DA0084">
              <w:rPr>
                <w:color w:val="000000"/>
                <w:sz w:val="20"/>
              </w:rPr>
              <w:t>лексный план модернизации инфраструктуры</w:t>
            </w:r>
          </w:p>
        </w:tc>
        <w:tc>
          <w:tcPr>
            <w:tcW w:w="819" w:type="dxa"/>
            <w:noWrap/>
            <w:vAlign w:val="bottom"/>
            <w:hideMark/>
          </w:tcPr>
          <w:p w14:paraId="5C125BF5" w14:textId="77777777" w:rsidR="007C4B50" w:rsidRPr="000D147D" w:rsidRDefault="007C4B50" w:rsidP="00C9484E">
            <w:pPr>
              <w:jc w:val="center"/>
              <w:rPr>
                <w:color w:val="000000"/>
                <w:sz w:val="20"/>
              </w:rPr>
            </w:pPr>
            <w:r w:rsidRPr="000D147D">
              <w:rPr>
                <w:color w:val="000000"/>
                <w:sz w:val="20"/>
              </w:rPr>
              <w:t>337</w:t>
            </w:r>
          </w:p>
        </w:tc>
        <w:tc>
          <w:tcPr>
            <w:tcW w:w="819" w:type="dxa"/>
            <w:noWrap/>
            <w:vAlign w:val="bottom"/>
            <w:hideMark/>
          </w:tcPr>
          <w:p w14:paraId="475E9C19" w14:textId="77777777" w:rsidR="007C4B50" w:rsidRPr="000A64D9" w:rsidRDefault="007C4B50" w:rsidP="00C9484E">
            <w:pPr>
              <w:jc w:val="center"/>
              <w:rPr>
                <w:color w:val="000000"/>
                <w:sz w:val="20"/>
              </w:rPr>
            </w:pPr>
            <w:r w:rsidRPr="000D147D">
              <w:rPr>
                <w:color w:val="000000"/>
                <w:sz w:val="20"/>
              </w:rPr>
              <w:t>392</w:t>
            </w:r>
          </w:p>
        </w:tc>
        <w:tc>
          <w:tcPr>
            <w:tcW w:w="819" w:type="dxa"/>
            <w:noWrap/>
            <w:vAlign w:val="bottom"/>
            <w:hideMark/>
          </w:tcPr>
          <w:p w14:paraId="1397399C" w14:textId="77777777" w:rsidR="007C4B50" w:rsidRPr="000A64D9" w:rsidRDefault="007C4B50" w:rsidP="00C9484E">
            <w:pPr>
              <w:jc w:val="center"/>
              <w:rPr>
                <w:color w:val="000000"/>
                <w:sz w:val="20"/>
              </w:rPr>
            </w:pPr>
            <w:r w:rsidRPr="000A64D9">
              <w:rPr>
                <w:color w:val="000000"/>
                <w:sz w:val="20"/>
              </w:rPr>
              <w:t>675</w:t>
            </w:r>
          </w:p>
        </w:tc>
        <w:tc>
          <w:tcPr>
            <w:tcW w:w="819" w:type="dxa"/>
            <w:noWrap/>
            <w:vAlign w:val="bottom"/>
            <w:hideMark/>
          </w:tcPr>
          <w:p w14:paraId="2B89D6F0" w14:textId="77777777" w:rsidR="007C4B50" w:rsidRPr="0099046B" w:rsidRDefault="007C4B50" w:rsidP="00C9484E">
            <w:pPr>
              <w:jc w:val="center"/>
              <w:rPr>
                <w:color w:val="000000"/>
                <w:sz w:val="20"/>
                <w:highlight w:val="yellow"/>
              </w:rPr>
            </w:pPr>
            <w:r w:rsidRPr="000A64D9">
              <w:rPr>
                <w:color w:val="000000"/>
                <w:sz w:val="20"/>
              </w:rPr>
              <w:t>349</w:t>
            </w:r>
          </w:p>
        </w:tc>
        <w:tc>
          <w:tcPr>
            <w:tcW w:w="819" w:type="dxa"/>
            <w:noWrap/>
            <w:vAlign w:val="bottom"/>
            <w:hideMark/>
          </w:tcPr>
          <w:p w14:paraId="620770AE" w14:textId="77777777" w:rsidR="007C4B50" w:rsidRPr="0099046B" w:rsidRDefault="007C4B50" w:rsidP="00C9484E">
            <w:pPr>
              <w:jc w:val="center"/>
              <w:rPr>
                <w:color w:val="000000"/>
                <w:sz w:val="20"/>
                <w:highlight w:val="yellow"/>
              </w:rPr>
            </w:pPr>
            <w:r w:rsidRPr="000D147D">
              <w:rPr>
                <w:color w:val="000000"/>
                <w:sz w:val="20"/>
              </w:rPr>
              <w:t>404</w:t>
            </w:r>
          </w:p>
        </w:tc>
        <w:tc>
          <w:tcPr>
            <w:tcW w:w="819" w:type="dxa"/>
            <w:noWrap/>
            <w:vAlign w:val="bottom"/>
            <w:hideMark/>
          </w:tcPr>
          <w:p w14:paraId="527AA597" w14:textId="77777777" w:rsidR="007C4B50" w:rsidRPr="0099046B" w:rsidRDefault="007C4B50" w:rsidP="00C9484E">
            <w:pPr>
              <w:jc w:val="center"/>
              <w:rPr>
                <w:color w:val="000000"/>
                <w:sz w:val="20"/>
                <w:highlight w:val="yellow"/>
              </w:rPr>
            </w:pPr>
            <w:r w:rsidRPr="000D147D">
              <w:rPr>
                <w:color w:val="000000"/>
                <w:sz w:val="20"/>
              </w:rPr>
              <w:t>645</w:t>
            </w:r>
          </w:p>
        </w:tc>
        <w:tc>
          <w:tcPr>
            <w:tcW w:w="819" w:type="dxa"/>
            <w:noWrap/>
            <w:vAlign w:val="bottom"/>
            <w:hideMark/>
          </w:tcPr>
          <w:p w14:paraId="462F7EA7" w14:textId="5F756904" w:rsidR="007C4B50" w:rsidRPr="00576B90" w:rsidRDefault="007C4B50" w:rsidP="00F64E9C">
            <w:pPr>
              <w:ind w:left="-104" w:right="-12"/>
              <w:jc w:val="right"/>
              <w:rPr>
                <w:b/>
                <w:i/>
                <w:color w:val="000000"/>
                <w:sz w:val="20"/>
              </w:rPr>
            </w:pPr>
            <w:r w:rsidRPr="00576B90">
              <w:rPr>
                <w:i/>
                <w:color w:val="000000"/>
                <w:sz w:val="20"/>
              </w:rPr>
              <w:t>-3</w:t>
            </w:r>
          </w:p>
        </w:tc>
        <w:tc>
          <w:tcPr>
            <w:tcW w:w="819" w:type="dxa"/>
            <w:noWrap/>
            <w:vAlign w:val="bottom"/>
            <w:hideMark/>
          </w:tcPr>
          <w:p w14:paraId="271A9C9E" w14:textId="364A97B2" w:rsidR="007C4B50" w:rsidRPr="00576B90" w:rsidRDefault="007C4B50" w:rsidP="00F64E9C">
            <w:pPr>
              <w:ind w:left="-104" w:right="-12"/>
              <w:jc w:val="right"/>
              <w:rPr>
                <w:b/>
                <w:i/>
                <w:color w:val="000000"/>
                <w:sz w:val="20"/>
              </w:rPr>
            </w:pPr>
            <w:r w:rsidRPr="00576B90">
              <w:rPr>
                <w:i/>
                <w:color w:val="000000"/>
                <w:sz w:val="20"/>
              </w:rPr>
              <w:t>-3</w:t>
            </w:r>
          </w:p>
        </w:tc>
        <w:tc>
          <w:tcPr>
            <w:tcW w:w="819" w:type="dxa"/>
            <w:noWrap/>
            <w:vAlign w:val="bottom"/>
            <w:hideMark/>
          </w:tcPr>
          <w:p w14:paraId="42F72BF8" w14:textId="66AA47F3" w:rsidR="007C4B50" w:rsidRPr="00576B90" w:rsidRDefault="007C4B50" w:rsidP="00F64E9C">
            <w:pPr>
              <w:ind w:left="-104" w:right="-12"/>
              <w:jc w:val="right"/>
              <w:rPr>
                <w:b/>
                <w:i/>
                <w:color w:val="000000"/>
                <w:sz w:val="20"/>
              </w:rPr>
            </w:pPr>
            <w:r w:rsidRPr="00576B90">
              <w:rPr>
                <w:i/>
                <w:color w:val="000000"/>
                <w:sz w:val="20"/>
              </w:rPr>
              <w:t>5</w:t>
            </w:r>
          </w:p>
        </w:tc>
      </w:tr>
      <w:tr w:rsidR="00F64E9C" w:rsidRPr="00DA0084" w14:paraId="55C2BE55" w14:textId="77777777" w:rsidTr="00F64E9C">
        <w:trPr>
          <w:trHeight w:val="255"/>
        </w:trPr>
        <w:tc>
          <w:tcPr>
            <w:tcW w:w="2127" w:type="dxa"/>
            <w:noWrap/>
            <w:hideMark/>
          </w:tcPr>
          <w:p w14:paraId="0D94B161" w14:textId="77777777" w:rsidR="007C4B50" w:rsidRPr="00DA0084" w:rsidRDefault="007C4B50" w:rsidP="00C9484E">
            <w:pPr>
              <w:jc w:val="right"/>
              <w:rPr>
                <w:color w:val="000000"/>
                <w:sz w:val="20"/>
              </w:rPr>
            </w:pPr>
          </w:p>
        </w:tc>
        <w:tc>
          <w:tcPr>
            <w:tcW w:w="819" w:type="dxa"/>
            <w:noWrap/>
            <w:vAlign w:val="bottom"/>
            <w:hideMark/>
          </w:tcPr>
          <w:p w14:paraId="1C658020" w14:textId="77777777" w:rsidR="007C4B50" w:rsidRPr="000D147D" w:rsidRDefault="007C4B50" w:rsidP="00C9484E">
            <w:pPr>
              <w:jc w:val="center"/>
              <w:rPr>
                <w:sz w:val="20"/>
              </w:rPr>
            </w:pPr>
          </w:p>
        </w:tc>
        <w:tc>
          <w:tcPr>
            <w:tcW w:w="819" w:type="dxa"/>
            <w:noWrap/>
            <w:vAlign w:val="bottom"/>
            <w:hideMark/>
          </w:tcPr>
          <w:p w14:paraId="7CF113B4" w14:textId="77777777" w:rsidR="007C4B50" w:rsidRPr="000D147D" w:rsidRDefault="007C4B50" w:rsidP="00C9484E">
            <w:pPr>
              <w:jc w:val="center"/>
              <w:rPr>
                <w:sz w:val="20"/>
              </w:rPr>
            </w:pPr>
          </w:p>
        </w:tc>
        <w:tc>
          <w:tcPr>
            <w:tcW w:w="819" w:type="dxa"/>
            <w:noWrap/>
            <w:vAlign w:val="bottom"/>
            <w:hideMark/>
          </w:tcPr>
          <w:p w14:paraId="478DD68D" w14:textId="77777777" w:rsidR="007C4B50" w:rsidRPr="000A64D9" w:rsidRDefault="007C4B50" w:rsidP="00C9484E">
            <w:pPr>
              <w:jc w:val="center"/>
              <w:rPr>
                <w:sz w:val="20"/>
              </w:rPr>
            </w:pPr>
          </w:p>
        </w:tc>
        <w:tc>
          <w:tcPr>
            <w:tcW w:w="819" w:type="dxa"/>
            <w:noWrap/>
            <w:vAlign w:val="bottom"/>
            <w:hideMark/>
          </w:tcPr>
          <w:p w14:paraId="276CCA4C" w14:textId="77777777" w:rsidR="007C4B50" w:rsidRPr="000A64D9" w:rsidRDefault="007C4B50" w:rsidP="00C9484E">
            <w:pPr>
              <w:jc w:val="center"/>
              <w:rPr>
                <w:sz w:val="20"/>
              </w:rPr>
            </w:pPr>
          </w:p>
        </w:tc>
        <w:tc>
          <w:tcPr>
            <w:tcW w:w="819" w:type="dxa"/>
            <w:noWrap/>
            <w:vAlign w:val="bottom"/>
            <w:hideMark/>
          </w:tcPr>
          <w:p w14:paraId="13998EBE" w14:textId="77777777" w:rsidR="007C4B50" w:rsidRPr="000A64D9" w:rsidRDefault="007C4B50" w:rsidP="00C9484E">
            <w:pPr>
              <w:jc w:val="center"/>
              <w:rPr>
                <w:sz w:val="20"/>
              </w:rPr>
            </w:pPr>
          </w:p>
        </w:tc>
        <w:tc>
          <w:tcPr>
            <w:tcW w:w="819" w:type="dxa"/>
            <w:noWrap/>
            <w:vAlign w:val="bottom"/>
            <w:hideMark/>
          </w:tcPr>
          <w:p w14:paraId="0505CD4B" w14:textId="77777777" w:rsidR="007C4B50" w:rsidRPr="000A64D9" w:rsidRDefault="007C4B50" w:rsidP="00C9484E">
            <w:pPr>
              <w:jc w:val="center"/>
              <w:rPr>
                <w:sz w:val="20"/>
              </w:rPr>
            </w:pPr>
          </w:p>
        </w:tc>
        <w:tc>
          <w:tcPr>
            <w:tcW w:w="819" w:type="dxa"/>
            <w:noWrap/>
            <w:vAlign w:val="bottom"/>
            <w:hideMark/>
          </w:tcPr>
          <w:p w14:paraId="4AA1678C" w14:textId="77777777" w:rsidR="007C4B50" w:rsidRPr="00576B90" w:rsidRDefault="007C4B50" w:rsidP="00F64E9C">
            <w:pPr>
              <w:ind w:left="-104" w:right="-12"/>
              <w:jc w:val="right"/>
              <w:rPr>
                <w:b/>
                <w:i/>
                <w:sz w:val="20"/>
              </w:rPr>
            </w:pPr>
          </w:p>
        </w:tc>
        <w:tc>
          <w:tcPr>
            <w:tcW w:w="819" w:type="dxa"/>
            <w:noWrap/>
            <w:vAlign w:val="bottom"/>
            <w:hideMark/>
          </w:tcPr>
          <w:p w14:paraId="2D0E53A1" w14:textId="77777777" w:rsidR="007C4B50" w:rsidRPr="00576B90" w:rsidRDefault="007C4B50" w:rsidP="00F64E9C">
            <w:pPr>
              <w:ind w:left="-104" w:right="-12"/>
              <w:jc w:val="right"/>
              <w:rPr>
                <w:b/>
                <w:i/>
                <w:sz w:val="20"/>
              </w:rPr>
            </w:pPr>
          </w:p>
        </w:tc>
        <w:tc>
          <w:tcPr>
            <w:tcW w:w="819" w:type="dxa"/>
            <w:noWrap/>
            <w:vAlign w:val="bottom"/>
            <w:hideMark/>
          </w:tcPr>
          <w:p w14:paraId="19AB254D" w14:textId="77777777" w:rsidR="007C4B50" w:rsidRPr="00576B90" w:rsidRDefault="007C4B50" w:rsidP="00F64E9C">
            <w:pPr>
              <w:ind w:left="-104" w:right="-12"/>
              <w:jc w:val="right"/>
              <w:rPr>
                <w:b/>
                <w:i/>
                <w:sz w:val="20"/>
              </w:rPr>
            </w:pPr>
          </w:p>
        </w:tc>
      </w:tr>
      <w:tr w:rsidR="00F64E9C" w:rsidRPr="007C4B50" w14:paraId="080A46B7" w14:textId="77777777" w:rsidTr="00F64E9C">
        <w:trPr>
          <w:trHeight w:val="255"/>
        </w:trPr>
        <w:tc>
          <w:tcPr>
            <w:tcW w:w="2127" w:type="dxa"/>
            <w:hideMark/>
          </w:tcPr>
          <w:p w14:paraId="2B0CA809" w14:textId="77777777" w:rsidR="007C4B50" w:rsidRPr="007C4B50" w:rsidRDefault="007C4B50" w:rsidP="00C9484E">
            <w:pPr>
              <w:rPr>
                <w:b/>
                <w:color w:val="000000"/>
                <w:sz w:val="20"/>
              </w:rPr>
            </w:pPr>
            <w:r w:rsidRPr="007C4B50">
              <w:rPr>
                <w:b/>
                <w:color w:val="000000"/>
                <w:sz w:val="20"/>
              </w:rPr>
              <w:t>ВСЕГО</w:t>
            </w:r>
          </w:p>
        </w:tc>
        <w:tc>
          <w:tcPr>
            <w:tcW w:w="819" w:type="dxa"/>
            <w:noWrap/>
            <w:vAlign w:val="bottom"/>
            <w:hideMark/>
          </w:tcPr>
          <w:p w14:paraId="1F971CFD" w14:textId="77777777" w:rsidR="007C4B50" w:rsidRPr="007C4B50" w:rsidRDefault="007C4B50" w:rsidP="00C9484E">
            <w:pPr>
              <w:jc w:val="center"/>
              <w:rPr>
                <w:b/>
                <w:color w:val="000000"/>
                <w:sz w:val="20"/>
              </w:rPr>
            </w:pPr>
            <w:r w:rsidRPr="007C4B50">
              <w:rPr>
                <w:b/>
                <w:color w:val="000000"/>
                <w:sz w:val="20"/>
              </w:rPr>
              <w:t>1983</w:t>
            </w:r>
          </w:p>
        </w:tc>
        <w:tc>
          <w:tcPr>
            <w:tcW w:w="819" w:type="dxa"/>
            <w:noWrap/>
            <w:vAlign w:val="bottom"/>
            <w:hideMark/>
          </w:tcPr>
          <w:p w14:paraId="033FE6D6" w14:textId="77777777" w:rsidR="007C4B50" w:rsidRPr="007C4B50" w:rsidRDefault="007C4B50" w:rsidP="00C9484E">
            <w:pPr>
              <w:jc w:val="center"/>
              <w:rPr>
                <w:b/>
                <w:color w:val="000000"/>
                <w:sz w:val="20"/>
              </w:rPr>
            </w:pPr>
            <w:r w:rsidRPr="007C4B50">
              <w:rPr>
                <w:b/>
                <w:color w:val="000000"/>
                <w:sz w:val="20"/>
              </w:rPr>
              <w:t>2218</w:t>
            </w:r>
          </w:p>
        </w:tc>
        <w:tc>
          <w:tcPr>
            <w:tcW w:w="819" w:type="dxa"/>
            <w:noWrap/>
            <w:vAlign w:val="bottom"/>
            <w:hideMark/>
          </w:tcPr>
          <w:p w14:paraId="458759D0" w14:textId="77777777" w:rsidR="007C4B50" w:rsidRPr="007C4B50" w:rsidRDefault="007C4B50" w:rsidP="00C9484E">
            <w:pPr>
              <w:jc w:val="center"/>
              <w:rPr>
                <w:b/>
                <w:color w:val="000000"/>
                <w:sz w:val="20"/>
              </w:rPr>
            </w:pPr>
            <w:r w:rsidRPr="007C4B50">
              <w:rPr>
                <w:b/>
                <w:color w:val="000000"/>
                <w:sz w:val="20"/>
              </w:rPr>
              <w:t>2693</w:t>
            </w:r>
          </w:p>
        </w:tc>
        <w:tc>
          <w:tcPr>
            <w:tcW w:w="819" w:type="dxa"/>
            <w:noWrap/>
            <w:vAlign w:val="bottom"/>
            <w:hideMark/>
          </w:tcPr>
          <w:p w14:paraId="748D51A2" w14:textId="77777777" w:rsidR="007C4B50" w:rsidRPr="007C4B50" w:rsidRDefault="007C4B50" w:rsidP="00C9484E">
            <w:pPr>
              <w:jc w:val="center"/>
              <w:rPr>
                <w:b/>
                <w:color w:val="000000"/>
                <w:sz w:val="20"/>
                <w:highlight w:val="yellow"/>
              </w:rPr>
            </w:pPr>
            <w:r w:rsidRPr="007C4B50">
              <w:rPr>
                <w:b/>
                <w:color w:val="000000"/>
                <w:sz w:val="20"/>
              </w:rPr>
              <w:t>1895</w:t>
            </w:r>
          </w:p>
        </w:tc>
        <w:tc>
          <w:tcPr>
            <w:tcW w:w="819" w:type="dxa"/>
            <w:noWrap/>
            <w:vAlign w:val="bottom"/>
            <w:hideMark/>
          </w:tcPr>
          <w:p w14:paraId="6C81B939" w14:textId="77777777" w:rsidR="007C4B50" w:rsidRPr="007C4B50" w:rsidRDefault="007C4B50" w:rsidP="00C9484E">
            <w:pPr>
              <w:jc w:val="center"/>
              <w:rPr>
                <w:b/>
                <w:color w:val="000000"/>
                <w:sz w:val="20"/>
                <w:highlight w:val="yellow"/>
              </w:rPr>
            </w:pPr>
            <w:r w:rsidRPr="007C4B50">
              <w:rPr>
                <w:b/>
                <w:color w:val="000000"/>
                <w:sz w:val="20"/>
              </w:rPr>
              <w:t>2124</w:t>
            </w:r>
          </w:p>
        </w:tc>
        <w:tc>
          <w:tcPr>
            <w:tcW w:w="819" w:type="dxa"/>
            <w:noWrap/>
            <w:vAlign w:val="bottom"/>
            <w:hideMark/>
          </w:tcPr>
          <w:p w14:paraId="47ABA5D6" w14:textId="77777777" w:rsidR="007C4B50" w:rsidRPr="007C4B50" w:rsidRDefault="007C4B50" w:rsidP="00C9484E">
            <w:pPr>
              <w:jc w:val="center"/>
              <w:rPr>
                <w:b/>
                <w:color w:val="000000"/>
                <w:sz w:val="20"/>
                <w:highlight w:val="yellow"/>
              </w:rPr>
            </w:pPr>
            <w:r w:rsidRPr="007C4B50">
              <w:rPr>
                <w:b/>
                <w:color w:val="000000"/>
                <w:sz w:val="20"/>
              </w:rPr>
              <w:t>2558</w:t>
            </w:r>
          </w:p>
        </w:tc>
        <w:tc>
          <w:tcPr>
            <w:tcW w:w="819" w:type="dxa"/>
            <w:noWrap/>
            <w:vAlign w:val="bottom"/>
            <w:hideMark/>
          </w:tcPr>
          <w:p w14:paraId="1F05CC66" w14:textId="2D972FA3" w:rsidR="007C4B50" w:rsidRPr="00576B90" w:rsidRDefault="007C4B50" w:rsidP="00F64E9C">
            <w:pPr>
              <w:ind w:left="-104" w:right="-12"/>
              <w:jc w:val="right"/>
              <w:rPr>
                <w:b/>
                <w:i/>
                <w:color w:val="000000"/>
                <w:sz w:val="20"/>
                <w:highlight w:val="yellow"/>
              </w:rPr>
            </w:pPr>
            <w:r w:rsidRPr="00576B90">
              <w:rPr>
                <w:b/>
                <w:i/>
                <w:color w:val="000000"/>
                <w:sz w:val="20"/>
              </w:rPr>
              <w:t>5</w:t>
            </w:r>
          </w:p>
        </w:tc>
        <w:tc>
          <w:tcPr>
            <w:tcW w:w="819" w:type="dxa"/>
            <w:noWrap/>
            <w:vAlign w:val="bottom"/>
            <w:hideMark/>
          </w:tcPr>
          <w:p w14:paraId="3C7F2DBC" w14:textId="1C0B4B72" w:rsidR="007C4B50" w:rsidRPr="00576B90" w:rsidRDefault="007C4B50" w:rsidP="00F64E9C">
            <w:pPr>
              <w:ind w:left="-104" w:right="-12"/>
              <w:jc w:val="right"/>
              <w:rPr>
                <w:b/>
                <w:i/>
                <w:color w:val="000000"/>
                <w:sz w:val="20"/>
                <w:highlight w:val="yellow"/>
              </w:rPr>
            </w:pPr>
            <w:r w:rsidRPr="00576B90">
              <w:rPr>
                <w:b/>
                <w:i/>
                <w:color w:val="000000"/>
                <w:sz w:val="20"/>
              </w:rPr>
              <w:t>4</w:t>
            </w:r>
          </w:p>
        </w:tc>
        <w:tc>
          <w:tcPr>
            <w:tcW w:w="819" w:type="dxa"/>
            <w:noWrap/>
            <w:vAlign w:val="bottom"/>
            <w:hideMark/>
          </w:tcPr>
          <w:p w14:paraId="760A667A" w14:textId="785A15F9" w:rsidR="007C4B50" w:rsidRPr="00576B90" w:rsidRDefault="007C4B50" w:rsidP="00F64E9C">
            <w:pPr>
              <w:ind w:left="-104" w:right="-12"/>
              <w:jc w:val="right"/>
              <w:rPr>
                <w:b/>
                <w:i/>
                <w:color w:val="000000"/>
                <w:sz w:val="20"/>
                <w:highlight w:val="yellow"/>
              </w:rPr>
            </w:pPr>
            <w:r w:rsidRPr="00576B90">
              <w:rPr>
                <w:b/>
                <w:i/>
                <w:color w:val="000000"/>
                <w:sz w:val="20"/>
              </w:rPr>
              <w:t>5</w:t>
            </w:r>
          </w:p>
        </w:tc>
      </w:tr>
    </w:tbl>
    <w:p w14:paraId="24A5FABE" w14:textId="77777777" w:rsidR="007C4B50" w:rsidRPr="007D53C2" w:rsidRDefault="007C4B50" w:rsidP="007C4B50">
      <w:pPr>
        <w:spacing w:after="60"/>
        <w:ind w:firstLine="709"/>
        <w:jc w:val="both"/>
        <w:rPr>
          <w:sz w:val="20"/>
        </w:rPr>
      </w:pPr>
      <w:r w:rsidRPr="007C4B50">
        <w:rPr>
          <w:i/>
          <w:sz w:val="20"/>
        </w:rPr>
        <w:t>Источник</w:t>
      </w:r>
      <w:r w:rsidRPr="007D53C2">
        <w:rPr>
          <w:sz w:val="20"/>
        </w:rPr>
        <w:t>: приложение 14 к проекту закона «О федеральном бюджете на 2020 год и на плановый период 2021 и 2022 годов</w:t>
      </w:r>
      <w:r>
        <w:rPr>
          <w:sz w:val="20"/>
        </w:rPr>
        <w:t>»</w:t>
      </w:r>
      <w:r w:rsidRPr="007D53C2">
        <w:rPr>
          <w:sz w:val="20"/>
        </w:rPr>
        <w:t>, утвержденные президиумом Совета при Президенте Российской Федерации по стратегическому развитию и национальным проектам паспорта национальных проектов, расчеты авторов.</w:t>
      </w:r>
    </w:p>
    <w:p w14:paraId="0E9119A0" w14:textId="60428E5C" w:rsidR="007C4B50" w:rsidRDefault="007C4B50" w:rsidP="007C4B50">
      <w:pPr>
        <w:spacing w:after="60"/>
        <w:ind w:firstLine="709"/>
        <w:jc w:val="both"/>
      </w:pPr>
      <w:r>
        <w:t xml:space="preserve">Из представленных в </w:t>
      </w:r>
      <w:r w:rsidR="00600DF7">
        <w:rPr>
          <w:i/>
        </w:rPr>
        <w:t xml:space="preserve">таблице </w:t>
      </w:r>
      <w:r w:rsidR="00C84D38">
        <w:rPr>
          <w:i/>
          <w:noProof/>
        </w:rPr>
        <w:t>8</w:t>
      </w:r>
      <w:r>
        <w:t xml:space="preserve"> данных видно, что в соответствии с </w:t>
      </w:r>
      <w:r w:rsidR="00F2010B">
        <w:t>законо</w:t>
      </w:r>
      <w:r>
        <w:t>проектом по национальным проектам «Демография» и «Наука» запланировано существенное увеличение расходов в течение всего рассматриваемого периода</w:t>
      </w:r>
      <w:r w:rsidR="00ED1C7D">
        <w:t>. Т</w:t>
      </w:r>
      <w:r>
        <w:t xml:space="preserve">акже рост расходов на 12% запланирован по национальному проекту «Безопасные и качественные автомобильные дороги» в 2020 году. Совокупные изменения по сравнению с паспортами национальных проектов </w:t>
      </w:r>
      <w:r w:rsidRPr="00600DF7">
        <w:t xml:space="preserve">представлены в </w:t>
      </w:r>
      <w:r w:rsidRPr="00600DF7">
        <w:rPr>
          <w:i/>
        </w:rPr>
        <w:t>таблице</w:t>
      </w:r>
      <w:r w:rsidR="00600DF7" w:rsidRPr="00600DF7">
        <w:rPr>
          <w:i/>
        </w:rPr>
        <w:t xml:space="preserve"> </w:t>
      </w:r>
      <w:r w:rsidR="00C84D38">
        <w:rPr>
          <w:i/>
          <w:noProof/>
        </w:rPr>
        <w:t>9</w:t>
      </w:r>
      <w:r w:rsidRPr="00600DF7">
        <w:t>.</w:t>
      </w:r>
    </w:p>
    <w:p w14:paraId="1600581C" w14:textId="25B36FAF" w:rsidR="00600DF7" w:rsidRPr="00600DF7" w:rsidRDefault="00600DF7" w:rsidP="00600DF7">
      <w:pPr>
        <w:spacing w:after="60"/>
        <w:jc w:val="right"/>
        <w:rPr>
          <w:i/>
        </w:rPr>
      </w:pPr>
      <w:r w:rsidRPr="00600DF7">
        <w:rPr>
          <w:i/>
        </w:rPr>
        <w:t>Таблица</w:t>
      </w:r>
      <w:r>
        <w:rPr>
          <w:i/>
        </w:rPr>
        <w:t xml:space="preserve"> </w:t>
      </w:r>
      <w:bookmarkStart w:id="19" w:name="_Ref21340224"/>
      <w:r w:rsidR="00C84D38">
        <w:rPr>
          <w:i/>
          <w:noProof/>
        </w:rPr>
        <w:t>9</w:t>
      </w:r>
      <w:bookmarkEnd w:id="19"/>
    </w:p>
    <w:p w14:paraId="6F90D75A" w14:textId="7464B0D9" w:rsidR="007C4B50" w:rsidRPr="007C4B50" w:rsidRDefault="007C4B50" w:rsidP="0098464F">
      <w:pPr>
        <w:spacing w:after="60"/>
        <w:jc w:val="center"/>
        <w:rPr>
          <w:b/>
        </w:rPr>
      </w:pPr>
      <w:r w:rsidRPr="007C4B50">
        <w:rPr>
          <w:b/>
        </w:rPr>
        <w:t xml:space="preserve">Рост совокупных расходов по национальным проектам за период 2020 – 2022 </w:t>
      </w:r>
      <w:r w:rsidR="00F2010B">
        <w:rPr>
          <w:b/>
        </w:rPr>
        <w:t xml:space="preserve">гг. </w:t>
      </w:r>
      <w:r w:rsidRPr="007C4B50">
        <w:rPr>
          <w:b/>
        </w:rPr>
        <w:t xml:space="preserve">в соответствии с </w:t>
      </w:r>
      <w:r w:rsidR="00F2010B">
        <w:rPr>
          <w:b/>
        </w:rPr>
        <w:t>законо</w:t>
      </w:r>
      <w:r w:rsidRPr="007C4B50">
        <w:rPr>
          <w:b/>
        </w:rPr>
        <w:t>проектом</w:t>
      </w:r>
    </w:p>
    <w:tbl>
      <w:tblPr>
        <w:tblW w:w="9072" w:type="dxa"/>
        <w:tblInd w:w="-5" w:type="dxa"/>
        <w:tblLayout w:type="fixed"/>
        <w:tblLook w:val="04A0" w:firstRow="1" w:lastRow="0" w:firstColumn="1" w:lastColumn="0" w:noHBand="0" w:noVBand="1"/>
      </w:tblPr>
      <w:tblGrid>
        <w:gridCol w:w="3686"/>
        <w:gridCol w:w="1701"/>
        <w:gridCol w:w="1701"/>
        <w:gridCol w:w="1984"/>
      </w:tblGrid>
      <w:tr w:rsidR="007C4B50" w:rsidRPr="00AD3B0D" w14:paraId="72E4D518" w14:textId="77777777" w:rsidTr="00600DF7">
        <w:trPr>
          <w:trHeight w:val="1020"/>
          <w:tblHeader/>
        </w:trPr>
        <w:tc>
          <w:tcPr>
            <w:tcW w:w="3686" w:type="dxa"/>
            <w:tcBorders>
              <w:top w:val="single" w:sz="4" w:space="0" w:color="auto"/>
              <w:left w:val="single" w:sz="4" w:space="0" w:color="auto"/>
              <w:bottom w:val="single" w:sz="4" w:space="0" w:color="auto"/>
              <w:right w:val="nil"/>
            </w:tcBorders>
            <w:shd w:val="clear" w:color="auto" w:fill="auto"/>
            <w:vAlign w:val="center"/>
            <w:hideMark/>
          </w:tcPr>
          <w:p w14:paraId="23204B88" w14:textId="242C78FE" w:rsidR="007C4B50" w:rsidRPr="00AD3B0D" w:rsidRDefault="007C4B50" w:rsidP="00600DF7">
            <w:pPr>
              <w:jc w:val="center"/>
              <w:rPr>
                <w:b/>
                <w:bCs/>
                <w:color w:val="000000"/>
                <w:sz w:val="20"/>
                <w:szCs w:val="20"/>
              </w:rPr>
            </w:pPr>
            <w:r w:rsidRPr="00AD3B0D">
              <w:rPr>
                <w:b/>
                <w:bCs/>
                <w:color w:val="000000"/>
                <w:sz w:val="20"/>
                <w:szCs w:val="20"/>
              </w:rPr>
              <w:t>Национальный проект (программа)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5622" w14:textId="21DA8FBA" w:rsidR="007C4B50" w:rsidRPr="00AD3B0D" w:rsidRDefault="007C4B50" w:rsidP="00576B90">
            <w:pPr>
              <w:jc w:val="center"/>
              <w:rPr>
                <w:b/>
                <w:color w:val="000000"/>
                <w:sz w:val="20"/>
                <w:szCs w:val="20"/>
              </w:rPr>
            </w:pPr>
            <w:r w:rsidRPr="00AD3B0D">
              <w:rPr>
                <w:b/>
                <w:color w:val="000000"/>
                <w:sz w:val="20"/>
                <w:szCs w:val="20"/>
              </w:rPr>
              <w:t>Проект федерального бюджета, 2020 - 2022 гг.</w:t>
            </w:r>
            <w:r w:rsidR="00AA5ABD">
              <w:rPr>
                <w:b/>
                <w:color w:val="000000"/>
                <w:sz w:val="20"/>
                <w:szCs w:val="20"/>
              </w:rPr>
              <w:t xml:space="preserve">, </w:t>
            </w:r>
            <w:r w:rsidR="00AA5ABD" w:rsidRPr="00AD3B0D">
              <w:rPr>
                <w:b/>
                <w:bCs/>
                <w:color w:val="000000"/>
                <w:sz w:val="20"/>
                <w:szCs w:val="20"/>
              </w:rPr>
              <w:t>млрд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03B12E5" w14:textId="5881FBFF" w:rsidR="007C4B50" w:rsidRPr="00AD3B0D" w:rsidRDefault="007C4B50" w:rsidP="00576B90">
            <w:pPr>
              <w:jc w:val="center"/>
              <w:rPr>
                <w:b/>
                <w:color w:val="000000"/>
                <w:sz w:val="20"/>
                <w:szCs w:val="20"/>
                <w:highlight w:val="yellow"/>
              </w:rPr>
            </w:pPr>
            <w:r w:rsidRPr="00AD3B0D">
              <w:rPr>
                <w:b/>
                <w:color w:val="000000"/>
                <w:sz w:val="20"/>
                <w:szCs w:val="20"/>
              </w:rPr>
              <w:t>Паспорта национальных проектов 2020 - 2022 гг.</w:t>
            </w:r>
            <w:r w:rsidR="00AA5ABD">
              <w:rPr>
                <w:b/>
                <w:color w:val="000000"/>
                <w:sz w:val="20"/>
                <w:szCs w:val="20"/>
              </w:rPr>
              <w:t xml:space="preserve">, </w:t>
            </w:r>
            <w:r w:rsidR="00AA5ABD" w:rsidRPr="00AD3B0D">
              <w:rPr>
                <w:b/>
                <w:bCs/>
                <w:color w:val="000000"/>
                <w:sz w:val="20"/>
                <w:szCs w:val="20"/>
              </w:rPr>
              <w:t>млрд руб.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550AC0A" w14:textId="1F325306" w:rsidR="007C4B50" w:rsidRPr="00AD3B0D" w:rsidRDefault="007C4B50" w:rsidP="00576B90">
            <w:pPr>
              <w:jc w:val="center"/>
              <w:rPr>
                <w:b/>
                <w:i/>
                <w:color w:val="000000"/>
                <w:sz w:val="20"/>
                <w:szCs w:val="20"/>
              </w:rPr>
            </w:pPr>
            <w:r w:rsidRPr="00AD3B0D">
              <w:rPr>
                <w:b/>
                <w:i/>
                <w:color w:val="000000"/>
                <w:sz w:val="20"/>
                <w:szCs w:val="20"/>
              </w:rPr>
              <w:t>Рост расходов по НП в соответствии с новым бюджетом, 2020 - 2022 гг.</w:t>
            </w:r>
            <w:r w:rsidR="00AA5ABD">
              <w:rPr>
                <w:b/>
                <w:i/>
                <w:color w:val="000000"/>
                <w:sz w:val="20"/>
                <w:szCs w:val="20"/>
              </w:rPr>
              <w:t>, %</w:t>
            </w:r>
          </w:p>
        </w:tc>
      </w:tr>
      <w:tr w:rsidR="007C4B50" w:rsidRPr="00AD3B0D" w14:paraId="328573B2" w14:textId="77777777" w:rsidTr="00AA5ABD">
        <w:trPr>
          <w:trHeight w:val="20"/>
        </w:trPr>
        <w:tc>
          <w:tcPr>
            <w:tcW w:w="3686" w:type="dxa"/>
            <w:tcBorders>
              <w:top w:val="nil"/>
              <w:left w:val="single" w:sz="4" w:space="0" w:color="auto"/>
              <w:bottom w:val="single" w:sz="4" w:space="0" w:color="auto"/>
              <w:right w:val="nil"/>
            </w:tcBorders>
            <w:shd w:val="clear" w:color="auto" w:fill="auto"/>
            <w:vAlign w:val="bottom"/>
            <w:hideMark/>
          </w:tcPr>
          <w:p w14:paraId="4FCFF546" w14:textId="77777777" w:rsidR="007C4B50" w:rsidRPr="00AD3B0D" w:rsidRDefault="007C4B50" w:rsidP="00C9484E">
            <w:pPr>
              <w:rPr>
                <w:color w:val="000000"/>
                <w:sz w:val="20"/>
                <w:szCs w:val="20"/>
              </w:rPr>
            </w:pPr>
            <w:r w:rsidRPr="00AD3B0D">
              <w:rPr>
                <w:color w:val="000000"/>
                <w:sz w:val="20"/>
                <w:szCs w:val="20"/>
              </w:rPr>
              <w:t>Наука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8016C7F" w14:textId="77777777" w:rsidR="007C4B50" w:rsidRPr="00AD3B0D" w:rsidRDefault="007C4B50" w:rsidP="00AD3B0D">
            <w:pPr>
              <w:jc w:val="both"/>
              <w:rPr>
                <w:color w:val="000000"/>
                <w:sz w:val="20"/>
                <w:szCs w:val="20"/>
              </w:rPr>
            </w:pPr>
            <w:r w:rsidRPr="00AD3B0D">
              <w:rPr>
                <w:color w:val="000000"/>
                <w:sz w:val="20"/>
                <w:szCs w:val="20"/>
              </w:rPr>
              <w:t xml:space="preserve">              213 </w:t>
            </w:r>
          </w:p>
        </w:tc>
        <w:tc>
          <w:tcPr>
            <w:tcW w:w="1701" w:type="dxa"/>
            <w:tcBorders>
              <w:top w:val="nil"/>
              <w:left w:val="nil"/>
              <w:bottom w:val="single" w:sz="4" w:space="0" w:color="auto"/>
              <w:right w:val="single" w:sz="4" w:space="0" w:color="auto"/>
            </w:tcBorders>
            <w:shd w:val="clear" w:color="auto" w:fill="auto"/>
            <w:noWrap/>
            <w:vAlign w:val="bottom"/>
            <w:hideMark/>
          </w:tcPr>
          <w:p w14:paraId="69AC3DD1" w14:textId="77777777" w:rsidR="007C4B50" w:rsidRPr="00AD3B0D" w:rsidRDefault="007C4B50" w:rsidP="00AD3B0D">
            <w:pPr>
              <w:jc w:val="both"/>
              <w:rPr>
                <w:color w:val="000000"/>
                <w:sz w:val="20"/>
                <w:szCs w:val="20"/>
                <w:highlight w:val="yellow"/>
              </w:rPr>
            </w:pPr>
            <w:r w:rsidRPr="00AD3B0D">
              <w:rPr>
                <w:color w:val="000000"/>
                <w:sz w:val="20"/>
                <w:szCs w:val="20"/>
              </w:rPr>
              <w:t xml:space="preserve">              177 </w:t>
            </w:r>
          </w:p>
        </w:tc>
        <w:tc>
          <w:tcPr>
            <w:tcW w:w="1984" w:type="dxa"/>
            <w:tcBorders>
              <w:top w:val="nil"/>
              <w:left w:val="nil"/>
              <w:bottom w:val="single" w:sz="4" w:space="0" w:color="auto"/>
              <w:right w:val="single" w:sz="4" w:space="0" w:color="auto"/>
            </w:tcBorders>
            <w:shd w:val="clear" w:color="auto" w:fill="auto"/>
            <w:noWrap/>
            <w:vAlign w:val="bottom"/>
            <w:hideMark/>
          </w:tcPr>
          <w:p w14:paraId="0FCC7A88" w14:textId="592A75E6" w:rsidR="007C4B50" w:rsidRPr="00AD3B0D" w:rsidRDefault="007C4B50" w:rsidP="00C9484E">
            <w:pPr>
              <w:jc w:val="right"/>
              <w:rPr>
                <w:i/>
                <w:color w:val="000000"/>
                <w:sz w:val="20"/>
                <w:szCs w:val="20"/>
              </w:rPr>
            </w:pPr>
            <w:r w:rsidRPr="00AD3B0D">
              <w:rPr>
                <w:i/>
                <w:color w:val="000000"/>
                <w:sz w:val="20"/>
                <w:szCs w:val="20"/>
              </w:rPr>
              <w:t>20,8</w:t>
            </w:r>
          </w:p>
        </w:tc>
      </w:tr>
      <w:tr w:rsidR="007C4B50" w:rsidRPr="00AD3B0D" w14:paraId="4654DD3C" w14:textId="77777777" w:rsidTr="00AA5ABD">
        <w:trPr>
          <w:trHeight w:val="20"/>
        </w:trPr>
        <w:tc>
          <w:tcPr>
            <w:tcW w:w="3686" w:type="dxa"/>
            <w:tcBorders>
              <w:top w:val="nil"/>
              <w:left w:val="single" w:sz="4" w:space="0" w:color="auto"/>
              <w:bottom w:val="single" w:sz="4" w:space="0" w:color="auto"/>
              <w:right w:val="nil"/>
            </w:tcBorders>
            <w:shd w:val="clear" w:color="auto" w:fill="auto"/>
            <w:vAlign w:val="bottom"/>
            <w:hideMark/>
          </w:tcPr>
          <w:p w14:paraId="44B447A9" w14:textId="77777777" w:rsidR="007C4B50" w:rsidRPr="00AD3B0D" w:rsidRDefault="007C4B50" w:rsidP="00C9484E">
            <w:pPr>
              <w:rPr>
                <w:color w:val="000000"/>
                <w:sz w:val="20"/>
                <w:szCs w:val="20"/>
              </w:rPr>
            </w:pPr>
            <w:r w:rsidRPr="00AD3B0D">
              <w:rPr>
                <w:color w:val="000000"/>
                <w:sz w:val="20"/>
                <w:szCs w:val="20"/>
              </w:rPr>
              <w:t>Демография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32DE99F" w14:textId="77777777" w:rsidR="007C4B50" w:rsidRPr="00AD3B0D" w:rsidRDefault="007C4B50" w:rsidP="00AD3B0D">
            <w:pPr>
              <w:jc w:val="both"/>
              <w:rPr>
                <w:color w:val="000000"/>
                <w:sz w:val="20"/>
                <w:szCs w:val="20"/>
              </w:rPr>
            </w:pPr>
            <w:r w:rsidRPr="00AD3B0D">
              <w:rPr>
                <w:color w:val="000000"/>
                <w:sz w:val="20"/>
                <w:szCs w:val="20"/>
              </w:rPr>
              <w:t xml:space="preserve">           1 839 </w:t>
            </w:r>
          </w:p>
        </w:tc>
        <w:tc>
          <w:tcPr>
            <w:tcW w:w="1701" w:type="dxa"/>
            <w:tcBorders>
              <w:top w:val="nil"/>
              <w:left w:val="nil"/>
              <w:bottom w:val="single" w:sz="4" w:space="0" w:color="auto"/>
              <w:right w:val="single" w:sz="4" w:space="0" w:color="auto"/>
            </w:tcBorders>
            <w:shd w:val="clear" w:color="auto" w:fill="auto"/>
            <w:noWrap/>
            <w:vAlign w:val="bottom"/>
            <w:hideMark/>
          </w:tcPr>
          <w:p w14:paraId="236860B0" w14:textId="77777777" w:rsidR="007C4B50" w:rsidRPr="00AD3B0D" w:rsidRDefault="007C4B50" w:rsidP="00AD3B0D">
            <w:pPr>
              <w:jc w:val="both"/>
              <w:rPr>
                <w:color w:val="000000"/>
                <w:sz w:val="20"/>
                <w:szCs w:val="20"/>
                <w:highlight w:val="yellow"/>
              </w:rPr>
            </w:pPr>
            <w:r w:rsidRPr="00AD3B0D">
              <w:rPr>
                <w:color w:val="000000"/>
                <w:sz w:val="20"/>
                <w:szCs w:val="20"/>
              </w:rPr>
              <w:t xml:space="preserve">           1 558 </w:t>
            </w:r>
          </w:p>
        </w:tc>
        <w:tc>
          <w:tcPr>
            <w:tcW w:w="1984" w:type="dxa"/>
            <w:tcBorders>
              <w:top w:val="nil"/>
              <w:left w:val="nil"/>
              <w:bottom w:val="single" w:sz="4" w:space="0" w:color="auto"/>
              <w:right w:val="single" w:sz="4" w:space="0" w:color="auto"/>
            </w:tcBorders>
            <w:shd w:val="clear" w:color="auto" w:fill="auto"/>
            <w:noWrap/>
            <w:vAlign w:val="bottom"/>
            <w:hideMark/>
          </w:tcPr>
          <w:p w14:paraId="7652174D" w14:textId="4CF9D949" w:rsidR="007C4B50" w:rsidRPr="00AD3B0D" w:rsidRDefault="007C4B50" w:rsidP="00C9484E">
            <w:pPr>
              <w:jc w:val="right"/>
              <w:rPr>
                <w:i/>
                <w:color w:val="000000"/>
                <w:sz w:val="20"/>
                <w:szCs w:val="20"/>
              </w:rPr>
            </w:pPr>
            <w:r w:rsidRPr="00AD3B0D">
              <w:rPr>
                <w:i/>
                <w:color w:val="000000"/>
                <w:sz w:val="20"/>
                <w:szCs w:val="20"/>
              </w:rPr>
              <w:t>18,0</w:t>
            </w:r>
          </w:p>
        </w:tc>
      </w:tr>
      <w:tr w:rsidR="007C4B50" w:rsidRPr="00AD3B0D" w14:paraId="10232ED3" w14:textId="77777777" w:rsidTr="00AA5ABD">
        <w:trPr>
          <w:trHeight w:val="20"/>
        </w:trPr>
        <w:tc>
          <w:tcPr>
            <w:tcW w:w="3686" w:type="dxa"/>
            <w:tcBorders>
              <w:top w:val="nil"/>
              <w:left w:val="single" w:sz="4" w:space="0" w:color="auto"/>
              <w:bottom w:val="single" w:sz="4" w:space="0" w:color="auto"/>
              <w:right w:val="nil"/>
            </w:tcBorders>
            <w:shd w:val="clear" w:color="auto" w:fill="auto"/>
            <w:vAlign w:val="bottom"/>
            <w:hideMark/>
          </w:tcPr>
          <w:p w14:paraId="40B80ECE" w14:textId="77777777" w:rsidR="007C4B50" w:rsidRPr="00AD3B0D" w:rsidRDefault="007C4B50" w:rsidP="00C9484E">
            <w:pPr>
              <w:rPr>
                <w:color w:val="000000"/>
                <w:sz w:val="20"/>
                <w:szCs w:val="20"/>
              </w:rPr>
            </w:pPr>
            <w:r w:rsidRPr="00AD3B0D">
              <w:rPr>
                <w:color w:val="000000"/>
                <w:sz w:val="20"/>
                <w:szCs w:val="20"/>
              </w:rPr>
              <w:t>Безопасные и качественные автомобильные дороги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01CBDAA" w14:textId="77777777" w:rsidR="007C4B50" w:rsidRPr="00AD3B0D" w:rsidRDefault="007C4B50" w:rsidP="00AD3B0D">
            <w:pPr>
              <w:jc w:val="both"/>
              <w:rPr>
                <w:color w:val="000000"/>
                <w:sz w:val="20"/>
                <w:szCs w:val="20"/>
              </w:rPr>
            </w:pPr>
            <w:r w:rsidRPr="00AD3B0D">
              <w:rPr>
                <w:color w:val="000000"/>
                <w:sz w:val="20"/>
                <w:szCs w:val="20"/>
              </w:rPr>
              <w:t xml:space="preserve">              266 </w:t>
            </w:r>
          </w:p>
        </w:tc>
        <w:tc>
          <w:tcPr>
            <w:tcW w:w="1701" w:type="dxa"/>
            <w:tcBorders>
              <w:top w:val="nil"/>
              <w:left w:val="nil"/>
              <w:bottom w:val="single" w:sz="4" w:space="0" w:color="auto"/>
              <w:right w:val="single" w:sz="4" w:space="0" w:color="auto"/>
            </w:tcBorders>
            <w:shd w:val="clear" w:color="auto" w:fill="auto"/>
            <w:noWrap/>
            <w:vAlign w:val="bottom"/>
            <w:hideMark/>
          </w:tcPr>
          <w:p w14:paraId="19A511E1" w14:textId="77777777" w:rsidR="007C4B50" w:rsidRPr="00AD3B0D" w:rsidRDefault="007C4B50" w:rsidP="00AD3B0D">
            <w:pPr>
              <w:jc w:val="both"/>
              <w:rPr>
                <w:color w:val="000000"/>
                <w:sz w:val="20"/>
                <w:szCs w:val="20"/>
                <w:highlight w:val="yellow"/>
              </w:rPr>
            </w:pPr>
            <w:r w:rsidRPr="00AD3B0D">
              <w:rPr>
                <w:color w:val="000000"/>
                <w:sz w:val="20"/>
                <w:szCs w:val="20"/>
              </w:rPr>
              <w:t xml:space="preserve">              255 </w:t>
            </w:r>
          </w:p>
        </w:tc>
        <w:tc>
          <w:tcPr>
            <w:tcW w:w="1984" w:type="dxa"/>
            <w:tcBorders>
              <w:top w:val="nil"/>
              <w:left w:val="nil"/>
              <w:bottom w:val="single" w:sz="4" w:space="0" w:color="auto"/>
              <w:right w:val="single" w:sz="4" w:space="0" w:color="auto"/>
            </w:tcBorders>
            <w:shd w:val="clear" w:color="auto" w:fill="auto"/>
            <w:noWrap/>
            <w:vAlign w:val="bottom"/>
            <w:hideMark/>
          </w:tcPr>
          <w:p w14:paraId="6CABA699" w14:textId="2811B278" w:rsidR="007C4B50" w:rsidRPr="00AD3B0D" w:rsidRDefault="007C4B50" w:rsidP="00C9484E">
            <w:pPr>
              <w:jc w:val="right"/>
              <w:rPr>
                <w:i/>
                <w:color w:val="000000"/>
                <w:sz w:val="20"/>
                <w:szCs w:val="20"/>
              </w:rPr>
            </w:pPr>
            <w:r w:rsidRPr="00AD3B0D">
              <w:rPr>
                <w:i/>
                <w:color w:val="000000"/>
                <w:sz w:val="20"/>
                <w:szCs w:val="20"/>
              </w:rPr>
              <w:t>4,3</w:t>
            </w:r>
          </w:p>
        </w:tc>
      </w:tr>
      <w:tr w:rsidR="007C4B50" w:rsidRPr="00AD3B0D" w14:paraId="79A66202" w14:textId="77777777" w:rsidTr="00AA5ABD">
        <w:trPr>
          <w:trHeight w:val="20"/>
        </w:trPr>
        <w:tc>
          <w:tcPr>
            <w:tcW w:w="3686" w:type="dxa"/>
            <w:tcBorders>
              <w:top w:val="nil"/>
              <w:left w:val="single" w:sz="4" w:space="0" w:color="auto"/>
              <w:bottom w:val="single" w:sz="4" w:space="0" w:color="auto"/>
              <w:right w:val="nil"/>
            </w:tcBorders>
            <w:shd w:val="clear" w:color="auto" w:fill="auto"/>
            <w:vAlign w:val="bottom"/>
            <w:hideMark/>
          </w:tcPr>
          <w:p w14:paraId="30C81637" w14:textId="77777777" w:rsidR="007C4B50" w:rsidRPr="00AD3B0D" w:rsidRDefault="007C4B50" w:rsidP="00C9484E">
            <w:pPr>
              <w:rPr>
                <w:color w:val="000000"/>
                <w:sz w:val="20"/>
                <w:szCs w:val="20"/>
              </w:rPr>
            </w:pPr>
            <w:r w:rsidRPr="00AD3B0D">
              <w:rPr>
                <w:color w:val="000000"/>
                <w:sz w:val="20"/>
                <w:szCs w:val="20"/>
              </w:rPr>
              <w:t>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709135A" w14:textId="77777777" w:rsidR="007C4B50" w:rsidRPr="00AD3B0D" w:rsidRDefault="007C4B50" w:rsidP="00AD3B0D">
            <w:pPr>
              <w:jc w:val="both"/>
              <w:rPr>
                <w:color w:val="000000"/>
                <w:sz w:val="20"/>
                <w:szCs w:val="20"/>
              </w:rPr>
            </w:pPr>
            <w:r w:rsidRPr="00AD3B0D">
              <w:rPr>
                <w:color w:val="000000"/>
                <w:sz w:val="20"/>
                <w:szCs w:val="20"/>
              </w:rPr>
              <w:t xml:space="preserve">              380 </w:t>
            </w:r>
          </w:p>
        </w:tc>
        <w:tc>
          <w:tcPr>
            <w:tcW w:w="1701" w:type="dxa"/>
            <w:tcBorders>
              <w:top w:val="nil"/>
              <w:left w:val="nil"/>
              <w:bottom w:val="single" w:sz="4" w:space="0" w:color="auto"/>
              <w:right w:val="single" w:sz="4" w:space="0" w:color="auto"/>
            </w:tcBorders>
            <w:shd w:val="clear" w:color="auto" w:fill="auto"/>
            <w:noWrap/>
            <w:vAlign w:val="bottom"/>
            <w:hideMark/>
          </w:tcPr>
          <w:p w14:paraId="02380F3C" w14:textId="77777777" w:rsidR="007C4B50" w:rsidRPr="00AD3B0D" w:rsidRDefault="007C4B50" w:rsidP="00AD3B0D">
            <w:pPr>
              <w:jc w:val="both"/>
              <w:rPr>
                <w:color w:val="000000"/>
                <w:sz w:val="20"/>
                <w:szCs w:val="20"/>
                <w:highlight w:val="yellow"/>
              </w:rPr>
            </w:pPr>
            <w:r w:rsidRPr="00AD3B0D">
              <w:rPr>
                <w:color w:val="000000"/>
                <w:sz w:val="20"/>
                <w:szCs w:val="20"/>
              </w:rPr>
              <w:t xml:space="preserve">              375 </w:t>
            </w:r>
          </w:p>
        </w:tc>
        <w:tc>
          <w:tcPr>
            <w:tcW w:w="1984" w:type="dxa"/>
            <w:tcBorders>
              <w:top w:val="nil"/>
              <w:left w:val="nil"/>
              <w:bottom w:val="single" w:sz="4" w:space="0" w:color="auto"/>
              <w:right w:val="single" w:sz="4" w:space="0" w:color="auto"/>
            </w:tcBorders>
            <w:shd w:val="clear" w:color="auto" w:fill="auto"/>
            <w:noWrap/>
            <w:vAlign w:val="bottom"/>
            <w:hideMark/>
          </w:tcPr>
          <w:p w14:paraId="3BAD125E" w14:textId="49F85D1E" w:rsidR="007C4B50" w:rsidRPr="00AD3B0D" w:rsidRDefault="007C4B50" w:rsidP="00C9484E">
            <w:pPr>
              <w:jc w:val="right"/>
              <w:rPr>
                <w:i/>
                <w:color w:val="000000"/>
                <w:sz w:val="20"/>
                <w:szCs w:val="20"/>
              </w:rPr>
            </w:pPr>
            <w:r w:rsidRPr="00AD3B0D">
              <w:rPr>
                <w:i/>
                <w:color w:val="000000"/>
                <w:sz w:val="20"/>
                <w:szCs w:val="20"/>
              </w:rPr>
              <w:t>1,3</w:t>
            </w:r>
          </w:p>
        </w:tc>
      </w:tr>
      <w:tr w:rsidR="007C4B50" w:rsidRPr="00AD3B0D" w14:paraId="49A80E8B" w14:textId="77777777" w:rsidTr="00AA5ABD">
        <w:trPr>
          <w:trHeight w:val="20"/>
        </w:trPr>
        <w:tc>
          <w:tcPr>
            <w:tcW w:w="3686" w:type="dxa"/>
            <w:tcBorders>
              <w:top w:val="nil"/>
              <w:left w:val="single" w:sz="4" w:space="0" w:color="auto"/>
              <w:bottom w:val="single" w:sz="4" w:space="0" w:color="auto"/>
              <w:right w:val="nil"/>
            </w:tcBorders>
            <w:shd w:val="clear" w:color="auto" w:fill="auto"/>
            <w:vAlign w:val="bottom"/>
            <w:hideMark/>
          </w:tcPr>
          <w:p w14:paraId="7F0AF0F7" w14:textId="77777777" w:rsidR="007C4B50" w:rsidRPr="00AD3B0D" w:rsidRDefault="007C4B50" w:rsidP="00C9484E">
            <w:pPr>
              <w:rPr>
                <w:color w:val="000000"/>
                <w:sz w:val="20"/>
                <w:szCs w:val="20"/>
              </w:rPr>
            </w:pPr>
            <w:r w:rsidRPr="00AD3B0D">
              <w:rPr>
                <w:color w:val="000000"/>
                <w:sz w:val="20"/>
                <w:szCs w:val="20"/>
              </w:rPr>
              <w:t>Здравоохранение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1CB38E0" w14:textId="77777777" w:rsidR="007C4B50" w:rsidRPr="00AD3B0D" w:rsidRDefault="007C4B50" w:rsidP="00AD3B0D">
            <w:pPr>
              <w:jc w:val="both"/>
              <w:rPr>
                <w:color w:val="000000"/>
                <w:sz w:val="20"/>
                <w:szCs w:val="20"/>
              </w:rPr>
            </w:pPr>
            <w:r w:rsidRPr="00AD3B0D">
              <w:rPr>
                <w:color w:val="000000"/>
                <w:sz w:val="20"/>
                <w:szCs w:val="20"/>
              </w:rPr>
              <w:t xml:space="preserve">              793 </w:t>
            </w:r>
          </w:p>
        </w:tc>
        <w:tc>
          <w:tcPr>
            <w:tcW w:w="1701" w:type="dxa"/>
            <w:tcBorders>
              <w:top w:val="nil"/>
              <w:left w:val="nil"/>
              <w:bottom w:val="single" w:sz="4" w:space="0" w:color="auto"/>
              <w:right w:val="single" w:sz="4" w:space="0" w:color="auto"/>
            </w:tcBorders>
            <w:shd w:val="clear" w:color="auto" w:fill="auto"/>
            <w:noWrap/>
            <w:vAlign w:val="bottom"/>
            <w:hideMark/>
          </w:tcPr>
          <w:p w14:paraId="4C51E109" w14:textId="77777777" w:rsidR="007C4B50" w:rsidRPr="00AD3B0D" w:rsidRDefault="007C4B50" w:rsidP="00AD3B0D">
            <w:pPr>
              <w:jc w:val="both"/>
              <w:rPr>
                <w:color w:val="000000"/>
                <w:sz w:val="20"/>
                <w:szCs w:val="20"/>
                <w:highlight w:val="yellow"/>
              </w:rPr>
            </w:pPr>
            <w:r w:rsidRPr="00AD3B0D">
              <w:rPr>
                <w:color w:val="000000"/>
                <w:sz w:val="20"/>
                <w:szCs w:val="20"/>
              </w:rPr>
              <w:t xml:space="preserve">              788 </w:t>
            </w:r>
          </w:p>
        </w:tc>
        <w:tc>
          <w:tcPr>
            <w:tcW w:w="1984" w:type="dxa"/>
            <w:tcBorders>
              <w:top w:val="nil"/>
              <w:left w:val="nil"/>
              <w:bottom w:val="single" w:sz="4" w:space="0" w:color="auto"/>
              <w:right w:val="single" w:sz="4" w:space="0" w:color="auto"/>
            </w:tcBorders>
            <w:shd w:val="clear" w:color="auto" w:fill="auto"/>
            <w:noWrap/>
            <w:vAlign w:val="bottom"/>
            <w:hideMark/>
          </w:tcPr>
          <w:p w14:paraId="7C32F32D" w14:textId="5819123A" w:rsidR="007C4B50" w:rsidRPr="00AD3B0D" w:rsidRDefault="007C4B50" w:rsidP="00C9484E">
            <w:pPr>
              <w:jc w:val="right"/>
              <w:rPr>
                <w:i/>
                <w:color w:val="000000"/>
                <w:sz w:val="20"/>
                <w:szCs w:val="20"/>
              </w:rPr>
            </w:pPr>
            <w:r w:rsidRPr="00AD3B0D">
              <w:rPr>
                <w:i/>
                <w:color w:val="000000"/>
                <w:sz w:val="20"/>
                <w:szCs w:val="20"/>
              </w:rPr>
              <w:t>0,6</w:t>
            </w:r>
          </w:p>
        </w:tc>
      </w:tr>
      <w:tr w:rsidR="007C4B50" w:rsidRPr="00AD3B0D" w14:paraId="7B62D8AE" w14:textId="77777777" w:rsidTr="00AA5ABD">
        <w:trPr>
          <w:trHeight w:val="20"/>
        </w:trPr>
        <w:tc>
          <w:tcPr>
            <w:tcW w:w="3686" w:type="dxa"/>
            <w:tcBorders>
              <w:top w:val="nil"/>
              <w:left w:val="single" w:sz="4" w:space="0" w:color="auto"/>
              <w:bottom w:val="single" w:sz="4" w:space="0" w:color="auto"/>
              <w:right w:val="nil"/>
            </w:tcBorders>
            <w:shd w:val="clear" w:color="auto" w:fill="auto"/>
            <w:vAlign w:val="bottom"/>
            <w:hideMark/>
          </w:tcPr>
          <w:p w14:paraId="4F42B473" w14:textId="77777777" w:rsidR="007C4B50" w:rsidRPr="00AD3B0D" w:rsidRDefault="007C4B50" w:rsidP="00C9484E">
            <w:pPr>
              <w:rPr>
                <w:color w:val="000000"/>
                <w:sz w:val="20"/>
                <w:szCs w:val="20"/>
              </w:rPr>
            </w:pPr>
            <w:r w:rsidRPr="00AD3B0D">
              <w:rPr>
                <w:color w:val="000000"/>
                <w:sz w:val="20"/>
                <w:szCs w:val="20"/>
              </w:rPr>
              <w:t>Комплексный план модернизации инфраструктуры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D118455" w14:textId="77777777" w:rsidR="007C4B50" w:rsidRPr="00AD3B0D" w:rsidRDefault="007C4B50" w:rsidP="00AD3B0D">
            <w:pPr>
              <w:jc w:val="both"/>
              <w:rPr>
                <w:color w:val="000000"/>
                <w:sz w:val="20"/>
                <w:szCs w:val="20"/>
              </w:rPr>
            </w:pPr>
            <w:r w:rsidRPr="00AD3B0D">
              <w:rPr>
                <w:color w:val="000000"/>
                <w:sz w:val="20"/>
                <w:szCs w:val="20"/>
              </w:rPr>
              <w:t xml:space="preserve">           1 405 </w:t>
            </w:r>
          </w:p>
        </w:tc>
        <w:tc>
          <w:tcPr>
            <w:tcW w:w="1701" w:type="dxa"/>
            <w:tcBorders>
              <w:top w:val="nil"/>
              <w:left w:val="nil"/>
              <w:bottom w:val="single" w:sz="4" w:space="0" w:color="auto"/>
              <w:right w:val="single" w:sz="4" w:space="0" w:color="auto"/>
            </w:tcBorders>
            <w:shd w:val="clear" w:color="auto" w:fill="auto"/>
            <w:noWrap/>
            <w:vAlign w:val="bottom"/>
            <w:hideMark/>
          </w:tcPr>
          <w:p w14:paraId="340E8194" w14:textId="77777777" w:rsidR="007C4B50" w:rsidRPr="00AD3B0D" w:rsidRDefault="007C4B50" w:rsidP="00AD3B0D">
            <w:pPr>
              <w:jc w:val="both"/>
              <w:rPr>
                <w:color w:val="000000"/>
                <w:sz w:val="20"/>
                <w:szCs w:val="20"/>
                <w:highlight w:val="yellow"/>
              </w:rPr>
            </w:pPr>
            <w:r w:rsidRPr="00AD3B0D">
              <w:rPr>
                <w:color w:val="000000"/>
                <w:sz w:val="20"/>
                <w:szCs w:val="20"/>
              </w:rPr>
              <w:t xml:space="preserve">           1 398 </w:t>
            </w:r>
          </w:p>
        </w:tc>
        <w:tc>
          <w:tcPr>
            <w:tcW w:w="1984" w:type="dxa"/>
            <w:tcBorders>
              <w:top w:val="nil"/>
              <w:left w:val="nil"/>
              <w:bottom w:val="single" w:sz="4" w:space="0" w:color="auto"/>
              <w:right w:val="single" w:sz="4" w:space="0" w:color="auto"/>
            </w:tcBorders>
            <w:shd w:val="clear" w:color="auto" w:fill="auto"/>
            <w:noWrap/>
            <w:vAlign w:val="bottom"/>
            <w:hideMark/>
          </w:tcPr>
          <w:p w14:paraId="2B8DD64B" w14:textId="54DD1C1A" w:rsidR="007C4B50" w:rsidRPr="00AD3B0D" w:rsidRDefault="007C4B50" w:rsidP="00C9484E">
            <w:pPr>
              <w:jc w:val="right"/>
              <w:rPr>
                <w:i/>
                <w:color w:val="000000"/>
                <w:sz w:val="20"/>
                <w:szCs w:val="20"/>
              </w:rPr>
            </w:pPr>
            <w:r w:rsidRPr="00AD3B0D">
              <w:rPr>
                <w:i/>
                <w:color w:val="000000"/>
                <w:sz w:val="20"/>
                <w:szCs w:val="20"/>
              </w:rPr>
              <w:t>0,5</w:t>
            </w:r>
          </w:p>
        </w:tc>
      </w:tr>
      <w:tr w:rsidR="007C4B50" w:rsidRPr="00AD3B0D" w14:paraId="31108E4A" w14:textId="77777777" w:rsidTr="00AA5ABD">
        <w:trPr>
          <w:trHeight w:val="20"/>
        </w:trPr>
        <w:tc>
          <w:tcPr>
            <w:tcW w:w="3686" w:type="dxa"/>
            <w:tcBorders>
              <w:top w:val="nil"/>
              <w:left w:val="single" w:sz="4" w:space="0" w:color="auto"/>
              <w:bottom w:val="single" w:sz="4" w:space="0" w:color="auto"/>
              <w:right w:val="nil"/>
            </w:tcBorders>
            <w:shd w:val="clear" w:color="auto" w:fill="auto"/>
            <w:vAlign w:val="bottom"/>
            <w:hideMark/>
          </w:tcPr>
          <w:p w14:paraId="1A1F7876" w14:textId="77777777" w:rsidR="007C4B50" w:rsidRPr="00AD3B0D" w:rsidRDefault="007C4B50" w:rsidP="00C9484E">
            <w:pPr>
              <w:rPr>
                <w:color w:val="000000"/>
                <w:sz w:val="20"/>
                <w:szCs w:val="20"/>
              </w:rPr>
            </w:pPr>
            <w:r w:rsidRPr="00AD3B0D">
              <w:rPr>
                <w:color w:val="000000"/>
                <w:sz w:val="20"/>
                <w:szCs w:val="20"/>
              </w:rPr>
              <w:t>Цифровая экономика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45CF40D" w14:textId="77777777" w:rsidR="007C4B50" w:rsidRPr="00AD3B0D" w:rsidRDefault="007C4B50" w:rsidP="00AD3B0D">
            <w:pPr>
              <w:jc w:val="both"/>
              <w:rPr>
                <w:color w:val="000000"/>
                <w:sz w:val="20"/>
                <w:szCs w:val="20"/>
              </w:rPr>
            </w:pPr>
            <w:r w:rsidRPr="00AD3B0D">
              <w:rPr>
                <w:color w:val="000000"/>
                <w:sz w:val="20"/>
                <w:szCs w:val="20"/>
              </w:rPr>
              <w:t xml:space="preserve">              560 </w:t>
            </w:r>
          </w:p>
        </w:tc>
        <w:tc>
          <w:tcPr>
            <w:tcW w:w="1701" w:type="dxa"/>
            <w:tcBorders>
              <w:top w:val="nil"/>
              <w:left w:val="nil"/>
              <w:bottom w:val="single" w:sz="4" w:space="0" w:color="auto"/>
              <w:right w:val="single" w:sz="4" w:space="0" w:color="auto"/>
            </w:tcBorders>
            <w:shd w:val="clear" w:color="auto" w:fill="auto"/>
            <w:noWrap/>
            <w:vAlign w:val="bottom"/>
            <w:hideMark/>
          </w:tcPr>
          <w:p w14:paraId="3D0B5E81" w14:textId="77777777" w:rsidR="007C4B50" w:rsidRPr="00AD3B0D" w:rsidRDefault="007C4B50" w:rsidP="00AD3B0D">
            <w:pPr>
              <w:jc w:val="both"/>
              <w:rPr>
                <w:color w:val="000000"/>
                <w:sz w:val="20"/>
                <w:szCs w:val="20"/>
                <w:highlight w:val="yellow"/>
              </w:rPr>
            </w:pPr>
            <w:r w:rsidRPr="00AD3B0D">
              <w:rPr>
                <w:color w:val="000000"/>
                <w:sz w:val="20"/>
                <w:szCs w:val="20"/>
              </w:rPr>
              <w:t xml:space="preserve">              560 </w:t>
            </w:r>
          </w:p>
        </w:tc>
        <w:tc>
          <w:tcPr>
            <w:tcW w:w="1984" w:type="dxa"/>
            <w:tcBorders>
              <w:top w:val="nil"/>
              <w:left w:val="nil"/>
              <w:bottom w:val="single" w:sz="4" w:space="0" w:color="auto"/>
              <w:right w:val="single" w:sz="4" w:space="0" w:color="auto"/>
            </w:tcBorders>
            <w:shd w:val="clear" w:color="auto" w:fill="auto"/>
            <w:noWrap/>
            <w:vAlign w:val="bottom"/>
            <w:hideMark/>
          </w:tcPr>
          <w:p w14:paraId="78355526" w14:textId="418BF3E7" w:rsidR="007C4B50" w:rsidRPr="00AD3B0D" w:rsidRDefault="007C4B50" w:rsidP="00C9484E">
            <w:pPr>
              <w:jc w:val="right"/>
              <w:rPr>
                <w:i/>
                <w:color w:val="000000"/>
                <w:sz w:val="20"/>
                <w:szCs w:val="20"/>
              </w:rPr>
            </w:pPr>
            <w:r w:rsidRPr="00AD3B0D">
              <w:rPr>
                <w:i/>
                <w:color w:val="000000"/>
                <w:sz w:val="20"/>
                <w:szCs w:val="20"/>
              </w:rPr>
              <w:t>0,1</w:t>
            </w:r>
          </w:p>
        </w:tc>
      </w:tr>
      <w:tr w:rsidR="007C4B50" w:rsidRPr="00AD3B0D" w14:paraId="11DB0EC1" w14:textId="77777777" w:rsidTr="00AA5ABD">
        <w:trPr>
          <w:trHeight w:val="20"/>
        </w:trPr>
        <w:tc>
          <w:tcPr>
            <w:tcW w:w="3686" w:type="dxa"/>
            <w:tcBorders>
              <w:top w:val="nil"/>
              <w:left w:val="single" w:sz="4" w:space="0" w:color="auto"/>
              <w:bottom w:val="single" w:sz="4" w:space="0" w:color="auto"/>
              <w:right w:val="nil"/>
            </w:tcBorders>
            <w:shd w:val="clear" w:color="auto" w:fill="auto"/>
            <w:vAlign w:val="bottom"/>
            <w:hideMark/>
          </w:tcPr>
          <w:p w14:paraId="632F6D8B" w14:textId="77777777" w:rsidR="007C4B50" w:rsidRPr="00AD3B0D" w:rsidRDefault="007C4B50" w:rsidP="00C9484E">
            <w:pPr>
              <w:rPr>
                <w:color w:val="000000"/>
                <w:sz w:val="20"/>
                <w:szCs w:val="20"/>
              </w:rPr>
            </w:pPr>
            <w:r w:rsidRPr="00AD3B0D">
              <w:rPr>
                <w:color w:val="000000"/>
                <w:sz w:val="20"/>
                <w:szCs w:val="20"/>
              </w:rPr>
              <w:t>Культура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D8A6455" w14:textId="77777777" w:rsidR="007C4B50" w:rsidRPr="00AD3B0D" w:rsidRDefault="007C4B50" w:rsidP="00AD3B0D">
            <w:pPr>
              <w:jc w:val="both"/>
              <w:rPr>
                <w:color w:val="000000"/>
                <w:sz w:val="20"/>
                <w:szCs w:val="20"/>
              </w:rPr>
            </w:pPr>
            <w:r w:rsidRPr="00AD3B0D">
              <w:rPr>
                <w:color w:val="000000"/>
                <w:sz w:val="20"/>
                <w:szCs w:val="20"/>
              </w:rPr>
              <w:t xml:space="preserve">                53 </w:t>
            </w:r>
          </w:p>
        </w:tc>
        <w:tc>
          <w:tcPr>
            <w:tcW w:w="1701" w:type="dxa"/>
            <w:tcBorders>
              <w:top w:val="nil"/>
              <w:left w:val="nil"/>
              <w:bottom w:val="single" w:sz="4" w:space="0" w:color="auto"/>
              <w:right w:val="single" w:sz="4" w:space="0" w:color="auto"/>
            </w:tcBorders>
            <w:shd w:val="clear" w:color="auto" w:fill="auto"/>
            <w:noWrap/>
            <w:vAlign w:val="bottom"/>
            <w:hideMark/>
          </w:tcPr>
          <w:p w14:paraId="3137EDDE" w14:textId="77777777" w:rsidR="007C4B50" w:rsidRPr="00AD3B0D" w:rsidRDefault="007C4B50" w:rsidP="00AD3B0D">
            <w:pPr>
              <w:jc w:val="both"/>
              <w:rPr>
                <w:color w:val="000000"/>
                <w:sz w:val="20"/>
                <w:szCs w:val="20"/>
                <w:highlight w:val="yellow"/>
              </w:rPr>
            </w:pPr>
            <w:r w:rsidRPr="00AD3B0D">
              <w:rPr>
                <w:color w:val="000000"/>
                <w:sz w:val="20"/>
                <w:szCs w:val="20"/>
              </w:rPr>
              <w:t xml:space="preserve">                53 </w:t>
            </w:r>
          </w:p>
        </w:tc>
        <w:tc>
          <w:tcPr>
            <w:tcW w:w="1984" w:type="dxa"/>
            <w:tcBorders>
              <w:top w:val="nil"/>
              <w:left w:val="nil"/>
              <w:bottom w:val="single" w:sz="4" w:space="0" w:color="auto"/>
              <w:right w:val="single" w:sz="4" w:space="0" w:color="auto"/>
            </w:tcBorders>
            <w:shd w:val="clear" w:color="auto" w:fill="auto"/>
            <w:noWrap/>
            <w:vAlign w:val="bottom"/>
            <w:hideMark/>
          </w:tcPr>
          <w:p w14:paraId="49AD2115" w14:textId="3118B252" w:rsidR="007C4B50" w:rsidRPr="00AD3B0D" w:rsidRDefault="007C4B50" w:rsidP="00C9484E">
            <w:pPr>
              <w:jc w:val="right"/>
              <w:rPr>
                <w:i/>
                <w:color w:val="000000"/>
                <w:sz w:val="20"/>
                <w:szCs w:val="20"/>
              </w:rPr>
            </w:pPr>
            <w:r w:rsidRPr="00AD3B0D">
              <w:rPr>
                <w:i/>
                <w:color w:val="000000"/>
                <w:sz w:val="20"/>
                <w:szCs w:val="20"/>
              </w:rPr>
              <w:t>0,1</w:t>
            </w:r>
          </w:p>
        </w:tc>
      </w:tr>
      <w:tr w:rsidR="007C4B50" w:rsidRPr="00AD3B0D" w14:paraId="49879545" w14:textId="77777777" w:rsidTr="00AA5ABD">
        <w:trPr>
          <w:trHeight w:val="20"/>
        </w:trPr>
        <w:tc>
          <w:tcPr>
            <w:tcW w:w="3686" w:type="dxa"/>
            <w:tcBorders>
              <w:top w:val="nil"/>
              <w:left w:val="single" w:sz="4" w:space="0" w:color="auto"/>
              <w:bottom w:val="single" w:sz="4" w:space="0" w:color="auto"/>
              <w:right w:val="nil"/>
            </w:tcBorders>
            <w:shd w:val="clear" w:color="auto" w:fill="auto"/>
            <w:vAlign w:val="bottom"/>
            <w:hideMark/>
          </w:tcPr>
          <w:p w14:paraId="1BD1B9B6" w14:textId="77777777" w:rsidR="007C4B50" w:rsidRPr="00AD3B0D" w:rsidRDefault="007C4B50" w:rsidP="00C9484E">
            <w:pPr>
              <w:rPr>
                <w:color w:val="000000"/>
                <w:sz w:val="20"/>
                <w:szCs w:val="20"/>
              </w:rPr>
            </w:pPr>
            <w:r w:rsidRPr="00AD3B0D">
              <w:rPr>
                <w:color w:val="000000"/>
                <w:sz w:val="20"/>
                <w:szCs w:val="20"/>
              </w:rPr>
              <w:t>Жилье и городская среда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7CE4C6A" w14:textId="77777777" w:rsidR="007C4B50" w:rsidRPr="00AD3B0D" w:rsidRDefault="007C4B50" w:rsidP="00AD3B0D">
            <w:pPr>
              <w:jc w:val="both"/>
              <w:rPr>
                <w:color w:val="000000"/>
                <w:sz w:val="20"/>
                <w:szCs w:val="20"/>
              </w:rPr>
            </w:pPr>
            <w:r w:rsidRPr="00AD3B0D">
              <w:rPr>
                <w:color w:val="000000"/>
                <w:sz w:val="20"/>
                <w:szCs w:val="20"/>
              </w:rPr>
              <w:t xml:space="preserve">              403 </w:t>
            </w:r>
          </w:p>
        </w:tc>
        <w:tc>
          <w:tcPr>
            <w:tcW w:w="1701" w:type="dxa"/>
            <w:tcBorders>
              <w:top w:val="nil"/>
              <w:left w:val="nil"/>
              <w:bottom w:val="single" w:sz="4" w:space="0" w:color="auto"/>
              <w:right w:val="single" w:sz="4" w:space="0" w:color="auto"/>
            </w:tcBorders>
            <w:shd w:val="clear" w:color="auto" w:fill="auto"/>
            <w:noWrap/>
            <w:vAlign w:val="bottom"/>
            <w:hideMark/>
          </w:tcPr>
          <w:p w14:paraId="20565B6C" w14:textId="77777777" w:rsidR="007C4B50" w:rsidRPr="00AD3B0D" w:rsidRDefault="007C4B50" w:rsidP="00AD3B0D">
            <w:pPr>
              <w:jc w:val="both"/>
              <w:rPr>
                <w:color w:val="000000"/>
                <w:sz w:val="20"/>
                <w:szCs w:val="20"/>
                <w:highlight w:val="yellow"/>
              </w:rPr>
            </w:pPr>
            <w:r w:rsidRPr="00AD3B0D">
              <w:rPr>
                <w:color w:val="000000"/>
                <w:sz w:val="20"/>
                <w:szCs w:val="20"/>
              </w:rPr>
              <w:t xml:space="preserve">              403 </w:t>
            </w:r>
          </w:p>
        </w:tc>
        <w:tc>
          <w:tcPr>
            <w:tcW w:w="1984" w:type="dxa"/>
            <w:tcBorders>
              <w:top w:val="nil"/>
              <w:left w:val="nil"/>
              <w:bottom w:val="single" w:sz="4" w:space="0" w:color="auto"/>
              <w:right w:val="single" w:sz="4" w:space="0" w:color="auto"/>
            </w:tcBorders>
            <w:shd w:val="clear" w:color="auto" w:fill="auto"/>
            <w:noWrap/>
            <w:vAlign w:val="bottom"/>
            <w:hideMark/>
          </w:tcPr>
          <w:p w14:paraId="2BFDFAB4" w14:textId="1B7DBF9E" w:rsidR="007C4B50" w:rsidRPr="00AD3B0D" w:rsidRDefault="007C4B50" w:rsidP="00C9484E">
            <w:pPr>
              <w:jc w:val="right"/>
              <w:rPr>
                <w:i/>
                <w:color w:val="000000"/>
                <w:sz w:val="20"/>
                <w:szCs w:val="20"/>
              </w:rPr>
            </w:pPr>
            <w:r w:rsidRPr="00AD3B0D">
              <w:rPr>
                <w:i/>
                <w:color w:val="000000"/>
                <w:sz w:val="20"/>
                <w:szCs w:val="20"/>
              </w:rPr>
              <w:t>0,0</w:t>
            </w:r>
          </w:p>
        </w:tc>
      </w:tr>
      <w:tr w:rsidR="007C4B50" w:rsidRPr="00AD3B0D" w14:paraId="194B95B5" w14:textId="77777777" w:rsidTr="00AA5ABD">
        <w:trPr>
          <w:trHeight w:val="20"/>
        </w:trPr>
        <w:tc>
          <w:tcPr>
            <w:tcW w:w="3686" w:type="dxa"/>
            <w:tcBorders>
              <w:top w:val="nil"/>
              <w:left w:val="single" w:sz="4" w:space="0" w:color="auto"/>
              <w:bottom w:val="single" w:sz="4" w:space="0" w:color="auto"/>
              <w:right w:val="nil"/>
            </w:tcBorders>
            <w:shd w:val="clear" w:color="auto" w:fill="auto"/>
            <w:vAlign w:val="bottom"/>
            <w:hideMark/>
          </w:tcPr>
          <w:p w14:paraId="717655A6" w14:textId="77777777" w:rsidR="007C4B50" w:rsidRPr="00AD3B0D" w:rsidRDefault="007C4B50" w:rsidP="00C9484E">
            <w:pPr>
              <w:rPr>
                <w:color w:val="000000"/>
                <w:sz w:val="20"/>
                <w:szCs w:val="20"/>
              </w:rPr>
            </w:pPr>
            <w:r w:rsidRPr="00AD3B0D">
              <w:rPr>
                <w:color w:val="000000"/>
                <w:sz w:val="20"/>
                <w:szCs w:val="20"/>
              </w:rPr>
              <w:t>Производительность труда и поддержка занятости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3C0BC7C" w14:textId="77777777" w:rsidR="007C4B50" w:rsidRPr="00AD3B0D" w:rsidRDefault="007C4B50" w:rsidP="00AD3B0D">
            <w:pPr>
              <w:jc w:val="both"/>
              <w:rPr>
                <w:color w:val="000000"/>
                <w:sz w:val="20"/>
                <w:szCs w:val="20"/>
              </w:rPr>
            </w:pPr>
            <w:r w:rsidRPr="00AD3B0D">
              <w:rPr>
                <w:color w:val="000000"/>
                <w:sz w:val="20"/>
                <w:szCs w:val="20"/>
              </w:rPr>
              <w:t xml:space="preserve">                21 </w:t>
            </w:r>
          </w:p>
        </w:tc>
        <w:tc>
          <w:tcPr>
            <w:tcW w:w="1701" w:type="dxa"/>
            <w:tcBorders>
              <w:top w:val="nil"/>
              <w:left w:val="nil"/>
              <w:bottom w:val="single" w:sz="4" w:space="0" w:color="auto"/>
              <w:right w:val="single" w:sz="4" w:space="0" w:color="auto"/>
            </w:tcBorders>
            <w:shd w:val="clear" w:color="auto" w:fill="auto"/>
            <w:noWrap/>
            <w:vAlign w:val="bottom"/>
            <w:hideMark/>
          </w:tcPr>
          <w:p w14:paraId="740BD28F" w14:textId="77777777" w:rsidR="007C4B50" w:rsidRPr="00AD3B0D" w:rsidRDefault="007C4B50" w:rsidP="00AD3B0D">
            <w:pPr>
              <w:jc w:val="both"/>
              <w:rPr>
                <w:color w:val="000000"/>
                <w:sz w:val="20"/>
                <w:szCs w:val="20"/>
                <w:highlight w:val="yellow"/>
              </w:rPr>
            </w:pPr>
            <w:r w:rsidRPr="00AD3B0D">
              <w:rPr>
                <w:color w:val="000000"/>
                <w:sz w:val="20"/>
                <w:szCs w:val="20"/>
              </w:rPr>
              <w:t xml:space="preserve">                21 </w:t>
            </w:r>
          </w:p>
        </w:tc>
        <w:tc>
          <w:tcPr>
            <w:tcW w:w="1984" w:type="dxa"/>
            <w:tcBorders>
              <w:top w:val="nil"/>
              <w:left w:val="nil"/>
              <w:bottom w:val="single" w:sz="4" w:space="0" w:color="auto"/>
              <w:right w:val="single" w:sz="4" w:space="0" w:color="auto"/>
            </w:tcBorders>
            <w:shd w:val="clear" w:color="auto" w:fill="auto"/>
            <w:noWrap/>
            <w:vAlign w:val="bottom"/>
            <w:hideMark/>
          </w:tcPr>
          <w:p w14:paraId="0499BF46" w14:textId="422CE358" w:rsidR="007C4B50" w:rsidRPr="00AD3B0D" w:rsidRDefault="007C4B50" w:rsidP="00C9484E">
            <w:pPr>
              <w:jc w:val="right"/>
              <w:rPr>
                <w:i/>
                <w:color w:val="000000"/>
                <w:sz w:val="20"/>
                <w:szCs w:val="20"/>
              </w:rPr>
            </w:pPr>
            <w:r w:rsidRPr="00AD3B0D">
              <w:rPr>
                <w:i/>
                <w:color w:val="000000"/>
                <w:sz w:val="20"/>
                <w:szCs w:val="20"/>
              </w:rPr>
              <w:t>0,0</w:t>
            </w:r>
          </w:p>
        </w:tc>
      </w:tr>
      <w:tr w:rsidR="007C4B50" w:rsidRPr="00AD3B0D" w14:paraId="0238889F" w14:textId="77777777" w:rsidTr="00AA5ABD">
        <w:trPr>
          <w:trHeight w:val="20"/>
        </w:trPr>
        <w:tc>
          <w:tcPr>
            <w:tcW w:w="3686" w:type="dxa"/>
            <w:tcBorders>
              <w:top w:val="nil"/>
              <w:left w:val="single" w:sz="4" w:space="0" w:color="auto"/>
              <w:bottom w:val="single" w:sz="4" w:space="0" w:color="auto"/>
              <w:right w:val="nil"/>
            </w:tcBorders>
            <w:shd w:val="clear" w:color="auto" w:fill="auto"/>
            <w:vAlign w:val="bottom"/>
            <w:hideMark/>
          </w:tcPr>
          <w:p w14:paraId="03BAF9DA" w14:textId="77777777" w:rsidR="007C4B50" w:rsidRPr="00AD3B0D" w:rsidRDefault="007C4B50" w:rsidP="00C9484E">
            <w:pPr>
              <w:rPr>
                <w:color w:val="000000"/>
                <w:sz w:val="20"/>
                <w:szCs w:val="20"/>
              </w:rPr>
            </w:pPr>
            <w:r w:rsidRPr="00AD3B0D">
              <w:rPr>
                <w:color w:val="000000"/>
                <w:sz w:val="20"/>
                <w:szCs w:val="20"/>
              </w:rPr>
              <w:t>Малое и среднее предпринимательство и поддержка индивидуальной предпринимательской инициативы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70FE368" w14:textId="77777777" w:rsidR="007C4B50" w:rsidRPr="00AD3B0D" w:rsidRDefault="007C4B50" w:rsidP="00AD3B0D">
            <w:pPr>
              <w:jc w:val="both"/>
              <w:rPr>
                <w:color w:val="000000"/>
                <w:sz w:val="20"/>
                <w:szCs w:val="20"/>
              </w:rPr>
            </w:pPr>
            <w:r w:rsidRPr="00AD3B0D">
              <w:rPr>
                <w:color w:val="000000"/>
                <w:sz w:val="20"/>
                <w:szCs w:val="20"/>
              </w:rPr>
              <w:t xml:space="preserve">              185 </w:t>
            </w:r>
          </w:p>
        </w:tc>
        <w:tc>
          <w:tcPr>
            <w:tcW w:w="1701" w:type="dxa"/>
            <w:tcBorders>
              <w:top w:val="nil"/>
              <w:left w:val="nil"/>
              <w:bottom w:val="single" w:sz="4" w:space="0" w:color="auto"/>
              <w:right w:val="single" w:sz="4" w:space="0" w:color="auto"/>
            </w:tcBorders>
            <w:shd w:val="clear" w:color="auto" w:fill="auto"/>
            <w:noWrap/>
            <w:vAlign w:val="bottom"/>
            <w:hideMark/>
          </w:tcPr>
          <w:p w14:paraId="7793E3FF" w14:textId="77777777" w:rsidR="007C4B50" w:rsidRPr="00AD3B0D" w:rsidRDefault="007C4B50" w:rsidP="00AD3B0D">
            <w:pPr>
              <w:jc w:val="both"/>
              <w:rPr>
                <w:color w:val="000000"/>
                <w:sz w:val="20"/>
                <w:szCs w:val="20"/>
                <w:highlight w:val="yellow"/>
              </w:rPr>
            </w:pPr>
            <w:r w:rsidRPr="00AD3B0D">
              <w:rPr>
                <w:color w:val="000000"/>
                <w:sz w:val="20"/>
                <w:szCs w:val="20"/>
              </w:rPr>
              <w:t xml:space="preserve">              185 </w:t>
            </w:r>
          </w:p>
        </w:tc>
        <w:tc>
          <w:tcPr>
            <w:tcW w:w="1984" w:type="dxa"/>
            <w:tcBorders>
              <w:top w:val="nil"/>
              <w:left w:val="nil"/>
              <w:bottom w:val="single" w:sz="4" w:space="0" w:color="auto"/>
              <w:right w:val="single" w:sz="4" w:space="0" w:color="auto"/>
            </w:tcBorders>
            <w:shd w:val="clear" w:color="auto" w:fill="auto"/>
            <w:noWrap/>
            <w:vAlign w:val="bottom"/>
            <w:hideMark/>
          </w:tcPr>
          <w:p w14:paraId="7F9E97F5" w14:textId="4F1A83BB" w:rsidR="007C4B50" w:rsidRPr="00AD3B0D" w:rsidRDefault="007C4B50" w:rsidP="00C9484E">
            <w:pPr>
              <w:jc w:val="right"/>
              <w:rPr>
                <w:i/>
                <w:color w:val="000000"/>
                <w:sz w:val="20"/>
                <w:szCs w:val="20"/>
              </w:rPr>
            </w:pPr>
            <w:r w:rsidRPr="00AD3B0D">
              <w:rPr>
                <w:i/>
                <w:color w:val="000000"/>
                <w:sz w:val="20"/>
                <w:szCs w:val="20"/>
              </w:rPr>
              <w:t>-0,1</w:t>
            </w:r>
          </w:p>
        </w:tc>
      </w:tr>
      <w:tr w:rsidR="007C4B50" w:rsidRPr="00AD3B0D" w14:paraId="5E109BD9" w14:textId="77777777" w:rsidTr="00AA5ABD">
        <w:trPr>
          <w:trHeight w:val="20"/>
        </w:trPr>
        <w:tc>
          <w:tcPr>
            <w:tcW w:w="3686" w:type="dxa"/>
            <w:tcBorders>
              <w:top w:val="nil"/>
              <w:left w:val="single" w:sz="4" w:space="0" w:color="auto"/>
              <w:bottom w:val="single" w:sz="4" w:space="0" w:color="auto"/>
              <w:right w:val="nil"/>
            </w:tcBorders>
            <w:shd w:val="clear" w:color="auto" w:fill="auto"/>
            <w:vAlign w:val="bottom"/>
            <w:hideMark/>
          </w:tcPr>
          <w:p w14:paraId="4DDDDD8E" w14:textId="77777777" w:rsidR="007C4B50" w:rsidRPr="00AD3B0D" w:rsidRDefault="007C4B50" w:rsidP="00C9484E">
            <w:pPr>
              <w:rPr>
                <w:color w:val="000000"/>
                <w:sz w:val="20"/>
                <w:szCs w:val="20"/>
              </w:rPr>
            </w:pPr>
            <w:r w:rsidRPr="00AD3B0D">
              <w:rPr>
                <w:color w:val="000000"/>
                <w:sz w:val="20"/>
                <w:szCs w:val="20"/>
              </w:rPr>
              <w:t>Экология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389675B" w14:textId="77777777" w:rsidR="007C4B50" w:rsidRPr="00AD3B0D" w:rsidRDefault="007C4B50" w:rsidP="00AD3B0D">
            <w:pPr>
              <w:jc w:val="both"/>
              <w:rPr>
                <w:color w:val="000000"/>
                <w:sz w:val="20"/>
                <w:szCs w:val="20"/>
              </w:rPr>
            </w:pPr>
            <w:r w:rsidRPr="00AD3B0D">
              <w:rPr>
                <w:color w:val="000000"/>
                <w:sz w:val="20"/>
                <w:szCs w:val="20"/>
              </w:rPr>
              <w:t xml:space="preserve">              357 </w:t>
            </w:r>
          </w:p>
        </w:tc>
        <w:tc>
          <w:tcPr>
            <w:tcW w:w="1701" w:type="dxa"/>
            <w:tcBorders>
              <w:top w:val="nil"/>
              <w:left w:val="nil"/>
              <w:bottom w:val="single" w:sz="4" w:space="0" w:color="auto"/>
              <w:right w:val="single" w:sz="4" w:space="0" w:color="auto"/>
            </w:tcBorders>
            <w:shd w:val="clear" w:color="auto" w:fill="auto"/>
            <w:noWrap/>
            <w:vAlign w:val="bottom"/>
            <w:hideMark/>
          </w:tcPr>
          <w:p w14:paraId="594EE593" w14:textId="77777777" w:rsidR="007C4B50" w:rsidRPr="00AD3B0D" w:rsidRDefault="007C4B50" w:rsidP="00AD3B0D">
            <w:pPr>
              <w:jc w:val="both"/>
              <w:rPr>
                <w:color w:val="000000"/>
                <w:sz w:val="20"/>
                <w:szCs w:val="20"/>
                <w:highlight w:val="yellow"/>
              </w:rPr>
            </w:pPr>
            <w:r w:rsidRPr="00AD3B0D">
              <w:rPr>
                <w:color w:val="000000"/>
                <w:sz w:val="20"/>
                <w:szCs w:val="20"/>
              </w:rPr>
              <w:t xml:space="preserve">              363 </w:t>
            </w:r>
          </w:p>
        </w:tc>
        <w:tc>
          <w:tcPr>
            <w:tcW w:w="1984" w:type="dxa"/>
            <w:tcBorders>
              <w:top w:val="nil"/>
              <w:left w:val="nil"/>
              <w:bottom w:val="single" w:sz="4" w:space="0" w:color="auto"/>
              <w:right w:val="single" w:sz="4" w:space="0" w:color="auto"/>
            </w:tcBorders>
            <w:shd w:val="clear" w:color="auto" w:fill="auto"/>
            <w:noWrap/>
            <w:vAlign w:val="bottom"/>
            <w:hideMark/>
          </w:tcPr>
          <w:p w14:paraId="42CA183C" w14:textId="473C71D4" w:rsidR="007C4B50" w:rsidRPr="00AD3B0D" w:rsidRDefault="007C4B50" w:rsidP="00C9484E">
            <w:pPr>
              <w:jc w:val="right"/>
              <w:rPr>
                <w:i/>
                <w:color w:val="000000"/>
                <w:sz w:val="20"/>
                <w:szCs w:val="20"/>
              </w:rPr>
            </w:pPr>
            <w:r w:rsidRPr="00AD3B0D">
              <w:rPr>
                <w:i/>
                <w:color w:val="000000"/>
                <w:sz w:val="20"/>
                <w:szCs w:val="20"/>
              </w:rPr>
              <w:t>-1,5</w:t>
            </w:r>
          </w:p>
        </w:tc>
      </w:tr>
      <w:tr w:rsidR="007C4B50" w:rsidRPr="00AD3B0D" w14:paraId="39161C87" w14:textId="77777777" w:rsidTr="00AA5ABD">
        <w:trPr>
          <w:trHeight w:val="20"/>
        </w:trPr>
        <w:tc>
          <w:tcPr>
            <w:tcW w:w="3686" w:type="dxa"/>
            <w:tcBorders>
              <w:top w:val="single" w:sz="4" w:space="0" w:color="auto"/>
              <w:left w:val="single" w:sz="4" w:space="0" w:color="auto"/>
              <w:bottom w:val="single" w:sz="4" w:space="0" w:color="auto"/>
              <w:right w:val="nil"/>
            </w:tcBorders>
            <w:shd w:val="clear" w:color="auto" w:fill="auto"/>
            <w:vAlign w:val="bottom"/>
            <w:hideMark/>
          </w:tcPr>
          <w:p w14:paraId="3E37BCCF" w14:textId="77777777" w:rsidR="007C4B50" w:rsidRPr="00AD3B0D" w:rsidRDefault="007C4B50" w:rsidP="00C9484E">
            <w:pPr>
              <w:rPr>
                <w:color w:val="000000"/>
                <w:sz w:val="20"/>
                <w:szCs w:val="20"/>
              </w:rPr>
            </w:pPr>
            <w:r w:rsidRPr="00AD3B0D">
              <w:rPr>
                <w:color w:val="000000"/>
                <w:sz w:val="20"/>
                <w:szCs w:val="20"/>
              </w:rPr>
              <w:t>Международная кооперация и экспорт</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B531707" w14:textId="77777777" w:rsidR="007C4B50" w:rsidRPr="00AD3B0D" w:rsidRDefault="007C4B50" w:rsidP="00AD3B0D">
            <w:pPr>
              <w:jc w:val="both"/>
              <w:rPr>
                <w:color w:val="000000"/>
                <w:sz w:val="20"/>
                <w:szCs w:val="20"/>
              </w:rPr>
            </w:pPr>
            <w:r w:rsidRPr="00AD3B0D">
              <w:rPr>
                <w:color w:val="000000"/>
                <w:sz w:val="20"/>
                <w:szCs w:val="20"/>
              </w:rPr>
              <w:t xml:space="preserve">              418 </w:t>
            </w:r>
          </w:p>
        </w:tc>
        <w:tc>
          <w:tcPr>
            <w:tcW w:w="1701" w:type="dxa"/>
            <w:tcBorders>
              <w:top w:val="nil"/>
              <w:left w:val="nil"/>
              <w:bottom w:val="single" w:sz="4" w:space="0" w:color="auto"/>
              <w:right w:val="single" w:sz="4" w:space="0" w:color="auto"/>
            </w:tcBorders>
            <w:shd w:val="clear" w:color="auto" w:fill="auto"/>
            <w:noWrap/>
            <w:vAlign w:val="bottom"/>
            <w:hideMark/>
          </w:tcPr>
          <w:p w14:paraId="3DA772D6" w14:textId="77777777" w:rsidR="007C4B50" w:rsidRPr="00AD3B0D" w:rsidRDefault="007C4B50" w:rsidP="00AD3B0D">
            <w:pPr>
              <w:jc w:val="both"/>
              <w:rPr>
                <w:color w:val="000000"/>
                <w:sz w:val="20"/>
                <w:szCs w:val="20"/>
                <w:highlight w:val="yellow"/>
              </w:rPr>
            </w:pPr>
            <w:r w:rsidRPr="00AD3B0D">
              <w:rPr>
                <w:color w:val="000000"/>
                <w:sz w:val="20"/>
                <w:szCs w:val="20"/>
              </w:rPr>
              <w:t xml:space="preserve">              442 </w:t>
            </w:r>
          </w:p>
        </w:tc>
        <w:tc>
          <w:tcPr>
            <w:tcW w:w="1984" w:type="dxa"/>
            <w:tcBorders>
              <w:top w:val="nil"/>
              <w:left w:val="nil"/>
              <w:bottom w:val="single" w:sz="4" w:space="0" w:color="auto"/>
              <w:right w:val="single" w:sz="4" w:space="0" w:color="auto"/>
            </w:tcBorders>
            <w:shd w:val="clear" w:color="auto" w:fill="auto"/>
            <w:noWrap/>
            <w:vAlign w:val="bottom"/>
            <w:hideMark/>
          </w:tcPr>
          <w:p w14:paraId="5BED48FE" w14:textId="74E7A422" w:rsidR="007C4B50" w:rsidRPr="00AD3B0D" w:rsidRDefault="007C4B50" w:rsidP="00C9484E">
            <w:pPr>
              <w:jc w:val="right"/>
              <w:rPr>
                <w:i/>
                <w:color w:val="000000"/>
                <w:sz w:val="20"/>
                <w:szCs w:val="20"/>
              </w:rPr>
            </w:pPr>
            <w:r w:rsidRPr="00AD3B0D">
              <w:rPr>
                <w:i/>
                <w:color w:val="000000"/>
                <w:sz w:val="20"/>
                <w:szCs w:val="20"/>
              </w:rPr>
              <w:t>-5,4</w:t>
            </w:r>
          </w:p>
        </w:tc>
      </w:tr>
      <w:tr w:rsidR="007C4B50" w:rsidRPr="00AD3B0D" w14:paraId="685459D8" w14:textId="77777777" w:rsidTr="00AA5ABD">
        <w:trPr>
          <w:trHeight w:val="2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14:paraId="2051423C" w14:textId="77777777" w:rsidR="007C4B50" w:rsidRPr="00AD3B0D" w:rsidRDefault="007C4B50" w:rsidP="00C9484E">
            <w:pPr>
              <w:jc w:val="right"/>
              <w:rPr>
                <w:color w:val="000000"/>
                <w:sz w:val="20"/>
                <w:szCs w:val="20"/>
              </w:rPr>
            </w:pPr>
            <w:r w:rsidRPr="00AD3B0D">
              <w:rPr>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866AD72" w14:textId="77777777" w:rsidR="007C4B50" w:rsidRPr="00AD3B0D" w:rsidRDefault="007C4B50" w:rsidP="00AD3B0D">
            <w:pPr>
              <w:jc w:val="both"/>
              <w:rPr>
                <w:color w:val="000000"/>
                <w:sz w:val="20"/>
                <w:szCs w:val="20"/>
              </w:rPr>
            </w:pPr>
            <w:r w:rsidRPr="00AD3B0D">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618CA5A" w14:textId="77777777" w:rsidR="007C4B50" w:rsidRPr="00AD3B0D" w:rsidRDefault="007C4B50" w:rsidP="00AD3B0D">
            <w:pPr>
              <w:jc w:val="both"/>
              <w:rPr>
                <w:color w:val="000000"/>
                <w:sz w:val="20"/>
                <w:szCs w:val="20"/>
                <w:highlight w:val="yellow"/>
              </w:rPr>
            </w:pPr>
            <w:r w:rsidRPr="00AD3B0D">
              <w:rPr>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4017B3AA" w14:textId="77777777" w:rsidR="007C4B50" w:rsidRPr="00AD3B0D" w:rsidRDefault="007C4B50" w:rsidP="00C9484E">
            <w:pPr>
              <w:rPr>
                <w:i/>
                <w:color w:val="000000"/>
                <w:sz w:val="20"/>
                <w:szCs w:val="20"/>
              </w:rPr>
            </w:pPr>
            <w:r w:rsidRPr="00AD3B0D">
              <w:rPr>
                <w:i/>
                <w:color w:val="000000"/>
                <w:sz w:val="20"/>
                <w:szCs w:val="20"/>
              </w:rPr>
              <w:t> </w:t>
            </w:r>
          </w:p>
        </w:tc>
      </w:tr>
      <w:tr w:rsidR="007C4B50" w:rsidRPr="00AD3B0D" w14:paraId="7EFB93A8" w14:textId="77777777" w:rsidTr="00AA5ABD">
        <w:trPr>
          <w:trHeight w:val="20"/>
        </w:trPr>
        <w:tc>
          <w:tcPr>
            <w:tcW w:w="3686" w:type="dxa"/>
            <w:tcBorders>
              <w:top w:val="single" w:sz="4" w:space="0" w:color="auto"/>
              <w:left w:val="single" w:sz="4" w:space="0" w:color="auto"/>
              <w:bottom w:val="single" w:sz="4" w:space="0" w:color="auto"/>
              <w:right w:val="nil"/>
            </w:tcBorders>
            <w:shd w:val="clear" w:color="auto" w:fill="auto"/>
            <w:vAlign w:val="bottom"/>
            <w:hideMark/>
          </w:tcPr>
          <w:p w14:paraId="0707B28D" w14:textId="77777777" w:rsidR="007C4B50" w:rsidRPr="00600DF7" w:rsidRDefault="007C4B50" w:rsidP="00C9484E">
            <w:pPr>
              <w:rPr>
                <w:b/>
                <w:color w:val="000000"/>
                <w:sz w:val="20"/>
                <w:szCs w:val="20"/>
              </w:rPr>
            </w:pPr>
            <w:r w:rsidRPr="00600DF7">
              <w:rPr>
                <w:b/>
                <w:color w:val="000000"/>
                <w:sz w:val="20"/>
                <w:szCs w:val="20"/>
              </w:rPr>
              <w:t>ВСЕГО</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D598118" w14:textId="77777777" w:rsidR="007C4B50" w:rsidRPr="00600DF7" w:rsidRDefault="007C4B50" w:rsidP="00AD3B0D">
            <w:pPr>
              <w:jc w:val="both"/>
              <w:rPr>
                <w:b/>
                <w:color w:val="000000"/>
                <w:sz w:val="20"/>
                <w:szCs w:val="20"/>
              </w:rPr>
            </w:pPr>
            <w:r w:rsidRPr="00600DF7">
              <w:rPr>
                <w:b/>
                <w:color w:val="000000"/>
                <w:sz w:val="20"/>
                <w:szCs w:val="20"/>
              </w:rPr>
              <w:t xml:space="preserve">           6 893 </w:t>
            </w:r>
          </w:p>
        </w:tc>
        <w:tc>
          <w:tcPr>
            <w:tcW w:w="1701" w:type="dxa"/>
            <w:tcBorders>
              <w:top w:val="nil"/>
              <w:left w:val="nil"/>
              <w:bottom w:val="single" w:sz="4" w:space="0" w:color="auto"/>
              <w:right w:val="single" w:sz="4" w:space="0" w:color="auto"/>
            </w:tcBorders>
            <w:shd w:val="clear" w:color="auto" w:fill="auto"/>
            <w:noWrap/>
            <w:vAlign w:val="bottom"/>
            <w:hideMark/>
          </w:tcPr>
          <w:p w14:paraId="7DBA668F" w14:textId="77777777" w:rsidR="007C4B50" w:rsidRPr="00600DF7" w:rsidRDefault="007C4B50" w:rsidP="00AD3B0D">
            <w:pPr>
              <w:jc w:val="both"/>
              <w:rPr>
                <w:b/>
                <w:color w:val="000000"/>
                <w:sz w:val="20"/>
                <w:szCs w:val="20"/>
                <w:highlight w:val="yellow"/>
              </w:rPr>
            </w:pPr>
            <w:r w:rsidRPr="00600DF7">
              <w:rPr>
                <w:b/>
                <w:color w:val="000000"/>
                <w:sz w:val="20"/>
                <w:szCs w:val="20"/>
              </w:rPr>
              <w:t xml:space="preserve">           6 578 </w:t>
            </w:r>
          </w:p>
        </w:tc>
        <w:tc>
          <w:tcPr>
            <w:tcW w:w="1984" w:type="dxa"/>
            <w:tcBorders>
              <w:top w:val="nil"/>
              <w:left w:val="nil"/>
              <w:bottom w:val="single" w:sz="4" w:space="0" w:color="auto"/>
              <w:right w:val="single" w:sz="4" w:space="0" w:color="auto"/>
            </w:tcBorders>
            <w:shd w:val="clear" w:color="auto" w:fill="auto"/>
            <w:noWrap/>
            <w:vAlign w:val="bottom"/>
            <w:hideMark/>
          </w:tcPr>
          <w:p w14:paraId="72FD6AEA" w14:textId="7590AF8C" w:rsidR="007C4B50" w:rsidRPr="00600DF7" w:rsidRDefault="007C4B50" w:rsidP="00C9484E">
            <w:pPr>
              <w:jc w:val="right"/>
              <w:rPr>
                <w:b/>
                <w:i/>
                <w:color w:val="000000"/>
                <w:sz w:val="20"/>
                <w:szCs w:val="20"/>
              </w:rPr>
            </w:pPr>
            <w:r w:rsidRPr="00600DF7">
              <w:rPr>
                <w:b/>
                <w:i/>
                <w:color w:val="000000"/>
                <w:sz w:val="20"/>
                <w:szCs w:val="20"/>
              </w:rPr>
              <w:t>4,8</w:t>
            </w:r>
          </w:p>
        </w:tc>
      </w:tr>
    </w:tbl>
    <w:p w14:paraId="0AC2A39F" w14:textId="77777777" w:rsidR="007C4B50" w:rsidRPr="007D53C2" w:rsidRDefault="007C4B50" w:rsidP="00576B90">
      <w:pPr>
        <w:spacing w:after="60"/>
        <w:ind w:firstLine="709"/>
        <w:jc w:val="both"/>
        <w:rPr>
          <w:sz w:val="20"/>
        </w:rPr>
      </w:pPr>
      <w:r w:rsidRPr="00576B90">
        <w:rPr>
          <w:i/>
          <w:sz w:val="20"/>
        </w:rPr>
        <w:t>Источник</w:t>
      </w:r>
      <w:r w:rsidRPr="007D53C2">
        <w:rPr>
          <w:sz w:val="20"/>
        </w:rPr>
        <w:t>: приложение 14 к проекту закона «О федеральном бюджете на 2020 год и на плановый период 2021 и 2022 годов</w:t>
      </w:r>
      <w:r>
        <w:rPr>
          <w:sz w:val="20"/>
        </w:rPr>
        <w:t>»</w:t>
      </w:r>
      <w:r w:rsidRPr="007D53C2">
        <w:rPr>
          <w:sz w:val="20"/>
        </w:rPr>
        <w:t>, утвержденные президиумом Совета при Президенте Российской Федерации по стратегическому развитию и национальным проектам паспорта национальных проектов, расчеты авторов.</w:t>
      </w:r>
    </w:p>
    <w:p w14:paraId="680BB64B" w14:textId="3E75C368" w:rsidR="007C4B50" w:rsidRDefault="007C4B50" w:rsidP="00576B90">
      <w:pPr>
        <w:spacing w:after="60"/>
        <w:ind w:firstLine="709"/>
        <w:jc w:val="both"/>
      </w:pPr>
      <w:r>
        <w:t xml:space="preserve">Увеличение расходов за период 2020 – 2022 гг. запланировано по национальным проектам «Наука», «Демография», и «Безопасные и качественные автомобильные </w:t>
      </w:r>
      <w:r w:rsidR="00576B90">
        <w:t>дороги»</w:t>
      </w:r>
      <w:r w:rsidR="00576B90" w:rsidDel="001D248C">
        <w:t xml:space="preserve"> </w:t>
      </w:r>
      <w:r w:rsidR="00576B90">
        <w:t>на</w:t>
      </w:r>
      <w:r>
        <w:t xml:space="preserve"> 20,8%, 18,0% и 4,3% </w:t>
      </w:r>
      <w:r w:rsidRPr="009120C7">
        <w:t>соответственно (</w:t>
      </w:r>
      <w:r w:rsidR="009120C7" w:rsidRPr="009120C7">
        <w:rPr>
          <w:i/>
        </w:rPr>
        <w:t xml:space="preserve">таблица </w:t>
      </w:r>
      <w:r w:rsidR="00C84D38">
        <w:rPr>
          <w:i/>
          <w:noProof/>
        </w:rPr>
        <w:t>9</w:t>
      </w:r>
      <w:r w:rsidR="009120C7" w:rsidRPr="009120C7">
        <w:t>.</w:t>
      </w:r>
      <w:r w:rsidRPr="009120C7">
        <w:t>).</w:t>
      </w:r>
      <w:r>
        <w:t xml:space="preserve"> По трем национальным проектам запланировано снижение расходов федерального бюджета – «Малое и среднее предпринимательство и поддержка индивидуальной предпринимательской инициативы», «Экология» и «Международная кооперация и экспорт» на 0,1%, 1,5% и 5,4% соответственно. Значительное снижение расходов по национальному проекту «Международная кооперация и экспорт» вызывает определенные вопросы в силу значимости этого национального проекта для промышленного развития страны и роста экспортного потенциала.</w:t>
      </w:r>
    </w:p>
    <w:p w14:paraId="245D498B" w14:textId="5BD5D343" w:rsidR="007C4B50" w:rsidRDefault="007C4B50" w:rsidP="00576B90">
      <w:pPr>
        <w:spacing w:after="60"/>
        <w:ind w:firstLine="709"/>
        <w:jc w:val="both"/>
      </w:pPr>
      <w:r w:rsidRPr="000D147D">
        <w:t xml:space="preserve">Для проведения качественной </w:t>
      </w:r>
      <w:r w:rsidRPr="00172CF2">
        <w:t>оценки</w:t>
      </w:r>
      <w:r w:rsidRPr="0083601A">
        <w:t xml:space="preserve"> увеличения расходов федерального бюджета по отдельным национальным проектам необходимо рассмотреть уровень исполнения расходов на национальные проекты</w:t>
      </w:r>
      <w:r>
        <w:t xml:space="preserve"> на 1 августа 2019 года</w:t>
      </w:r>
      <w:r w:rsidRPr="000D147D">
        <w:t xml:space="preserve">, который </w:t>
      </w:r>
      <w:r w:rsidRPr="009120C7">
        <w:t xml:space="preserve">представлен в </w:t>
      </w:r>
      <w:r w:rsidRPr="009120C7">
        <w:rPr>
          <w:i/>
        </w:rPr>
        <w:t>таблице</w:t>
      </w:r>
      <w:r w:rsidR="009120C7" w:rsidRPr="009120C7">
        <w:t xml:space="preserve"> </w:t>
      </w:r>
      <w:r w:rsidR="00C84D38">
        <w:rPr>
          <w:i/>
          <w:noProof/>
        </w:rPr>
        <w:t>10</w:t>
      </w:r>
      <w:r w:rsidRPr="009120C7">
        <w:t>, а также</w:t>
      </w:r>
      <w:r w:rsidRPr="000D147D">
        <w:t xml:space="preserve"> достижение </w:t>
      </w:r>
      <w:r w:rsidRPr="00172CF2">
        <w:t xml:space="preserve">результатов и целевых показателей самих </w:t>
      </w:r>
      <w:r w:rsidRPr="00035686">
        <w:t>национальных проектов (</w:t>
      </w:r>
      <w:r w:rsidRPr="00035686">
        <w:rPr>
          <w:i/>
        </w:rPr>
        <w:t>таблица</w:t>
      </w:r>
      <w:r w:rsidRPr="00035686">
        <w:t> </w:t>
      </w:r>
      <w:r w:rsidR="00C84D38">
        <w:rPr>
          <w:i/>
          <w:noProof/>
        </w:rPr>
        <w:t>12</w:t>
      </w:r>
      <w:r w:rsidRPr="00035686">
        <w:t>).</w:t>
      </w:r>
    </w:p>
    <w:p w14:paraId="49CCD40E" w14:textId="5121E80E" w:rsidR="009120C7" w:rsidRPr="00600DF7" w:rsidRDefault="009120C7" w:rsidP="009120C7">
      <w:pPr>
        <w:spacing w:after="60"/>
        <w:jc w:val="right"/>
        <w:rPr>
          <w:i/>
        </w:rPr>
      </w:pPr>
      <w:r w:rsidRPr="00600DF7">
        <w:rPr>
          <w:i/>
        </w:rPr>
        <w:t>Таблица</w:t>
      </w:r>
      <w:r>
        <w:rPr>
          <w:i/>
        </w:rPr>
        <w:t xml:space="preserve"> </w:t>
      </w:r>
      <w:bookmarkStart w:id="20" w:name="_Ref21340830"/>
      <w:r w:rsidR="00C84D38">
        <w:rPr>
          <w:i/>
          <w:noProof/>
        </w:rPr>
        <w:t>10</w:t>
      </w:r>
      <w:bookmarkEnd w:id="20"/>
    </w:p>
    <w:p w14:paraId="29DB1B5C" w14:textId="580EC5E3" w:rsidR="007C4B50" w:rsidRPr="00576B90" w:rsidRDefault="007C4B50" w:rsidP="00576B90">
      <w:pPr>
        <w:jc w:val="center"/>
        <w:rPr>
          <w:b/>
        </w:rPr>
      </w:pPr>
      <w:r w:rsidRPr="00576B90">
        <w:rPr>
          <w:b/>
        </w:rPr>
        <w:t>Уровень исполнения расходов федерального бюджета на национальные проекты на 1 августа 2019</w:t>
      </w:r>
    </w:p>
    <w:tbl>
      <w:tblPr>
        <w:tblW w:w="8925" w:type="dxa"/>
        <w:tblLayout w:type="fixed"/>
        <w:tblLook w:val="04A0" w:firstRow="1" w:lastRow="0" w:firstColumn="1" w:lastColumn="0" w:noHBand="0" w:noVBand="1"/>
      </w:tblPr>
      <w:tblGrid>
        <w:gridCol w:w="4106"/>
        <w:gridCol w:w="1701"/>
        <w:gridCol w:w="1701"/>
        <w:gridCol w:w="1417"/>
      </w:tblGrid>
      <w:tr w:rsidR="00F2010B" w:rsidRPr="00AD3B0D" w14:paraId="591F6C2F" w14:textId="77777777" w:rsidTr="00047FF0">
        <w:trPr>
          <w:trHeight w:val="20"/>
          <w:tblHead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93160" w14:textId="77777777" w:rsidR="00F2010B" w:rsidRPr="00AD3B0D" w:rsidRDefault="00F2010B" w:rsidP="00576B90">
            <w:pPr>
              <w:jc w:val="center"/>
              <w:rPr>
                <w:b/>
                <w:color w:val="000000"/>
                <w:sz w:val="20"/>
                <w:szCs w:val="20"/>
              </w:rPr>
            </w:pPr>
            <w:r w:rsidRPr="00AD3B0D">
              <w:rPr>
                <w:b/>
                <w:color w:val="000000"/>
                <w:sz w:val="20"/>
                <w:szCs w:val="20"/>
              </w:rPr>
              <w:t>Национальный проект (программа)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0F80717" w14:textId="13A77138" w:rsidR="00F2010B" w:rsidRPr="00AD3B0D" w:rsidRDefault="00F2010B" w:rsidP="00576B90">
            <w:pPr>
              <w:jc w:val="center"/>
              <w:rPr>
                <w:b/>
                <w:color w:val="000000"/>
                <w:sz w:val="20"/>
                <w:szCs w:val="20"/>
              </w:rPr>
            </w:pPr>
            <w:r w:rsidRPr="00AD3B0D">
              <w:rPr>
                <w:b/>
                <w:color w:val="000000"/>
                <w:sz w:val="20"/>
                <w:szCs w:val="20"/>
              </w:rPr>
              <w:t>Запланировано на 2019 г., млрд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634E7AD" w14:textId="3627C143" w:rsidR="00F2010B" w:rsidRPr="00AD3B0D" w:rsidRDefault="00F2010B" w:rsidP="00576B90">
            <w:pPr>
              <w:jc w:val="center"/>
              <w:rPr>
                <w:b/>
                <w:color w:val="000000"/>
                <w:sz w:val="20"/>
                <w:szCs w:val="20"/>
              </w:rPr>
            </w:pPr>
            <w:r w:rsidRPr="00AD3B0D">
              <w:rPr>
                <w:b/>
                <w:color w:val="000000"/>
                <w:sz w:val="20"/>
                <w:szCs w:val="20"/>
              </w:rPr>
              <w:t>Израсходовано на 01 августа 2019 г., млрд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5026D14" w14:textId="77777777" w:rsidR="00F2010B" w:rsidRPr="00AD3B0D" w:rsidRDefault="00F2010B" w:rsidP="00B85580">
            <w:pPr>
              <w:jc w:val="center"/>
              <w:rPr>
                <w:b/>
                <w:i/>
                <w:color w:val="000000"/>
                <w:sz w:val="20"/>
                <w:szCs w:val="20"/>
              </w:rPr>
            </w:pPr>
            <w:r w:rsidRPr="00AD3B0D">
              <w:rPr>
                <w:b/>
                <w:i/>
                <w:color w:val="000000"/>
                <w:sz w:val="20"/>
                <w:szCs w:val="20"/>
              </w:rPr>
              <w:t>Исполнение бюджетных расходов, %</w:t>
            </w:r>
          </w:p>
        </w:tc>
      </w:tr>
      <w:tr w:rsidR="00F2010B" w:rsidRPr="00AD3B0D" w14:paraId="3D3AD0AE" w14:textId="77777777" w:rsidTr="00047FF0">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631B3" w14:textId="77777777" w:rsidR="00F2010B" w:rsidRPr="00AD3B0D" w:rsidRDefault="00F2010B" w:rsidP="00C9484E">
            <w:pPr>
              <w:rPr>
                <w:color w:val="000000"/>
                <w:sz w:val="20"/>
                <w:szCs w:val="20"/>
              </w:rPr>
            </w:pPr>
            <w:r w:rsidRPr="00AD3B0D">
              <w:rPr>
                <w:color w:val="000000"/>
                <w:sz w:val="20"/>
                <w:szCs w:val="20"/>
              </w:rPr>
              <w:t>Демография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82D65B6" w14:textId="77777777" w:rsidR="00F2010B" w:rsidRPr="00AD3B0D" w:rsidRDefault="00F2010B" w:rsidP="008A699D">
            <w:pPr>
              <w:rPr>
                <w:color w:val="000000"/>
                <w:sz w:val="20"/>
                <w:szCs w:val="20"/>
              </w:rPr>
            </w:pPr>
            <w:r w:rsidRPr="00AD3B0D">
              <w:rPr>
                <w:color w:val="000000"/>
                <w:sz w:val="20"/>
                <w:szCs w:val="20"/>
              </w:rPr>
              <w:t>526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0A3CE1B" w14:textId="77777777" w:rsidR="00F2010B" w:rsidRPr="00AD3B0D" w:rsidRDefault="00F2010B">
            <w:pPr>
              <w:rPr>
                <w:color w:val="000000"/>
                <w:sz w:val="20"/>
                <w:szCs w:val="20"/>
              </w:rPr>
            </w:pPr>
            <w:r w:rsidRPr="00AD3B0D">
              <w:rPr>
                <w:color w:val="000000"/>
                <w:sz w:val="20"/>
                <w:szCs w:val="20"/>
              </w:rPr>
              <w:t>311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90FC665" w14:textId="1B150542" w:rsidR="00F2010B" w:rsidRPr="00AD3B0D" w:rsidRDefault="00F2010B" w:rsidP="00B85580">
            <w:pPr>
              <w:jc w:val="right"/>
              <w:rPr>
                <w:i/>
                <w:color w:val="000000"/>
                <w:sz w:val="20"/>
                <w:szCs w:val="20"/>
              </w:rPr>
            </w:pPr>
            <w:r w:rsidRPr="00AD3B0D">
              <w:rPr>
                <w:i/>
                <w:color w:val="000000"/>
                <w:sz w:val="20"/>
                <w:szCs w:val="20"/>
              </w:rPr>
              <w:t>59,1</w:t>
            </w:r>
          </w:p>
        </w:tc>
      </w:tr>
      <w:tr w:rsidR="00F2010B" w:rsidRPr="00AD3B0D" w14:paraId="4D19E421" w14:textId="77777777" w:rsidTr="00047FF0">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481B3" w14:textId="77777777" w:rsidR="00F2010B" w:rsidRPr="00AD3B0D" w:rsidRDefault="00F2010B" w:rsidP="00C9484E">
            <w:pPr>
              <w:rPr>
                <w:color w:val="000000"/>
                <w:sz w:val="20"/>
                <w:szCs w:val="20"/>
              </w:rPr>
            </w:pPr>
            <w:r w:rsidRPr="00AD3B0D">
              <w:rPr>
                <w:color w:val="000000"/>
                <w:sz w:val="20"/>
                <w:szCs w:val="20"/>
              </w:rPr>
              <w:t>Здравоохранение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ED06560" w14:textId="77777777" w:rsidR="00F2010B" w:rsidRPr="00AD3B0D" w:rsidRDefault="00F2010B" w:rsidP="008A699D">
            <w:pPr>
              <w:rPr>
                <w:color w:val="000000"/>
                <w:sz w:val="20"/>
                <w:szCs w:val="20"/>
              </w:rPr>
            </w:pPr>
            <w:r w:rsidRPr="00AD3B0D">
              <w:rPr>
                <w:color w:val="000000"/>
                <w:sz w:val="20"/>
                <w:szCs w:val="20"/>
              </w:rPr>
              <w:t>160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BCDFA4D" w14:textId="77777777" w:rsidR="00F2010B" w:rsidRPr="00AD3B0D" w:rsidRDefault="00F2010B">
            <w:pPr>
              <w:rPr>
                <w:color w:val="000000"/>
                <w:sz w:val="20"/>
                <w:szCs w:val="20"/>
              </w:rPr>
            </w:pPr>
            <w:r w:rsidRPr="00AD3B0D">
              <w:rPr>
                <w:color w:val="000000"/>
                <w:sz w:val="20"/>
                <w:szCs w:val="20"/>
              </w:rPr>
              <w:t>92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FC5AA10" w14:textId="10776502" w:rsidR="00F2010B" w:rsidRPr="00AD3B0D" w:rsidRDefault="00F2010B" w:rsidP="00B85580">
            <w:pPr>
              <w:jc w:val="right"/>
              <w:rPr>
                <w:i/>
                <w:color w:val="000000"/>
                <w:sz w:val="20"/>
                <w:szCs w:val="20"/>
              </w:rPr>
            </w:pPr>
            <w:r w:rsidRPr="00AD3B0D">
              <w:rPr>
                <w:i/>
                <w:color w:val="000000"/>
                <w:sz w:val="20"/>
                <w:szCs w:val="20"/>
              </w:rPr>
              <w:t>57,6</w:t>
            </w:r>
          </w:p>
        </w:tc>
      </w:tr>
      <w:tr w:rsidR="00F2010B" w:rsidRPr="00AD3B0D" w14:paraId="59D474E6" w14:textId="77777777" w:rsidTr="00047FF0">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1A84B" w14:textId="77777777" w:rsidR="00F2010B" w:rsidRPr="00AD3B0D" w:rsidRDefault="00F2010B" w:rsidP="00C9484E">
            <w:pPr>
              <w:rPr>
                <w:color w:val="000000"/>
                <w:sz w:val="20"/>
                <w:szCs w:val="20"/>
              </w:rPr>
            </w:pPr>
            <w:r w:rsidRPr="00AD3B0D">
              <w:rPr>
                <w:color w:val="000000"/>
                <w:sz w:val="20"/>
                <w:szCs w:val="20"/>
              </w:rPr>
              <w:t>Наука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B22B13" w14:textId="77777777" w:rsidR="00F2010B" w:rsidRPr="00AD3B0D" w:rsidRDefault="00F2010B" w:rsidP="008A699D">
            <w:pPr>
              <w:rPr>
                <w:color w:val="000000"/>
                <w:sz w:val="20"/>
                <w:szCs w:val="20"/>
              </w:rPr>
            </w:pPr>
            <w:r w:rsidRPr="00AD3B0D">
              <w:rPr>
                <w:color w:val="000000"/>
                <w:sz w:val="20"/>
                <w:szCs w:val="20"/>
              </w:rPr>
              <w:t>37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2B4C0C" w14:textId="77777777" w:rsidR="00F2010B" w:rsidRPr="00AD3B0D" w:rsidRDefault="00F2010B">
            <w:pPr>
              <w:rPr>
                <w:color w:val="000000"/>
                <w:sz w:val="20"/>
                <w:szCs w:val="20"/>
              </w:rPr>
            </w:pPr>
            <w:r w:rsidRPr="00AD3B0D">
              <w:rPr>
                <w:color w:val="000000"/>
                <w:sz w:val="20"/>
                <w:szCs w:val="20"/>
              </w:rPr>
              <w:t>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F0B915D" w14:textId="7C0F5C3E" w:rsidR="00F2010B" w:rsidRPr="00AD3B0D" w:rsidRDefault="00F2010B" w:rsidP="00B85580">
            <w:pPr>
              <w:jc w:val="right"/>
              <w:rPr>
                <w:i/>
                <w:color w:val="000000"/>
                <w:sz w:val="20"/>
                <w:szCs w:val="20"/>
              </w:rPr>
            </w:pPr>
            <w:r w:rsidRPr="00AD3B0D">
              <w:rPr>
                <w:i/>
                <w:color w:val="000000"/>
                <w:sz w:val="20"/>
                <w:szCs w:val="20"/>
              </w:rPr>
              <w:t>46,2</w:t>
            </w:r>
          </w:p>
        </w:tc>
      </w:tr>
      <w:tr w:rsidR="00F2010B" w:rsidRPr="00AD3B0D" w14:paraId="127DC436" w14:textId="77777777" w:rsidTr="00047FF0">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58CC5" w14:textId="77777777" w:rsidR="00F2010B" w:rsidRPr="00AD3B0D" w:rsidRDefault="00F2010B" w:rsidP="00C9484E">
            <w:pPr>
              <w:rPr>
                <w:color w:val="000000"/>
                <w:sz w:val="20"/>
                <w:szCs w:val="20"/>
              </w:rPr>
            </w:pPr>
            <w:r w:rsidRPr="00AD3B0D">
              <w:rPr>
                <w:color w:val="000000"/>
                <w:sz w:val="20"/>
                <w:szCs w:val="20"/>
              </w:rPr>
              <w:t>Культура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2464D03" w14:textId="77777777" w:rsidR="00F2010B" w:rsidRPr="00AD3B0D" w:rsidRDefault="00F2010B" w:rsidP="008A699D">
            <w:pPr>
              <w:rPr>
                <w:color w:val="000000"/>
                <w:sz w:val="20"/>
                <w:szCs w:val="20"/>
              </w:rPr>
            </w:pPr>
            <w:r w:rsidRPr="00AD3B0D">
              <w:rPr>
                <w:color w:val="000000"/>
                <w:sz w:val="20"/>
                <w:szCs w:val="20"/>
              </w:rPr>
              <w:t>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E055811" w14:textId="77777777" w:rsidR="00F2010B" w:rsidRPr="00AD3B0D" w:rsidRDefault="00F2010B">
            <w:pPr>
              <w:rPr>
                <w:color w:val="000000"/>
                <w:sz w:val="20"/>
                <w:szCs w:val="20"/>
              </w:rPr>
            </w:pPr>
            <w:r w:rsidRPr="00AD3B0D">
              <w:rPr>
                <w:color w:val="000000"/>
                <w:sz w:val="20"/>
                <w:szCs w:val="20"/>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BE2427" w14:textId="236F985F" w:rsidR="00F2010B" w:rsidRPr="00AD3B0D" w:rsidRDefault="00F2010B" w:rsidP="00B85580">
            <w:pPr>
              <w:jc w:val="right"/>
              <w:rPr>
                <w:i/>
                <w:color w:val="000000"/>
                <w:sz w:val="20"/>
                <w:szCs w:val="20"/>
              </w:rPr>
            </w:pPr>
            <w:r w:rsidRPr="00AD3B0D">
              <w:rPr>
                <w:i/>
                <w:color w:val="000000"/>
                <w:sz w:val="20"/>
                <w:szCs w:val="20"/>
              </w:rPr>
              <w:t>43,3</w:t>
            </w:r>
          </w:p>
        </w:tc>
      </w:tr>
      <w:tr w:rsidR="00F2010B" w:rsidRPr="00AD3B0D" w14:paraId="1B614AF0" w14:textId="77777777" w:rsidTr="00047FF0">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D0F80" w14:textId="77777777" w:rsidR="00F2010B" w:rsidRPr="00AD3B0D" w:rsidRDefault="00F2010B" w:rsidP="00C9484E">
            <w:pPr>
              <w:rPr>
                <w:color w:val="000000"/>
                <w:sz w:val="20"/>
                <w:szCs w:val="20"/>
              </w:rPr>
            </w:pPr>
            <w:r w:rsidRPr="00AD3B0D">
              <w:rPr>
                <w:color w:val="000000"/>
                <w:sz w:val="20"/>
                <w:szCs w:val="20"/>
              </w:rPr>
              <w:t>Образование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4A89112" w14:textId="77777777" w:rsidR="00F2010B" w:rsidRPr="00AD3B0D" w:rsidRDefault="00F2010B" w:rsidP="008A699D">
            <w:pPr>
              <w:rPr>
                <w:color w:val="000000"/>
                <w:sz w:val="20"/>
                <w:szCs w:val="20"/>
              </w:rPr>
            </w:pPr>
            <w:r w:rsidRPr="00AD3B0D">
              <w:rPr>
                <w:color w:val="000000"/>
                <w:sz w:val="20"/>
                <w:szCs w:val="20"/>
              </w:rPr>
              <w:t>105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1D224D8" w14:textId="77777777" w:rsidR="00F2010B" w:rsidRPr="00AD3B0D" w:rsidRDefault="00F2010B">
            <w:pPr>
              <w:rPr>
                <w:color w:val="000000"/>
                <w:sz w:val="20"/>
                <w:szCs w:val="20"/>
              </w:rPr>
            </w:pPr>
            <w:r w:rsidRPr="00AD3B0D">
              <w:rPr>
                <w:color w:val="000000"/>
                <w:sz w:val="20"/>
                <w:szCs w:val="20"/>
              </w:rPr>
              <w:t>46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541E0FF" w14:textId="154578CE" w:rsidR="00F2010B" w:rsidRPr="00AD3B0D" w:rsidRDefault="00F2010B" w:rsidP="00B85580">
            <w:pPr>
              <w:jc w:val="right"/>
              <w:rPr>
                <w:i/>
                <w:color w:val="000000"/>
                <w:sz w:val="20"/>
                <w:szCs w:val="20"/>
              </w:rPr>
            </w:pPr>
            <w:r w:rsidRPr="00AD3B0D">
              <w:rPr>
                <w:i/>
                <w:color w:val="000000"/>
                <w:sz w:val="20"/>
                <w:szCs w:val="20"/>
              </w:rPr>
              <w:t>43,2</w:t>
            </w:r>
          </w:p>
        </w:tc>
      </w:tr>
      <w:tr w:rsidR="00F2010B" w:rsidRPr="00AD3B0D" w14:paraId="4B85D698" w14:textId="77777777" w:rsidTr="00047FF0">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4AAC8" w14:textId="77777777" w:rsidR="00F2010B" w:rsidRPr="00AD3B0D" w:rsidRDefault="00F2010B" w:rsidP="00C9484E">
            <w:pPr>
              <w:rPr>
                <w:color w:val="000000"/>
                <w:sz w:val="20"/>
                <w:szCs w:val="20"/>
              </w:rPr>
            </w:pPr>
            <w:r w:rsidRPr="00AD3B0D">
              <w:rPr>
                <w:color w:val="000000"/>
                <w:sz w:val="20"/>
                <w:szCs w:val="20"/>
              </w:rPr>
              <w:t>Жилье и городская среда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298B371" w14:textId="77777777" w:rsidR="00F2010B" w:rsidRPr="00AD3B0D" w:rsidRDefault="00F2010B" w:rsidP="008A699D">
            <w:pPr>
              <w:rPr>
                <w:color w:val="000000"/>
                <w:sz w:val="20"/>
                <w:szCs w:val="20"/>
              </w:rPr>
            </w:pPr>
            <w:r w:rsidRPr="00AD3B0D">
              <w:rPr>
                <w:color w:val="000000"/>
                <w:sz w:val="20"/>
                <w:szCs w:val="20"/>
              </w:rPr>
              <w:t>105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728C865" w14:textId="77777777" w:rsidR="00F2010B" w:rsidRPr="00AD3B0D" w:rsidRDefault="00F2010B">
            <w:pPr>
              <w:rPr>
                <w:color w:val="000000"/>
                <w:sz w:val="20"/>
                <w:szCs w:val="20"/>
              </w:rPr>
            </w:pPr>
            <w:r w:rsidRPr="00AD3B0D">
              <w:rPr>
                <w:color w:val="000000"/>
                <w:sz w:val="20"/>
                <w:szCs w:val="20"/>
              </w:rPr>
              <w:t>44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1F5BDFA" w14:textId="76829351" w:rsidR="00F2010B" w:rsidRPr="00AD3B0D" w:rsidRDefault="00F2010B" w:rsidP="00B85580">
            <w:pPr>
              <w:jc w:val="right"/>
              <w:rPr>
                <w:i/>
                <w:color w:val="000000"/>
                <w:sz w:val="20"/>
                <w:szCs w:val="20"/>
              </w:rPr>
            </w:pPr>
            <w:r w:rsidRPr="00AD3B0D">
              <w:rPr>
                <w:i/>
                <w:color w:val="000000"/>
                <w:sz w:val="20"/>
                <w:szCs w:val="20"/>
              </w:rPr>
              <w:t>41,5</w:t>
            </w:r>
          </w:p>
        </w:tc>
      </w:tr>
      <w:tr w:rsidR="00F2010B" w:rsidRPr="00AD3B0D" w14:paraId="3881B7BF" w14:textId="77777777" w:rsidTr="00047FF0">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65697" w14:textId="77777777" w:rsidR="00F2010B" w:rsidRPr="00AD3B0D" w:rsidRDefault="00F2010B" w:rsidP="00C9484E">
            <w:pPr>
              <w:rPr>
                <w:color w:val="000000"/>
                <w:sz w:val="20"/>
                <w:szCs w:val="20"/>
              </w:rPr>
            </w:pPr>
            <w:r w:rsidRPr="00AD3B0D">
              <w:rPr>
                <w:color w:val="000000"/>
                <w:sz w:val="20"/>
                <w:szCs w:val="20"/>
              </w:rPr>
              <w:t>Малое и среднее предпринимательство и поддержка индивидуальной предпринимательской инициативы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4B4D9BE" w14:textId="77777777" w:rsidR="00F2010B" w:rsidRPr="00AD3B0D" w:rsidRDefault="00F2010B" w:rsidP="008A699D">
            <w:pPr>
              <w:rPr>
                <w:color w:val="000000"/>
                <w:sz w:val="20"/>
                <w:szCs w:val="20"/>
              </w:rPr>
            </w:pPr>
            <w:r w:rsidRPr="00AD3B0D">
              <w:rPr>
                <w:color w:val="000000"/>
                <w:sz w:val="20"/>
                <w:szCs w:val="20"/>
              </w:rPr>
              <w:t>66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911FD4E" w14:textId="77777777" w:rsidR="00F2010B" w:rsidRPr="00AD3B0D" w:rsidRDefault="00F2010B">
            <w:pPr>
              <w:rPr>
                <w:color w:val="000000"/>
                <w:sz w:val="20"/>
                <w:szCs w:val="20"/>
              </w:rPr>
            </w:pPr>
            <w:r w:rsidRPr="00AD3B0D">
              <w:rPr>
                <w:color w:val="000000"/>
                <w:sz w:val="20"/>
                <w:szCs w:val="20"/>
              </w:rPr>
              <w:t>27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F2C107F" w14:textId="4F4E4B2E" w:rsidR="00F2010B" w:rsidRPr="00AD3B0D" w:rsidRDefault="00F2010B" w:rsidP="00B85580">
            <w:pPr>
              <w:jc w:val="right"/>
              <w:rPr>
                <w:i/>
                <w:color w:val="000000"/>
                <w:sz w:val="20"/>
                <w:szCs w:val="20"/>
              </w:rPr>
            </w:pPr>
            <w:r w:rsidRPr="00AD3B0D">
              <w:rPr>
                <w:i/>
                <w:color w:val="000000"/>
                <w:sz w:val="20"/>
                <w:szCs w:val="20"/>
              </w:rPr>
              <w:t>40,4</w:t>
            </w:r>
          </w:p>
        </w:tc>
      </w:tr>
      <w:tr w:rsidR="00F2010B" w:rsidRPr="00AD3B0D" w14:paraId="4538558E" w14:textId="77777777" w:rsidTr="00047FF0">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2EB88" w14:textId="77777777" w:rsidR="00F2010B" w:rsidRPr="00AD3B0D" w:rsidRDefault="00F2010B" w:rsidP="00C9484E">
            <w:pPr>
              <w:rPr>
                <w:color w:val="000000"/>
                <w:sz w:val="20"/>
                <w:szCs w:val="20"/>
              </w:rPr>
            </w:pPr>
            <w:r w:rsidRPr="00AD3B0D">
              <w:rPr>
                <w:color w:val="000000"/>
                <w:sz w:val="20"/>
                <w:szCs w:val="20"/>
              </w:rPr>
              <w:t>Международная кооперация и экспорт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AC2B5BE" w14:textId="77777777" w:rsidR="00F2010B" w:rsidRPr="00AD3B0D" w:rsidRDefault="00F2010B" w:rsidP="008A699D">
            <w:pPr>
              <w:rPr>
                <w:color w:val="000000"/>
                <w:sz w:val="20"/>
                <w:szCs w:val="20"/>
              </w:rPr>
            </w:pPr>
            <w:r w:rsidRPr="00AD3B0D">
              <w:rPr>
                <w:color w:val="000000"/>
                <w:sz w:val="20"/>
                <w:szCs w:val="20"/>
              </w:rPr>
              <w:t>86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C32519" w14:textId="77777777" w:rsidR="00F2010B" w:rsidRPr="00AD3B0D" w:rsidRDefault="00F2010B">
            <w:pPr>
              <w:rPr>
                <w:color w:val="000000"/>
                <w:sz w:val="20"/>
                <w:szCs w:val="20"/>
              </w:rPr>
            </w:pPr>
            <w:r w:rsidRPr="00AD3B0D">
              <w:rPr>
                <w:color w:val="000000"/>
                <w:sz w:val="20"/>
                <w:szCs w:val="20"/>
              </w:rPr>
              <w:t>33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4CF713F" w14:textId="6A1710D4" w:rsidR="00F2010B" w:rsidRPr="00AD3B0D" w:rsidRDefault="00F2010B" w:rsidP="00B85580">
            <w:pPr>
              <w:jc w:val="right"/>
              <w:rPr>
                <w:i/>
                <w:color w:val="000000"/>
                <w:sz w:val="20"/>
                <w:szCs w:val="20"/>
              </w:rPr>
            </w:pPr>
            <w:r w:rsidRPr="00AD3B0D">
              <w:rPr>
                <w:i/>
                <w:color w:val="000000"/>
                <w:sz w:val="20"/>
                <w:szCs w:val="20"/>
              </w:rPr>
              <w:t>38,7</w:t>
            </w:r>
          </w:p>
        </w:tc>
      </w:tr>
      <w:tr w:rsidR="00F2010B" w:rsidRPr="00AD3B0D" w14:paraId="0FE2F4EF" w14:textId="77777777" w:rsidTr="00047FF0">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6EFFF" w14:textId="77777777" w:rsidR="00F2010B" w:rsidRPr="00AD3B0D" w:rsidRDefault="00F2010B" w:rsidP="00C9484E">
            <w:pPr>
              <w:rPr>
                <w:color w:val="000000"/>
                <w:sz w:val="20"/>
                <w:szCs w:val="20"/>
              </w:rPr>
            </w:pPr>
            <w:r w:rsidRPr="00AD3B0D">
              <w:rPr>
                <w:color w:val="000000"/>
                <w:sz w:val="20"/>
                <w:szCs w:val="20"/>
              </w:rPr>
              <w:t>Комплексный план модернизации инфраструктуры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FA1C115" w14:textId="77777777" w:rsidR="00F2010B" w:rsidRPr="00AD3B0D" w:rsidRDefault="00F2010B" w:rsidP="008A699D">
            <w:pPr>
              <w:rPr>
                <w:color w:val="000000"/>
                <w:sz w:val="20"/>
                <w:szCs w:val="20"/>
              </w:rPr>
            </w:pPr>
            <w:r w:rsidRPr="00AD3B0D">
              <w:rPr>
                <w:color w:val="000000"/>
                <w:sz w:val="20"/>
                <w:szCs w:val="20"/>
              </w:rPr>
              <w:t>378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B792C5A" w14:textId="77777777" w:rsidR="00F2010B" w:rsidRPr="00AD3B0D" w:rsidRDefault="00F2010B">
            <w:pPr>
              <w:rPr>
                <w:color w:val="000000"/>
                <w:sz w:val="20"/>
                <w:szCs w:val="20"/>
              </w:rPr>
            </w:pPr>
            <w:r w:rsidRPr="00AD3B0D">
              <w:rPr>
                <w:color w:val="000000"/>
                <w:sz w:val="20"/>
                <w:szCs w:val="20"/>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9C82FE9" w14:textId="5E01AAE0" w:rsidR="00F2010B" w:rsidRPr="00AD3B0D" w:rsidRDefault="00F2010B" w:rsidP="00B85580">
            <w:pPr>
              <w:jc w:val="right"/>
              <w:rPr>
                <w:i/>
                <w:color w:val="000000"/>
                <w:sz w:val="20"/>
                <w:szCs w:val="20"/>
              </w:rPr>
            </w:pPr>
            <w:r w:rsidRPr="00AD3B0D">
              <w:rPr>
                <w:i/>
                <w:color w:val="000000"/>
                <w:sz w:val="20"/>
                <w:szCs w:val="20"/>
              </w:rPr>
              <w:t>26,5</w:t>
            </w:r>
          </w:p>
        </w:tc>
      </w:tr>
      <w:tr w:rsidR="00F2010B" w:rsidRPr="00AD3B0D" w14:paraId="3E55D00F" w14:textId="77777777" w:rsidTr="00047FF0">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B2EE6" w14:textId="77777777" w:rsidR="00F2010B" w:rsidRPr="00AD3B0D" w:rsidRDefault="00F2010B" w:rsidP="00C9484E">
            <w:pPr>
              <w:rPr>
                <w:color w:val="000000"/>
                <w:sz w:val="20"/>
                <w:szCs w:val="20"/>
              </w:rPr>
            </w:pPr>
            <w:r w:rsidRPr="00AD3B0D">
              <w:rPr>
                <w:color w:val="000000"/>
                <w:sz w:val="20"/>
                <w:szCs w:val="20"/>
              </w:rPr>
              <w:t>Производительность труда и поддержка занятости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3A2D844" w14:textId="77777777" w:rsidR="00F2010B" w:rsidRPr="00AD3B0D" w:rsidRDefault="00F2010B" w:rsidP="008A699D">
            <w:pPr>
              <w:rPr>
                <w:color w:val="000000"/>
                <w:sz w:val="20"/>
                <w:szCs w:val="20"/>
              </w:rPr>
            </w:pPr>
            <w:r w:rsidRPr="00AD3B0D">
              <w:rPr>
                <w:color w:val="000000"/>
                <w:sz w:val="20"/>
                <w:szCs w:val="20"/>
              </w:rPr>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94F70B5" w14:textId="77777777" w:rsidR="00F2010B" w:rsidRPr="00AD3B0D" w:rsidRDefault="00F2010B">
            <w:pPr>
              <w:rPr>
                <w:color w:val="000000"/>
                <w:sz w:val="20"/>
                <w:szCs w:val="20"/>
              </w:rPr>
            </w:pPr>
            <w:r w:rsidRPr="00AD3B0D">
              <w:rPr>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FE13908" w14:textId="3F034463" w:rsidR="00F2010B" w:rsidRPr="00AD3B0D" w:rsidRDefault="00F2010B" w:rsidP="00B85580">
            <w:pPr>
              <w:jc w:val="right"/>
              <w:rPr>
                <w:i/>
                <w:color w:val="000000"/>
                <w:sz w:val="20"/>
                <w:szCs w:val="20"/>
              </w:rPr>
            </w:pPr>
            <w:r w:rsidRPr="00AD3B0D">
              <w:rPr>
                <w:i/>
                <w:color w:val="000000"/>
                <w:sz w:val="20"/>
                <w:szCs w:val="20"/>
              </w:rPr>
              <w:t>23,9</w:t>
            </w:r>
          </w:p>
        </w:tc>
      </w:tr>
      <w:tr w:rsidR="00F2010B" w:rsidRPr="00AD3B0D" w14:paraId="2054817A" w14:textId="77777777" w:rsidTr="00047FF0">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B955B" w14:textId="77777777" w:rsidR="00F2010B" w:rsidRPr="00AD3B0D" w:rsidRDefault="00F2010B" w:rsidP="00C9484E">
            <w:pPr>
              <w:rPr>
                <w:color w:val="000000"/>
                <w:sz w:val="20"/>
                <w:szCs w:val="20"/>
              </w:rPr>
            </w:pPr>
            <w:r w:rsidRPr="00AD3B0D">
              <w:rPr>
                <w:color w:val="000000"/>
                <w:sz w:val="20"/>
                <w:szCs w:val="20"/>
              </w:rPr>
              <w:t>Безопасные и качественные автомобильные дороги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63DAFF5" w14:textId="77777777" w:rsidR="00F2010B" w:rsidRPr="00AD3B0D" w:rsidRDefault="00F2010B" w:rsidP="008A699D">
            <w:pPr>
              <w:rPr>
                <w:color w:val="000000"/>
                <w:sz w:val="20"/>
                <w:szCs w:val="20"/>
              </w:rPr>
            </w:pPr>
            <w:r w:rsidRPr="00AD3B0D">
              <w:rPr>
                <w:color w:val="000000"/>
                <w:sz w:val="20"/>
                <w:szCs w:val="20"/>
              </w:rPr>
              <w:t>130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7941310" w14:textId="77777777" w:rsidR="00F2010B" w:rsidRPr="00AD3B0D" w:rsidRDefault="00F2010B">
            <w:pPr>
              <w:rPr>
                <w:color w:val="000000"/>
                <w:sz w:val="20"/>
                <w:szCs w:val="20"/>
              </w:rPr>
            </w:pPr>
            <w:r w:rsidRPr="00AD3B0D">
              <w:rPr>
                <w:color w:val="000000"/>
                <w:sz w:val="20"/>
                <w:szCs w:val="20"/>
              </w:rPr>
              <w:t>31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02681F6" w14:textId="2BC577D5" w:rsidR="00F2010B" w:rsidRPr="00AD3B0D" w:rsidRDefault="00F2010B" w:rsidP="00B85580">
            <w:pPr>
              <w:jc w:val="right"/>
              <w:rPr>
                <w:i/>
                <w:color w:val="000000"/>
                <w:sz w:val="20"/>
                <w:szCs w:val="20"/>
              </w:rPr>
            </w:pPr>
            <w:r w:rsidRPr="00AD3B0D">
              <w:rPr>
                <w:i/>
                <w:color w:val="000000"/>
                <w:sz w:val="20"/>
                <w:szCs w:val="20"/>
              </w:rPr>
              <w:t>23,6</w:t>
            </w:r>
          </w:p>
        </w:tc>
      </w:tr>
      <w:tr w:rsidR="00F2010B" w:rsidRPr="00AD3B0D" w14:paraId="15C8CAAE" w14:textId="77777777" w:rsidTr="00047FF0">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7E741" w14:textId="77777777" w:rsidR="00F2010B" w:rsidRPr="00AD3B0D" w:rsidRDefault="00F2010B" w:rsidP="00C9484E">
            <w:pPr>
              <w:rPr>
                <w:color w:val="000000"/>
                <w:sz w:val="20"/>
                <w:szCs w:val="20"/>
              </w:rPr>
            </w:pPr>
            <w:r w:rsidRPr="00AD3B0D">
              <w:rPr>
                <w:color w:val="000000"/>
                <w:sz w:val="20"/>
                <w:szCs w:val="20"/>
              </w:rPr>
              <w:t>Цифровая экономика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56FA2D3" w14:textId="77777777" w:rsidR="00F2010B" w:rsidRPr="00AD3B0D" w:rsidRDefault="00F2010B" w:rsidP="008A699D">
            <w:pPr>
              <w:rPr>
                <w:color w:val="000000"/>
                <w:sz w:val="20"/>
                <w:szCs w:val="20"/>
              </w:rPr>
            </w:pPr>
            <w:r w:rsidRPr="00AD3B0D">
              <w:rPr>
                <w:color w:val="000000"/>
                <w:sz w:val="20"/>
                <w:szCs w:val="20"/>
              </w:rPr>
              <w:t>108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6C635F1" w14:textId="77777777" w:rsidR="00F2010B" w:rsidRPr="00AD3B0D" w:rsidRDefault="00F2010B">
            <w:pPr>
              <w:rPr>
                <w:color w:val="000000"/>
                <w:sz w:val="20"/>
                <w:szCs w:val="20"/>
              </w:rPr>
            </w:pPr>
            <w:r w:rsidRPr="00AD3B0D">
              <w:rPr>
                <w:color w:val="000000"/>
                <w:sz w:val="20"/>
                <w:szCs w:val="20"/>
              </w:rPr>
              <w:t>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5A8BF89" w14:textId="0C06DDDA" w:rsidR="00F2010B" w:rsidRPr="00AD3B0D" w:rsidRDefault="00F2010B" w:rsidP="00B85580">
            <w:pPr>
              <w:jc w:val="right"/>
              <w:rPr>
                <w:i/>
                <w:color w:val="000000"/>
                <w:sz w:val="20"/>
                <w:szCs w:val="20"/>
              </w:rPr>
            </w:pPr>
            <w:r w:rsidRPr="00AD3B0D">
              <w:rPr>
                <w:i/>
                <w:color w:val="000000"/>
                <w:sz w:val="20"/>
                <w:szCs w:val="20"/>
              </w:rPr>
              <w:t>16,0</w:t>
            </w:r>
          </w:p>
        </w:tc>
      </w:tr>
      <w:tr w:rsidR="00F2010B" w:rsidRPr="00AD3B0D" w14:paraId="52C9C7FD" w14:textId="77777777" w:rsidTr="00047FF0">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43BDE" w14:textId="77777777" w:rsidR="00F2010B" w:rsidRPr="00AD3B0D" w:rsidRDefault="00F2010B" w:rsidP="00C9484E">
            <w:pPr>
              <w:rPr>
                <w:color w:val="000000"/>
                <w:sz w:val="20"/>
                <w:szCs w:val="20"/>
              </w:rPr>
            </w:pPr>
            <w:r w:rsidRPr="00AD3B0D">
              <w:rPr>
                <w:color w:val="000000"/>
                <w:sz w:val="20"/>
                <w:szCs w:val="20"/>
              </w:rPr>
              <w:t>Экология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A499880" w14:textId="77777777" w:rsidR="00F2010B" w:rsidRPr="00AD3B0D" w:rsidRDefault="00F2010B" w:rsidP="008A699D">
            <w:pPr>
              <w:rPr>
                <w:color w:val="000000"/>
                <w:sz w:val="20"/>
                <w:szCs w:val="20"/>
              </w:rPr>
            </w:pPr>
            <w:r w:rsidRPr="00AD3B0D">
              <w:rPr>
                <w:color w:val="000000"/>
                <w:sz w:val="20"/>
                <w:szCs w:val="20"/>
              </w:rPr>
              <w:t>56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46C5313" w14:textId="77777777" w:rsidR="00F2010B" w:rsidRPr="00AD3B0D" w:rsidRDefault="00F2010B">
            <w:pPr>
              <w:rPr>
                <w:color w:val="000000"/>
                <w:sz w:val="20"/>
                <w:szCs w:val="20"/>
              </w:rPr>
            </w:pPr>
            <w:r w:rsidRPr="00AD3B0D">
              <w:rPr>
                <w:color w:val="000000"/>
                <w:sz w:val="20"/>
                <w:szCs w:val="20"/>
              </w:rPr>
              <w:t>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EFFB4DA" w14:textId="1C8F7E3F" w:rsidR="00F2010B" w:rsidRPr="00AD3B0D" w:rsidRDefault="00F2010B" w:rsidP="00B85580">
            <w:pPr>
              <w:jc w:val="right"/>
              <w:rPr>
                <w:i/>
                <w:color w:val="000000"/>
                <w:sz w:val="20"/>
                <w:szCs w:val="20"/>
              </w:rPr>
            </w:pPr>
            <w:r w:rsidRPr="00AD3B0D">
              <w:rPr>
                <w:i/>
                <w:color w:val="000000"/>
                <w:sz w:val="20"/>
                <w:szCs w:val="20"/>
              </w:rPr>
              <w:t>14,4</w:t>
            </w:r>
          </w:p>
        </w:tc>
      </w:tr>
      <w:tr w:rsidR="00F2010B" w:rsidRPr="00AD3B0D" w14:paraId="2FDF1D9F" w14:textId="77777777" w:rsidTr="00047FF0">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79B8C" w14:textId="77777777" w:rsidR="00F2010B" w:rsidRPr="00AD3B0D" w:rsidRDefault="00F2010B" w:rsidP="00C9484E">
            <w:pPr>
              <w:rPr>
                <w:b/>
                <w:color w:val="000000"/>
                <w:sz w:val="20"/>
                <w:szCs w:val="20"/>
              </w:rPr>
            </w:pPr>
            <w:r w:rsidRPr="00AD3B0D">
              <w:rPr>
                <w:b/>
                <w:color w:val="000000"/>
                <w:sz w:val="20"/>
                <w:szCs w:val="20"/>
              </w:rPr>
              <w:t>Общий итог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60700EF" w14:textId="77777777" w:rsidR="00F2010B" w:rsidRPr="00AD3B0D" w:rsidRDefault="00F2010B" w:rsidP="008A699D">
            <w:pPr>
              <w:rPr>
                <w:b/>
                <w:color w:val="000000"/>
                <w:sz w:val="20"/>
                <w:szCs w:val="20"/>
              </w:rPr>
            </w:pPr>
            <w:r w:rsidRPr="00AD3B0D">
              <w:rPr>
                <w:b/>
                <w:color w:val="000000"/>
                <w:sz w:val="20"/>
                <w:szCs w:val="20"/>
              </w:rPr>
              <w:t>1</w:t>
            </w:r>
            <w:r w:rsidRPr="00AD3B0D">
              <w:rPr>
                <w:b/>
                <w:color w:val="000000"/>
                <w:sz w:val="20"/>
                <w:szCs w:val="20"/>
                <w:lang w:val="en-US"/>
              </w:rPr>
              <w:t xml:space="preserve"> </w:t>
            </w:r>
            <w:r w:rsidRPr="00AD3B0D">
              <w:rPr>
                <w:b/>
                <w:color w:val="000000"/>
                <w:sz w:val="20"/>
                <w:szCs w:val="20"/>
              </w:rPr>
              <w:t>779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5BB97B5" w14:textId="77777777" w:rsidR="00F2010B" w:rsidRPr="00AD3B0D" w:rsidRDefault="00F2010B">
            <w:pPr>
              <w:rPr>
                <w:b/>
                <w:color w:val="000000"/>
                <w:sz w:val="20"/>
                <w:szCs w:val="20"/>
              </w:rPr>
            </w:pPr>
            <w:r w:rsidRPr="00AD3B0D">
              <w:rPr>
                <w:b/>
                <w:color w:val="000000"/>
                <w:sz w:val="20"/>
                <w:szCs w:val="20"/>
              </w:rPr>
              <w:t>733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E6C6803" w14:textId="19A3C9AB" w:rsidR="00F2010B" w:rsidRPr="00AD3B0D" w:rsidRDefault="00F2010B" w:rsidP="00B85580">
            <w:pPr>
              <w:jc w:val="right"/>
              <w:rPr>
                <w:b/>
                <w:i/>
                <w:color w:val="000000"/>
                <w:sz w:val="20"/>
                <w:szCs w:val="20"/>
              </w:rPr>
            </w:pPr>
            <w:r w:rsidRPr="00AD3B0D">
              <w:rPr>
                <w:b/>
                <w:i/>
                <w:color w:val="000000"/>
                <w:sz w:val="20"/>
                <w:szCs w:val="20"/>
              </w:rPr>
              <w:t>41,2</w:t>
            </w:r>
          </w:p>
        </w:tc>
      </w:tr>
      <w:tr w:rsidR="00F2010B" w:rsidRPr="00AD3B0D" w14:paraId="66AD6546" w14:textId="77777777" w:rsidTr="00047FF0">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tcPr>
          <w:p w14:paraId="1D803122" w14:textId="77777777" w:rsidR="00F2010B" w:rsidRPr="00AD3B0D" w:rsidRDefault="00F2010B" w:rsidP="00C9484E">
            <w:pPr>
              <w:rPr>
                <w:color w:val="000000"/>
                <w:sz w:val="20"/>
                <w:szCs w:val="20"/>
              </w:rPr>
            </w:pPr>
            <w:r w:rsidRPr="00AD3B0D">
              <w:rPr>
                <w:color w:val="000000"/>
                <w:sz w:val="20"/>
                <w:szCs w:val="20"/>
              </w:rPr>
              <w:t>Средний уровень исполнения расходов федерального бюджета на 2019 год</w:t>
            </w:r>
          </w:p>
        </w:tc>
        <w:tc>
          <w:tcPr>
            <w:tcW w:w="1701" w:type="dxa"/>
            <w:tcBorders>
              <w:top w:val="single" w:sz="4" w:space="0" w:color="auto"/>
              <w:left w:val="nil"/>
              <w:bottom w:val="single" w:sz="4" w:space="0" w:color="auto"/>
              <w:right w:val="single" w:sz="4" w:space="0" w:color="auto"/>
            </w:tcBorders>
            <w:shd w:val="clear" w:color="auto" w:fill="auto"/>
            <w:vAlign w:val="bottom"/>
          </w:tcPr>
          <w:p w14:paraId="59E9AD0F" w14:textId="77777777" w:rsidR="00F2010B" w:rsidRPr="00AD3B0D" w:rsidRDefault="00F2010B" w:rsidP="008A699D">
            <w:pPr>
              <w:rPr>
                <w:color w:val="000000"/>
                <w:sz w:val="20"/>
                <w:szCs w:val="20"/>
              </w:rPr>
            </w:pPr>
            <w:r w:rsidRPr="00AD3B0D">
              <w:rPr>
                <w:color w:val="000000"/>
                <w:sz w:val="20"/>
                <w:szCs w:val="20"/>
              </w:rPr>
              <w:t>19</w:t>
            </w:r>
            <w:r w:rsidRPr="00AD3B0D">
              <w:rPr>
                <w:color w:val="000000"/>
                <w:sz w:val="20"/>
                <w:szCs w:val="20"/>
                <w:lang w:val="en-US"/>
              </w:rPr>
              <w:t xml:space="preserve"> </w:t>
            </w:r>
            <w:r w:rsidRPr="00AD3B0D">
              <w:rPr>
                <w:color w:val="000000"/>
                <w:sz w:val="20"/>
                <w:szCs w:val="20"/>
              </w:rPr>
              <w:t>139</w:t>
            </w:r>
          </w:p>
        </w:tc>
        <w:tc>
          <w:tcPr>
            <w:tcW w:w="1701" w:type="dxa"/>
            <w:tcBorders>
              <w:top w:val="single" w:sz="4" w:space="0" w:color="auto"/>
              <w:left w:val="nil"/>
              <w:bottom w:val="single" w:sz="4" w:space="0" w:color="auto"/>
              <w:right w:val="single" w:sz="4" w:space="0" w:color="auto"/>
            </w:tcBorders>
            <w:shd w:val="clear" w:color="auto" w:fill="auto"/>
            <w:vAlign w:val="bottom"/>
          </w:tcPr>
          <w:p w14:paraId="74A0EBC4" w14:textId="77777777" w:rsidR="00F2010B" w:rsidRPr="00AD3B0D" w:rsidRDefault="00F2010B">
            <w:pPr>
              <w:rPr>
                <w:color w:val="000000"/>
                <w:sz w:val="20"/>
                <w:szCs w:val="20"/>
              </w:rPr>
            </w:pPr>
            <w:r w:rsidRPr="00AD3B0D">
              <w:rPr>
                <w:color w:val="000000"/>
                <w:sz w:val="20"/>
                <w:szCs w:val="20"/>
              </w:rPr>
              <w:t>9</w:t>
            </w:r>
            <w:r w:rsidRPr="00AD3B0D">
              <w:rPr>
                <w:color w:val="000000"/>
                <w:sz w:val="20"/>
                <w:szCs w:val="20"/>
                <w:lang w:val="en-US"/>
              </w:rPr>
              <w:t xml:space="preserve"> </w:t>
            </w:r>
            <w:r w:rsidRPr="00AD3B0D">
              <w:rPr>
                <w:color w:val="000000"/>
                <w:sz w:val="20"/>
                <w:szCs w:val="20"/>
              </w:rPr>
              <w:t>320</w:t>
            </w:r>
          </w:p>
        </w:tc>
        <w:tc>
          <w:tcPr>
            <w:tcW w:w="1417" w:type="dxa"/>
            <w:tcBorders>
              <w:top w:val="single" w:sz="4" w:space="0" w:color="auto"/>
              <w:left w:val="nil"/>
              <w:bottom w:val="single" w:sz="4" w:space="0" w:color="auto"/>
              <w:right w:val="single" w:sz="4" w:space="0" w:color="auto"/>
            </w:tcBorders>
            <w:shd w:val="clear" w:color="auto" w:fill="auto"/>
            <w:vAlign w:val="bottom"/>
          </w:tcPr>
          <w:p w14:paraId="785B6E8F" w14:textId="3B7C5E24" w:rsidR="00F2010B" w:rsidRPr="00AD3B0D" w:rsidRDefault="00F2010B" w:rsidP="00B85580">
            <w:pPr>
              <w:jc w:val="right"/>
              <w:rPr>
                <w:i/>
                <w:color w:val="000000"/>
                <w:sz w:val="20"/>
                <w:szCs w:val="20"/>
              </w:rPr>
            </w:pPr>
            <w:r w:rsidRPr="00AD3B0D">
              <w:rPr>
                <w:i/>
                <w:color w:val="000000"/>
                <w:sz w:val="20"/>
                <w:szCs w:val="20"/>
              </w:rPr>
              <w:t>48,7</w:t>
            </w:r>
          </w:p>
        </w:tc>
      </w:tr>
    </w:tbl>
    <w:p w14:paraId="69FD7DA2" w14:textId="77777777" w:rsidR="007C4B50" w:rsidRPr="00CE65ED" w:rsidRDefault="007C4B50" w:rsidP="00576B90">
      <w:pPr>
        <w:spacing w:after="60"/>
        <w:ind w:firstLine="709"/>
        <w:jc w:val="both"/>
        <w:rPr>
          <w:sz w:val="20"/>
        </w:rPr>
      </w:pPr>
      <w:r w:rsidRPr="00CE65ED">
        <w:rPr>
          <w:sz w:val="20"/>
        </w:rPr>
        <w:t xml:space="preserve">Источник: Казначейство России, расчеты авторов. </w:t>
      </w:r>
    </w:p>
    <w:p w14:paraId="3CC9B1DA" w14:textId="1F1EC6A1" w:rsidR="007C4B50" w:rsidRDefault="007C4B50" w:rsidP="00576B90">
      <w:pPr>
        <w:spacing w:after="60"/>
        <w:ind w:firstLine="709"/>
        <w:jc w:val="both"/>
      </w:pPr>
      <w:r>
        <w:t xml:space="preserve">Уровень исполнения расходов на реализацию национальных проектов  «Экология», «Цифровая экономика Российской Федерации», «Безопасные и качественные автомобильные дороги», «Производительность труда и поддержка занятости» и «Комплексный план модернизации инфраструктуры» значительно ниже среднего уровня для всех нацпроектов </w:t>
      </w:r>
      <w:r w:rsidRPr="007D53C2">
        <w:t xml:space="preserve">в </w:t>
      </w:r>
      <w:r>
        <w:t>41</w:t>
      </w:r>
      <w:r w:rsidRPr="007D53C2">
        <w:t>,</w:t>
      </w:r>
      <w:r>
        <w:t>2</w:t>
      </w:r>
      <w:r w:rsidRPr="007D53C2">
        <w:t>%</w:t>
      </w:r>
      <w:r>
        <w:t xml:space="preserve"> на рассмотренную дату (от 14,4% до 26,5%, </w:t>
      </w:r>
      <w:r w:rsidR="00015211" w:rsidRPr="009120C7">
        <w:rPr>
          <w:i/>
        </w:rPr>
        <w:t>таблиц</w:t>
      </w:r>
      <w:r w:rsidR="00015211">
        <w:rPr>
          <w:i/>
        </w:rPr>
        <w:t>а</w:t>
      </w:r>
      <w:r w:rsidR="00015211" w:rsidRPr="009120C7">
        <w:t xml:space="preserve"> </w:t>
      </w:r>
      <w:r w:rsidR="00C84D38">
        <w:rPr>
          <w:i/>
          <w:noProof/>
        </w:rPr>
        <w:t>10</w:t>
      </w:r>
      <w:r>
        <w:t>)</w:t>
      </w:r>
      <w:r w:rsidRPr="007D53C2">
        <w:t>.</w:t>
      </w:r>
      <w:r>
        <w:t xml:space="preserve"> Таким образом, по данным национальным проектам имеются риски формальной реализации части мероприятий с целью расходования средств, либо же нереализации части запланированных мероприятий. Этим национальным проектам должно уделяться особое внимание.</w:t>
      </w:r>
    </w:p>
    <w:p w14:paraId="20B8D7A8" w14:textId="79D199D2" w:rsidR="007C4B50" w:rsidRDefault="007C4B50" w:rsidP="00576B90">
      <w:pPr>
        <w:spacing w:after="60"/>
        <w:ind w:firstLine="709"/>
        <w:jc w:val="both"/>
      </w:pPr>
      <w:r>
        <w:t>По национальным проектам «Демография» и «Здравоохранение» уровень исполнения расходов на их реализацию значительно превысил средний уровень исполнения бюджетных расходов по национальным проектам, а также по всему федеральному бюджету в целом и составил 59,1% и 57,6%</w:t>
      </w:r>
      <w:r w:rsidR="007C1F6D">
        <w:t>,</w:t>
      </w:r>
      <w:r>
        <w:t xml:space="preserve"> соответственно. По национальным проектам «Наука», «Культура» и «Образование» уровень исполнения расходов на их реализацию превысил средний уровень по национальным проектам на несколько процентных пунктов, однако оказался ниже среднего уровня</w:t>
      </w:r>
      <w:r w:rsidRPr="009C3207">
        <w:t xml:space="preserve"> исполнения расходов </w:t>
      </w:r>
      <w:r>
        <w:t xml:space="preserve">всего </w:t>
      </w:r>
      <w:r w:rsidRPr="009C3207">
        <w:t xml:space="preserve">федерального бюджета на 2019 год </w:t>
      </w:r>
      <w:r>
        <w:t>(</w:t>
      </w:r>
      <w:r w:rsidR="00015211" w:rsidRPr="009120C7">
        <w:rPr>
          <w:i/>
        </w:rPr>
        <w:t>таблиц</w:t>
      </w:r>
      <w:r w:rsidR="00015211">
        <w:rPr>
          <w:i/>
        </w:rPr>
        <w:t>а</w:t>
      </w:r>
      <w:r w:rsidR="00015211" w:rsidRPr="009120C7">
        <w:t xml:space="preserve"> </w:t>
      </w:r>
      <w:r w:rsidR="00C84D38">
        <w:rPr>
          <w:i/>
          <w:noProof/>
        </w:rPr>
        <w:t>10</w:t>
      </w:r>
      <w:r w:rsidRPr="00015211">
        <w:t>).</w:t>
      </w:r>
    </w:p>
    <w:p w14:paraId="6E360B3D" w14:textId="0DFFA73B" w:rsidR="007C4B50" w:rsidRDefault="007C4B50" w:rsidP="00576B90">
      <w:pPr>
        <w:spacing w:after="60"/>
        <w:ind w:firstLine="709"/>
        <w:jc w:val="both"/>
      </w:pPr>
      <w:r>
        <w:t xml:space="preserve">При сопоставлении </w:t>
      </w:r>
      <w:r w:rsidRPr="00015211">
        <w:t xml:space="preserve">таблиц </w:t>
      </w:r>
      <w:r w:rsidR="00C84D38">
        <w:rPr>
          <w:i/>
          <w:noProof/>
        </w:rPr>
        <w:t>10</w:t>
      </w:r>
      <w:r w:rsidR="00C84D38">
        <w:t xml:space="preserve"> </w:t>
      </w:r>
      <w:r w:rsidRPr="00015211">
        <w:t>и</w:t>
      </w:r>
      <w:r w:rsidR="00C84D38">
        <w:t xml:space="preserve"> </w:t>
      </w:r>
      <w:r w:rsidR="00C84D38">
        <w:rPr>
          <w:i/>
          <w:noProof/>
        </w:rPr>
        <w:t>9</w:t>
      </w:r>
      <w:r w:rsidR="00C84D38">
        <w:t xml:space="preserve"> </w:t>
      </w:r>
      <w:r>
        <w:t xml:space="preserve">можно увидеть, что по уровню исполнения расходов федерального бюджета национальный проект «Безопасные и качественные автомобильные дороги» находится на третьем месте с конца (23,6%, при среднем уровне исполнения 41,2%, </w:t>
      </w:r>
      <w:r w:rsidR="00035686" w:rsidRPr="009120C7">
        <w:rPr>
          <w:i/>
        </w:rPr>
        <w:t>таблиц</w:t>
      </w:r>
      <w:r w:rsidR="00035686">
        <w:rPr>
          <w:i/>
        </w:rPr>
        <w:t>а</w:t>
      </w:r>
      <w:r w:rsidR="00035686" w:rsidRPr="009120C7">
        <w:t xml:space="preserve"> </w:t>
      </w:r>
      <w:r w:rsidR="00C84D38">
        <w:rPr>
          <w:i/>
          <w:noProof/>
        </w:rPr>
        <w:t>10</w:t>
      </w:r>
      <w:r>
        <w:t xml:space="preserve">), однако он одновременно находится на третьем месте в списке лидеров по росту расходов федерального бюджета за период 2020 – 2022 (4,3%, </w:t>
      </w:r>
      <w:r w:rsidR="00035686" w:rsidRPr="00035686">
        <w:rPr>
          <w:i/>
        </w:rPr>
        <w:t xml:space="preserve">таблица </w:t>
      </w:r>
      <w:r w:rsidR="00C84D38">
        <w:rPr>
          <w:i/>
          <w:noProof/>
        </w:rPr>
        <w:t>9</w:t>
      </w:r>
      <w:r w:rsidRPr="00035686">
        <w:t>).</w:t>
      </w:r>
      <w:r>
        <w:t xml:space="preserve"> При этом основной рост расходов по этому национальному проекту запланирован на 2020 год (на 12% по отношению к запланированному в соответствии с паспортом национального проекта, </w:t>
      </w:r>
      <w:r w:rsidR="00035686" w:rsidRPr="00600DF7">
        <w:rPr>
          <w:i/>
        </w:rPr>
        <w:t>таблица</w:t>
      </w:r>
      <w:r w:rsidR="00035686">
        <w:rPr>
          <w:i/>
        </w:rPr>
        <w:t xml:space="preserve"> </w:t>
      </w:r>
      <w:r w:rsidR="00C84D38">
        <w:rPr>
          <w:i/>
          <w:noProof/>
        </w:rPr>
        <w:t>8</w:t>
      </w:r>
      <w:r w:rsidRPr="00035686">
        <w:t>).</w:t>
      </w:r>
      <w:r>
        <w:t xml:space="preserve"> Поскольку основной рост расходов запланирован на 2020 год, </w:t>
      </w:r>
      <w:r w:rsidRPr="00D07375">
        <w:t xml:space="preserve">это </w:t>
      </w:r>
      <w:r>
        <w:t>может свидетельствовать о попытке</w:t>
      </w:r>
      <w:r w:rsidRPr="00D07375">
        <w:t xml:space="preserve"> перенести финансировани</w:t>
      </w:r>
      <w:r>
        <w:t xml:space="preserve">е с неисполненных мероприятий </w:t>
      </w:r>
      <w:r w:rsidRPr="00D07375">
        <w:t>2019</w:t>
      </w:r>
      <w:r>
        <w:t xml:space="preserve"> года</w:t>
      </w:r>
      <w:r w:rsidRPr="00D07375">
        <w:t xml:space="preserve"> на 2020</w:t>
      </w:r>
      <w:r>
        <w:t xml:space="preserve"> год, что</w:t>
      </w:r>
      <w:r w:rsidRPr="00D07375">
        <w:t xml:space="preserve"> скорее </w:t>
      </w:r>
      <w:r>
        <w:t xml:space="preserve">можно рассматривать как </w:t>
      </w:r>
      <w:r w:rsidRPr="00D07375">
        <w:t>фактор снижения рисков</w:t>
      </w:r>
      <w:r>
        <w:t>.</w:t>
      </w:r>
    </w:p>
    <w:p w14:paraId="2A5A20BE" w14:textId="213E7C6B" w:rsidR="007C4B50" w:rsidRDefault="007C4B50" w:rsidP="00576B90">
      <w:pPr>
        <w:spacing w:after="60"/>
        <w:ind w:firstLine="709"/>
        <w:jc w:val="both"/>
      </w:pPr>
      <w:r>
        <w:t xml:space="preserve">Для двух национальных проектов «Наука» и «Образование», по которым запланирован наиболее существенный рост расходов федерального бюджета каждый год в период 2020 – 2022 гг. (на 20,8% и 18,0% совокупно по итогам трех лет, </w:t>
      </w:r>
      <w:r w:rsidR="00035686" w:rsidRPr="00035686">
        <w:rPr>
          <w:i/>
        </w:rPr>
        <w:t xml:space="preserve">таблица </w:t>
      </w:r>
      <w:r w:rsidR="00C84D38">
        <w:rPr>
          <w:i/>
          <w:noProof/>
        </w:rPr>
        <w:t>9</w:t>
      </w:r>
      <w:r w:rsidRPr="00035686">
        <w:t>),</w:t>
      </w:r>
      <w:r>
        <w:t xml:space="preserve"> уровень исполнения расходов федерального бюджета в текущем 2019 году превысил средний уровень по всем национальным проектам (46,2% и 43,2% соответственно, </w:t>
      </w:r>
      <w:r w:rsidR="00035686" w:rsidRPr="009120C7">
        <w:rPr>
          <w:i/>
        </w:rPr>
        <w:t>таблиц</w:t>
      </w:r>
      <w:r w:rsidR="00035686">
        <w:rPr>
          <w:i/>
        </w:rPr>
        <w:t>а</w:t>
      </w:r>
      <w:r w:rsidR="00035686" w:rsidRPr="009120C7">
        <w:t xml:space="preserve"> </w:t>
      </w:r>
      <w:r w:rsidR="00C84D38">
        <w:rPr>
          <w:i/>
          <w:noProof/>
        </w:rPr>
        <w:t>10</w:t>
      </w:r>
      <w:r w:rsidRPr="00576B90">
        <w:t>), но</w:t>
      </w:r>
      <w:r>
        <w:t xml:space="preserve"> оказался ниже среднего уровня</w:t>
      </w:r>
      <w:r w:rsidRPr="002C1DF4">
        <w:t xml:space="preserve"> исполнения расходов</w:t>
      </w:r>
      <w:r>
        <w:t xml:space="preserve"> всего</w:t>
      </w:r>
      <w:r w:rsidRPr="002C1DF4">
        <w:t xml:space="preserve"> федерального бюджета на 2019 год</w:t>
      </w:r>
      <w:r>
        <w:t xml:space="preserve"> (48,7%, </w:t>
      </w:r>
      <w:r w:rsidR="00035686" w:rsidRPr="00035686">
        <w:rPr>
          <w:i/>
        </w:rPr>
        <w:t>таблица</w:t>
      </w:r>
      <w:r w:rsidR="00035686" w:rsidRPr="00035686">
        <w:t xml:space="preserve"> </w:t>
      </w:r>
      <w:r w:rsidR="00C84D38">
        <w:rPr>
          <w:i/>
          <w:noProof/>
        </w:rPr>
        <w:t>10</w:t>
      </w:r>
      <w:r w:rsidRPr="00035686">
        <w:t>).</w:t>
      </w:r>
      <w:r>
        <w:t xml:space="preserve"> Необходимо подчеркнуть, что планируемый рост расходов в период 2020 – 2022 по национальным проектам, по которым кассовое исполнение расходов федерального бюджета на 2019 год находится на уровне ниже среднего, может создавать риски нереализации всех запланированных мероприятий по указанному национальному проекту и риски неэффективного распределения ресурсов.</w:t>
      </w:r>
    </w:p>
    <w:p w14:paraId="5EA6DCFB" w14:textId="6859F092" w:rsidR="007C4B50" w:rsidRDefault="007C4B50" w:rsidP="00576B90">
      <w:pPr>
        <w:spacing w:after="60"/>
        <w:ind w:firstLine="709"/>
        <w:jc w:val="both"/>
      </w:pPr>
      <w:r>
        <w:t xml:space="preserve">Отдельного рассмотрения заслуживает плановая доля </w:t>
      </w:r>
      <w:r w:rsidRPr="00035686">
        <w:t xml:space="preserve">расходов на национальные проекты по разделам федерального бюджета, представленная в </w:t>
      </w:r>
      <w:r w:rsidRPr="00035686">
        <w:rPr>
          <w:i/>
        </w:rPr>
        <w:t>таблице</w:t>
      </w:r>
      <w:r w:rsidR="00035686" w:rsidRPr="00035686">
        <w:t xml:space="preserve"> </w:t>
      </w:r>
      <w:r w:rsidR="00C84D38">
        <w:rPr>
          <w:i/>
          <w:noProof/>
        </w:rPr>
        <w:t>11</w:t>
      </w:r>
      <w:r w:rsidRPr="00035686">
        <w:t>.</w:t>
      </w:r>
    </w:p>
    <w:p w14:paraId="2EDEA785" w14:textId="77777777" w:rsidR="00DF409C" w:rsidRDefault="00DF409C" w:rsidP="00576B90">
      <w:pPr>
        <w:spacing w:after="60"/>
        <w:ind w:firstLine="709"/>
        <w:jc w:val="both"/>
      </w:pPr>
    </w:p>
    <w:p w14:paraId="7FF8442E" w14:textId="6DA3B8D7" w:rsidR="009120C7" w:rsidRPr="00600DF7" w:rsidRDefault="009120C7" w:rsidP="009120C7">
      <w:pPr>
        <w:spacing w:after="60"/>
        <w:jc w:val="right"/>
        <w:rPr>
          <w:i/>
        </w:rPr>
      </w:pPr>
      <w:r w:rsidRPr="00600DF7">
        <w:rPr>
          <w:i/>
        </w:rPr>
        <w:t>Таблица</w:t>
      </w:r>
      <w:r>
        <w:rPr>
          <w:i/>
        </w:rPr>
        <w:t xml:space="preserve"> </w:t>
      </w:r>
      <w:bookmarkStart w:id="21" w:name="_Ref21341605"/>
      <w:r w:rsidR="00C84D38">
        <w:rPr>
          <w:i/>
          <w:noProof/>
        </w:rPr>
        <w:t>11</w:t>
      </w:r>
      <w:bookmarkEnd w:id="21"/>
    </w:p>
    <w:p w14:paraId="42787FB8" w14:textId="34496AF0" w:rsidR="007C4B50" w:rsidRPr="00576B90" w:rsidRDefault="00E404DA" w:rsidP="00576B90">
      <w:pPr>
        <w:jc w:val="center"/>
        <w:rPr>
          <w:b/>
        </w:rPr>
      </w:pPr>
      <w:r>
        <w:rPr>
          <w:b/>
        </w:rPr>
        <w:t>Д</w:t>
      </w:r>
      <w:r w:rsidR="007C4B50" w:rsidRPr="00576B90">
        <w:rPr>
          <w:b/>
        </w:rPr>
        <w:t xml:space="preserve">оля расходов на национальные проекты по разделам федерального бюджета </w:t>
      </w:r>
      <w:r>
        <w:rPr>
          <w:b/>
        </w:rPr>
        <w:t>на</w:t>
      </w:r>
      <w:r w:rsidR="007C4B50" w:rsidRPr="00576B90">
        <w:rPr>
          <w:b/>
        </w:rPr>
        <w:t xml:space="preserve"> период 2020 – 2022 гг.</w:t>
      </w:r>
    </w:p>
    <w:tbl>
      <w:tblPr>
        <w:tblStyle w:val="a4"/>
        <w:tblW w:w="9356" w:type="dxa"/>
        <w:tblInd w:w="-147" w:type="dxa"/>
        <w:tblLayout w:type="fixed"/>
        <w:tblLook w:val="04A0" w:firstRow="1" w:lastRow="0" w:firstColumn="1" w:lastColumn="0" w:noHBand="0" w:noVBand="1"/>
      </w:tblPr>
      <w:tblGrid>
        <w:gridCol w:w="1985"/>
        <w:gridCol w:w="819"/>
        <w:gridCol w:w="819"/>
        <w:gridCol w:w="819"/>
        <w:gridCol w:w="819"/>
        <w:gridCol w:w="819"/>
        <w:gridCol w:w="819"/>
        <w:gridCol w:w="819"/>
        <w:gridCol w:w="819"/>
        <w:gridCol w:w="819"/>
      </w:tblGrid>
      <w:tr w:rsidR="00AD3B0D" w:rsidRPr="00AD3B0D" w14:paraId="74DC4551" w14:textId="77777777" w:rsidTr="004E5F60">
        <w:trPr>
          <w:trHeight w:val="1043"/>
        </w:trPr>
        <w:tc>
          <w:tcPr>
            <w:tcW w:w="1985" w:type="dxa"/>
            <w:vMerge w:val="restart"/>
            <w:vAlign w:val="center"/>
            <w:hideMark/>
          </w:tcPr>
          <w:p w14:paraId="3B5424A6" w14:textId="27615C15" w:rsidR="00AD3B0D" w:rsidRPr="00AD3B0D" w:rsidRDefault="00AD3B0D" w:rsidP="004E5F60">
            <w:pPr>
              <w:jc w:val="center"/>
              <w:rPr>
                <w:sz w:val="20"/>
                <w:szCs w:val="20"/>
              </w:rPr>
            </w:pPr>
            <w:r w:rsidRPr="004E5F60">
              <w:rPr>
                <w:b/>
                <w:color w:val="000000"/>
                <w:sz w:val="20"/>
                <w:szCs w:val="20"/>
              </w:rPr>
              <w:t>Направление расходов федерального бюджета</w:t>
            </w:r>
            <w:r w:rsidR="009F7CD7">
              <w:rPr>
                <w:b/>
                <w:color w:val="000000"/>
                <w:sz w:val="20"/>
                <w:szCs w:val="20"/>
              </w:rPr>
              <w:t xml:space="preserve"> </w:t>
            </w:r>
            <w:r w:rsidRPr="004E5F60">
              <w:rPr>
                <w:b/>
                <w:color w:val="000000"/>
                <w:sz w:val="20"/>
                <w:szCs w:val="20"/>
              </w:rPr>
              <w:t xml:space="preserve">/ </w:t>
            </w:r>
            <w:r w:rsidRPr="004E5F60">
              <w:rPr>
                <w:b/>
                <w:color w:val="000000"/>
                <w:sz w:val="20"/>
                <w:szCs w:val="20"/>
              </w:rPr>
              <w:br/>
              <w:t>национальный проект</w:t>
            </w:r>
          </w:p>
        </w:tc>
        <w:tc>
          <w:tcPr>
            <w:tcW w:w="2457" w:type="dxa"/>
            <w:gridSpan w:val="3"/>
            <w:vAlign w:val="center"/>
            <w:hideMark/>
          </w:tcPr>
          <w:p w14:paraId="260ED3EA" w14:textId="3F17ADBA" w:rsidR="00AD3B0D" w:rsidRPr="00AD3B0D" w:rsidRDefault="00AD3B0D" w:rsidP="00576B90">
            <w:pPr>
              <w:jc w:val="center"/>
              <w:rPr>
                <w:b/>
                <w:color w:val="000000"/>
                <w:sz w:val="20"/>
                <w:szCs w:val="20"/>
              </w:rPr>
            </w:pPr>
            <w:r w:rsidRPr="00AD3B0D">
              <w:rPr>
                <w:b/>
                <w:color w:val="000000"/>
                <w:sz w:val="20"/>
                <w:szCs w:val="20"/>
              </w:rPr>
              <w:t>Общий объем расходов федерального бюджета на реализацию национальных проектов, млрд руб</w:t>
            </w:r>
            <w:r w:rsidR="00AA5ABD">
              <w:rPr>
                <w:b/>
                <w:color w:val="000000"/>
                <w:sz w:val="20"/>
                <w:szCs w:val="20"/>
              </w:rPr>
              <w:t>.</w:t>
            </w:r>
          </w:p>
        </w:tc>
        <w:tc>
          <w:tcPr>
            <w:tcW w:w="2457" w:type="dxa"/>
            <w:gridSpan w:val="3"/>
            <w:vAlign w:val="center"/>
            <w:hideMark/>
          </w:tcPr>
          <w:p w14:paraId="21E48928" w14:textId="0A708A9F" w:rsidR="00AD3B0D" w:rsidRPr="00AD3B0D" w:rsidRDefault="00AD3B0D" w:rsidP="00576B90">
            <w:pPr>
              <w:jc w:val="center"/>
              <w:rPr>
                <w:b/>
                <w:color w:val="000000"/>
                <w:sz w:val="20"/>
                <w:szCs w:val="20"/>
              </w:rPr>
            </w:pPr>
            <w:r w:rsidRPr="00AD3B0D">
              <w:rPr>
                <w:b/>
                <w:color w:val="000000"/>
                <w:sz w:val="20"/>
                <w:szCs w:val="20"/>
              </w:rPr>
              <w:t>Общий объем расходов федерального бюджета, млрд руб</w:t>
            </w:r>
            <w:r w:rsidR="00AA5ABD">
              <w:rPr>
                <w:b/>
                <w:color w:val="000000"/>
                <w:sz w:val="20"/>
                <w:szCs w:val="20"/>
              </w:rPr>
              <w:t>.</w:t>
            </w:r>
          </w:p>
          <w:p w14:paraId="576E9281" w14:textId="77777777" w:rsidR="00AD3B0D" w:rsidRPr="00AD3B0D" w:rsidRDefault="00AD3B0D" w:rsidP="00576B90">
            <w:pPr>
              <w:jc w:val="center"/>
              <w:rPr>
                <w:b/>
                <w:color w:val="000000"/>
                <w:sz w:val="20"/>
                <w:szCs w:val="20"/>
              </w:rPr>
            </w:pPr>
          </w:p>
        </w:tc>
        <w:tc>
          <w:tcPr>
            <w:tcW w:w="2457" w:type="dxa"/>
            <w:gridSpan w:val="3"/>
            <w:vAlign w:val="center"/>
            <w:hideMark/>
          </w:tcPr>
          <w:p w14:paraId="47F749F0" w14:textId="3BB65C77" w:rsidR="00AD3B0D" w:rsidRPr="00AD3B0D" w:rsidRDefault="00AD3B0D" w:rsidP="00576B90">
            <w:pPr>
              <w:jc w:val="center"/>
              <w:rPr>
                <w:b/>
                <w:i/>
                <w:color w:val="000000"/>
                <w:sz w:val="20"/>
                <w:szCs w:val="20"/>
              </w:rPr>
            </w:pPr>
            <w:r w:rsidRPr="00AD3B0D">
              <w:rPr>
                <w:b/>
                <w:i/>
                <w:color w:val="000000"/>
                <w:sz w:val="20"/>
                <w:szCs w:val="20"/>
              </w:rPr>
              <w:t>Доли расходов на нацпроекты в направлениях расходов федерального бюджета</w:t>
            </w:r>
            <w:r w:rsidR="00AA5ABD">
              <w:rPr>
                <w:b/>
                <w:i/>
                <w:color w:val="000000"/>
                <w:sz w:val="20"/>
                <w:szCs w:val="20"/>
              </w:rPr>
              <w:t>, %</w:t>
            </w:r>
          </w:p>
        </w:tc>
      </w:tr>
      <w:tr w:rsidR="00AD3B0D" w:rsidRPr="00AD3B0D" w14:paraId="4053F7FA" w14:textId="77777777" w:rsidTr="006A1D8B">
        <w:trPr>
          <w:trHeight w:val="510"/>
        </w:trPr>
        <w:tc>
          <w:tcPr>
            <w:tcW w:w="1985" w:type="dxa"/>
            <w:vMerge/>
            <w:hideMark/>
          </w:tcPr>
          <w:p w14:paraId="415C190E" w14:textId="0B19E801" w:rsidR="00AD3B0D" w:rsidRPr="001644A4" w:rsidRDefault="00AD3B0D" w:rsidP="00AD3B0D">
            <w:pPr>
              <w:rPr>
                <w:b/>
                <w:color w:val="000000"/>
                <w:sz w:val="20"/>
                <w:szCs w:val="20"/>
              </w:rPr>
            </w:pPr>
          </w:p>
        </w:tc>
        <w:tc>
          <w:tcPr>
            <w:tcW w:w="819" w:type="dxa"/>
            <w:vAlign w:val="center"/>
            <w:hideMark/>
          </w:tcPr>
          <w:p w14:paraId="053A05D5" w14:textId="1A82A545" w:rsidR="00AD3B0D" w:rsidRPr="00AD3B0D" w:rsidRDefault="00AD3B0D" w:rsidP="00AD3B0D">
            <w:pPr>
              <w:jc w:val="center"/>
              <w:rPr>
                <w:b/>
                <w:bCs/>
                <w:color w:val="000000"/>
                <w:sz w:val="20"/>
                <w:szCs w:val="20"/>
              </w:rPr>
            </w:pPr>
            <w:r w:rsidRPr="00AD3B0D">
              <w:rPr>
                <w:b/>
                <w:color w:val="000000"/>
                <w:sz w:val="20"/>
                <w:szCs w:val="20"/>
              </w:rPr>
              <w:t>2020 г.</w:t>
            </w:r>
          </w:p>
        </w:tc>
        <w:tc>
          <w:tcPr>
            <w:tcW w:w="819" w:type="dxa"/>
            <w:vAlign w:val="center"/>
            <w:hideMark/>
          </w:tcPr>
          <w:p w14:paraId="1DFE6465" w14:textId="210B01B0" w:rsidR="00AD3B0D" w:rsidRPr="00AD3B0D" w:rsidRDefault="00AD3B0D" w:rsidP="00AD3B0D">
            <w:pPr>
              <w:jc w:val="center"/>
              <w:rPr>
                <w:b/>
                <w:bCs/>
                <w:color w:val="000000"/>
                <w:sz w:val="20"/>
                <w:szCs w:val="20"/>
              </w:rPr>
            </w:pPr>
            <w:r w:rsidRPr="00AD3B0D">
              <w:rPr>
                <w:b/>
                <w:color w:val="000000"/>
                <w:sz w:val="20"/>
                <w:szCs w:val="20"/>
              </w:rPr>
              <w:t>2021 г.</w:t>
            </w:r>
          </w:p>
        </w:tc>
        <w:tc>
          <w:tcPr>
            <w:tcW w:w="819" w:type="dxa"/>
            <w:vAlign w:val="center"/>
            <w:hideMark/>
          </w:tcPr>
          <w:p w14:paraId="435E2A04" w14:textId="3E4C8A90" w:rsidR="00AD3B0D" w:rsidRPr="00AD3B0D" w:rsidRDefault="00AD3B0D" w:rsidP="00AD3B0D">
            <w:pPr>
              <w:jc w:val="center"/>
              <w:rPr>
                <w:b/>
                <w:bCs/>
                <w:color w:val="000000"/>
                <w:sz w:val="20"/>
                <w:szCs w:val="20"/>
              </w:rPr>
            </w:pPr>
            <w:r w:rsidRPr="00AD3B0D">
              <w:rPr>
                <w:b/>
                <w:color w:val="000000"/>
                <w:sz w:val="20"/>
                <w:szCs w:val="20"/>
              </w:rPr>
              <w:t>2022 г.</w:t>
            </w:r>
          </w:p>
        </w:tc>
        <w:tc>
          <w:tcPr>
            <w:tcW w:w="819" w:type="dxa"/>
            <w:vAlign w:val="center"/>
            <w:hideMark/>
          </w:tcPr>
          <w:p w14:paraId="0E7EC58E" w14:textId="196C970C" w:rsidR="00AD3B0D" w:rsidRPr="00AD3B0D" w:rsidRDefault="00AD3B0D" w:rsidP="00AD3B0D">
            <w:pPr>
              <w:jc w:val="center"/>
              <w:rPr>
                <w:b/>
                <w:bCs/>
                <w:color w:val="000000"/>
                <w:sz w:val="20"/>
                <w:szCs w:val="20"/>
              </w:rPr>
            </w:pPr>
            <w:r w:rsidRPr="00AD3B0D">
              <w:rPr>
                <w:b/>
                <w:color w:val="000000"/>
                <w:sz w:val="20"/>
                <w:szCs w:val="20"/>
              </w:rPr>
              <w:t>2020 г.</w:t>
            </w:r>
          </w:p>
        </w:tc>
        <w:tc>
          <w:tcPr>
            <w:tcW w:w="819" w:type="dxa"/>
            <w:vAlign w:val="center"/>
            <w:hideMark/>
          </w:tcPr>
          <w:p w14:paraId="306D93DB" w14:textId="75EB6DF0" w:rsidR="00AD3B0D" w:rsidRPr="00AD3B0D" w:rsidRDefault="00AD3B0D" w:rsidP="00AD3B0D">
            <w:pPr>
              <w:jc w:val="center"/>
              <w:rPr>
                <w:b/>
                <w:bCs/>
                <w:color w:val="000000"/>
                <w:sz w:val="20"/>
                <w:szCs w:val="20"/>
              </w:rPr>
            </w:pPr>
            <w:r w:rsidRPr="00AD3B0D">
              <w:rPr>
                <w:b/>
                <w:color w:val="000000"/>
                <w:sz w:val="20"/>
                <w:szCs w:val="20"/>
              </w:rPr>
              <w:t>2021 г.</w:t>
            </w:r>
          </w:p>
        </w:tc>
        <w:tc>
          <w:tcPr>
            <w:tcW w:w="819" w:type="dxa"/>
            <w:vAlign w:val="center"/>
            <w:hideMark/>
          </w:tcPr>
          <w:p w14:paraId="76CE0608" w14:textId="63E5946F" w:rsidR="00AD3B0D" w:rsidRPr="00AD3B0D" w:rsidRDefault="00AD3B0D" w:rsidP="00AD3B0D">
            <w:pPr>
              <w:jc w:val="center"/>
              <w:rPr>
                <w:b/>
                <w:bCs/>
                <w:color w:val="000000"/>
                <w:sz w:val="20"/>
                <w:szCs w:val="20"/>
              </w:rPr>
            </w:pPr>
            <w:r w:rsidRPr="00AD3B0D">
              <w:rPr>
                <w:b/>
                <w:color w:val="000000"/>
                <w:sz w:val="20"/>
                <w:szCs w:val="20"/>
              </w:rPr>
              <w:t>2022 г.</w:t>
            </w:r>
          </w:p>
        </w:tc>
        <w:tc>
          <w:tcPr>
            <w:tcW w:w="819" w:type="dxa"/>
            <w:vAlign w:val="center"/>
            <w:hideMark/>
          </w:tcPr>
          <w:p w14:paraId="58CA5A10" w14:textId="797C5717" w:rsidR="00AD3B0D" w:rsidRPr="00AD3B0D" w:rsidRDefault="00AD3B0D" w:rsidP="00AD3B0D">
            <w:pPr>
              <w:jc w:val="center"/>
              <w:rPr>
                <w:b/>
                <w:bCs/>
                <w:color w:val="000000"/>
                <w:sz w:val="20"/>
                <w:szCs w:val="20"/>
              </w:rPr>
            </w:pPr>
            <w:r w:rsidRPr="00AD3B0D">
              <w:rPr>
                <w:b/>
                <w:color w:val="000000"/>
                <w:sz w:val="20"/>
                <w:szCs w:val="20"/>
              </w:rPr>
              <w:t>2020 г.</w:t>
            </w:r>
          </w:p>
        </w:tc>
        <w:tc>
          <w:tcPr>
            <w:tcW w:w="819" w:type="dxa"/>
            <w:vAlign w:val="center"/>
            <w:hideMark/>
          </w:tcPr>
          <w:p w14:paraId="65EE0D13" w14:textId="3225F55B" w:rsidR="00AD3B0D" w:rsidRPr="00AD3B0D" w:rsidRDefault="00AD3B0D" w:rsidP="00AD3B0D">
            <w:pPr>
              <w:jc w:val="center"/>
              <w:rPr>
                <w:b/>
                <w:bCs/>
                <w:color w:val="000000"/>
                <w:sz w:val="20"/>
                <w:szCs w:val="20"/>
              </w:rPr>
            </w:pPr>
            <w:r w:rsidRPr="00AD3B0D">
              <w:rPr>
                <w:b/>
                <w:color w:val="000000"/>
                <w:sz w:val="20"/>
                <w:szCs w:val="20"/>
              </w:rPr>
              <w:t>2021 г.</w:t>
            </w:r>
          </w:p>
        </w:tc>
        <w:tc>
          <w:tcPr>
            <w:tcW w:w="819" w:type="dxa"/>
            <w:vAlign w:val="center"/>
            <w:hideMark/>
          </w:tcPr>
          <w:p w14:paraId="78787601" w14:textId="75428264" w:rsidR="00AD3B0D" w:rsidRPr="00AD3B0D" w:rsidRDefault="00AD3B0D" w:rsidP="00AD3B0D">
            <w:pPr>
              <w:jc w:val="center"/>
              <w:rPr>
                <w:b/>
                <w:bCs/>
                <w:color w:val="000000"/>
                <w:sz w:val="20"/>
                <w:szCs w:val="20"/>
              </w:rPr>
            </w:pPr>
            <w:r w:rsidRPr="00AD3B0D">
              <w:rPr>
                <w:b/>
                <w:color w:val="000000"/>
                <w:sz w:val="20"/>
                <w:szCs w:val="20"/>
              </w:rPr>
              <w:t>2022 г.</w:t>
            </w:r>
          </w:p>
        </w:tc>
      </w:tr>
      <w:tr w:rsidR="007C4B50" w:rsidRPr="00AD3B0D" w14:paraId="2104F69C" w14:textId="77777777" w:rsidTr="006A1D8B">
        <w:trPr>
          <w:trHeight w:val="300"/>
        </w:trPr>
        <w:tc>
          <w:tcPr>
            <w:tcW w:w="1985" w:type="dxa"/>
            <w:hideMark/>
          </w:tcPr>
          <w:p w14:paraId="705D1626" w14:textId="77777777" w:rsidR="007C4B50" w:rsidRPr="00AD3B0D" w:rsidRDefault="007C4B50" w:rsidP="00C9484E">
            <w:pPr>
              <w:rPr>
                <w:bCs/>
                <w:color w:val="000000"/>
                <w:sz w:val="20"/>
                <w:szCs w:val="20"/>
              </w:rPr>
            </w:pPr>
            <w:r w:rsidRPr="00AD3B0D">
              <w:rPr>
                <w:bCs/>
                <w:color w:val="000000"/>
                <w:sz w:val="20"/>
                <w:szCs w:val="20"/>
              </w:rPr>
              <w:t>Жилищно-коммунальное хозяйство</w:t>
            </w:r>
          </w:p>
        </w:tc>
        <w:tc>
          <w:tcPr>
            <w:tcW w:w="819" w:type="dxa"/>
            <w:noWrap/>
            <w:hideMark/>
          </w:tcPr>
          <w:p w14:paraId="3E2791F6" w14:textId="77777777" w:rsidR="007C4B50" w:rsidRPr="00AD3B0D" w:rsidRDefault="007C4B50" w:rsidP="00C9484E">
            <w:pPr>
              <w:rPr>
                <w:color w:val="000000"/>
                <w:sz w:val="20"/>
                <w:szCs w:val="20"/>
              </w:rPr>
            </w:pPr>
            <w:r w:rsidRPr="00AD3B0D">
              <w:rPr>
                <w:color w:val="000000"/>
                <w:sz w:val="20"/>
                <w:szCs w:val="20"/>
              </w:rPr>
              <w:t>117</w:t>
            </w:r>
          </w:p>
        </w:tc>
        <w:tc>
          <w:tcPr>
            <w:tcW w:w="819" w:type="dxa"/>
            <w:noWrap/>
            <w:hideMark/>
          </w:tcPr>
          <w:p w14:paraId="0F176269" w14:textId="77777777" w:rsidR="007C4B50" w:rsidRPr="00AD3B0D" w:rsidRDefault="007C4B50" w:rsidP="00C9484E">
            <w:pPr>
              <w:rPr>
                <w:color w:val="000000"/>
                <w:sz w:val="20"/>
                <w:szCs w:val="20"/>
              </w:rPr>
            </w:pPr>
            <w:r w:rsidRPr="00AD3B0D">
              <w:rPr>
                <w:color w:val="000000"/>
                <w:sz w:val="20"/>
                <w:szCs w:val="20"/>
              </w:rPr>
              <w:t>139</w:t>
            </w:r>
          </w:p>
        </w:tc>
        <w:tc>
          <w:tcPr>
            <w:tcW w:w="819" w:type="dxa"/>
            <w:noWrap/>
            <w:hideMark/>
          </w:tcPr>
          <w:p w14:paraId="0F271A08" w14:textId="77777777" w:rsidR="007C4B50" w:rsidRPr="00AD3B0D" w:rsidRDefault="007C4B50" w:rsidP="00C9484E">
            <w:pPr>
              <w:rPr>
                <w:color w:val="000000"/>
                <w:sz w:val="20"/>
                <w:szCs w:val="20"/>
              </w:rPr>
            </w:pPr>
            <w:r w:rsidRPr="00AD3B0D">
              <w:rPr>
                <w:color w:val="000000"/>
                <w:sz w:val="20"/>
                <w:szCs w:val="20"/>
              </w:rPr>
              <w:t>232</w:t>
            </w:r>
          </w:p>
        </w:tc>
        <w:tc>
          <w:tcPr>
            <w:tcW w:w="819" w:type="dxa"/>
            <w:noWrap/>
            <w:hideMark/>
          </w:tcPr>
          <w:p w14:paraId="6A1E6E1C" w14:textId="77777777" w:rsidR="007C4B50" w:rsidRPr="00AD3B0D" w:rsidRDefault="007C4B50" w:rsidP="00C9484E">
            <w:pPr>
              <w:rPr>
                <w:color w:val="000000"/>
                <w:sz w:val="20"/>
                <w:szCs w:val="20"/>
              </w:rPr>
            </w:pPr>
            <w:r w:rsidRPr="00AD3B0D">
              <w:rPr>
                <w:color w:val="000000"/>
                <w:sz w:val="20"/>
                <w:szCs w:val="20"/>
              </w:rPr>
              <w:t>248</w:t>
            </w:r>
          </w:p>
        </w:tc>
        <w:tc>
          <w:tcPr>
            <w:tcW w:w="819" w:type="dxa"/>
            <w:noWrap/>
            <w:hideMark/>
          </w:tcPr>
          <w:p w14:paraId="2C7313C5" w14:textId="77777777" w:rsidR="007C4B50" w:rsidRPr="00AD3B0D" w:rsidRDefault="007C4B50" w:rsidP="00C9484E">
            <w:pPr>
              <w:rPr>
                <w:color w:val="000000"/>
                <w:sz w:val="20"/>
                <w:szCs w:val="20"/>
              </w:rPr>
            </w:pPr>
            <w:r w:rsidRPr="00AD3B0D">
              <w:rPr>
                <w:color w:val="000000"/>
                <w:sz w:val="20"/>
                <w:szCs w:val="20"/>
              </w:rPr>
              <w:t>286</w:t>
            </w:r>
          </w:p>
        </w:tc>
        <w:tc>
          <w:tcPr>
            <w:tcW w:w="819" w:type="dxa"/>
            <w:noWrap/>
            <w:hideMark/>
          </w:tcPr>
          <w:p w14:paraId="55CA401C" w14:textId="77777777" w:rsidR="007C4B50" w:rsidRPr="00AD3B0D" w:rsidRDefault="007C4B50" w:rsidP="00C9484E">
            <w:pPr>
              <w:rPr>
                <w:color w:val="000000"/>
                <w:sz w:val="20"/>
                <w:szCs w:val="20"/>
              </w:rPr>
            </w:pPr>
            <w:r w:rsidRPr="00AD3B0D">
              <w:rPr>
                <w:color w:val="000000"/>
                <w:sz w:val="20"/>
                <w:szCs w:val="20"/>
              </w:rPr>
              <w:t>384</w:t>
            </w:r>
          </w:p>
        </w:tc>
        <w:tc>
          <w:tcPr>
            <w:tcW w:w="819" w:type="dxa"/>
            <w:noWrap/>
            <w:hideMark/>
          </w:tcPr>
          <w:p w14:paraId="4B0A6051" w14:textId="13912A78" w:rsidR="007C4B50" w:rsidRPr="00AD3B0D" w:rsidRDefault="007C4B50" w:rsidP="00C9484E">
            <w:pPr>
              <w:jc w:val="right"/>
              <w:rPr>
                <w:bCs/>
                <w:i/>
                <w:color w:val="000000"/>
                <w:sz w:val="20"/>
                <w:szCs w:val="20"/>
              </w:rPr>
            </w:pPr>
            <w:r w:rsidRPr="00AD3B0D">
              <w:rPr>
                <w:bCs/>
                <w:i/>
                <w:color w:val="000000"/>
                <w:sz w:val="20"/>
                <w:szCs w:val="20"/>
              </w:rPr>
              <w:t>47</w:t>
            </w:r>
          </w:p>
        </w:tc>
        <w:tc>
          <w:tcPr>
            <w:tcW w:w="819" w:type="dxa"/>
            <w:noWrap/>
            <w:hideMark/>
          </w:tcPr>
          <w:p w14:paraId="681DDDB6" w14:textId="4317060D" w:rsidR="007C4B50" w:rsidRPr="00AD3B0D" w:rsidRDefault="007C4B50" w:rsidP="00C9484E">
            <w:pPr>
              <w:jc w:val="right"/>
              <w:rPr>
                <w:bCs/>
                <w:i/>
                <w:color w:val="000000"/>
                <w:sz w:val="20"/>
                <w:szCs w:val="20"/>
              </w:rPr>
            </w:pPr>
            <w:r w:rsidRPr="00AD3B0D">
              <w:rPr>
                <w:bCs/>
                <w:i/>
                <w:color w:val="000000"/>
                <w:sz w:val="20"/>
                <w:szCs w:val="20"/>
              </w:rPr>
              <w:t>49</w:t>
            </w:r>
          </w:p>
        </w:tc>
        <w:tc>
          <w:tcPr>
            <w:tcW w:w="819" w:type="dxa"/>
            <w:noWrap/>
            <w:hideMark/>
          </w:tcPr>
          <w:p w14:paraId="5CCF8A99" w14:textId="654FECFF" w:rsidR="007C4B50" w:rsidRPr="00AD3B0D" w:rsidRDefault="007C4B50" w:rsidP="00C9484E">
            <w:pPr>
              <w:jc w:val="right"/>
              <w:rPr>
                <w:bCs/>
                <w:i/>
                <w:color w:val="000000"/>
                <w:sz w:val="20"/>
                <w:szCs w:val="20"/>
              </w:rPr>
            </w:pPr>
            <w:r w:rsidRPr="00AD3B0D">
              <w:rPr>
                <w:bCs/>
                <w:i/>
                <w:color w:val="000000"/>
                <w:sz w:val="20"/>
                <w:szCs w:val="20"/>
              </w:rPr>
              <w:t>60</w:t>
            </w:r>
          </w:p>
        </w:tc>
      </w:tr>
      <w:tr w:rsidR="007C4B50" w:rsidRPr="00AD3B0D" w14:paraId="0158BBCE" w14:textId="77777777" w:rsidTr="006A1D8B">
        <w:trPr>
          <w:trHeight w:val="300"/>
        </w:trPr>
        <w:tc>
          <w:tcPr>
            <w:tcW w:w="1985" w:type="dxa"/>
            <w:hideMark/>
          </w:tcPr>
          <w:p w14:paraId="56758F25" w14:textId="77777777" w:rsidR="007C4B50" w:rsidRPr="00AD3B0D" w:rsidRDefault="007C4B50" w:rsidP="00C9484E">
            <w:pPr>
              <w:rPr>
                <w:bCs/>
                <w:color w:val="000000"/>
                <w:sz w:val="20"/>
                <w:szCs w:val="20"/>
              </w:rPr>
            </w:pPr>
            <w:r w:rsidRPr="00AD3B0D">
              <w:rPr>
                <w:bCs/>
                <w:color w:val="000000"/>
                <w:sz w:val="20"/>
                <w:szCs w:val="20"/>
              </w:rPr>
              <w:t>Национальная экономика</w:t>
            </w:r>
          </w:p>
        </w:tc>
        <w:tc>
          <w:tcPr>
            <w:tcW w:w="819" w:type="dxa"/>
            <w:noWrap/>
            <w:hideMark/>
          </w:tcPr>
          <w:p w14:paraId="77015B6D" w14:textId="77777777" w:rsidR="007C4B50" w:rsidRPr="00AD3B0D" w:rsidRDefault="007C4B50" w:rsidP="00C9484E">
            <w:pPr>
              <w:rPr>
                <w:color w:val="000000"/>
                <w:sz w:val="20"/>
                <w:szCs w:val="20"/>
              </w:rPr>
            </w:pPr>
            <w:r w:rsidRPr="00AD3B0D">
              <w:rPr>
                <w:color w:val="000000"/>
                <w:sz w:val="20"/>
                <w:szCs w:val="20"/>
              </w:rPr>
              <w:t>667</w:t>
            </w:r>
          </w:p>
        </w:tc>
        <w:tc>
          <w:tcPr>
            <w:tcW w:w="819" w:type="dxa"/>
            <w:noWrap/>
            <w:hideMark/>
          </w:tcPr>
          <w:p w14:paraId="0A1D4E66" w14:textId="77777777" w:rsidR="007C4B50" w:rsidRPr="00AD3B0D" w:rsidRDefault="007C4B50" w:rsidP="00C9484E">
            <w:pPr>
              <w:rPr>
                <w:color w:val="000000"/>
                <w:sz w:val="20"/>
                <w:szCs w:val="20"/>
              </w:rPr>
            </w:pPr>
            <w:r w:rsidRPr="00AD3B0D">
              <w:rPr>
                <w:color w:val="000000"/>
                <w:sz w:val="20"/>
                <w:szCs w:val="20"/>
              </w:rPr>
              <w:t>867</w:t>
            </w:r>
          </w:p>
        </w:tc>
        <w:tc>
          <w:tcPr>
            <w:tcW w:w="819" w:type="dxa"/>
            <w:noWrap/>
            <w:hideMark/>
          </w:tcPr>
          <w:p w14:paraId="215564D1" w14:textId="77777777" w:rsidR="007C4B50" w:rsidRPr="00AD3B0D" w:rsidRDefault="007C4B50" w:rsidP="00C9484E">
            <w:pPr>
              <w:rPr>
                <w:color w:val="000000"/>
                <w:sz w:val="20"/>
                <w:szCs w:val="20"/>
              </w:rPr>
            </w:pPr>
            <w:r w:rsidRPr="00AD3B0D">
              <w:rPr>
                <w:color w:val="000000"/>
                <w:sz w:val="20"/>
                <w:szCs w:val="20"/>
              </w:rPr>
              <w:t>1250</w:t>
            </w:r>
          </w:p>
        </w:tc>
        <w:tc>
          <w:tcPr>
            <w:tcW w:w="819" w:type="dxa"/>
            <w:noWrap/>
            <w:hideMark/>
          </w:tcPr>
          <w:p w14:paraId="64095D85" w14:textId="77777777" w:rsidR="007C4B50" w:rsidRPr="00AD3B0D" w:rsidRDefault="007C4B50" w:rsidP="00C9484E">
            <w:pPr>
              <w:rPr>
                <w:color w:val="000000"/>
                <w:sz w:val="20"/>
                <w:szCs w:val="20"/>
              </w:rPr>
            </w:pPr>
            <w:r w:rsidRPr="00AD3B0D">
              <w:rPr>
                <w:color w:val="000000"/>
                <w:sz w:val="20"/>
                <w:szCs w:val="20"/>
              </w:rPr>
              <w:t>2522</w:t>
            </w:r>
          </w:p>
        </w:tc>
        <w:tc>
          <w:tcPr>
            <w:tcW w:w="819" w:type="dxa"/>
            <w:noWrap/>
            <w:hideMark/>
          </w:tcPr>
          <w:p w14:paraId="5655AEFA" w14:textId="77777777" w:rsidR="007C4B50" w:rsidRPr="00AD3B0D" w:rsidRDefault="007C4B50" w:rsidP="00C9484E">
            <w:pPr>
              <w:rPr>
                <w:color w:val="000000"/>
                <w:sz w:val="20"/>
                <w:szCs w:val="20"/>
              </w:rPr>
            </w:pPr>
            <w:r w:rsidRPr="00AD3B0D">
              <w:rPr>
                <w:color w:val="000000"/>
                <w:sz w:val="20"/>
                <w:szCs w:val="20"/>
              </w:rPr>
              <w:t>2754</w:t>
            </w:r>
          </w:p>
        </w:tc>
        <w:tc>
          <w:tcPr>
            <w:tcW w:w="819" w:type="dxa"/>
            <w:noWrap/>
            <w:hideMark/>
          </w:tcPr>
          <w:p w14:paraId="302689BC" w14:textId="77777777" w:rsidR="007C4B50" w:rsidRPr="00AD3B0D" w:rsidRDefault="007C4B50" w:rsidP="00C9484E">
            <w:pPr>
              <w:rPr>
                <w:color w:val="000000"/>
                <w:sz w:val="20"/>
                <w:szCs w:val="20"/>
              </w:rPr>
            </w:pPr>
            <w:r w:rsidRPr="00AD3B0D">
              <w:rPr>
                <w:color w:val="000000"/>
                <w:sz w:val="20"/>
                <w:szCs w:val="20"/>
              </w:rPr>
              <w:t>3152</w:t>
            </w:r>
          </w:p>
        </w:tc>
        <w:tc>
          <w:tcPr>
            <w:tcW w:w="819" w:type="dxa"/>
            <w:noWrap/>
            <w:hideMark/>
          </w:tcPr>
          <w:p w14:paraId="517EADC3" w14:textId="4643EF64" w:rsidR="007C4B50" w:rsidRPr="00AD3B0D" w:rsidRDefault="007C4B50" w:rsidP="00C9484E">
            <w:pPr>
              <w:jc w:val="right"/>
              <w:rPr>
                <w:bCs/>
                <w:i/>
                <w:color w:val="000000"/>
                <w:sz w:val="20"/>
                <w:szCs w:val="20"/>
              </w:rPr>
            </w:pPr>
            <w:r w:rsidRPr="00AD3B0D">
              <w:rPr>
                <w:bCs/>
                <w:i/>
                <w:color w:val="000000"/>
                <w:sz w:val="20"/>
                <w:szCs w:val="20"/>
              </w:rPr>
              <w:t>26</w:t>
            </w:r>
          </w:p>
        </w:tc>
        <w:tc>
          <w:tcPr>
            <w:tcW w:w="819" w:type="dxa"/>
            <w:noWrap/>
            <w:hideMark/>
          </w:tcPr>
          <w:p w14:paraId="03DD0216" w14:textId="3743B9BA" w:rsidR="007C4B50" w:rsidRPr="00AD3B0D" w:rsidRDefault="007C4B50" w:rsidP="00C9484E">
            <w:pPr>
              <w:jc w:val="right"/>
              <w:rPr>
                <w:bCs/>
                <w:i/>
                <w:color w:val="000000"/>
                <w:sz w:val="20"/>
                <w:szCs w:val="20"/>
              </w:rPr>
            </w:pPr>
            <w:r w:rsidRPr="00AD3B0D">
              <w:rPr>
                <w:bCs/>
                <w:i/>
                <w:color w:val="000000"/>
                <w:sz w:val="20"/>
                <w:szCs w:val="20"/>
              </w:rPr>
              <w:t>31</w:t>
            </w:r>
          </w:p>
        </w:tc>
        <w:tc>
          <w:tcPr>
            <w:tcW w:w="819" w:type="dxa"/>
            <w:noWrap/>
            <w:hideMark/>
          </w:tcPr>
          <w:p w14:paraId="50A5BD37" w14:textId="3C38EBB6" w:rsidR="007C4B50" w:rsidRPr="00AD3B0D" w:rsidRDefault="007C4B50" w:rsidP="00C9484E">
            <w:pPr>
              <w:jc w:val="right"/>
              <w:rPr>
                <w:bCs/>
                <w:i/>
                <w:color w:val="000000"/>
                <w:sz w:val="20"/>
                <w:szCs w:val="20"/>
              </w:rPr>
            </w:pPr>
            <w:r w:rsidRPr="00AD3B0D">
              <w:rPr>
                <w:bCs/>
                <w:i/>
                <w:color w:val="000000"/>
                <w:sz w:val="20"/>
                <w:szCs w:val="20"/>
              </w:rPr>
              <w:t>40</w:t>
            </w:r>
          </w:p>
        </w:tc>
      </w:tr>
      <w:tr w:rsidR="007C4B50" w:rsidRPr="00AD3B0D" w14:paraId="3B1D7684" w14:textId="77777777" w:rsidTr="006A1D8B">
        <w:trPr>
          <w:trHeight w:val="300"/>
        </w:trPr>
        <w:tc>
          <w:tcPr>
            <w:tcW w:w="1985" w:type="dxa"/>
            <w:hideMark/>
          </w:tcPr>
          <w:p w14:paraId="442972A0" w14:textId="77777777" w:rsidR="007C4B50" w:rsidRPr="00AD3B0D" w:rsidRDefault="007C4B50" w:rsidP="00C9484E">
            <w:pPr>
              <w:rPr>
                <w:bCs/>
                <w:color w:val="000000"/>
                <w:sz w:val="20"/>
                <w:szCs w:val="20"/>
              </w:rPr>
            </w:pPr>
            <w:r w:rsidRPr="00AD3B0D">
              <w:rPr>
                <w:bCs/>
                <w:color w:val="000000"/>
                <w:sz w:val="20"/>
                <w:szCs w:val="20"/>
              </w:rPr>
              <w:t>Здравоохранение</w:t>
            </w:r>
          </w:p>
        </w:tc>
        <w:tc>
          <w:tcPr>
            <w:tcW w:w="819" w:type="dxa"/>
            <w:noWrap/>
            <w:hideMark/>
          </w:tcPr>
          <w:p w14:paraId="051F4516" w14:textId="77777777" w:rsidR="007C4B50" w:rsidRPr="00AD3B0D" w:rsidRDefault="007C4B50" w:rsidP="00C9484E">
            <w:pPr>
              <w:rPr>
                <w:color w:val="000000"/>
                <w:sz w:val="20"/>
                <w:szCs w:val="20"/>
              </w:rPr>
            </w:pPr>
            <w:r w:rsidRPr="00AD3B0D">
              <w:rPr>
                <w:color w:val="000000"/>
                <w:sz w:val="20"/>
                <w:szCs w:val="20"/>
              </w:rPr>
              <w:t>301</w:t>
            </w:r>
          </w:p>
        </w:tc>
        <w:tc>
          <w:tcPr>
            <w:tcW w:w="819" w:type="dxa"/>
            <w:noWrap/>
            <w:hideMark/>
          </w:tcPr>
          <w:p w14:paraId="1BAA1D95" w14:textId="77777777" w:rsidR="007C4B50" w:rsidRPr="00AD3B0D" w:rsidRDefault="007C4B50" w:rsidP="00C9484E">
            <w:pPr>
              <w:rPr>
                <w:color w:val="000000"/>
                <w:sz w:val="20"/>
                <w:szCs w:val="20"/>
              </w:rPr>
            </w:pPr>
            <w:r w:rsidRPr="00AD3B0D">
              <w:rPr>
                <w:color w:val="000000"/>
                <w:sz w:val="20"/>
                <w:szCs w:val="20"/>
              </w:rPr>
              <w:t>240</w:t>
            </w:r>
          </w:p>
        </w:tc>
        <w:tc>
          <w:tcPr>
            <w:tcW w:w="819" w:type="dxa"/>
            <w:noWrap/>
            <w:hideMark/>
          </w:tcPr>
          <w:p w14:paraId="683DA6A2" w14:textId="77777777" w:rsidR="007C4B50" w:rsidRPr="00AD3B0D" w:rsidRDefault="007C4B50" w:rsidP="00C9484E">
            <w:pPr>
              <w:rPr>
                <w:color w:val="000000"/>
                <w:sz w:val="20"/>
                <w:szCs w:val="20"/>
              </w:rPr>
            </w:pPr>
            <w:r w:rsidRPr="00AD3B0D">
              <w:rPr>
                <w:color w:val="000000"/>
                <w:sz w:val="20"/>
                <w:szCs w:val="20"/>
              </w:rPr>
              <w:t>254</w:t>
            </w:r>
          </w:p>
        </w:tc>
        <w:tc>
          <w:tcPr>
            <w:tcW w:w="819" w:type="dxa"/>
            <w:noWrap/>
            <w:hideMark/>
          </w:tcPr>
          <w:p w14:paraId="202E75F6" w14:textId="77777777" w:rsidR="007C4B50" w:rsidRPr="00AD3B0D" w:rsidRDefault="007C4B50" w:rsidP="00C9484E">
            <w:pPr>
              <w:rPr>
                <w:color w:val="000000"/>
                <w:sz w:val="20"/>
                <w:szCs w:val="20"/>
              </w:rPr>
            </w:pPr>
            <w:r w:rsidRPr="00AD3B0D">
              <w:rPr>
                <w:color w:val="000000"/>
                <w:sz w:val="20"/>
                <w:szCs w:val="20"/>
              </w:rPr>
              <w:t>990</w:t>
            </w:r>
          </w:p>
        </w:tc>
        <w:tc>
          <w:tcPr>
            <w:tcW w:w="819" w:type="dxa"/>
            <w:noWrap/>
            <w:hideMark/>
          </w:tcPr>
          <w:p w14:paraId="3170216E" w14:textId="77777777" w:rsidR="007C4B50" w:rsidRPr="00AD3B0D" w:rsidRDefault="007C4B50" w:rsidP="00C9484E">
            <w:pPr>
              <w:rPr>
                <w:color w:val="000000"/>
                <w:sz w:val="20"/>
                <w:szCs w:val="20"/>
              </w:rPr>
            </w:pPr>
            <w:r w:rsidRPr="00AD3B0D">
              <w:rPr>
                <w:color w:val="000000"/>
                <w:sz w:val="20"/>
                <w:szCs w:val="20"/>
              </w:rPr>
              <w:t>935</w:t>
            </w:r>
          </w:p>
        </w:tc>
        <w:tc>
          <w:tcPr>
            <w:tcW w:w="819" w:type="dxa"/>
            <w:noWrap/>
            <w:hideMark/>
          </w:tcPr>
          <w:p w14:paraId="35BF423E" w14:textId="77777777" w:rsidR="007C4B50" w:rsidRPr="00AD3B0D" w:rsidRDefault="007C4B50" w:rsidP="00C9484E">
            <w:pPr>
              <w:rPr>
                <w:color w:val="000000"/>
                <w:sz w:val="20"/>
                <w:szCs w:val="20"/>
              </w:rPr>
            </w:pPr>
            <w:r w:rsidRPr="00AD3B0D">
              <w:rPr>
                <w:color w:val="000000"/>
                <w:sz w:val="20"/>
                <w:szCs w:val="20"/>
              </w:rPr>
              <w:t>949</w:t>
            </w:r>
          </w:p>
        </w:tc>
        <w:tc>
          <w:tcPr>
            <w:tcW w:w="819" w:type="dxa"/>
            <w:noWrap/>
            <w:hideMark/>
          </w:tcPr>
          <w:p w14:paraId="055D10BB" w14:textId="6EB78878" w:rsidR="007C4B50" w:rsidRPr="00AD3B0D" w:rsidRDefault="007C4B50" w:rsidP="00C9484E">
            <w:pPr>
              <w:jc w:val="right"/>
              <w:rPr>
                <w:bCs/>
                <w:i/>
                <w:color w:val="000000"/>
                <w:sz w:val="20"/>
                <w:szCs w:val="20"/>
              </w:rPr>
            </w:pPr>
            <w:r w:rsidRPr="00AD3B0D">
              <w:rPr>
                <w:bCs/>
                <w:i/>
                <w:color w:val="000000"/>
                <w:sz w:val="20"/>
                <w:szCs w:val="20"/>
              </w:rPr>
              <w:t>30</w:t>
            </w:r>
          </w:p>
        </w:tc>
        <w:tc>
          <w:tcPr>
            <w:tcW w:w="819" w:type="dxa"/>
            <w:noWrap/>
            <w:hideMark/>
          </w:tcPr>
          <w:p w14:paraId="5E577EFE" w14:textId="11FB5E41" w:rsidR="007C4B50" w:rsidRPr="00AD3B0D" w:rsidRDefault="007C4B50" w:rsidP="00C9484E">
            <w:pPr>
              <w:jc w:val="right"/>
              <w:rPr>
                <w:bCs/>
                <w:i/>
                <w:color w:val="000000"/>
                <w:sz w:val="20"/>
                <w:szCs w:val="20"/>
              </w:rPr>
            </w:pPr>
            <w:r w:rsidRPr="00AD3B0D">
              <w:rPr>
                <w:bCs/>
                <w:i/>
                <w:color w:val="000000"/>
                <w:sz w:val="20"/>
                <w:szCs w:val="20"/>
              </w:rPr>
              <w:t>26</w:t>
            </w:r>
          </w:p>
        </w:tc>
        <w:tc>
          <w:tcPr>
            <w:tcW w:w="819" w:type="dxa"/>
            <w:noWrap/>
            <w:hideMark/>
          </w:tcPr>
          <w:p w14:paraId="5DAFC4CB" w14:textId="735BA46C" w:rsidR="007C4B50" w:rsidRPr="00AD3B0D" w:rsidRDefault="007C4B50" w:rsidP="00C9484E">
            <w:pPr>
              <w:jc w:val="right"/>
              <w:rPr>
                <w:bCs/>
                <w:i/>
                <w:color w:val="000000"/>
                <w:sz w:val="20"/>
                <w:szCs w:val="20"/>
              </w:rPr>
            </w:pPr>
            <w:r w:rsidRPr="00AD3B0D">
              <w:rPr>
                <w:bCs/>
                <w:i/>
                <w:color w:val="000000"/>
                <w:sz w:val="20"/>
                <w:szCs w:val="20"/>
              </w:rPr>
              <w:t>27</w:t>
            </w:r>
          </w:p>
        </w:tc>
      </w:tr>
      <w:tr w:rsidR="007C4B50" w:rsidRPr="00AD3B0D" w14:paraId="1D098EF3" w14:textId="77777777" w:rsidTr="006A1D8B">
        <w:trPr>
          <w:trHeight w:val="300"/>
        </w:trPr>
        <w:tc>
          <w:tcPr>
            <w:tcW w:w="1985" w:type="dxa"/>
            <w:hideMark/>
          </w:tcPr>
          <w:p w14:paraId="74586677" w14:textId="77777777" w:rsidR="007C4B50" w:rsidRPr="00AD3B0D" w:rsidRDefault="007C4B50" w:rsidP="00C9484E">
            <w:pPr>
              <w:rPr>
                <w:bCs/>
                <w:color w:val="000000"/>
                <w:sz w:val="20"/>
                <w:szCs w:val="20"/>
              </w:rPr>
            </w:pPr>
            <w:r w:rsidRPr="00AD3B0D">
              <w:rPr>
                <w:bCs/>
                <w:color w:val="000000"/>
                <w:sz w:val="20"/>
                <w:szCs w:val="20"/>
              </w:rPr>
              <w:t>Охрана окружающей среды</w:t>
            </w:r>
          </w:p>
        </w:tc>
        <w:tc>
          <w:tcPr>
            <w:tcW w:w="819" w:type="dxa"/>
            <w:noWrap/>
            <w:hideMark/>
          </w:tcPr>
          <w:p w14:paraId="7E5FCC20" w14:textId="77777777" w:rsidR="007C4B50" w:rsidRPr="00AD3B0D" w:rsidRDefault="007C4B50" w:rsidP="00C9484E">
            <w:pPr>
              <w:rPr>
                <w:color w:val="000000"/>
                <w:sz w:val="20"/>
                <w:szCs w:val="20"/>
              </w:rPr>
            </w:pPr>
            <w:r w:rsidRPr="00AD3B0D">
              <w:rPr>
                <w:color w:val="000000"/>
                <w:sz w:val="20"/>
                <w:szCs w:val="20"/>
              </w:rPr>
              <w:t>64</w:t>
            </w:r>
          </w:p>
        </w:tc>
        <w:tc>
          <w:tcPr>
            <w:tcW w:w="819" w:type="dxa"/>
            <w:noWrap/>
            <w:hideMark/>
          </w:tcPr>
          <w:p w14:paraId="3C26F338" w14:textId="77777777" w:rsidR="007C4B50" w:rsidRPr="00AD3B0D" w:rsidRDefault="007C4B50" w:rsidP="00C9484E">
            <w:pPr>
              <w:rPr>
                <w:color w:val="000000"/>
                <w:sz w:val="20"/>
                <w:szCs w:val="20"/>
              </w:rPr>
            </w:pPr>
            <w:r w:rsidRPr="00AD3B0D">
              <w:rPr>
                <w:color w:val="000000"/>
                <w:sz w:val="20"/>
                <w:szCs w:val="20"/>
              </w:rPr>
              <w:t>80</w:t>
            </w:r>
          </w:p>
        </w:tc>
        <w:tc>
          <w:tcPr>
            <w:tcW w:w="819" w:type="dxa"/>
            <w:noWrap/>
            <w:hideMark/>
          </w:tcPr>
          <w:p w14:paraId="3D4D6E1B" w14:textId="77777777" w:rsidR="007C4B50" w:rsidRPr="00AD3B0D" w:rsidRDefault="007C4B50" w:rsidP="00C9484E">
            <w:pPr>
              <w:rPr>
                <w:color w:val="000000"/>
                <w:sz w:val="20"/>
                <w:szCs w:val="20"/>
              </w:rPr>
            </w:pPr>
            <w:r w:rsidRPr="00AD3B0D">
              <w:rPr>
                <w:color w:val="000000"/>
                <w:sz w:val="20"/>
                <w:szCs w:val="20"/>
              </w:rPr>
              <w:t>88</w:t>
            </w:r>
          </w:p>
        </w:tc>
        <w:tc>
          <w:tcPr>
            <w:tcW w:w="819" w:type="dxa"/>
            <w:noWrap/>
            <w:hideMark/>
          </w:tcPr>
          <w:p w14:paraId="5E85D594" w14:textId="77777777" w:rsidR="007C4B50" w:rsidRPr="00AD3B0D" w:rsidRDefault="007C4B50" w:rsidP="00C9484E">
            <w:pPr>
              <w:rPr>
                <w:color w:val="000000"/>
                <w:sz w:val="20"/>
                <w:szCs w:val="20"/>
              </w:rPr>
            </w:pPr>
            <w:r w:rsidRPr="00AD3B0D">
              <w:rPr>
                <w:color w:val="000000"/>
                <w:sz w:val="20"/>
                <w:szCs w:val="20"/>
              </w:rPr>
              <w:t>348</w:t>
            </w:r>
          </w:p>
        </w:tc>
        <w:tc>
          <w:tcPr>
            <w:tcW w:w="819" w:type="dxa"/>
            <w:noWrap/>
            <w:hideMark/>
          </w:tcPr>
          <w:p w14:paraId="4F5F6B74" w14:textId="77777777" w:rsidR="007C4B50" w:rsidRPr="00AD3B0D" w:rsidRDefault="007C4B50" w:rsidP="00C9484E">
            <w:pPr>
              <w:rPr>
                <w:color w:val="000000"/>
                <w:sz w:val="20"/>
                <w:szCs w:val="20"/>
              </w:rPr>
            </w:pPr>
            <w:r w:rsidRPr="00AD3B0D">
              <w:rPr>
                <w:color w:val="000000"/>
                <w:sz w:val="20"/>
                <w:szCs w:val="20"/>
              </w:rPr>
              <w:t>411</w:t>
            </w:r>
          </w:p>
        </w:tc>
        <w:tc>
          <w:tcPr>
            <w:tcW w:w="819" w:type="dxa"/>
            <w:noWrap/>
            <w:hideMark/>
          </w:tcPr>
          <w:p w14:paraId="1AAA0F12" w14:textId="77777777" w:rsidR="007C4B50" w:rsidRPr="00AD3B0D" w:rsidRDefault="007C4B50" w:rsidP="00C9484E">
            <w:pPr>
              <w:rPr>
                <w:color w:val="000000"/>
                <w:sz w:val="20"/>
                <w:szCs w:val="20"/>
              </w:rPr>
            </w:pPr>
            <w:r w:rsidRPr="00AD3B0D">
              <w:rPr>
                <w:color w:val="000000"/>
                <w:sz w:val="20"/>
                <w:szCs w:val="20"/>
              </w:rPr>
              <w:t>438</w:t>
            </w:r>
          </w:p>
        </w:tc>
        <w:tc>
          <w:tcPr>
            <w:tcW w:w="819" w:type="dxa"/>
            <w:noWrap/>
            <w:hideMark/>
          </w:tcPr>
          <w:p w14:paraId="0910D56C" w14:textId="1DBFC802" w:rsidR="007C4B50" w:rsidRPr="00AD3B0D" w:rsidRDefault="007C4B50" w:rsidP="00C9484E">
            <w:pPr>
              <w:jc w:val="right"/>
              <w:rPr>
                <w:bCs/>
                <w:i/>
                <w:color w:val="000000"/>
                <w:sz w:val="20"/>
                <w:szCs w:val="20"/>
              </w:rPr>
            </w:pPr>
            <w:r w:rsidRPr="00AD3B0D">
              <w:rPr>
                <w:bCs/>
                <w:i/>
                <w:color w:val="000000"/>
                <w:sz w:val="20"/>
                <w:szCs w:val="20"/>
              </w:rPr>
              <w:t>18</w:t>
            </w:r>
          </w:p>
        </w:tc>
        <w:tc>
          <w:tcPr>
            <w:tcW w:w="819" w:type="dxa"/>
            <w:noWrap/>
            <w:hideMark/>
          </w:tcPr>
          <w:p w14:paraId="65D84655" w14:textId="6168C978" w:rsidR="007C4B50" w:rsidRPr="00AD3B0D" w:rsidRDefault="007C4B50" w:rsidP="00C9484E">
            <w:pPr>
              <w:jc w:val="right"/>
              <w:rPr>
                <w:bCs/>
                <w:i/>
                <w:color w:val="000000"/>
                <w:sz w:val="20"/>
                <w:szCs w:val="20"/>
              </w:rPr>
            </w:pPr>
            <w:r w:rsidRPr="00AD3B0D">
              <w:rPr>
                <w:bCs/>
                <w:i/>
                <w:color w:val="000000"/>
                <w:sz w:val="20"/>
                <w:szCs w:val="20"/>
              </w:rPr>
              <w:t>19</w:t>
            </w:r>
          </w:p>
        </w:tc>
        <w:tc>
          <w:tcPr>
            <w:tcW w:w="819" w:type="dxa"/>
            <w:noWrap/>
            <w:hideMark/>
          </w:tcPr>
          <w:p w14:paraId="350F0A43" w14:textId="0C05EB25" w:rsidR="007C4B50" w:rsidRPr="00AD3B0D" w:rsidRDefault="007C4B50" w:rsidP="00C9484E">
            <w:pPr>
              <w:jc w:val="right"/>
              <w:rPr>
                <w:bCs/>
                <w:i/>
                <w:color w:val="000000"/>
                <w:sz w:val="20"/>
                <w:szCs w:val="20"/>
              </w:rPr>
            </w:pPr>
            <w:r w:rsidRPr="00AD3B0D">
              <w:rPr>
                <w:bCs/>
                <w:i/>
                <w:color w:val="000000"/>
                <w:sz w:val="20"/>
                <w:szCs w:val="20"/>
              </w:rPr>
              <w:t>20</w:t>
            </w:r>
          </w:p>
        </w:tc>
      </w:tr>
      <w:tr w:rsidR="007C4B50" w:rsidRPr="00AD3B0D" w14:paraId="5FAD2C1E" w14:textId="77777777" w:rsidTr="006A1D8B">
        <w:trPr>
          <w:trHeight w:val="300"/>
        </w:trPr>
        <w:tc>
          <w:tcPr>
            <w:tcW w:w="1985" w:type="dxa"/>
            <w:hideMark/>
          </w:tcPr>
          <w:p w14:paraId="12BDB541" w14:textId="77777777" w:rsidR="007C4B50" w:rsidRPr="00AD3B0D" w:rsidRDefault="007C4B50" w:rsidP="00C9484E">
            <w:pPr>
              <w:rPr>
                <w:bCs/>
                <w:color w:val="000000"/>
                <w:sz w:val="20"/>
                <w:szCs w:val="20"/>
              </w:rPr>
            </w:pPr>
            <w:r w:rsidRPr="00AD3B0D">
              <w:rPr>
                <w:bCs/>
                <w:color w:val="000000"/>
                <w:sz w:val="20"/>
                <w:szCs w:val="20"/>
              </w:rPr>
              <w:t>Образование</w:t>
            </w:r>
          </w:p>
        </w:tc>
        <w:tc>
          <w:tcPr>
            <w:tcW w:w="819" w:type="dxa"/>
            <w:noWrap/>
            <w:hideMark/>
          </w:tcPr>
          <w:p w14:paraId="12DF4234" w14:textId="77777777" w:rsidR="007C4B50" w:rsidRPr="00AD3B0D" w:rsidRDefault="007C4B50" w:rsidP="00C9484E">
            <w:pPr>
              <w:rPr>
                <w:color w:val="000000"/>
                <w:sz w:val="20"/>
                <w:szCs w:val="20"/>
              </w:rPr>
            </w:pPr>
            <w:r w:rsidRPr="00AD3B0D">
              <w:rPr>
                <w:color w:val="000000"/>
                <w:sz w:val="20"/>
                <w:szCs w:val="20"/>
              </w:rPr>
              <w:t>194</w:t>
            </w:r>
          </w:p>
        </w:tc>
        <w:tc>
          <w:tcPr>
            <w:tcW w:w="819" w:type="dxa"/>
            <w:noWrap/>
            <w:hideMark/>
          </w:tcPr>
          <w:p w14:paraId="19FB723A" w14:textId="77777777" w:rsidR="007C4B50" w:rsidRPr="00AD3B0D" w:rsidRDefault="007C4B50" w:rsidP="00C9484E">
            <w:pPr>
              <w:rPr>
                <w:color w:val="000000"/>
                <w:sz w:val="20"/>
                <w:szCs w:val="20"/>
              </w:rPr>
            </w:pPr>
            <w:r w:rsidRPr="00AD3B0D">
              <w:rPr>
                <w:color w:val="000000"/>
                <w:sz w:val="20"/>
                <w:szCs w:val="20"/>
              </w:rPr>
              <w:t>210</w:t>
            </w:r>
          </w:p>
        </w:tc>
        <w:tc>
          <w:tcPr>
            <w:tcW w:w="819" w:type="dxa"/>
            <w:noWrap/>
            <w:hideMark/>
          </w:tcPr>
          <w:p w14:paraId="5E59CA6C" w14:textId="77777777" w:rsidR="007C4B50" w:rsidRPr="00AD3B0D" w:rsidRDefault="007C4B50" w:rsidP="00C9484E">
            <w:pPr>
              <w:rPr>
                <w:color w:val="000000"/>
                <w:sz w:val="20"/>
                <w:szCs w:val="20"/>
              </w:rPr>
            </w:pPr>
            <w:r w:rsidRPr="00AD3B0D">
              <w:rPr>
                <w:color w:val="000000"/>
                <w:sz w:val="20"/>
                <w:szCs w:val="20"/>
              </w:rPr>
              <w:t>169</w:t>
            </w:r>
          </w:p>
        </w:tc>
        <w:tc>
          <w:tcPr>
            <w:tcW w:w="819" w:type="dxa"/>
            <w:noWrap/>
            <w:hideMark/>
          </w:tcPr>
          <w:p w14:paraId="35B789A5" w14:textId="77777777" w:rsidR="007C4B50" w:rsidRPr="00AD3B0D" w:rsidRDefault="007C4B50" w:rsidP="00C9484E">
            <w:pPr>
              <w:rPr>
                <w:color w:val="000000"/>
                <w:sz w:val="20"/>
                <w:szCs w:val="20"/>
              </w:rPr>
            </w:pPr>
            <w:r w:rsidRPr="00AD3B0D">
              <w:rPr>
                <w:color w:val="000000"/>
                <w:sz w:val="20"/>
                <w:szCs w:val="20"/>
              </w:rPr>
              <w:t>1025</w:t>
            </w:r>
          </w:p>
        </w:tc>
        <w:tc>
          <w:tcPr>
            <w:tcW w:w="819" w:type="dxa"/>
            <w:noWrap/>
            <w:hideMark/>
          </w:tcPr>
          <w:p w14:paraId="5D2854CF" w14:textId="77777777" w:rsidR="007C4B50" w:rsidRPr="00AD3B0D" w:rsidRDefault="007C4B50" w:rsidP="00C9484E">
            <w:pPr>
              <w:rPr>
                <w:color w:val="000000"/>
                <w:sz w:val="20"/>
                <w:szCs w:val="20"/>
              </w:rPr>
            </w:pPr>
            <w:r w:rsidRPr="00AD3B0D">
              <w:rPr>
                <w:color w:val="000000"/>
                <w:sz w:val="20"/>
                <w:szCs w:val="20"/>
              </w:rPr>
              <w:t>1055</w:t>
            </w:r>
          </w:p>
        </w:tc>
        <w:tc>
          <w:tcPr>
            <w:tcW w:w="819" w:type="dxa"/>
            <w:noWrap/>
            <w:hideMark/>
          </w:tcPr>
          <w:p w14:paraId="6F4A692E" w14:textId="77777777" w:rsidR="007C4B50" w:rsidRPr="00AD3B0D" w:rsidRDefault="007C4B50" w:rsidP="00C9484E">
            <w:pPr>
              <w:rPr>
                <w:color w:val="000000"/>
                <w:sz w:val="20"/>
                <w:szCs w:val="20"/>
              </w:rPr>
            </w:pPr>
            <w:r w:rsidRPr="00AD3B0D">
              <w:rPr>
                <w:color w:val="000000"/>
                <w:sz w:val="20"/>
                <w:szCs w:val="20"/>
              </w:rPr>
              <w:t>1001</w:t>
            </w:r>
          </w:p>
        </w:tc>
        <w:tc>
          <w:tcPr>
            <w:tcW w:w="819" w:type="dxa"/>
            <w:noWrap/>
            <w:hideMark/>
          </w:tcPr>
          <w:p w14:paraId="14B1FDB4" w14:textId="5A1AA928" w:rsidR="007C4B50" w:rsidRPr="00AD3B0D" w:rsidRDefault="007C4B50" w:rsidP="00C9484E">
            <w:pPr>
              <w:jc w:val="right"/>
              <w:rPr>
                <w:bCs/>
                <w:i/>
                <w:color w:val="000000"/>
                <w:sz w:val="20"/>
                <w:szCs w:val="20"/>
              </w:rPr>
            </w:pPr>
            <w:r w:rsidRPr="00AD3B0D">
              <w:rPr>
                <w:bCs/>
                <w:i/>
                <w:color w:val="000000"/>
                <w:sz w:val="20"/>
                <w:szCs w:val="20"/>
              </w:rPr>
              <w:t>19</w:t>
            </w:r>
          </w:p>
        </w:tc>
        <w:tc>
          <w:tcPr>
            <w:tcW w:w="819" w:type="dxa"/>
            <w:noWrap/>
            <w:hideMark/>
          </w:tcPr>
          <w:p w14:paraId="0B5E9CC3" w14:textId="4BD83EA5" w:rsidR="007C4B50" w:rsidRPr="00AD3B0D" w:rsidRDefault="007C4B50" w:rsidP="00C9484E">
            <w:pPr>
              <w:jc w:val="right"/>
              <w:rPr>
                <w:bCs/>
                <w:i/>
                <w:color w:val="000000"/>
                <w:sz w:val="20"/>
                <w:szCs w:val="20"/>
              </w:rPr>
            </w:pPr>
            <w:r w:rsidRPr="00AD3B0D">
              <w:rPr>
                <w:bCs/>
                <w:i/>
                <w:color w:val="000000"/>
                <w:sz w:val="20"/>
                <w:szCs w:val="20"/>
              </w:rPr>
              <w:t>20</w:t>
            </w:r>
          </w:p>
        </w:tc>
        <w:tc>
          <w:tcPr>
            <w:tcW w:w="819" w:type="dxa"/>
            <w:noWrap/>
            <w:hideMark/>
          </w:tcPr>
          <w:p w14:paraId="47B0AB6C" w14:textId="41E814FC" w:rsidR="007C4B50" w:rsidRPr="00AD3B0D" w:rsidRDefault="007C4B50" w:rsidP="00C9484E">
            <w:pPr>
              <w:jc w:val="right"/>
              <w:rPr>
                <w:bCs/>
                <w:i/>
                <w:color w:val="000000"/>
                <w:sz w:val="20"/>
                <w:szCs w:val="20"/>
              </w:rPr>
            </w:pPr>
            <w:r w:rsidRPr="00AD3B0D">
              <w:rPr>
                <w:bCs/>
                <w:i/>
                <w:color w:val="000000"/>
                <w:sz w:val="20"/>
                <w:szCs w:val="20"/>
              </w:rPr>
              <w:t>17</w:t>
            </w:r>
          </w:p>
        </w:tc>
      </w:tr>
      <w:tr w:rsidR="007C4B50" w:rsidRPr="00AD3B0D" w14:paraId="678D5599" w14:textId="77777777" w:rsidTr="006A1D8B">
        <w:trPr>
          <w:trHeight w:val="300"/>
        </w:trPr>
        <w:tc>
          <w:tcPr>
            <w:tcW w:w="1985" w:type="dxa"/>
            <w:hideMark/>
          </w:tcPr>
          <w:p w14:paraId="11826B98" w14:textId="77777777" w:rsidR="007C4B50" w:rsidRPr="00AD3B0D" w:rsidRDefault="007C4B50" w:rsidP="00C9484E">
            <w:pPr>
              <w:rPr>
                <w:bCs/>
                <w:color w:val="000000"/>
                <w:sz w:val="20"/>
                <w:szCs w:val="20"/>
              </w:rPr>
            </w:pPr>
            <w:r w:rsidRPr="00AD3B0D">
              <w:rPr>
                <w:bCs/>
                <w:color w:val="000000"/>
                <w:sz w:val="20"/>
                <w:szCs w:val="20"/>
              </w:rPr>
              <w:t>Социальная политика</w:t>
            </w:r>
          </w:p>
        </w:tc>
        <w:tc>
          <w:tcPr>
            <w:tcW w:w="819" w:type="dxa"/>
            <w:noWrap/>
            <w:hideMark/>
          </w:tcPr>
          <w:p w14:paraId="536660E3" w14:textId="77777777" w:rsidR="007C4B50" w:rsidRPr="00AD3B0D" w:rsidRDefault="007C4B50" w:rsidP="00C9484E">
            <w:pPr>
              <w:rPr>
                <w:color w:val="000000"/>
                <w:sz w:val="20"/>
                <w:szCs w:val="20"/>
              </w:rPr>
            </w:pPr>
            <w:r w:rsidRPr="00AD3B0D">
              <w:rPr>
                <w:color w:val="000000"/>
                <w:sz w:val="20"/>
                <w:szCs w:val="20"/>
              </w:rPr>
              <w:t>557</w:t>
            </w:r>
          </w:p>
        </w:tc>
        <w:tc>
          <w:tcPr>
            <w:tcW w:w="819" w:type="dxa"/>
            <w:noWrap/>
            <w:hideMark/>
          </w:tcPr>
          <w:p w14:paraId="199FC6EC" w14:textId="77777777" w:rsidR="007C4B50" w:rsidRPr="00AD3B0D" w:rsidRDefault="007C4B50" w:rsidP="00C9484E">
            <w:pPr>
              <w:rPr>
                <w:color w:val="000000"/>
                <w:sz w:val="20"/>
                <w:szCs w:val="20"/>
              </w:rPr>
            </w:pPr>
            <w:r w:rsidRPr="00AD3B0D">
              <w:rPr>
                <w:color w:val="000000"/>
                <w:sz w:val="20"/>
                <w:szCs w:val="20"/>
              </w:rPr>
              <w:t>573</w:t>
            </w:r>
          </w:p>
        </w:tc>
        <w:tc>
          <w:tcPr>
            <w:tcW w:w="819" w:type="dxa"/>
            <w:noWrap/>
            <w:hideMark/>
          </w:tcPr>
          <w:p w14:paraId="219F1923" w14:textId="77777777" w:rsidR="007C4B50" w:rsidRPr="00AD3B0D" w:rsidRDefault="007C4B50" w:rsidP="00C9484E">
            <w:pPr>
              <w:rPr>
                <w:color w:val="000000"/>
                <w:sz w:val="20"/>
                <w:szCs w:val="20"/>
              </w:rPr>
            </w:pPr>
            <w:r w:rsidRPr="00AD3B0D">
              <w:rPr>
                <w:color w:val="000000"/>
                <w:sz w:val="20"/>
                <w:szCs w:val="20"/>
              </w:rPr>
              <w:t>559</w:t>
            </w:r>
          </w:p>
        </w:tc>
        <w:tc>
          <w:tcPr>
            <w:tcW w:w="819" w:type="dxa"/>
            <w:noWrap/>
            <w:hideMark/>
          </w:tcPr>
          <w:p w14:paraId="6F941F8A" w14:textId="77777777" w:rsidR="007C4B50" w:rsidRPr="00AD3B0D" w:rsidRDefault="007C4B50" w:rsidP="00C9484E">
            <w:pPr>
              <w:rPr>
                <w:color w:val="000000"/>
                <w:sz w:val="20"/>
                <w:szCs w:val="20"/>
              </w:rPr>
            </w:pPr>
            <w:r w:rsidRPr="00AD3B0D">
              <w:rPr>
                <w:color w:val="000000"/>
                <w:sz w:val="20"/>
                <w:szCs w:val="20"/>
              </w:rPr>
              <w:t>4999</w:t>
            </w:r>
          </w:p>
        </w:tc>
        <w:tc>
          <w:tcPr>
            <w:tcW w:w="819" w:type="dxa"/>
            <w:noWrap/>
            <w:hideMark/>
          </w:tcPr>
          <w:p w14:paraId="208AEA72" w14:textId="77777777" w:rsidR="007C4B50" w:rsidRPr="00AD3B0D" w:rsidRDefault="007C4B50" w:rsidP="00C9484E">
            <w:pPr>
              <w:rPr>
                <w:color w:val="000000"/>
                <w:sz w:val="20"/>
                <w:szCs w:val="20"/>
              </w:rPr>
            </w:pPr>
            <w:r w:rsidRPr="00AD3B0D">
              <w:rPr>
                <w:color w:val="000000"/>
                <w:sz w:val="20"/>
                <w:szCs w:val="20"/>
              </w:rPr>
              <w:t>5033</w:t>
            </w:r>
          </w:p>
        </w:tc>
        <w:tc>
          <w:tcPr>
            <w:tcW w:w="819" w:type="dxa"/>
            <w:noWrap/>
            <w:hideMark/>
          </w:tcPr>
          <w:p w14:paraId="0C50CDE4" w14:textId="77777777" w:rsidR="007C4B50" w:rsidRPr="00AD3B0D" w:rsidRDefault="007C4B50" w:rsidP="00C9484E">
            <w:pPr>
              <w:rPr>
                <w:color w:val="000000"/>
                <w:sz w:val="20"/>
                <w:szCs w:val="20"/>
              </w:rPr>
            </w:pPr>
            <w:r w:rsidRPr="00AD3B0D">
              <w:rPr>
                <w:color w:val="000000"/>
                <w:sz w:val="20"/>
                <w:szCs w:val="20"/>
              </w:rPr>
              <w:t>4813</w:t>
            </w:r>
          </w:p>
        </w:tc>
        <w:tc>
          <w:tcPr>
            <w:tcW w:w="819" w:type="dxa"/>
            <w:noWrap/>
            <w:hideMark/>
          </w:tcPr>
          <w:p w14:paraId="12F75954" w14:textId="7F79E79A" w:rsidR="007C4B50" w:rsidRPr="00AD3B0D" w:rsidRDefault="007C4B50" w:rsidP="00C9484E">
            <w:pPr>
              <w:jc w:val="right"/>
              <w:rPr>
                <w:bCs/>
                <w:i/>
                <w:color w:val="000000"/>
                <w:sz w:val="20"/>
                <w:szCs w:val="20"/>
              </w:rPr>
            </w:pPr>
            <w:r w:rsidRPr="00AD3B0D">
              <w:rPr>
                <w:bCs/>
                <w:i/>
                <w:color w:val="000000"/>
                <w:sz w:val="20"/>
                <w:szCs w:val="20"/>
              </w:rPr>
              <w:t>11</w:t>
            </w:r>
          </w:p>
        </w:tc>
        <w:tc>
          <w:tcPr>
            <w:tcW w:w="819" w:type="dxa"/>
            <w:noWrap/>
            <w:hideMark/>
          </w:tcPr>
          <w:p w14:paraId="362AB984" w14:textId="02B6F9E8" w:rsidR="007C4B50" w:rsidRPr="00AD3B0D" w:rsidRDefault="007C4B50" w:rsidP="00C9484E">
            <w:pPr>
              <w:jc w:val="right"/>
              <w:rPr>
                <w:bCs/>
                <w:i/>
                <w:color w:val="000000"/>
                <w:sz w:val="20"/>
                <w:szCs w:val="20"/>
              </w:rPr>
            </w:pPr>
            <w:r w:rsidRPr="00AD3B0D">
              <w:rPr>
                <w:bCs/>
                <w:i/>
                <w:color w:val="000000"/>
                <w:sz w:val="20"/>
                <w:szCs w:val="20"/>
              </w:rPr>
              <w:t>11</w:t>
            </w:r>
          </w:p>
        </w:tc>
        <w:tc>
          <w:tcPr>
            <w:tcW w:w="819" w:type="dxa"/>
            <w:noWrap/>
            <w:hideMark/>
          </w:tcPr>
          <w:p w14:paraId="201BDA2B" w14:textId="409DEF9B" w:rsidR="007C4B50" w:rsidRPr="00AD3B0D" w:rsidRDefault="007C4B50" w:rsidP="00C9484E">
            <w:pPr>
              <w:jc w:val="right"/>
              <w:rPr>
                <w:bCs/>
                <w:i/>
                <w:color w:val="000000"/>
                <w:sz w:val="20"/>
                <w:szCs w:val="20"/>
              </w:rPr>
            </w:pPr>
            <w:r w:rsidRPr="00AD3B0D">
              <w:rPr>
                <w:bCs/>
                <w:i/>
                <w:color w:val="000000"/>
                <w:sz w:val="20"/>
                <w:szCs w:val="20"/>
              </w:rPr>
              <w:t>12</w:t>
            </w:r>
          </w:p>
        </w:tc>
      </w:tr>
      <w:tr w:rsidR="007C4B50" w:rsidRPr="00AD3B0D" w14:paraId="6B56C982" w14:textId="77777777" w:rsidTr="006A1D8B">
        <w:trPr>
          <w:trHeight w:val="300"/>
        </w:trPr>
        <w:tc>
          <w:tcPr>
            <w:tcW w:w="1985" w:type="dxa"/>
            <w:hideMark/>
          </w:tcPr>
          <w:p w14:paraId="3419AE57" w14:textId="77777777" w:rsidR="007C4B50" w:rsidRPr="00AD3B0D" w:rsidRDefault="007C4B50" w:rsidP="00C9484E">
            <w:pPr>
              <w:rPr>
                <w:bCs/>
                <w:color w:val="000000"/>
                <w:sz w:val="20"/>
                <w:szCs w:val="20"/>
              </w:rPr>
            </w:pPr>
            <w:r w:rsidRPr="00AD3B0D">
              <w:rPr>
                <w:bCs/>
                <w:color w:val="000000"/>
                <w:sz w:val="20"/>
                <w:szCs w:val="20"/>
              </w:rPr>
              <w:t>Общегосударственные вопросы</w:t>
            </w:r>
          </w:p>
        </w:tc>
        <w:tc>
          <w:tcPr>
            <w:tcW w:w="819" w:type="dxa"/>
            <w:noWrap/>
            <w:hideMark/>
          </w:tcPr>
          <w:p w14:paraId="58421EB0" w14:textId="77777777" w:rsidR="007C4B50" w:rsidRPr="00AD3B0D" w:rsidRDefault="007C4B50" w:rsidP="00C9484E">
            <w:pPr>
              <w:rPr>
                <w:color w:val="000000"/>
                <w:sz w:val="20"/>
                <w:szCs w:val="20"/>
              </w:rPr>
            </w:pPr>
            <w:r w:rsidRPr="00AD3B0D">
              <w:rPr>
                <w:color w:val="000000"/>
                <w:sz w:val="20"/>
                <w:szCs w:val="20"/>
              </w:rPr>
              <w:t>39</w:t>
            </w:r>
          </w:p>
        </w:tc>
        <w:tc>
          <w:tcPr>
            <w:tcW w:w="819" w:type="dxa"/>
            <w:noWrap/>
            <w:hideMark/>
          </w:tcPr>
          <w:p w14:paraId="7BA03308" w14:textId="77777777" w:rsidR="007C4B50" w:rsidRPr="00AD3B0D" w:rsidRDefault="007C4B50" w:rsidP="00C9484E">
            <w:pPr>
              <w:rPr>
                <w:color w:val="000000"/>
                <w:sz w:val="20"/>
                <w:szCs w:val="20"/>
              </w:rPr>
            </w:pPr>
            <w:r w:rsidRPr="00AD3B0D">
              <w:rPr>
                <w:color w:val="000000"/>
                <w:sz w:val="20"/>
                <w:szCs w:val="20"/>
              </w:rPr>
              <w:t>61</w:t>
            </w:r>
          </w:p>
        </w:tc>
        <w:tc>
          <w:tcPr>
            <w:tcW w:w="819" w:type="dxa"/>
            <w:noWrap/>
            <w:hideMark/>
          </w:tcPr>
          <w:p w14:paraId="4BD2A5BA" w14:textId="77777777" w:rsidR="007C4B50" w:rsidRPr="00AD3B0D" w:rsidRDefault="007C4B50" w:rsidP="00C9484E">
            <w:pPr>
              <w:rPr>
                <w:color w:val="000000"/>
                <w:sz w:val="20"/>
                <w:szCs w:val="20"/>
              </w:rPr>
            </w:pPr>
            <w:r w:rsidRPr="00AD3B0D">
              <w:rPr>
                <w:color w:val="000000"/>
                <w:sz w:val="20"/>
                <w:szCs w:val="20"/>
              </w:rPr>
              <w:t>91</w:t>
            </w:r>
          </w:p>
        </w:tc>
        <w:tc>
          <w:tcPr>
            <w:tcW w:w="819" w:type="dxa"/>
            <w:noWrap/>
            <w:hideMark/>
          </w:tcPr>
          <w:p w14:paraId="6B2CB918" w14:textId="77777777" w:rsidR="007C4B50" w:rsidRPr="00AD3B0D" w:rsidRDefault="007C4B50" w:rsidP="00C9484E">
            <w:pPr>
              <w:rPr>
                <w:color w:val="000000"/>
                <w:sz w:val="20"/>
                <w:szCs w:val="20"/>
              </w:rPr>
            </w:pPr>
            <w:r w:rsidRPr="00AD3B0D">
              <w:rPr>
                <w:color w:val="000000"/>
                <w:sz w:val="20"/>
                <w:szCs w:val="20"/>
              </w:rPr>
              <w:t>1456</w:t>
            </w:r>
          </w:p>
        </w:tc>
        <w:tc>
          <w:tcPr>
            <w:tcW w:w="819" w:type="dxa"/>
            <w:noWrap/>
            <w:hideMark/>
          </w:tcPr>
          <w:p w14:paraId="2DC5B678" w14:textId="77777777" w:rsidR="007C4B50" w:rsidRPr="00AD3B0D" w:rsidRDefault="007C4B50" w:rsidP="00C9484E">
            <w:pPr>
              <w:rPr>
                <w:color w:val="000000"/>
                <w:sz w:val="20"/>
                <w:szCs w:val="20"/>
              </w:rPr>
            </w:pPr>
            <w:r w:rsidRPr="00AD3B0D">
              <w:rPr>
                <w:color w:val="000000"/>
                <w:sz w:val="20"/>
                <w:szCs w:val="20"/>
              </w:rPr>
              <w:t>1537</w:t>
            </w:r>
          </w:p>
        </w:tc>
        <w:tc>
          <w:tcPr>
            <w:tcW w:w="819" w:type="dxa"/>
            <w:noWrap/>
            <w:hideMark/>
          </w:tcPr>
          <w:p w14:paraId="14F5F10A" w14:textId="77777777" w:rsidR="007C4B50" w:rsidRPr="00AD3B0D" w:rsidRDefault="007C4B50" w:rsidP="00C9484E">
            <w:pPr>
              <w:rPr>
                <w:color w:val="000000"/>
                <w:sz w:val="20"/>
                <w:szCs w:val="20"/>
              </w:rPr>
            </w:pPr>
            <w:r w:rsidRPr="00AD3B0D">
              <w:rPr>
                <w:color w:val="000000"/>
                <w:sz w:val="20"/>
                <w:szCs w:val="20"/>
              </w:rPr>
              <w:t>1585</w:t>
            </w:r>
          </w:p>
        </w:tc>
        <w:tc>
          <w:tcPr>
            <w:tcW w:w="819" w:type="dxa"/>
            <w:noWrap/>
            <w:hideMark/>
          </w:tcPr>
          <w:p w14:paraId="3A2CBF23" w14:textId="05FDDB3D" w:rsidR="007C4B50" w:rsidRPr="00AD3B0D" w:rsidRDefault="007C4B50" w:rsidP="00C9484E">
            <w:pPr>
              <w:jc w:val="right"/>
              <w:rPr>
                <w:bCs/>
                <w:i/>
                <w:color w:val="000000"/>
                <w:sz w:val="20"/>
                <w:szCs w:val="20"/>
              </w:rPr>
            </w:pPr>
            <w:r w:rsidRPr="00AD3B0D">
              <w:rPr>
                <w:bCs/>
                <w:i/>
                <w:color w:val="000000"/>
                <w:sz w:val="20"/>
                <w:szCs w:val="20"/>
              </w:rPr>
              <w:t>3</w:t>
            </w:r>
          </w:p>
        </w:tc>
        <w:tc>
          <w:tcPr>
            <w:tcW w:w="819" w:type="dxa"/>
            <w:noWrap/>
            <w:hideMark/>
          </w:tcPr>
          <w:p w14:paraId="61AD6586" w14:textId="76D07A0A" w:rsidR="007C4B50" w:rsidRPr="00AD3B0D" w:rsidRDefault="007C4B50" w:rsidP="00C9484E">
            <w:pPr>
              <w:jc w:val="right"/>
              <w:rPr>
                <w:bCs/>
                <w:i/>
                <w:color w:val="000000"/>
                <w:sz w:val="20"/>
                <w:szCs w:val="20"/>
              </w:rPr>
            </w:pPr>
            <w:r w:rsidRPr="00AD3B0D">
              <w:rPr>
                <w:bCs/>
                <w:i/>
                <w:color w:val="000000"/>
                <w:sz w:val="20"/>
                <w:szCs w:val="20"/>
              </w:rPr>
              <w:t>4</w:t>
            </w:r>
          </w:p>
        </w:tc>
        <w:tc>
          <w:tcPr>
            <w:tcW w:w="819" w:type="dxa"/>
            <w:noWrap/>
            <w:hideMark/>
          </w:tcPr>
          <w:p w14:paraId="541CAE47" w14:textId="36E6CB64" w:rsidR="007C4B50" w:rsidRPr="00AD3B0D" w:rsidRDefault="007C4B50" w:rsidP="00C9484E">
            <w:pPr>
              <w:jc w:val="right"/>
              <w:rPr>
                <w:bCs/>
                <w:i/>
                <w:color w:val="000000"/>
                <w:sz w:val="20"/>
                <w:szCs w:val="20"/>
              </w:rPr>
            </w:pPr>
            <w:r w:rsidRPr="00AD3B0D">
              <w:rPr>
                <w:bCs/>
                <w:i/>
                <w:color w:val="000000"/>
                <w:sz w:val="20"/>
                <w:szCs w:val="20"/>
              </w:rPr>
              <w:t>6</w:t>
            </w:r>
          </w:p>
        </w:tc>
      </w:tr>
      <w:tr w:rsidR="007C4B50" w:rsidRPr="00AD3B0D" w14:paraId="49DC3F5C" w14:textId="77777777" w:rsidTr="006A1D8B">
        <w:trPr>
          <w:trHeight w:val="900"/>
        </w:trPr>
        <w:tc>
          <w:tcPr>
            <w:tcW w:w="1985" w:type="dxa"/>
            <w:hideMark/>
          </w:tcPr>
          <w:p w14:paraId="7B7D79C2" w14:textId="77777777" w:rsidR="007C4B50" w:rsidRPr="00AD3B0D" w:rsidRDefault="007C4B50" w:rsidP="00C9484E">
            <w:pPr>
              <w:rPr>
                <w:bCs/>
                <w:color w:val="000000"/>
                <w:sz w:val="20"/>
                <w:szCs w:val="20"/>
              </w:rPr>
            </w:pPr>
            <w:r w:rsidRPr="00AD3B0D">
              <w:rPr>
                <w:bCs/>
                <w:color w:val="000000"/>
                <w:sz w:val="20"/>
                <w:szCs w:val="20"/>
              </w:rPr>
              <w:t>Межбюджетные трансферты общего характера бюджетам бюджетной системы российской федерации</w:t>
            </w:r>
          </w:p>
        </w:tc>
        <w:tc>
          <w:tcPr>
            <w:tcW w:w="819" w:type="dxa"/>
            <w:noWrap/>
            <w:hideMark/>
          </w:tcPr>
          <w:p w14:paraId="17B4F94C" w14:textId="77777777" w:rsidR="007C4B50" w:rsidRPr="00AD3B0D" w:rsidRDefault="007C4B50" w:rsidP="00C9484E">
            <w:pPr>
              <w:rPr>
                <w:color w:val="000000"/>
                <w:sz w:val="20"/>
                <w:szCs w:val="20"/>
              </w:rPr>
            </w:pPr>
            <w:r w:rsidRPr="00AD3B0D">
              <w:rPr>
                <w:color w:val="000000"/>
                <w:sz w:val="20"/>
                <w:szCs w:val="20"/>
              </w:rPr>
              <w:t>25</w:t>
            </w:r>
          </w:p>
        </w:tc>
        <w:tc>
          <w:tcPr>
            <w:tcW w:w="819" w:type="dxa"/>
            <w:noWrap/>
            <w:hideMark/>
          </w:tcPr>
          <w:p w14:paraId="14CC88CB" w14:textId="77777777" w:rsidR="007C4B50" w:rsidRPr="00AD3B0D" w:rsidRDefault="007C4B50" w:rsidP="00C9484E">
            <w:pPr>
              <w:rPr>
                <w:color w:val="000000"/>
                <w:sz w:val="20"/>
                <w:szCs w:val="20"/>
              </w:rPr>
            </w:pPr>
            <w:r w:rsidRPr="00AD3B0D">
              <w:rPr>
                <w:color w:val="000000"/>
                <w:sz w:val="20"/>
                <w:szCs w:val="20"/>
              </w:rPr>
              <w:t>28</w:t>
            </w:r>
          </w:p>
        </w:tc>
        <w:tc>
          <w:tcPr>
            <w:tcW w:w="819" w:type="dxa"/>
            <w:noWrap/>
            <w:hideMark/>
          </w:tcPr>
          <w:p w14:paraId="05A87F5C" w14:textId="77777777" w:rsidR="007C4B50" w:rsidRPr="00AD3B0D" w:rsidRDefault="007C4B50" w:rsidP="00C9484E">
            <w:pPr>
              <w:rPr>
                <w:color w:val="000000"/>
                <w:sz w:val="20"/>
                <w:szCs w:val="20"/>
              </w:rPr>
            </w:pPr>
            <w:r w:rsidRPr="00AD3B0D">
              <w:rPr>
                <w:color w:val="000000"/>
                <w:sz w:val="20"/>
                <w:szCs w:val="20"/>
              </w:rPr>
              <w:t>32</w:t>
            </w:r>
          </w:p>
        </w:tc>
        <w:tc>
          <w:tcPr>
            <w:tcW w:w="819" w:type="dxa"/>
            <w:noWrap/>
            <w:hideMark/>
          </w:tcPr>
          <w:p w14:paraId="2C2A94F6" w14:textId="77777777" w:rsidR="007C4B50" w:rsidRPr="00AD3B0D" w:rsidRDefault="007C4B50" w:rsidP="00C9484E">
            <w:pPr>
              <w:rPr>
                <w:color w:val="000000"/>
                <w:sz w:val="20"/>
                <w:szCs w:val="20"/>
              </w:rPr>
            </w:pPr>
            <w:r w:rsidRPr="00AD3B0D">
              <w:rPr>
                <w:color w:val="000000"/>
                <w:sz w:val="20"/>
                <w:szCs w:val="20"/>
              </w:rPr>
              <w:t>1009</w:t>
            </w:r>
          </w:p>
        </w:tc>
        <w:tc>
          <w:tcPr>
            <w:tcW w:w="819" w:type="dxa"/>
            <w:noWrap/>
            <w:hideMark/>
          </w:tcPr>
          <w:p w14:paraId="78A15F1B" w14:textId="77777777" w:rsidR="007C4B50" w:rsidRPr="00AD3B0D" w:rsidRDefault="007C4B50" w:rsidP="00C9484E">
            <w:pPr>
              <w:rPr>
                <w:color w:val="000000"/>
                <w:sz w:val="20"/>
                <w:szCs w:val="20"/>
              </w:rPr>
            </w:pPr>
            <w:r w:rsidRPr="00AD3B0D">
              <w:rPr>
                <w:color w:val="000000"/>
                <w:sz w:val="20"/>
                <w:szCs w:val="20"/>
              </w:rPr>
              <w:t>996</w:t>
            </w:r>
          </w:p>
        </w:tc>
        <w:tc>
          <w:tcPr>
            <w:tcW w:w="819" w:type="dxa"/>
            <w:noWrap/>
            <w:hideMark/>
          </w:tcPr>
          <w:p w14:paraId="61CA826C" w14:textId="77777777" w:rsidR="007C4B50" w:rsidRPr="00AD3B0D" w:rsidRDefault="007C4B50" w:rsidP="00C9484E">
            <w:pPr>
              <w:rPr>
                <w:color w:val="000000"/>
                <w:sz w:val="20"/>
                <w:szCs w:val="20"/>
              </w:rPr>
            </w:pPr>
            <w:r w:rsidRPr="00AD3B0D">
              <w:rPr>
                <w:color w:val="000000"/>
                <w:sz w:val="20"/>
                <w:szCs w:val="20"/>
              </w:rPr>
              <w:t>1004</w:t>
            </w:r>
          </w:p>
        </w:tc>
        <w:tc>
          <w:tcPr>
            <w:tcW w:w="819" w:type="dxa"/>
            <w:noWrap/>
            <w:hideMark/>
          </w:tcPr>
          <w:p w14:paraId="30FA4D91" w14:textId="4F159B9C" w:rsidR="007C4B50" w:rsidRPr="00AD3B0D" w:rsidRDefault="007C4B50" w:rsidP="00C9484E">
            <w:pPr>
              <w:jc w:val="right"/>
              <w:rPr>
                <w:bCs/>
                <w:i/>
                <w:color w:val="000000"/>
                <w:sz w:val="20"/>
                <w:szCs w:val="20"/>
              </w:rPr>
            </w:pPr>
            <w:r w:rsidRPr="00AD3B0D">
              <w:rPr>
                <w:bCs/>
                <w:i/>
                <w:color w:val="000000"/>
                <w:sz w:val="20"/>
                <w:szCs w:val="20"/>
              </w:rPr>
              <w:t>3</w:t>
            </w:r>
          </w:p>
        </w:tc>
        <w:tc>
          <w:tcPr>
            <w:tcW w:w="819" w:type="dxa"/>
            <w:noWrap/>
            <w:hideMark/>
          </w:tcPr>
          <w:p w14:paraId="0D7E6F79" w14:textId="0AFF992D" w:rsidR="007C4B50" w:rsidRPr="00AD3B0D" w:rsidRDefault="007C4B50" w:rsidP="00C9484E">
            <w:pPr>
              <w:jc w:val="right"/>
              <w:rPr>
                <w:bCs/>
                <w:i/>
                <w:color w:val="000000"/>
                <w:sz w:val="20"/>
                <w:szCs w:val="20"/>
              </w:rPr>
            </w:pPr>
            <w:r w:rsidRPr="00AD3B0D">
              <w:rPr>
                <w:bCs/>
                <w:i/>
                <w:color w:val="000000"/>
                <w:sz w:val="20"/>
                <w:szCs w:val="20"/>
              </w:rPr>
              <w:t>3</w:t>
            </w:r>
          </w:p>
        </w:tc>
        <w:tc>
          <w:tcPr>
            <w:tcW w:w="819" w:type="dxa"/>
            <w:noWrap/>
            <w:hideMark/>
          </w:tcPr>
          <w:p w14:paraId="4687267C" w14:textId="0AA3FD3C" w:rsidR="007C4B50" w:rsidRPr="00AD3B0D" w:rsidRDefault="007C4B50" w:rsidP="00C9484E">
            <w:pPr>
              <w:jc w:val="right"/>
              <w:rPr>
                <w:bCs/>
                <w:i/>
                <w:color w:val="000000"/>
                <w:sz w:val="20"/>
                <w:szCs w:val="20"/>
              </w:rPr>
            </w:pPr>
            <w:r w:rsidRPr="00AD3B0D">
              <w:rPr>
                <w:bCs/>
                <w:i/>
                <w:color w:val="000000"/>
                <w:sz w:val="20"/>
                <w:szCs w:val="20"/>
              </w:rPr>
              <w:t>3</w:t>
            </w:r>
          </w:p>
        </w:tc>
      </w:tr>
      <w:tr w:rsidR="007C4B50" w:rsidRPr="00AD3B0D" w14:paraId="7299CCBB" w14:textId="77777777" w:rsidTr="006A1D8B">
        <w:trPr>
          <w:trHeight w:val="600"/>
        </w:trPr>
        <w:tc>
          <w:tcPr>
            <w:tcW w:w="1985" w:type="dxa"/>
            <w:hideMark/>
          </w:tcPr>
          <w:p w14:paraId="21777DDF" w14:textId="77777777" w:rsidR="007C4B50" w:rsidRPr="00AD3B0D" w:rsidRDefault="007C4B50" w:rsidP="00C9484E">
            <w:pPr>
              <w:rPr>
                <w:bCs/>
                <w:color w:val="000000"/>
                <w:sz w:val="20"/>
                <w:szCs w:val="20"/>
              </w:rPr>
            </w:pPr>
            <w:r w:rsidRPr="00AD3B0D">
              <w:rPr>
                <w:bCs/>
                <w:color w:val="000000"/>
                <w:sz w:val="20"/>
                <w:szCs w:val="20"/>
              </w:rPr>
              <w:t>Национальная безопасность и правоохранительная деятельность</w:t>
            </w:r>
          </w:p>
        </w:tc>
        <w:tc>
          <w:tcPr>
            <w:tcW w:w="819" w:type="dxa"/>
            <w:noWrap/>
            <w:hideMark/>
          </w:tcPr>
          <w:p w14:paraId="00249880" w14:textId="77777777" w:rsidR="007C4B50" w:rsidRPr="00AD3B0D" w:rsidRDefault="007C4B50" w:rsidP="00C9484E">
            <w:pPr>
              <w:rPr>
                <w:color w:val="000000"/>
                <w:sz w:val="20"/>
                <w:szCs w:val="20"/>
              </w:rPr>
            </w:pPr>
            <w:r w:rsidRPr="00AD3B0D">
              <w:rPr>
                <w:color w:val="000000"/>
                <w:sz w:val="20"/>
                <w:szCs w:val="20"/>
              </w:rPr>
              <w:t>16</w:t>
            </w:r>
          </w:p>
        </w:tc>
        <w:tc>
          <w:tcPr>
            <w:tcW w:w="819" w:type="dxa"/>
            <w:noWrap/>
            <w:hideMark/>
          </w:tcPr>
          <w:p w14:paraId="16FB1ABA" w14:textId="77777777" w:rsidR="007C4B50" w:rsidRPr="00AD3B0D" w:rsidRDefault="007C4B50" w:rsidP="00C9484E">
            <w:pPr>
              <w:rPr>
                <w:color w:val="000000"/>
                <w:sz w:val="20"/>
                <w:szCs w:val="20"/>
              </w:rPr>
            </w:pPr>
            <w:r w:rsidRPr="00AD3B0D">
              <w:rPr>
                <w:color w:val="000000"/>
                <w:sz w:val="20"/>
                <w:szCs w:val="20"/>
              </w:rPr>
              <w:t>18</w:t>
            </w:r>
          </w:p>
        </w:tc>
        <w:tc>
          <w:tcPr>
            <w:tcW w:w="819" w:type="dxa"/>
            <w:noWrap/>
            <w:hideMark/>
          </w:tcPr>
          <w:p w14:paraId="3A3D1C33" w14:textId="77777777" w:rsidR="007C4B50" w:rsidRPr="00AD3B0D" w:rsidRDefault="007C4B50" w:rsidP="00C9484E">
            <w:pPr>
              <w:rPr>
                <w:color w:val="000000"/>
                <w:sz w:val="20"/>
                <w:szCs w:val="20"/>
              </w:rPr>
            </w:pPr>
            <w:r w:rsidRPr="00AD3B0D">
              <w:rPr>
                <w:color w:val="000000"/>
                <w:sz w:val="20"/>
                <w:szCs w:val="20"/>
              </w:rPr>
              <w:t>17</w:t>
            </w:r>
          </w:p>
        </w:tc>
        <w:tc>
          <w:tcPr>
            <w:tcW w:w="819" w:type="dxa"/>
            <w:noWrap/>
            <w:hideMark/>
          </w:tcPr>
          <w:p w14:paraId="556FB570" w14:textId="77777777" w:rsidR="007C4B50" w:rsidRPr="00AD3B0D" w:rsidRDefault="007C4B50" w:rsidP="00C9484E">
            <w:pPr>
              <w:rPr>
                <w:color w:val="000000"/>
                <w:sz w:val="20"/>
                <w:szCs w:val="20"/>
              </w:rPr>
            </w:pPr>
            <w:r w:rsidRPr="00AD3B0D">
              <w:rPr>
                <w:color w:val="000000"/>
                <w:sz w:val="20"/>
                <w:szCs w:val="20"/>
              </w:rPr>
              <w:t>1456</w:t>
            </w:r>
          </w:p>
        </w:tc>
        <w:tc>
          <w:tcPr>
            <w:tcW w:w="819" w:type="dxa"/>
            <w:noWrap/>
            <w:hideMark/>
          </w:tcPr>
          <w:p w14:paraId="39905EBB" w14:textId="77777777" w:rsidR="007C4B50" w:rsidRPr="00AD3B0D" w:rsidRDefault="007C4B50" w:rsidP="00C9484E">
            <w:pPr>
              <w:rPr>
                <w:color w:val="000000"/>
                <w:sz w:val="20"/>
                <w:szCs w:val="20"/>
              </w:rPr>
            </w:pPr>
            <w:r w:rsidRPr="00AD3B0D">
              <w:rPr>
                <w:color w:val="000000"/>
                <w:sz w:val="20"/>
                <w:szCs w:val="20"/>
              </w:rPr>
              <w:t>1497</w:t>
            </w:r>
          </w:p>
        </w:tc>
        <w:tc>
          <w:tcPr>
            <w:tcW w:w="819" w:type="dxa"/>
            <w:noWrap/>
            <w:hideMark/>
          </w:tcPr>
          <w:p w14:paraId="728F0BFD" w14:textId="77777777" w:rsidR="007C4B50" w:rsidRPr="00AD3B0D" w:rsidRDefault="007C4B50" w:rsidP="00C9484E">
            <w:pPr>
              <w:rPr>
                <w:color w:val="000000"/>
                <w:sz w:val="20"/>
                <w:szCs w:val="20"/>
              </w:rPr>
            </w:pPr>
            <w:r w:rsidRPr="00AD3B0D">
              <w:rPr>
                <w:color w:val="000000"/>
                <w:sz w:val="20"/>
                <w:szCs w:val="20"/>
              </w:rPr>
              <w:t>1545</w:t>
            </w:r>
          </w:p>
        </w:tc>
        <w:tc>
          <w:tcPr>
            <w:tcW w:w="819" w:type="dxa"/>
            <w:noWrap/>
            <w:hideMark/>
          </w:tcPr>
          <w:p w14:paraId="74CBE3DD" w14:textId="5036AEE1" w:rsidR="007C4B50" w:rsidRPr="00AD3B0D" w:rsidRDefault="007C4B50" w:rsidP="00C9484E">
            <w:pPr>
              <w:jc w:val="right"/>
              <w:rPr>
                <w:bCs/>
                <w:i/>
                <w:color w:val="000000"/>
                <w:sz w:val="20"/>
                <w:szCs w:val="20"/>
              </w:rPr>
            </w:pPr>
            <w:r w:rsidRPr="00AD3B0D">
              <w:rPr>
                <w:bCs/>
                <w:i/>
                <w:color w:val="000000"/>
                <w:sz w:val="20"/>
                <w:szCs w:val="20"/>
              </w:rPr>
              <w:t>1</w:t>
            </w:r>
          </w:p>
        </w:tc>
        <w:tc>
          <w:tcPr>
            <w:tcW w:w="819" w:type="dxa"/>
            <w:noWrap/>
            <w:hideMark/>
          </w:tcPr>
          <w:p w14:paraId="4CF19856" w14:textId="5CDFBD89" w:rsidR="007C4B50" w:rsidRPr="00AD3B0D" w:rsidRDefault="007C4B50" w:rsidP="00C9484E">
            <w:pPr>
              <w:jc w:val="right"/>
              <w:rPr>
                <w:bCs/>
                <w:i/>
                <w:color w:val="000000"/>
                <w:sz w:val="20"/>
                <w:szCs w:val="20"/>
              </w:rPr>
            </w:pPr>
            <w:r w:rsidRPr="00AD3B0D">
              <w:rPr>
                <w:bCs/>
                <w:i/>
                <w:color w:val="000000"/>
                <w:sz w:val="20"/>
                <w:szCs w:val="20"/>
              </w:rPr>
              <w:t>1</w:t>
            </w:r>
          </w:p>
        </w:tc>
        <w:tc>
          <w:tcPr>
            <w:tcW w:w="819" w:type="dxa"/>
            <w:noWrap/>
            <w:hideMark/>
          </w:tcPr>
          <w:p w14:paraId="6B6DE93D" w14:textId="0E771BC5" w:rsidR="007C4B50" w:rsidRPr="00AD3B0D" w:rsidRDefault="007C4B50" w:rsidP="00C9484E">
            <w:pPr>
              <w:jc w:val="right"/>
              <w:rPr>
                <w:bCs/>
                <w:i/>
                <w:color w:val="000000"/>
                <w:sz w:val="20"/>
                <w:szCs w:val="20"/>
              </w:rPr>
            </w:pPr>
            <w:r w:rsidRPr="00AD3B0D">
              <w:rPr>
                <w:bCs/>
                <w:i/>
                <w:color w:val="000000"/>
                <w:sz w:val="20"/>
                <w:szCs w:val="20"/>
              </w:rPr>
              <w:t>1</w:t>
            </w:r>
          </w:p>
        </w:tc>
      </w:tr>
      <w:tr w:rsidR="007C4B50" w:rsidRPr="00AD3B0D" w14:paraId="64895C9E" w14:textId="77777777" w:rsidTr="006A1D8B">
        <w:trPr>
          <w:trHeight w:val="300"/>
        </w:trPr>
        <w:tc>
          <w:tcPr>
            <w:tcW w:w="1985" w:type="dxa"/>
            <w:hideMark/>
          </w:tcPr>
          <w:p w14:paraId="115020A4" w14:textId="77777777" w:rsidR="007C4B50" w:rsidRPr="00AD3B0D" w:rsidRDefault="007C4B50" w:rsidP="00C9484E">
            <w:pPr>
              <w:rPr>
                <w:bCs/>
                <w:color w:val="000000"/>
                <w:sz w:val="20"/>
                <w:szCs w:val="20"/>
              </w:rPr>
            </w:pPr>
            <w:r w:rsidRPr="00AD3B0D">
              <w:rPr>
                <w:bCs/>
                <w:color w:val="000000"/>
                <w:sz w:val="20"/>
                <w:szCs w:val="20"/>
              </w:rPr>
              <w:t>Средства массовой информации</w:t>
            </w:r>
          </w:p>
        </w:tc>
        <w:tc>
          <w:tcPr>
            <w:tcW w:w="819" w:type="dxa"/>
            <w:noWrap/>
            <w:hideMark/>
          </w:tcPr>
          <w:p w14:paraId="4A00ED0C" w14:textId="77777777" w:rsidR="007C4B50" w:rsidRPr="00AD3B0D" w:rsidRDefault="007C4B50" w:rsidP="00C9484E">
            <w:pPr>
              <w:rPr>
                <w:color w:val="000000"/>
                <w:sz w:val="20"/>
                <w:szCs w:val="20"/>
              </w:rPr>
            </w:pPr>
            <w:r w:rsidRPr="00AD3B0D">
              <w:rPr>
                <w:color w:val="000000"/>
                <w:sz w:val="20"/>
                <w:szCs w:val="20"/>
              </w:rPr>
              <w:t>0</w:t>
            </w:r>
          </w:p>
        </w:tc>
        <w:tc>
          <w:tcPr>
            <w:tcW w:w="819" w:type="dxa"/>
            <w:noWrap/>
            <w:hideMark/>
          </w:tcPr>
          <w:p w14:paraId="2092CB6A" w14:textId="77777777" w:rsidR="007C4B50" w:rsidRPr="00AD3B0D" w:rsidRDefault="007C4B50" w:rsidP="00C9484E">
            <w:pPr>
              <w:rPr>
                <w:color w:val="000000"/>
                <w:sz w:val="20"/>
                <w:szCs w:val="20"/>
              </w:rPr>
            </w:pPr>
            <w:r w:rsidRPr="00AD3B0D">
              <w:rPr>
                <w:color w:val="000000"/>
                <w:sz w:val="20"/>
                <w:szCs w:val="20"/>
              </w:rPr>
              <w:t>0</w:t>
            </w:r>
          </w:p>
        </w:tc>
        <w:tc>
          <w:tcPr>
            <w:tcW w:w="819" w:type="dxa"/>
            <w:noWrap/>
            <w:hideMark/>
          </w:tcPr>
          <w:p w14:paraId="3A92641F" w14:textId="77777777" w:rsidR="007C4B50" w:rsidRPr="00AD3B0D" w:rsidRDefault="007C4B50" w:rsidP="00C9484E">
            <w:pPr>
              <w:rPr>
                <w:color w:val="000000"/>
                <w:sz w:val="20"/>
                <w:szCs w:val="20"/>
              </w:rPr>
            </w:pPr>
            <w:r w:rsidRPr="00AD3B0D">
              <w:rPr>
                <w:color w:val="000000"/>
                <w:sz w:val="20"/>
                <w:szCs w:val="20"/>
              </w:rPr>
              <w:t>0</w:t>
            </w:r>
          </w:p>
        </w:tc>
        <w:tc>
          <w:tcPr>
            <w:tcW w:w="819" w:type="dxa"/>
            <w:noWrap/>
            <w:hideMark/>
          </w:tcPr>
          <w:p w14:paraId="1D17BF19" w14:textId="77777777" w:rsidR="007C4B50" w:rsidRPr="00AD3B0D" w:rsidRDefault="007C4B50" w:rsidP="00C9484E">
            <w:pPr>
              <w:rPr>
                <w:color w:val="000000"/>
                <w:sz w:val="20"/>
                <w:szCs w:val="20"/>
              </w:rPr>
            </w:pPr>
            <w:r w:rsidRPr="00AD3B0D">
              <w:rPr>
                <w:color w:val="000000"/>
                <w:sz w:val="20"/>
                <w:szCs w:val="20"/>
              </w:rPr>
              <w:t>92</w:t>
            </w:r>
          </w:p>
        </w:tc>
        <w:tc>
          <w:tcPr>
            <w:tcW w:w="819" w:type="dxa"/>
            <w:noWrap/>
            <w:hideMark/>
          </w:tcPr>
          <w:p w14:paraId="330AE0A6" w14:textId="77777777" w:rsidR="007C4B50" w:rsidRPr="00AD3B0D" w:rsidRDefault="007C4B50" w:rsidP="00C9484E">
            <w:pPr>
              <w:rPr>
                <w:color w:val="000000"/>
                <w:sz w:val="20"/>
                <w:szCs w:val="20"/>
              </w:rPr>
            </w:pPr>
            <w:r w:rsidRPr="00AD3B0D">
              <w:rPr>
                <w:color w:val="000000"/>
                <w:sz w:val="20"/>
                <w:szCs w:val="20"/>
              </w:rPr>
              <w:t>71</w:t>
            </w:r>
          </w:p>
        </w:tc>
        <w:tc>
          <w:tcPr>
            <w:tcW w:w="819" w:type="dxa"/>
            <w:noWrap/>
            <w:hideMark/>
          </w:tcPr>
          <w:p w14:paraId="43590D7B" w14:textId="77777777" w:rsidR="007C4B50" w:rsidRPr="00AD3B0D" w:rsidRDefault="007C4B50" w:rsidP="00C9484E">
            <w:pPr>
              <w:rPr>
                <w:color w:val="000000"/>
                <w:sz w:val="20"/>
                <w:szCs w:val="20"/>
              </w:rPr>
            </w:pPr>
            <w:r w:rsidRPr="00AD3B0D">
              <w:rPr>
                <w:color w:val="000000"/>
                <w:sz w:val="20"/>
                <w:szCs w:val="20"/>
              </w:rPr>
              <w:t>71</w:t>
            </w:r>
          </w:p>
        </w:tc>
        <w:tc>
          <w:tcPr>
            <w:tcW w:w="819" w:type="dxa"/>
            <w:noWrap/>
            <w:hideMark/>
          </w:tcPr>
          <w:p w14:paraId="4A6704F8" w14:textId="0A7116BB" w:rsidR="007C4B50" w:rsidRPr="00AD3B0D" w:rsidRDefault="007C4B50" w:rsidP="00C9484E">
            <w:pPr>
              <w:jc w:val="right"/>
              <w:rPr>
                <w:bCs/>
                <w:i/>
                <w:color w:val="000000"/>
                <w:sz w:val="20"/>
                <w:szCs w:val="20"/>
              </w:rPr>
            </w:pPr>
            <w:r w:rsidRPr="00AD3B0D">
              <w:rPr>
                <w:bCs/>
                <w:i/>
                <w:color w:val="000000"/>
                <w:sz w:val="20"/>
                <w:szCs w:val="20"/>
              </w:rPr>
              <w:t>0</w:t>
            </w:r>
          </w:p>
        </w:tc>
        <w:tc>
          <w:tcPr>
            <w:tcW w:w="819" w:type="dxa"/>
            <w:noWrap/>
            <w:hideMark/>
          </w:tcPr>
          <w:p w14:paraId="6D367D66" w14:textId="2F81C652" w:rsidR="007C4B50" w:rsidRPr="00AD3B0D" w:rsidRDefault="007C4B50" w:rsidP="00C9484E">
            <w:pPr>
              <w:jc w:val="right"/>
              <w:rPr>
                <w:bCs/>
                <w:i/>
                <w:color w:val="000000"/>
                <w:sz w:val="20"/>
                <w:szCs w:val="20"/>
              </w:rPr>
            </w:pPr>
            <w:r w:rsidRPr="00AD3B0D">
              <w:rPr>
                <w:bCs/>
                <w:i/>
                <w:color w:val="000000"/>
                <w:sz w:val="20"/>
                <w:szCs w:val="20"/>
              </w:rPr>
              <w:t>0</w:t>
            </w:r>
          </w:p>
        </w:tc>
        <w:tc>
          <w:tcPr>
            <w:tcW w:w="819" w:type="dxa"/>
            <w:noWrap/>
            <w:hideMark/>
          </w:tcPr>
          <w:p w14:paraId="5E75B40E" w14:textId="20A20F15" w:rsidR="007C4B50" w:rsidRPr="00AD3B0D" w:rsidRDefault="007C4B50" w:rsidP="00C9484E">
            <w:pPr>
              <w:jc w:val="right"/>
              <w:rPr>
                <w:bCs/>
                <w:i/>
                <w:color w:val="000000"/>
                <w:sz w:val="20"/>
                <w:szCs w:val="20"/>
              </w:rPr>
            </w:pPr>
            <w:r w:rsidRPr="00AD3B0D">
              <w:rPr>
                <w:bCs/>
                <w:i/>
                <w:color w:val="000000"/>
                <w:sz w:val="20"/>
                <w:szCs w:val="20"/>
              </w:rPr>
              <w:t>0</w:t>
            </w:r>
          </w:p>
        </w:tc>
      </w:tr>
      <w:tr w:rsidR="007C4B50" w:rsidRPr="00AD3B0D" w14:paraId="24B6D488" w14:textId="77777777" w:rsidTr="006A1D8B">
        <w:trPr>
          <w:trHeight w:val="300"/>
        </w:trPr>
        <w:tc>
          <w:tcPr>
            <w:tcW w:w="1985" w:type="dxa"/>
            <w:hideMark/>
          </w:tcPr>
          <w:p w14:paraId="04B309F2" w14:textId="77777777" w:rsidR="007C4B50" w:rsidRPr="00AD3B0D" w:rsidRDefault="007C4B50" w:rsidP="00C9484E">
            <w:pPr>
              <w:rPr>
                <w:bCs/>
                <w:color w:val="000000"/>
                <w:sz w:val="20"/>
                <w:szCs w:val="20"/>
              </w:rPr>
            </w:pPr>
            <w:r w:rsidRPr="00AD3B0D">
              <w:rPr>
                <w:bCs/>
                <w:color w:val="000000"/>
                <w:sz w:val="20"/>
                <w:szCs w:val="20"/>
              </w:rPr>
              <w:t>Национальная оборона</w:t>
            </w:r>
          </w:p>
        </w:tc>
        <w:tc>
          <w:tcPr>
            <w:tcW w:w="819" w:type="dxa"/>
            <w:noWrap/>
            <w:hideMark/>
          </w:tcPr>
          <w:p w14:paraId="639135A5" w14:textId="77777777" w:rsidR="007C4B50" w:rsidRPr="00AD3B0D" w:rsidRDefault="007C4B50" w:rsidP="00C9484E">
            <w:pPr>
              <w:rPr>
                <w:color w:val="000000"/>
                <w:sz w:val="20"/>
                <w:szCs w:val="20"/>
              </w:rPr>
            </w:pPr>
            <w:r w:rsidRPr="00AD3B0D">
              <w:rPr>
                <w:color w:val="000000"/>
                <w:sz w:val="20"/>
                <w:szCs w:val="20"/>
              </w:rPr>
              <w:t>1</w:t>
            </w:r>
          </w:p>
        </w:tc>
        <w:tc>
          <w:tcPr>
            <w:tcW w:w="819" w:type="dxa"/>
            <w:noWrap/>
            <w:hideMark/>
          </w:tcPr>
          <w:p w14:paraId="54C3E5A3" w14:textId="77777777" w:rsidR="007C4B50" w:rsidRPr="00AD3B0D" w:rsidRDefault="007C4B50" w:rsidP="00C9484E">
            <w:pPr>
              <w:rPr>
                <w:color w:val="000000"/>
                <w:sz w:val="20"/>
                <w:szCs w:val="20"/>
              </w:rPr>
            </w:pPr>
            <w:r w:rsidRPr="00AD3B0D">
              <w:rPr>
                <w:color w:val="000000"/>
                <w:sz w:val="20"/>
                <w:szCs w:val="20"/>
              </w:rPr>
              <w:t>1</w:t>
            </w:r>
          </w:p>
        </w:tc>
        <w:tc>
          <w:tcPr>
            <w:tcW w:w="819" w:type="dxa"/>
            <w:noWrap/>
            <w:hideMark/>
          </w:tcPr>
          <w:p w14:paraId="7A4D913A" w14:textId="77777777" w:rsidR="007C4B50" w:rsidRPr="00AD3B0D" w:rsidRDefault="007C4B50" w:rsidP="00C9484E">
            <w:pPr>
              <w:rPr>
                <w:color w:val="000000"/>
                <w:sz w:val="20"/>
                <w:szCs w:val="20"/>
              </w:rPr>
            </w:pPr>
            <w:r w:rsidRPr="00AD3B0D">
              <w:rPr>
                <w:color w:val="000000"/>
                <w:sz w:val="20"/>
                <w:szCs w:val="20"/>
              </w:rPr>
              <w:t>1</w:t>
            </w:r>
          </w:p>
        </w:tc>
        <w:tc>
          <w:tcPr>
            <w:tcW w:w="819" w:type="dxa"/>
            <w:noWrap/>
            <w:hideMark/>
          </w:tcPr>
          <w:p w14:paraId="0CC9574F" w14:textId="77777777" w:rsidR="007C4B50" w:rsidRPr="00AD3B0D" w:rsidRDefault="007C4B50" w:rsidP="00C9484E">
            <w:pPr>
              <w:rPr>
                <w:color w:val="000000"/>
                <w:sz w:val="20"/>
                <w:szCs w:val="20"/>
              </w:rPr>
            </w:pPr>
            <w:r w:rsidRPr="00AD3B0D">
              <w:rPr>
                <w:color w:val="000000"/>
                <w:sz w:val="20"/>
                <w:szCs w:val="20"/>
              </w:rPr>
              <w:t>1069</w:t>
            </w:r>
          </w:p>
        </w:tc>
        <w:tc>
          <w:tcPr>
            <w:tcW w:w="819" w:type="dxa"/>
            <w:noWrap/>
            <w:hideMark/>
          </w:tcPr>
          <w:p w14:paraId="23272148" w14:textId="77777777" w:rsidR="007C4B50" w:rsidRPr="00AD3B0D" w:rsidRDefault="007C4B50" w:rsidP="00C9484E">
            <w:pPr>
              <w:rPr>
                <w:color w:val="000000"/>
                <w:sz w:val="20"/>
                <w:szCs w:val="20"/>
              </w:rPr>
            </w:pPr>
            <w:r w:rsidRPr="00AD3B0D">
              <w:rPr>
                <w:color w:val="000000"/>
                <w:sz w:val="20"/>
                <w:szCs w:val="20"/>
              </w:rPr>
              <w:t>1090</w:t>
            </w:r>
          </w:p>
        </w:tc>
        <w:tc>
          <w:tcPr>
            <w:tcW w:w="819" w:type="dxa"/>
            <w:noWrap/>
            <w:hideMark/>
          </w:tcPr>
          <w:p w14:paraId="2F3487BF" w14:textId="77777777" w:rsidR="007C4B50" w:rsidRPr="00AD3B0D" w:rsidRDefault="007C4B50" w:rsidP="00C9484E">
            <w:pPr>
              <w:rPr>
                <w:color w:val="000000"/>
                <w:sz w:val="20"/>
                <w:szCs w:val="20"/>
              </w:rPr>
            </w:pPr>
            <w:r w:rsidRPr="00AD3B0D">
              <w:rPr>
                <w:color w:val="000000"/>
                <w:sz w:val="20"/>
                <w:szCs w:val="20"/>
              </w:rPr>
              <w:t>1112</w:t>
            </w:r>
          </w:p>
        </w:tc>
        <w:tc>
          <w:tcPr>
            <w:tcW w:w="819" w:type="dxa"/>
            <w:noWrap/>
            <w:hideMark/>
          </w:tcPr>
          <w:p w14:paraId="0D4873E5" w14:textId="04296390" w:rsidR="007C4B50" w:rsidRPr="00AD3B0D" w:rsidRDefault="007C4B50" w:rsidP="00C9484E">
            <w:pPr>
              <w:jc w:val="right"/>
              <w:rPr>
                <w:bCs/>
                <w:i/>
                <w:color w:val="000000"/>
                <w:sz w:val="20"/>
                <w:szCs w:val="20"/>
              </w:rPr>
            </w:pPr>
            <w:r w:rsidRPr="00AD3B0D">
              <w:rPr>
                <w:bCs/>
                <w:i/>
                <w:color w:val="000000"/>
                <w:sz w:val="20"/>
                <w:szCs w:val="20"/>
              </w:rPr>
              <w:t>0</w:t>
            </w:r>
          </w:p>
        </w:tc>
        <w:tc>
          <w:tcPr>
            <w:tcW w:w="819" w:type="dxa"/>
            <w:noWrap/>
            <w:hideMark/>
          </w:tcPr>
          <w:p w14:paraId="2F92D2F0" w14:textId="42DD3100" w:rsidR="007C4B50" w:rsidRPr="00AD3B0D" w:rsidRDefault="007C4B50" w:rsidP="00C9484E">
            <w:pPr>
              <w:jc w:val="right"/>
              <w:rPr>
                <w:bCs/>
                <w:i/>
                <w:color w:val="000000"/>
                <w:sz w:val="20"/>
                <w:szCs w:val="20"/>
              </w:rPr>
            </w:pPr>
            <w:r w:rsidRPr="00AD3B0D">
              <w:rPr>
                <w:bCs/>
                <w:i/>
                <w:color w:val="000000"/>
                <w:sz w:val="20"/>
                <w:szCs w:val="20"/>
              </w:rPr>
              <w:t>0</w:t>
            </w:r>
          </w:p>
        </w:tc>
        <w:tc>
          <w:tcPr>
            <w:tcW w:w="819" w:type="dxa"/>
            <w:noWrap/>
            <w:hideMark/>
          </w:tcPr>
          <w:p w14:paraId="2EB30440" w14:textId="3AADB4DA" w:rsidR="007C4B50" w:rsidRPr="00AD3B0D" w:rsidRDefault="007C4B50" w:rsidP="00C9484E">
            <w:pPr>
              <w:jc w:val="right"/>
              <w:rPr>
                <w:bCs/>
                <w:i/>
                <w:color w:val="000000"/>
                <w:sz w:val="20"/>
                <w:szCs w:val="20"/>
              </w:rPr>
            </w:pPr>
            <w:r w:rsidRPr="00AD3B0D">
              <w:rPr>
                <w:bCs/>
                <w:i/>
                <w:color w:val="000000"/>
                <w:sz w:val="20"/>
                <w:szCs w:val="20"/>
              </w:rPr>
              <w:t>0</w:t>
            </w:r>
          </w:p>
        </w:tc>
      </w:tr>
      <w:tr w:rsidR="007C4B50" w:rsidRPr="00AD3B0D" w14:paraId="34C69212" w14:textId="77777777" w:rsidTr="006A1D8B">
        <w:trPr>
          <w:trHeight w:val="600"/>
        </w:trPr>
        <w:tc>
          <w:tcPr>
            <w:tcW w:w="1985" w:type="dxa"/>
            <w:hideMark/>
          </w:tcPr>
          <w:p w14:paraId="1504319C" w14:textId="77777777" w:rsidR="007C4B50" w:rsidRPr="00AD3B0D" w:rsidRDefault="007C4B50" w:rsidP="00C9484E">
            <w:pPr>
              <w:rPr>
                <w:bCs/>
                <w:color w:val="000000"/>
                <w:sz w:val="20"/>
                <w:szCs w:val="20"/>
              </w:rPr>
            </w:pPr>
            <w:r w:rsidRPr="00AD3B0D">
              <w:rPr>
                <w:bCs/>
                <w:color w:val="000000"/>
                <w:sz w:val="20"/>
                <w:szCs w:val="20"/>
              </w:rPr>
              <w:t>Обслуживание государственного (муниципального) долга</w:t>
            </w:r>
          </w:p>
        </w:tc>
        <w:tc>
          <w:tcPr>
            <w:tcW w:w="819" w:type="dxa"/>
            <w:hideMark/>
          </w:tcPr>
          <w:p w14:paraId="5CEFFD18" w14:textId="77777777" w:rsidR="007C4B50" w:rsidRPr="00AD3B0D" w:rsidRDefault="007C4B50" w:rsidP="00C9484E">
            <w:pPr>
              <w:rPr>
                <w:color w:val="000000"/>
                <w:sz w:val="20"/>
                <w:szCs w:val="20"/>
              </w:rPr>
            </w:pPr>
          </w:p>
        </w:tc>
        <w:tc>
          <w:tcPr>
            <w:tcW w:w="819" w:type="dxa"/>
            <w:hideMark/>
          </w:tcPr>
          <w:p w14:paraId="7DCD703C" w14:textId="77777777" w:rsidR="007C4B50" w:rsidRPr="00AD3B0D" w:rsidRDefault="007C4B50" w:rsidP="00C9484E">
            <w:pPr>
              <w:rPr>
                <w:color w:val="000000"/>
                <w:sz w:val="20"/>
                <w:szCs w:val="20"/>
              </w:rPr>
            </w:pPr>
          </w:p>
        </w:tc>
        <w:tc>
          <w:tcPr>
            <w:tcW w:w="819" w:type="dxa"/>
            <w:hideMark/>
          </w:tcPr>
          <w:p w14:paraId="4D57AAED" w14:textId="77777777" w:rsidR="007C4B50" w:rsidRPr="00AD3B0D" w:rsidRDefault="007C4B50" w:rsidP="00C9484E">
            <w:pPr>
              <w:rPr>
                <w:color w:val="000000"/>
                <w:sz w:val="20"/>
                <w:szCs w:val="20"/>
              </w:rPr>
            </w:pPr>
          </w:p>
        </w:tc>
        <w:tc>
          <w:tcPr>
            <w:tcW w:w="819" w:type="dxa"/>
            <w:noWrap/>
            <w:hideMark/>
          </w:tcPr>
          <w:p w14:paraId="37452D20" w14:textId="77777777" w:rsidR="007C4B50" w:rsidRPr="00AD3B0D" w:rsidRDefault="007C4B50" w:rsidP="00C9484E">
            <w:pPr>
              <w:rPr>
                <w:color w:val="000000"/>
                <w:sz w:val="20"/>
                <w:szCs w:val="20"/>
              </w:rPr>
            </w:pPr>
            <w:r w:rsidRPr="00AD3B0D">
              <w:rPr>
                <w:color w:val="000000"/>
                <w:sz w:val="20"/>
                <w:szCs w:val="20"/>
              </w:rPr>
              <w:t>897</w:t>
            </w:r>
          </w:p>
        </w:tc>
        <w:tc>
          <w:tcPr>
            <w:tcW w:w="819" w:type="dxa"/>
            <w:noWrap/>
            <w:hideMark/>
          </w:tcPr>
          <w:p w14:paraId="73E0F518" w14:textId="77777777" w:rsidR="007C4B50" w:rsidRPr="00AD3B0D" w:rsidRDefault="007C4B50" w:rsidP="00C9484E">
            <w:pPr>
              <w:rPr>
                <w:color w:val="000000"/>
                <w:sz w:val="20"/>
                <w:szCs w:val="20"/>
              </w:rPr>
            </w:pPr>
            <w:r w:rsidRPr="00AD3B0D">
              <w:rPr>
                <w:color w:val="000000"/>
                <w:sz w:val="20"/>
                <w:szCs w:val="20"/>
              </w:rPr>
              <w:t>1037</w:t>
            </w:r>
          </w:p>
        </w:tc>
        <w:tc>
          <w:tcPr>
            <w:tcW w:w="819" w:type="dxa"/>
            <w:noWrap/>
            <w:hideMark/>
          </w:tcPr>
          <w:p w14:paraId="18279D12" w14:textId="77777777" w:rsidR="007C4B50" w:rsidRPr="00AD3B0D" w:rsidRDefault="007C4B50" w:rsidP="00C9484E">
            <w:pPr>
              <w:rPr>
                <w:color w:val="000000"/>
                <w:sz w:val="20"/>
                <w:szCs w:val="20"/>
              </w:rPr>
            </w:pPr>
            <w:r w:rsidRPr="00AD3B0D">
              <w:rPr>
                <w:color w:val="000000"/>
                <w:sz w:val="20"/>
                <w:szCs w:val="20"/>
              </w:rPr>
              <w:t>1156</w:t>
            </w:r>
          </w:p>
        </w:tc>
        <w:tc>
          <w:tcPr>
            <w:tcW w:w="819" w:type="dxa"/>
            <w:noWrap/>
            <w:hideMark/>
          </w:tcPr>
          <w:p w14:paraId="42C17F0D" w14:textId="34FFDF98" w:rsidR="007C4B50" w:rsidRPr="00AD3B0D" w:rsidRDefault="007C4B50" w:rsidP="00C9484E">
            <w:pPr>
              <w:jc w:val="right"/>
              <w:rPr>
                <w:bCs/>
                <w:i/>
                <w:color w:val="000000"/>
                <w:sz w:val="20"/>
                <w:szCs w:val="20"/>
              </w:rPr>
            </w:pPr>
            <w:r w:rsidRPr="00AD3B0D">
              <w:rPr>
                <w:bCs/>
                <w:i/>
                <w:color w:val="000000"/>
                <w:sz w:val="20"/>
                <w:szCs w:val="20"/>
              </w:rPr>
              <w:t>0</w:t>
            </w:r>
          </w:p>
        </w:tc>
        <w:tc>
          <w:tcPr>
            <w:tcW w:w="819" w:type="dxa"/>
            <w:noWrap/>
            <w:hideMark/>
          </w:tcPr>
          <w:p w14:paraId="1433E274" w14:textId="5731A03C" w:rsidR="007C4B50" w:rsidRPr="00AD3B0D" w:rsidRDefault="007C4B50" w:rsidP="00C9484E">
            <w:pPr>
              <w:jc w:val="right"/>
              <w:rPr>
                <w:bCs/>
                <w:i/>
                <w:color w:val="000000"/>
                <w:sz w:val="20"/>
                <w:szCs w:val="20"/>
              </w:rPr>
            </w:pPr>
            <w:r w:rsidRPr="00AD3B0D">
              <w:rPr>
                <w:bCs/>
                <w:i/>
                <w:color w:val="000000"/>
                <w:sz w:val="20"/>
                <w:szCs w:val="20"/>
              </w:rPr>
              <w:t>0</w:t>
            </w:r>
          </w:p>
        </w:tc>
        <w:tc>
          <w:tcPr>
            <w:tcW w:w="819" w:type="dxa"/>
            <w:noWrap/>
            <w:hideMark/>
          </w:tcPr>
          <w:p w14:paraId="25832F9E" w14:textId="25DD0BB8" w:rsidR="007C4B50" w:rsidRPr="00AD3B0D" w:rsidRDefault="007C4B50" w:rsidP="00C9484E">
            <w:pPr>
              <w:jc w:val="right"/>
              <w:rPr>
                <w:bCs/>
                <w:i/>
                <w:color w:val="000000"/>
                <w:sz w:val="20"/>
                <w:szCs w:val="20"/>
              </w:rPr>
            </w:pPr>
            <w:r w:rsidRPr="00AD3B0D">
              <w:rPr>
                <w:bCs/>
                <w:i/>
                <w:color w:val="000000"/>
                <w:sz w:val="20"/>
                <w:szCs w:val="20"/>
              </w:rPr>
              <w:t>0</w:t>
            </w:r>
          </w:p>
        </w:tc>
      </w:tr>
      <w:tr w:rsidR="007C4B50" w:rsidRPr="00AD3B0D" w14:paraId="7610F595" w14:textId="77777777" w:rsidTr="006A1D8B">
        <w:trPr>
          <w:trHeight w:val="300"/>
        </w:trPr>
        <w:tc>
          <w:tcPr>
            <w:tcW w:w="1985" w:type="dxa"/>
            <w:hideMark/>
          </w:tcPr>
          <w:p w14:paraId="40DE95EE" w14:textId="77777777" w:rsidR="007C4B50" w:rsidRPr="00AD3B0D" w:rsidRDefault="007C4B50" w:rsidP="00C9484E">
            <w:pPr>
              <w:rPr>
                <w:bCs/>
                <w:color w:val="000000"/>
                <w:sz w:val="20"/>
                <w:szCs w:val="20"/>
              </w:rPr>
            </w:pPr>
            <w:r w:rsidRPr="00AD3B0D">
              <w:rPr>
                <w:bCs/>
                <w:color w:val="000000"/>
                <w:sz w:val="20"/>
                <w:szCs w:val="20"/>
              </w:rPr>
              <w:t>Физическая культура и спорт</w:t>
            </w:r>
          </w:p>
        </w:tc>
        <w:tc>
          <w:tcPr>
            <w:tcW w:w="819" w:type="dxa"/>
            <w:noWrap/>
            <w:hideMark/>
          </w:tcPr>
          <w:p w14:paraId="362A99B0" w14:textId="77777777" w:rsidR="007C4B50" w:rsidRPr="00AD3B0D" w:rsidRDefault="007C4B50" w:rsidP="00C9484E">
            <w:pPr>
              <w:rPr>
                <w:b/>
                <w:bCs/>
                <w:color w:val="000000"/>
                <w:sz w:val="20"/>
                <w:szCs w:val="20"/>
              </w:rPr>
            </w:pPr>
          </w:p>
        </w:tc>
        <w:tc>
          <w:tcPr>
            <w:tcW w:w="819" w:type="dxa"/>
            <w:noWrap/>
            <w:hideMark/>
          </w:tcPr>
          <w:p w14:paraId="1B56C0B1" w14:textId="77777777" w:rsidR="007C4B50" w:rsidRPr="00AD3B0D" w:rsidRDefault="007C4B50" w:rsidP="00C9484E">
            <w:pPr>
              <w:rPr>
                <w:sz w:val="20"/>
                <w:szCs w:val="20"/>
              </w:rPr>
            </w:pPr>
          </w:p>
        </w:tc>
        <w:tc>
          <w:tcPr>
            <w:tcW w:w="819" w:type="dxa"/>
            <w:noWrap/>
            <w:hideMark/>
          </w:tcPr>
          <w:p w14:paraId="6A2B1247" w14:textId="77777777" w:rsidR="007C4B50" w:rsidRPr="00AD3B0D" w:rsidRDefault="007C4B50" w:rsidP="00C9484E">
            <w:pPr>
              <w:rPr>
                <w:sz w:val="20"/>
                <w:szCs w:val="20"/>
              </w:rPr>
            </w:pPr>
          </w:p>
        </w:tc>
        <w:tc>
          <w:tcPr>
            <w:tcW w:w="819" w:type="dxa"/>
            <w:noWrap/>
            <w:hideMark/>
          </w:tcPr>
          <w:p w14:paraId="11690EAE" w14:textId="77777777" w:rsidR="007C4B50" w:rsidRPr="00AD3B0D" w:rsidRDefault="007C4B50" w:rsidP="00C9484E">
            <w:pPr>
              <w:rPr>
                <w:color w:val="000000"/>
                <w:sz w:val="20"/>
                <w:szCs w:val="20"/>
              </w:rPr>
            </w:pPr>
            <w:r w:rsidRPr="00AD3B0D">
              <w:rPr>
                <w:color w:val="000000"/>
                <w:sz w:val="20"/>
                <w:szCs w:val="20"/>
              </w:rPr>
              <w:t>70</w:t>
            </w:r>
          </w:p>
        </w:tc>
        <w:tc>
          <w:tcPr>
            <w:tcW w:w="819" w:type="dxa"/>
            <w:noWrap/>
            <w:hideMark/>
          </w:tcPr>
          <w:p w14:paraId="0664D75F" w14:textId="77777777" w:rsidR="007C4B50" w:rsidRPr="00AD3B0D" w:rsidRDefault="007C4B50" w:rsidP="00C9484E">
            <w:pPr>
              <w:rPr>
                <w:color w:val="000000"/>
                <w:sz w:val="20"/>
                <w:szCs w:val="20"/>
              </w:rPr>
            </w:pPr>
            <w:r w:rsidRPr="00AD3B0D">
              <w:rPr>
                <w:color w:val="000000"/>
                <w:sz w:val="20"/>
                <w:szCs w:val="20"/>
              </w:rPr>
              <w:t>61</w:t>
            </w:r>
          </w:p>
        </w:tc>
        <w:tc>
          <w:tcPr>
            <w:tcW w:w="819" w:type="dxa"/>
            <w:noWrap/>
            <w:hideMark/>
          </w:tcPr>
          <w:p w14:paraId="65A706CA" w14:textId="77777777" w:rsidR="007C4B50" w:rsidRPr="00AD3B0D" w:rsidRDefault="007C4B50" w:rsidP="00C9484E">
            <w:pPr>
              <w:rPr>
                <w:color w:val="000000"/>
                <w:sz w:val="20"/>
                <w:szCs w:val="20"/>
              </w:rPr>
            </w:pPr>
            <w:r w:rsidRPr="00AD3B0D">
              <w:rPr>
                <w:color w:val="000000"/>
                <w:sz w:val="20"/>
                <w:szCs w:val="20"/>
              </w:rPr>
              <w:t>64</w:t>
            </w:r>
          </w:p>
        </w:tc>
        <w:tc>
          <w:tcPr>
            <w:tcW w:w="819" w:type="dxa"/>
            <w:noWrap/>
            <w:hideMark/>
          </w:tcPr>
          <w:p w14:paraId="53BC64D3" w14:textId="2C17573B" w:rsidR="007C4B50" w:rsidRPr="00AD3B0D" w:rsidRDefault="007C4B50" w:rsidP="00C9484E">
            <w:pPr>
              <w:jc w:val="right"/>
              <w:rPr>
                <w:bCs/>
                <w:i/>
                <w:color w:val="000000"/>
                <w:sz w:val="20"/>
                <w:szCs w:val="20"/>
              </w:rPr>
            </w:pPr>
            <w:r w:rsidRPr="00AD3B0D">
              <w:rPr>
                <w:bCs/>
                <w:i/>
                <w:color w:val="000000"/>
                <w:sz w:val="20"/>
                <w:szCs w:val="20"/>
              </w:rPr>
              <w:t>0</w:t>
            </w:r>
          </w:p>
        </w:tc>
        <w:tc>
          <w:tcPr>
            <w:tcW w:w="819" w:type="dxa"/>
            <w:noWrap/>
            <w:hideMark/>
          </w:tcPr>
          <w:p w14:paraId="7D74CCA3" w14:textId="167A2D8E" w:rsidR="007C4B50" w:rsidRPr="00AD3B0D" w:rsidRDefault="007C4B50" w:rsidP="00C9484E">
            <w:pPr>
              <w:jc w:val="right"/>
              <w:rPr>
                <w:bCs/>
                <w:i/>
                <w:color w:val="000000"/>
                <w:sz w:val="20"/>
                <w:szCs w:val="20"/>
              </w:rPr>
            </w:pPr>
            <w:r w:rsidRPr="00AD3B0D">
              <w:rPr>
                <w:bCs/>
                <w:i/>
                <w:color w:val="000000"/>
                <w:sz w:val="20"/>
                <w:szCs w:val="20"/>
              </w:rPr>
              <w:t>0</w:t>
            </w:r>
          </w:p>
        </w:tc>
        <w:tc>
          <w:tcPr>
            <w:tcW w:w="819" w:type="dxa"/>
            <w:noWrap/>
            <w:hideMark/>
          </w:tcPr>
          <w:p w14:paraId="04DB8F31" w14:textId="6832601F" w:rsidR="007C4B50" w:rsidRPr="00AD3B0D" w:rsidRDefault="007C4B50" w:rsidP="00C9484E">
            <w:pPr>
              <w:jc w:val="right"/>
              <w:rPr>
                <w:bCs/>
                <w:i/>
                <w:color w:val="000000"/>
                <w:sz w:val="20"/>
                <w:szCs w:val="20"/>
              </w:rPr>
            </w:pPr>
            <w:r w:rsidRPr="00AD3B0D">
              <w:rPr>
                <w:bCs/>
                <w:i/>
                <w:color w:val="000000"/>
                <w:sz w:val="20"/>
                <w:szCs w:val="20"/>
              </w:rPr>
              <w:t>0</w:t>
            </w:r>
          </w:p>
        </w:tc>
      </w:tr>
      <w:tr w:rsidR="007C4B50" w:rsidRPr="00AD3B0D" w14:paraId="143888E9" w14:textId="77777777" w:rsidTr="006A1D8B">
        <w:trPr>
          <w:trHeight w:val="300"/>
        </w:trPr>
        <w:tc>
          <w:tcPr>
            <w:tcW w:w="1985" w:type="dxa"/>
            <w:hideMark/>
          </w:tcPr>
          <w:p w14:paraId="03AA4A78" w14:textId="77777777" w:rsidR="007C4B50" w:rsidRPr="00AD3B0D" w:rsidRDefault="007C4B50" w:rsidP="00C9484E">
            <w:pPr>
              <w:rPr>
                <w:b/>
                <w:bCs/>
                <w:color w:val="000000"/>
                <w:sz w:val="20"/>
                <w:szCs w:val="20"/>
              </w:rPr>
            </w:pPr>
            <w:r w:rsidRPr="00AD3B0D">
              <w:rPr>
                <w:b/>
                <w:bCs/>
                <w:color w:val="000000"/>
                <w:sz w:val="20"/>
                <w:szCs w:val="20"/>
              </w:rPr>
              <w:t>Общий итог</w:t>
            </w:r>
          </w:p>
        </w:tc>
        <w:tc>
          <w:tcPr>
            <w:tcW w:w="819" w:type="dxa"/>
            <w:noWrap/>
            <w:hideMark/>
          </w:tcPr>
          <w:p w14:paraId="36F7A274" w14:textId="5F0B3ED7" w:rsidR="007C4B50" w:rsidRPr="00AD3B0D" w:rsidRDefault="007C4B50" w:rsidP="00C9484E">
            <w:pPr>
              <w:rPr>
                <w:b/>
                <w:bCs/>
                <w:color w:val="000000"/>
                <w:sz w:val="20"/>
                <w:szCs w:val="20"/>
              </w:rPr>
            </w:pPr>
            <w:r w:rsidRPr="00AD3B0D">
              <w:rPr>
                <w:b/>
                <w:bCs/>
                <w:color w:val="000000"/>
                <w:sz w:val="20"/>
                <w:szCs w:val="20"/>
              </w:rPr>
              <w:t>1</w:t>
            </w:r>
            <w:r w:rsidR="00337FE1">
              <w:rPr>
                <w:b/>
                <w:bCs/>
                <w:color w:val="000000"/>
                <w:sz w:val="20"/>
                <w:szCs w:val="20"/>
              </w:rPr>
              <w:t xml:space="preserve"> </w:t>
            </w:r>
            <w:r w:rsidRPr="00AD3B0D">
              <w:rPr>
                <w:b/>
                <w:bCs/>
                <w:color w:val="000000"/>
                <w:sz w:val="20"/>
                <w:szCs w:val="20"/>
              </w:rPr>
              <w:t>983</w:t>
            </w:r>
          </w:p>
        </w:tc>
        <w:tc>
          <w:tcPr>
            <w:tcW w:w="819" w:type="dxa"/>
            <w:noWrap/>
            <w:hideMark/>
          </w:tcPr>
          <w:p w14:paraId="55201335" w14:textId="4A9F3406" w:rsidR="007C4B50" w:rsidRPr="00AD3B0D" w:rsidRDefault="007C4B50" w:rsidP="00C9484E">
            <w:pPr>
              <w:rPr>
                <w:b/>
                <w:bCs/>
                <w:color w:val="000000"/>
                <w:sz w:val="20"/>
                <w:szCs w:val="20"/>
              </w:rPr>
            </w:pPr>
            <w:r w:rsidRPr="00AD3B0D">
              <w:rPr>
                <w:b/>
                <w:bCs/>
                <w:color w:val="000000"/>
                <w:sz w:val="20"/>
                <w:szCs w:val="20"/>
              </w:rPr>
              <w:t>2</w:t>
            </w:r>
            <w:r w:rsidR="00337FE1">
              <w:rPr>
                <w:b/>
                <w:bCs/>
                <w:color w:val="000000"/>
                <w:sz w:val="20"/>
                <w:szCs w:val="20"/>
              </w:rPr>
              <w:t xml:space="preserve"> </w:t>
            </w:r>
            <w:r w:rsidRPr="00AD3B0D">
              <w:rPr>
                <w:b/>
                <w:bCs/>
                <w:color w:val="000000"/>
                <w:sz w:val="20"/>
                <w:szCs w:val="20"/>
              </w:rPr>
              <w:t>218</w:t>
            </w:r>
          </w:p>
        </w:tc>
        <w:tc>
          <w:tcPr>
            <w:tcW w:w="819" w:type="dxa"/>
            <w:noWrap/>
            <w:hideMark/>
          </w:tcPr>
          <w:p w14:paraId="4A8DB4A4" w14:textId="24133733" w:rsidR="007C4B50" w:rsidRPr="00AD3B0D" w:rsidRDefault="007C4B50" w:rsidP="00C9484E">
            <w:pPr>
              <w:rPr>
                <w:b/>
                <w:bCs/>
                <w:color w:val="000000"/>
                <w:sz w:val="20"/>
                <w:szCs w:val="20"/>
              </w:rPr>
            </w:pPr>
            <w:r w:rsidRPr="00AD3B0D">
              <w:rPr>
                <w:b/>
                <w:bCs/>
                <w:color w:val="000000"/>
                <w:sz w:val="20"/>
                <w:szCs w:val="20"/>
              </w:rPr>
              <w:t>2</w:t>
            </w:r>
            <w:r w:rsidR="00337FE1">
              <w:rPr>
                <w:b/>
                <w:bCs/>
                <w:color w:val="000000"/>
                <w:sz w:val="20"/>
                <w:szCs w:val="20"/>
              </w:rPr>
              <w:t xml:space="preserve"> </w:t>
            </w:r>
            <w:r w:rsidRPr="00AD3B0D">
              <w:rPr>
                <w:b/>
                <w:bCs/>
                <w:color w:val="000000"/>
                <w:sz w:val="20"/>
                <w:szCs w:val="20"/>
              </w:rPr>
              <w:t>693</w:t>
            </w:r>
          </w:p>
        </w:tc>
        <w:tc>
          <w:tcPr>
            <w:tcW w:w="819" w:type="dxa"/>
            <w:noWrap/>
            <w:hideMark/>
          </w:tcPr>
          <w:p w14:paraId="3957CFFF" w14:textId="1195814D" w:rsidR="007C4B50" w:rsidRPr="00AD3B0D" w:rsidRDefault="007C4B50" w:rsidP="00C9484E">
            <w:pPr>
              <w:ind w:right="-60"/>
              <w:rPr>
                <w:b/>
                <w:bCs/>
                <w:color w:val="000000"/>
                <w:sz w:val="20"/>
                <w:szCs w:val="20"/>
              </w:rPr>
            </w:pPr>
            <w:r w:rsidRPr="00AD3B0D">
              <w:rPr>
                <w:b/>
                <w:bCs/>
                <w:color w:val="000000"/>
                <w:sz w:val="20"/>
                <w:szCs w:val="20"/>
              </w:rPr>
              <w:t>16</w:t>
            </w:r>
            <w:r w:rsidR="00337FE1">
              <w:rPr>
                <w:b/>
                <w:bCs/>
                <w:color w:val="000000"/>
                <w:sz w:val="20"/>
                <w:szCs w:val="20"/>
              </w:rPr>
              <w:t xml:space="preserve"> </w:t>
            </w:r>
            <w:r w:rsidRPr="00AD3B0D">
              <w:rPr>
                <w:b/>
                <w:bCs/>
                <w:color w:val="000000"/>
                <w:sz w:val="20"/>
                <w:szCs w:val="20"/>
              </w:rPr>
              <w:t>181</w:t>
            </w:r>
          </w:p>
        </w:tc>
        <w:tc>
          <w:tcPr>
            <w:tcW w:w="819" w:type="dxa"/>
            <w:noWrap/>
            <w:hideMark/>
          </w:tcPr>
          <w:p w14:paraId="78D329FF" w14:textId="2978A4FF" w:rsidR="007C4B50" w:rsidRPr="00AD3B0D" w:rsidRDefault="007C4B50" w:rsidP="00C9484E">
            <w:pPr>
              <w:ind w:right="-60"/>
              <w:rPr>
                <w:b/>
                <w:bCs/>
                <w:color w:val="000000"/>
                <w:sz w:val="20"/>
                <w:szCs w:val="20"/>
              </w:rPr>
            </w:pPr>
            <w:r w:rsidRPr="00AD3B0D">
              <w:rPr>
                <w:b/>
                <w:bCs/>
                <w:color w:val="000000"/>
                <w:sz w:val="20"/>
                <w:szCs w:val="20"/>
              </w:rPr>
              <w:t>16</w:t>
            </w:r>
            <w:r w:rsidR="00337FE1">
              <w:rPr>
                <w:b/>
                <w:bCs/>
                <w:color w:val="000000"/>
                <w:sz w:val="20"/>
                <w:szCs w:val="20"/>
              </w:rPr>
              <w:t xml:space="preserve"> </w:t>
            </w:r>
            <w:r w:rsidRPr="00AD3B0D">
              <w:rPr>
                <w:b/>
                <w:bCs/>
                <w:color w:val="000000"/>
                <w:sz w:val="20"/>
                <w:szCs w:val="20"/>
              </w:rPr>
              <w:t>765</w:t>
            </w:r>
          </w:p>
        </w:tc>
        <w:tc>
          <w:tcPr>
            <w:tcW w:w="819" w:type="dxa"/>
            <w:noWrap/>
            <w:hideMark/>
          </w:tcPr>
          <w:p w14:paraId="57FF1CF6" w14:textId="0AA98286" w:rsidR="007C4B50" w:rsidRPr="00AD3B0D" w:rsidRDefault="007C4B50" w:rsidP="00C9484E">
            <w:pPr>
              <w:ind w:right="-60"/>
              <w:rPr>
                <w:b/>
                <w:bCs/>
                <w:color w:val="000000"/>
                <w:sz w:val="20"/>
                <w:szCs w:val="20"/>
              </w:rPr>
            </w:pPr>
            <w:r w:rsidRPr="00AD3B0D">
              <w:rPr>
                <w:b/>
                <w:bCs/>
                <w:color w:val="000000"/>
                <w:sz w:val="20"/>
                <w:szCs w:val="20"/>
              </w:rPr>
              <w:t>17</w:t>
            </w:r>
            <w:r w:rsidR="00337FE1">
              <w:rPr>
                <w:b/>
                <w:bCs/>
                <w:color w:val="000000"/>
                <w:sz w:val="20"/>
                <w:szCs w:val="20"/>
              </w:rPr>
              <w:t xml:space="preserve"> </w:t>
            </w:r>
            <w:r w:rsidRPr="00AD3B0D">
              <w:rPr>
                <w:b/>
                <w:bCs/>
                <w:color w:val="000000"/>
                <w:sz w:val="20"/>
                <w:szCs w:val="20"/>
              </w:rPr>
              <w:t>275</w:t>
            </w:r>
          </w:p>
        </w:tc>
        <w:tc>
          <w:tcPr>
            <w:tcW w:w="819" w:type="dxa"/>
            <w:noWrap/>
            <w:hideMark/>
          </w:tcPr>
          <w:p w14:paraId="7106F6FC" w14:textId="6F9E86A9" w:rsidR="007C4B50" w:rsidRPr="00AD3B0D" w:rsidRDefault="007C4B50" w:rsidP="00C9484E">
            <w:pPr>
              <w:jc w:val="right"/>
              <w:rPr>
                <w:b/>
                <w:bCs/>
                <w:i/>
                <w:color w:val="000000"/>
                <w:sz w:val="20"/>
                <w:szCs w:val="20"/>
              </w:rPr>
            </w:pPr>
            <w:r w:rsidRPr="00AD3B0D">
              <w:rPr>
                <w:b/>
                <w:bCs/>
                <w:i/>
                <w:color w:val="000000"/>
                <w:sz w:val="20"/>
                <w:szCs w:val="20"/>
              </w:rPr>
              <w:t>12</w:t>
            </w:r>
          </w:p>
        </w:tc>
        <w:tc>
          <w:tcPr>
            <w:tcW w:w="819" w:type="dxa"/>
            <w:noWrap/>
            <w:hideMark/>
          </w:tcPr>
          <w:p w14:paraId="333E17C9" w14:textId="2FA0F5D6" w:rsidR="007C4B50" w:rsidRPr="00AD3B0D" w:rsidRDefault="007C4B50" w:rsidP="00C9484E">
            <w:pPr>
              <w:jc w:val="right"/>
              <w:rPr>
                <w:b/>
                <w:bCs/>
                <w:i/>
                <w:color w:val="000000"/>
                <w:sz w:val="20"/>
                <w:szCs w:val="20"/>
              </w:rPr>
            </w:pPr>
            <w:r w:rsidRPr="00AD3B0D">
              <w:rPr>
                <w:b/>
                <w:bCs/>
                <w:i/>
                <w:color w:val="000000"/>
                <w:sz w:val="20"/>
                <w:szCs w:val="20"/>
              </w:rPr>
              <w:t>13</w:t>
            </w:r>
          </w:p>
        </w:tc>
        <w:tc>
          <w:tcPr>
            <w:tcW w:w="819" w:type="dxa"/>
            <w:noWrap/>
            <w:hideMark/>
          </w:tcPr>
          <w:p w14:paraId="702345C5" w14:textId="4D03D0B5" w:rsidR="007C4B50" w:rsidRPr="00AD3B0D" w:rsidRDefault="007C4B50" w:rsidP="00C9484E">
            <w:pPr>
              <w:jc w:val="right"/>
              <w:rPr>
                <w:b/>
                <w:bCs/>
                <w:i/>
                <w:color w:val="000000"/>
                <w:sz w:val="20"/>
                <w:szCs w:val="20"/>
              </w:rPr>
            </w:pPr>
            <w:r w:rsidRPr="00AD3B0D">
              <w:rPr>
                <w:b/>
                <w:bCs/>
                <w:i/>
                <w:color w:val="000000"/>
                <w:sz w:val="20"/>
                <w:szCs w:val="20"/>
              </w:rPr>
              <w:t>16</w:t>
            </w:r>
          </w:p>
        </w:tc>
      </w:tr>
    </w:tbl>
    <w:p w14:paraId="250F319E" w14:textId="77777777" w:rsidR="007C4B50" w:rsidRPr="007D53C2" w:rsidRDefault="007C4B50" w:rsidP="00576B90">
      <w:pPr>
        <w:spacing w:after="60"/>
        <w:ind w:firstLine="709"/>
        <w:jc w:val="both"/>
        <w:rPr>
          <w:sz w:val="20"/>
        </w:rPr>
      </w:pPr>
      <w:r w:rsidRPr="00576B90">
        <w:rPr>
          <w:i/>
          <w:sz w:val="20"/>
        </w:rPr>
        <w:t>Источник</w:t>
      </w:r>
      <w:r w:rsidRPr="007D53C2">
        <w:rPr>
          <w:sz w:val="20"/>
        </w:rPr>
        <w:t>: приложение 14 к проекту закона «О федеральном бюджете на 2020 год и на плановый период 2021 и 2022 годов</w:t>
      </w:r>
      <w:r>
        <w:rPr>
          <w:sz w:val="20"/>
        </w:rPr>
        <w:t>»</w:t>
      </w:r>
      <w:r w:rsidRPr="007D53C2">
        <w:rPr>
          <w:sz w:val="20"/>
        </w:rPr>
        <w:t>, расчеты авторов.</w:t>
      </w:r>
    </w:p>
    <w:p w14:paraId="52EF4D91" w14:textId="68253C5B" w:rsidR="007C4B50" w:rsidRDefault="007C4B50" w:rsidP="00576B90">
      <w:pPr>
        <w:spacing w:after="60"/>
        <w:ind w:firstLine="709"/>
        <w:jc w:val="both"/>
      </w:pPr>
      <w:r w:rsidRPr="00CE65ED">
        <w:t xml:space="preserve">Как </w:t>
      </w:r>
      <w:r>
        <w:t xml:space="preserve">видно из </w:t>
      </w:r>
      <w:r w:rsidR="00035686" w:rsidRPr="00035686">
        <w:rPr>
          <w:i/>
        </w:rPr>
        <w:t>таблицы</w:t>
      </w:r>
      <w:r w:rsidR="00035686" w:rsidRPr="00035686">
        <w:t xml:space="preserve"> </w:t>
      </w:r>
      <w:r w:rsidR="00C84D38">
        <w:rPr>
          <w:i/>
          <w:noProof/>
        </w:rPr>
        <w:t>11</w:t>
      </w:r>
      <w:r w:rsidRPr="00035686">
        <w:t>, в целом</w:t>
      </w:r>
      <w:r>
        <w:t>, доля расходов на национальные проекты от расходов федерального бюджета увеличивается с 12% в 2020 году до 16% в 2022 году. При этом, по разделу «</w:t>
      </w:r>
      <w:r w:rsidRPr="00D253E3">
        <w:t>Жилищно-коммунальное хозяйство</w:t>
      </w:r>
      <w:r>
        <w:t>», вклад в который вносят федеральные проекты 5 национальных проектов</w:t>
      </w:r>
      <w:r>
        <w:rPr>
          <w:rStyle w:val="aa"/>
        </w:rPr>
        <w:footnoteReference w:id="10"/>
      </w:r>
      <w:r>
        <w:t xml:space="preserve"> к 2022 году доля расходов на национальные проекты будет составлять 60% в сравнении с 47% в 2020 году. Аналогичная величина по разделу «</w:t>
      </w:r>
      <w:r w:rsidRPr="00D253E3">
        <w:t>Национальная экономика</w:t>
      </w:r>
      <w:r>
        <w:t>», вклад в который вносят федеральные проекты 9 национальных проектов</w:t>
      </w:r>
      <w:r>
        <w:rPr>
          <w:rStyle w:val="aa"/>
        </w:rPr>
        <w:footnoteReference w:id="11"/>
      </w:r>
      <w:r>
        <w:t xml:space="preserve">, за период 2020 – 2022 гг. вырастет с 26 до 40%. </w:t>
      </w:r>
    </w:p>
    <w:p w14:paraId="417FA558" w14:textId="77777777" w:rsidR="007C4B50" w:rsidRPr="0099046B" w:rsidRDefault="007C4B50" w:rsidP="00576B90">
      <w:pPr>
        <w:spacing w:after="60"/>
        <w:ind w:firstLine="709"/>
        <w:jc w:val="both"/>
      </w:pPr>
      <w:r>
        <w:t>По разделам «Образование» и «Здравоохранение» доля расходов на национальные проекты в 2022 году снизится, однако, это снижение будет незначительным. При этом стоит отметить, что вклад в раздел «Образование» вносят сразу 8 различных национальных проектов</w:t>
      </w:r>
      <w:r>
        <w:rPr>
          <w:rStyle w:val="aa"/>
        </w:rPr>
        <w:footnoteReference w:id="12"/>
      </w:r>
      <w:r>
        <w:t xml:space="preserve">. Вклад самого национального проекта «Образование» в одноименный раздел расходов федерального бюджета составляет в среднем около 57%.  По другим разделам значимых изменений не наблюдается. Таким </w:t>
      </w:r>
      <w:r w:rsidRPr="00CE65ED">
        <w:t xml:space="preserve">образом, можно сделать вывод о том, что объем финансирования через проектные инструменты по сравнению с текущими расходами </w:t>
      </w:r>
      <w:r>
        <w:t xml:space="preserve">существенно </w:t>
      </w:r>
      <w:r w:rsidRPr="00CE65ED">
        <w:t>увеличивается.</w:t>
      </w:r>
    </w:p>
    <w:p w14:paraId="58F6E980" w14:textId="2ED65BA3" w:rsidR="007C4B50" w:rsidRDefault="007C4B50" w:rsidP="00576B90">
      <w:pPr>
        <w:spacing w:after="60"/>
        <w:ind w:firstLine="709"/>
        <w:jc w:val="both"/>
      </w:pPr>
      <w:r>
        <w:t xml:space="preserve">Важно также рассмотреть распределение расходов федерального бюджета в связке с ключевыми целевыми показателями национальных </w:t>
      </w:r>
      <w:r w:rsidRPr="00035686">
        <w:t>проектов (</w:t>
      </w:r>
      <w:r w:rsidRPr="00035686">
        <w:rPr>
          <w:i/>
        </w:rPr>
        <w:t>таблица</w:t>
      </w:r>
      <w:r w:rsidRPr="00035686">
        <w:t> </w:t>
      </w:r>
      <w:r w:rsidR="00C84D38">
        <w:rPr>
          <w:i/>
          <w:noProof/>
        </w:rPr>
        <w:t>12</w:t>
      </w:r>
      <w:r w:rsidRPr="00035686">
        <w:t>).</w:t>
      </w:r>
    </w:p>
    <w:p w14:paraId="4D77ED0F" w14:textId="6F37B889" w:rsidR="004E5F60" w:rsidRPr="00600DF7" w:rsidRDefault="004E5F60" w:rsidP="004E5F60">
      <w:pPr>
        <w:spacing w:after="60"/>
        <w:jc w:val="right"/>
        <w:rPr>
          <w:i/>
        </w:rPr>
      </w:pPr>
      <w:r w:rsidRPr="00600DF7">
        <w:rPr>
          <w:i/>
        </w:rPr>
        <w:t>Таблица</w:t>
      </w:r>
      <w:r>
        <w:rPr>
          <w:i/>
        </w:rPr>
        <w:t xml:space="preserve"> </w:t>
      </w:r>
      <w:bookmarkStart w:id="22" w:name="_Ref21341477"/>
      <w:r w:rsidR="00C84D38">
        <w:rPr>
          <w:i/>
          <w:noProof/>
        </w:rPr>
        <w:t>12</w:t>
      </w:r>
      <w:bookmarkEnd w:id="22"/>
    </w:p>
    <w:p w14:paraId="1368A6C0" w14:textId="5D5A2A90" w:rsidR="007C4B50" w:rsidRPr="00576B90" w:rsidRDefault="007C4B50" w:rsidP="0098464F">
      <w:pPr>
        <w:spacing w:after="60"/>
        <w:jc w:val="center"/>
        <w:rPr>
          <w:b/>
        </w:rPr>
      </w:pPr>
      <w:r w:rsidRPr="00576B90">
        <w:rPr>
          <w:b/>
        </w:rPr>
        <w:t>Распределение расходов федерального бюджета за 2020 – 2022 гг. в связке с ключевыми целевыми показателями национальных проектов</w:t>
      </w:r>
    </w:p>
    <w:tbl>
      <w:tblPr>
        <w:tblW w:w="9214" w:type="dxa"/>
        <w:tblInd w:w="-5" w:type="dxa"/>
        <w:tblLayout w:type="fixed"/>
        <w:tblLook w:val="04A0" w:firstRow="1" w:lastRow="0" w:firstColumn="1" w:lastColumn="0" w:noHBand="0" w:noVBand="1"/>
      </w:tblPr>
      <w:tblGrid>
        <w:gridCol w:w="1701"/>
        <w:gridCol w:w="4395"/>
        <w:gridCol w:w="992"/>
        <w:gridCol w:w="992"/>
        <w:gridCol w:w="1134"/>
      </w:tblGrid>
      <w:tr w:rsidR="007C4B50" w:rsidRPr="00AD3B0D" w14:paraId="02AA9841" w14:textId="77777777" w:rsidTr="009F7CD7">
        <w:trPr>
          <w:trHeight w:val="20"/>
          <w:tblHead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A84AC" w14:textId="266A91E9" w:rsidR="007C4B50" w:rsidRPr="00AD3B0D" w:rsidRDefault="007C4B50" w:rsidP="00BC2AA5">
            <w:pPr>
              <w:spacing w:after="60"/>
              <w:jc w:val="center"/>
              <w:rPr>
                <w:b/>
                <w:bCs/>
                <w:color w:val="000000"/>
                <w:sz w:val="20"/>
              </w:rPr>
            </w:pPr>
            <w:r w:rsidRPr="00AD3B0D">
              <w:rPr>
                <w:b/>
                <w:bCs/>
                <w:color w:val="000000"/>
                <w:sz w:val="20"/>
              </w:rPr>
              <w:t>Национальный проект (программа), млрд руб</w:t>
            </w:r>
            <w:r w:rsidR="00AD3B0D">
              <w:rPr>
                <w:b/>
                <w:bCs/>
                <w:color w:val="000000"/>
                <w:sz w:val="20"/>
              </w:rPr>
              <w:t>.</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42D06F29" w14:textId="77777777" w:rsidR="007C4B50" w:rsidRPr="00AD3B0D" w:rsidRDefault="007C4B50" w:rsidP="00BC2AA5">
            <w:pPr>
              <w:spacing w:after="60"/>
              <w:jc w:val="center"/>
              <w:rPr>
                <w:b/>
                <w:bCs/>
                <w:color w:val="000000"/>
                <w:sz w:val="20"/>
              </w:rPr>
            </w:pPr>
            <w:r w:rsidRPr="00AD3B0D">
              <w:rPr>
                <w:b/>
                <w:bCs/>
                <w:color w:val="000000"/>
                <w:sz w:val="20"/>
              </w:rPr>
              <w:t>Ключевые целевые показатели</w:t>
            </w:r>
          </w:p>
          <w:p w14:paraId="514545F8" w14:textId="77777777" w:rsidR="007C4B50" w:rsidRPr="00AD3B0D" w:rsidRDefault="007C4B50" w:rsidP="00BC2AA5">
            <w:pPr>
              <w:spacing w:after="60"/>
              <w:jc w:val="center"/>
              <w:rPr>
                <w:b/>
                <w:bCs/>
                <w:color w:val="000000"/>
                <w:sz w:val="20"/>
              </w:rPr>
            </w:pPr>
            <w:r w:rsidRPr="00AD3B0D">
              <w:rPr>
                <w:b/>
                <w:bCs/>
                <w:color w:val="000000"/>
                <w:sz w:val="20"/>
              </w:rPr>
              <w:t>национальных проектов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9A1F45" w14:textId="7B889F53" w:rsidR="007C4B50" w:rsidRPr="00AD3B0D" w:rsidRDefault="007C4B50" w:rsidP="00BC2AA5">
            <w:pPr>
              <w:spacing w:after="60"/>
              <w:ind w:left="-100" w:right="-102"/>
              <w:jc w:val="center"/>
              <w:rPr>
                <w:b/>
                <w:bCs/>
                <w:color w:val="000000"/>
                <w:sz w:val="20"/>
              </w:rPr>
            </w:pPr>
            <w:r w:rsidRPr="00AD3B0D">
              <w:rPr>
                <w:b/>
                <w:bCs/>
                <w:color w:val="000000"/>
                <w:sz w:val="20"/>
              </w:rPr>
              <w:t>Значение в 2018 г</w:t>
            </w:r>
            <w:r w:rsidR="00576B90" w:rsidRPr="00AD3B0D">
              <w:rPr>
                <w:b/>
                <w:bCs/>
                <w:color w:val="000000"/>
                <w:sz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AE94A6" w14:textId="077C17E1" w:rsidR="007C4B50" w:rsidRPr="00AD3B0D" w:rsidRDefault="007C4B50" w:rsidP="00BC2AA5">
            <w:pPr>
              <w:spacing w:after="60"/>
              <w:ind w:left="-104" w:right="-102"/>
              <w:jc w:val="center"/>
              <w:rPr>
                <w:b/>
                <w:bCs/>
                <w:color w:val="000000"/>
                <w:sz w:val="20"/>
              </w:rPr>
            </w:pPr>
            <w:r w:rsidRPr="00AD3B0D">
              <w:rPr>
                <w:b/>
                <w:bCs/>
                <w:color w:val="000000"/>
                <w:sz w:val="20"/>
              </w:rPr>
              <w:t>Значение по итогам 2022 г</w:t>
            </w:r>
            <w:r w:rsidR="00576B90" w:rsidRPr="00AD3B0D">
              <w:rPr>
                <w:b/>
                <w:bCs/>
                <w:color w:val="000000"/>
                <w:sz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898470" w14:textId="5C8DE674" w:rsidR="007C4B50" w:rsidRPr="00AD3B0D" w:rsidRDefault="007C4B50" w:rsidP="00BC2AA5">
            <w:pPr>
              <w:spacing w:after="60"/>
              <w:jc w:val="center"/>
              <w:rPr>
                <w:b/>
                <w:color w:val="000000"/>
                <w:sz w:val="20"/>
              </w:rPr>
            </w:pPr>
            <w:r w:rsidRPr="00AD3B0D">
              <w:rPr>
                <w:b/>
                <w:color w:val="000000"/>
                <w:sz w:val="20"/>
              </w:rPr>
              <w:t>Проект ФБ, 2020 – 2022</w:t>
            </w:r>
            <w:r w:rsidR="00576B90" w:rsidRPr="00AD3B0D">
              <w:rPr>
                <w:b/>
                <w:color w:val="000000"/>
                <w:sz w:val="20"/>
              </w:rPr>
              <w:t xml:space="preserve"> гг.</w:t>
            </w:r>
            <w:r w:rsidRPr="00AD3B0D">
              <w:rPr>
                <w:b/>
                <w:color w:val="000000"/>
                <w:sz w:val="20"/>
              </w:rPr>
              <w:t>, млрд руб</w:t>
            </w:r>
            <w:r w:rsidR="00576B90" w:rsidRPr="00AD3B0D">
              <w:rPr>
                <w:b/>
                <w:color w:val="000000"/>
                <w:sz w:val="20"/>
              </w:rPr>
              <w:t>.</w:t>
            </w:r>
          </w:p>
        </w:tc>
      </w:tr>
      <w:tr w:rsidR="007C4B50" w:rsidRPr="00AD3B0D" w14:paraId="544DDD3B" w14:textId="77777777" w:rsidTr="00576B90">
        <w:trPr>
          <w:trHeight w:val="20"/>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659FA7BD" w14:textId="77777777" w:rsidR="007C4B50" w:rsidRPr="00AD3B0D" w:rsidRDefault="007C4B50" w:rsidP="00BC2AA5">
            <w:pPr>
              <w:spacing w:after="60"/>
              <w:jc w:val="both"/>
              <w:rPr>
                <w:b/>
                <w:color w:val="000000"/>
                <w:sz w:val="20"/>
              </w:rPr>
            </w:pPr>
            <w:r w:rsidRPr="00AD3B0D">
              <w:rPr>
                <w:b/>
                <w:color w:val="000000"/>
                <w:sz w:val="20"/>
              </w:rPr>
              <w:t>ВСЕГО</w:t>
            </w:r>
          </w:p>
        </w:tc>
        <w:tc>
          <w:tcPr>
            <w:tcW w:w="4395" w:type="dxa"/>
            <w:tcBorders>
              <w:top w:val="nil"/>
              <w:left w:val="nil"/>
              <w:bottom w:val="single" w:sz="4" w:space="0" w:color="auto"/>
              <w:right w:val="single" w:sz="4" w:space="0" w:color="auto"/>
            </w:tcBorders>
            <w:shd w:val="clear" w:color="auto" w:fill="auto"/>
            <w:vAlign w:val="bottom"/>
            <w:hideMark/>
          </w:tcPr>
          <w:p w14:paraId="38F2EB5C" w14:textId="77777777" w:rsidR="007C4B50" w:rsidRPr="00AD3B0D" w:rsidRDefault="007C4B50" w:rsidP="00BC2AA5">
            <w:pPr>
              <w:spacing w:after="60"/>
              <w:jc w:val="both"/>
              <w:rPr>
                <w:b/>
                <w:color w:val="000000"/>
                <w:sz w:val="20"/>
              </w:rPr>
            </w:pPr>
            <w:r w:rsidRPr="00AD3B0D">
              <w:rPr>
                <w:b/>
                <w:color w:val="000000"/>
                <w:sz w:val="20"/>
              </w:rPr>
              <w:t> </w:t>
            </w:r>
          </w:p>
        </w:tc>
        <w:tc>
          <w:tcPr>
            <w:tcW w:w="992" w:type="dxa"/>
            <w:tcBorders>
              <w:top w:val="nil"/>
              <w:left w:val="nil"/>
              <w:bottom w:val="single" w:sz="4" w:space="0" w:color="auto"/>
              <w:right w:val="single" w:sz="4" w:space="0" w:color="auto"/>
            </w:tcBorders>
            <w:shd w:val="clear" w:color="auto" w:fill="auto"/>
            <w:vAlign w:val="bottom"/>
            <w:hideMark/>
          </w:tcPr>
          <w:p w14:paraId="5A3BEFE7" w14:textId="77777777" w:rsidR="007C4B50" w:rsidRPr="00AD3B0D" w:rsidRDefault="007C4B50" w:rsidP="00BC2AA5">
            <w:pPr>
              <w:spacing w:after="60"/>
              <w:rPr>
                <w:b/>
                <w:color w:val="000000"/>
                <w:sz w:val="20"/>
              </w:rPr>
            </w:pPr>
            <w:r w:rsidRPr="00AD3B0D">
              <w:rPr>
                <w:b/>
                <w:color w:val="000000"/>
                <w:sz w:val="20"/>
              </w:rPr>
              <w:t> </w:t>
            </w:r>
          </w:p>
        </w:tc>
        <w:tc>
          <w:tcPr>
            <w:tcW w:w="992" w:type="dxa"/>
            <w:tcBorders>
              <w:top w:val="nil"/>
              <w:left w:val="nil"/>
              <w:bottom w:val="single" w:sz="4" w:space="0" w:color="auto"/>
              <w:right w:val="single" w:sz="4" w:space="0" w:color="auto"/>
            </w:tcBorders>
            <w:shd w:val="clear" w:color="auto" w:fill="auto"/>
            <w:vAlign w:val="bottom"/>
            <w:hideMark/>
          </w:tcPr>
          <w:p w14:paraId="486F55B2" w14:textId="77777777" w:rsidR="007C4B50" w:rsidRPr="00AD3B0D" w:rsidRDefault="007C4B50" w:rsidP="00BC2AA5">
            <w:pPr>
              <w:spacing w:after="60"/>
              <w:rPr>
                <w:b/>
                <w:color w:val="000000"/>
                <w:sz w:val="20"/>
              </w:rPr>
            </w:pPr>
            <w:r w:rsidRPr="00AD3B0D">
              <w:rPr>
                <w:b/>
                <w:color w:val="000000"/>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377344" w14:textId="77777777" w:rsidR="007C4B50" w:rsidRPr="00AD3B0D" w:rsidRDefault="007C4B50" w:rsidP="00BC2AA5">
            <w:pPr>
              <w:spacing w:after="60"/>
              <w:jc w:val="center"/>
              <w:rPr>
                <w:b/>
                <w:color w:val="000000"/>
                <w:sz w:val="20"/>
              </w:rPr>
            </w:pPr>
            <w:r w:rsidRPr="00AD3B0D">
              <w:rPr>
                <w:b/>
                <w:color w:val="000000"/>
                <w:sz w:val="20"/>
              </w:rPr>
              <w:t>6 893</w:t>
            </w:r>
          </w:p>
        </w:tc>
      </w:tr>
      <w:tr w:rsidR="007C4B50" w:rsidRPr="00AD3B0D" w14:paraId="0BEFC9D3" w14:textId="77777777" w:rsidTr="00576B90">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4A2CFF11" w14:textId="77777777" w:rsidR="007C4B50" w:rsidRPr="00AD3B0D" w:rsidRDefault="007C4B50" w:rsidP="00BC2AA5">
            <w:pPr>
              <w:spacing w:after="60"/>
              <w:jc w:val="both"/>
              <w:rPr>
                <w:color w:val="000000"/>
                <w:sz w:val="20"/>
              </w:rPr>
            </w:pPr>
            <w:r w:rsidRPr="00AD3B0D">
              <w:rPr>
                <w:color w:val="000000"/>
                <w:sz w:val="20"/>
              </w:rPr>
              <w:t>Демография</w:t>
            </w:r>
          </w:p>
        </w:tc>
        <w:tc>
          <w:tcPr>
            <w:tcW w:w="4395" w:type="dxa"/>
            <w:tcBorders>
              <w:top w:val="nil"/>
              <w:left w:val="nil"/>
              <w:bottom w:val="single" w:sz="4" w:space="0" w:color="auto"/>
              <w:right w:val="single" w:sz="4" w:space="0" w:color="auto"/>
            </w:tcBorders>
            <w:shd w:val="clear" w:color="auto" w:fill="auto"/>
            <w:vAlign w:val="bottom"/>
            <w:hideMark/>
          </w:tcPr>
          <w:p w14:paraId="3B4218D3" w14:textId="77777777" w:rsidR="007C4B50" w:rsidRPr="00AD3B0D" w:rsidRDefault="007C4B50" w:rsidP="00BC2AA5">
            <w:pPr>
              <w:spacing w:after="60"/>
              <w:jc w:val="both"/>
              <w:rPr>
                <w:color w:val="000000"/>
                <w:sz w:val="20"/>
              </w:rPr>
            </w:pPr>
            <w:r w:rsidRPr="00AD3B0D">
              <w:rPr>
                <w:color w:val="000000"/>
                <w:sz w:val="20"/>
              </w:rPr>
              <w:t>Смертность населения старше трудоспособного возраста (женщины, достигшие возраста 55 лет и старше, мужчины, достигшие возраста 60 лет и старше)</w:t>
            </w:r>
          </w:p>
        </w:tc>
        <w:tc>
          <w:tcPr>
            <w:tcW w:w="992" w:type="dxa"/>
            <w:tcBorders>
              <w:top w:val="nil"/>
              <w:left w:val="nil"/>
              <w:bottom w:val="single" w:sz="4" w:space="0" w:color="auto"/>
              <w:right w:val="single" w:sz="4" w:space="0" w:color="auto"/>
            </w:tcBorders>
            <w:shd w:val="clear" w:color="auto" w:fill="auto"/>
            <w:vAlign w:val="center"/>
            <w:hideMark/>
          </w:tcPr>
          <w:p w14:paraId="71BF34D6" w14:textId="616C6F89" w:rsidR="007C4B50" w:rsidRPr="00AD3B0D" w:rsidRDefault="007C4B50" w:rsidP="00BC2AA5">
            <w:pPr>
              <w:spacing w:after="60"/>
              <w:jc w:val="center"/>
              <w:rPr>
                <w:color w:val="000000"/>
                <w:sz w:val="20"/>
              </w:rPr>
            </w:pPr>
            <w:r w:rsidRPr="00AD3B0D">
              <w:rPr>
                <w:color w:val="000000"/>
                <w:sz w:val="20"/>
              </w:rPr>
              <w:t>37</w:t>
            </w:r>
            <w:r w:rsidR="00AD3B0D">
              <w:rPr>
                <w:color w:val="000000"/>
                <w:sz w:val="20"/>
              </w:rPr>
              <w:t>,</w:t>
            </w:r>
            <w:r w:rsidRPr="00AD3B0D">
              <w:rPr>
                <w:color w:val="000000"/>
                <w:sz w:val="20"/>
              </w:rPr>
              <w:t>9</w:t>
            </w:r>
          </w:p>
        </w:tc>
        <w:tc>
          <w:tcPr>
            <w:tcW w:w="992" w:type="dxa"/>
            <w:tcBorders>
              <w:top w:val="nil"/>
              <w:left w:val="nil"/>
              <w:bottom w:val="single" w:sz="4" w:space="0" w:color="auto"/>
              <w:right w:val="single" w:sz="4" w:space="0" w:color="auto"/>
            </w:tcBorders>
            <w:shd w:val="clear" w:color="auto" w:fill="auto"/>
            <w:vAlign w:val="center"/>
            <w:hideMark/>
          </w:tcPr>
          <w:p w14:paraId="4F5ADBF2" w14:textId="17FFB715" w:rsidR="007C4B50" w:rsidRPr="00AD3B0D" w:rsidRDefault="007C4B50" w:rsidP="00BC2AA5">
            <w:pPr>
              <w:spacing w:after="60"/>
              <w:jc w:val="center"/>
              <w:rPr>
                <w:color w:val="000000"/>
                <w:sz w:val="20"/>
              </w:rPr>
            </w:pPr>
            <w:r w:rsidRPr="00AD3B0D">
              <w:rPr>
                <w:color w:val="000000"/>
                <w:sz w:val="20"/>
              </w:rPr>
              <w:t>36</w:t>
            </w:r>
            <w:r w:rsidR="00AD3B0D">
              <w:rPr>
                <w:color w:val="000000"/>
                <w:sz w:val="20"/>
              </w:rPr>
              <w:t>,</w:t>
            </w:r>
            <w:r w:rsidRPr="00AD3B0D">
              <w:rPr>
                <w:color w:val="000000"/>
                <w:sz w:val="20"/>
              </w:rPr>
              <w:t>7</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B4A376" w14:textId="77777777" w:rsidR="007C4B50" w:rsidRPr="00AD3B0D" w:rsidRDefault="007C4B50" w:rsidP="00BC2AA5">
            <w:pPr>
              <w:spacing w:after="60"/>
              <w:jc w:val="center"/>
              <w:rPr>
                <w:color w:val="000000"/>
                <w:sz w:val="20"/>
              </w:rPr>
            </w:pPr>
            <w:r w:rsidRPr="00AD3B0D">
              <w:rPr>
                <w:color w:val="000000"/>
                <w:sz w:val="20"/>
              </w:rPr>
              <w:t>1 839</w:t>
            </w:r>
          </w:p>
        </w:tc>
      </w:tr>
      <w:tr w:rsidR="007C4B50" w:rsidRPr="00AD3B0D" w14:paraId="5E0FF559" w14:textId="77777777" w:rsidTr="00576B90">
        <w:trPr>
          <w:trHeight w:val="20"/>
        </w:trPr>
        <w:tc>
          <w:tcPr>
            <w:tcW w:w="1701" w:type="dxa"/>
            <w:vMerge/>
            <w:tcBorders>
              <w:top w:val="nil"/>
              <w:left w:val="single" w:sz="4" w:space="0" w:color="auto"/>
              <w:bottom w:val="single" w:sz="4" w:space="0" w:color="000000"/>
              <w:right w:val="single" w:sz="4" w:space="0" w:color="auto"/>
            </w:tcBorders>
            <w:vAlign w:val="center"/>
            <w:hideMark/>
          </w:tcPr>
          <w:p w14:paraId="091E631F" w14:textId="77777777" w:rsidR="007C4B50" w:rsidRPr="00AD3B0D" w:rsidRDefault="007C4B50" w:rsidP="00BC2AA5">
            <w:pPr>
              <w:spacing w:after="60"/>
              <w:jc w:val="both"/>
              <w:rPr>
                <w:color w:val="000000"/>
                <w:sz w:val="20"/>
              </w:rPr>
            </w:pPr>
          </w:p>
        </w:tc>
        <w:tc>
          <w:tcPr>
            <w:tcW w:w="4395" w:type="dxa"/>
            <w:tcBorders>
              <w:top w:val="nil"/>
              <w:left w:val="nil"/>
              <w:bottom w:val="single" w:sz="4" w:space="0" w:color="auto"/>
              <w:right w:val="single" w:sz="4" w:space="0" w:color="auto"/>
            </w:tcBorders>
            <w:shd w:val="clear" w:color="auto" w:fill="auto"/>
            <w:vAlign w:val="bottom"/>
            <w:hideMark/>
          </w:tcPr>
          <w:p w14:paraId="6DCD49F7" w14:textId="77777777" w:rsidR="007C4B50" w:rsidRPr="00AD3B0D" w:rsidRDefault="007C4B50" w:rsidP="00BC2AA5">
            <w:pPr>
              <w:spacing w:after="60"/>
              <w:jc w:val="both"/>
              <w:rPr>
                <w:color w:val="000000"/>
                <w:sz w:val="20"/>
              </w:rPr>
            </w:pPr>
            <w:r w:rsidRPr="00AD3B0D">
              <w:rPr>
                <w:color w:val="000000"/>
                <w:sz w:val="20"/>
              </w:rPr>
              <w:t>Суммарный коэффициент рождаемости</w:t>
            </w:r>
          </w:p>
        </w:tc>
        <w:tc>
          <w:tcPr>
            <w:tcW w:w="992" w:type="dxa"/>
            <w:tcBorders>
              <w:top w:val="nil"/>
              <w:left w:val="nil"/>
              <w:bottom w:val="single" w:sz="4" w:space="0" w:color="auto"/>
              <w:right w:val="single" w:sz="4" w:space="0" w:color="auto"/>
            </w:tcBorders>
            <w:shd w:val="clear" w:color="auto" w:fill="auto"/>
            <w:noWrap/>
            <w:vAlign w:val="center"/>
            <w:hideMark/>
          </w:tcPr>
          <w:p w14:paraId="779B8149" w14:textId="7D9CCC05" w:rsidR="007C4B50" w:rsidRPr="00AD3B0D" w:rsidRDefault="007C4B50" w:rsidP="00BC2AA5">
            <w:pPr>
              <w:spacing w:after="60"/>
              <w:jc w:val="center"/>
              <w:rPr>
                <w:color w:val="000000"/>
                <w:sz w:val="20"/>
              </w:rPr>
            </w:pPr>
            <w:r w:rsidRPr="00AD3B0D">
              <w:rPr>
                <w:color w:val="000000"/>
                <w:sz w:val="20"/>
              </w:rPr>
              <w:t>1</w:t>
            </w:r>
            <w:r w:rsidR="00576B90" w:rsidRPr="00AD3B0D">
              <w:rPr>
                <w:color w:val="000000"/>
                <w:sz w:val="20"/>
              </w:rPr>
              <w:t>,</w:t>
            </w:r>
            <w:r w:rsidRPr="00AD3B0D">
              <w:rPr>
                <w:color w:val="000000"/>
                <w:sz w:val="20"/>
              </w:rPr>
              <w:t>6</w:t>
            </w:r>
          </w:p>
        </w:tc>
        <w:tc>
          <w:tcPr>
            <w:tcW w:w="992" w:type="dxa"/>
            <w:tcBorders>
              <w:top w:val="nil"/>
              <w:left w:val="nil"/>
              <w:bottom w:val="single" w:sz="4" w:space="0" w:color="auto"/>
              <w:right w:val="single" w:sz="4" w:space="0" w:color="auto"/>
            </w:tcBorders>
            <w:shd w:val="clear" w:color="auto" w:fill="auto"/>
            <w:noWrap/>
            <w:vAlign w:val="center"/>
            <w:hideMark/>
          </w:tcPr>
          <w:p w14:paraId="23BBD7C4" w14:textId="080A4675" w:rsidR="007C4B50" w:rsidRPr="00AD3B0D" w:rsidRDefault="007C4B50" w:rsidP="00BC2AA5">
            <w:pPr>
              <w:spacing w:after="60"/>
              <w:jc w:val="center"/>
              <w:rPr>
                <w:color w:val="000000"/>
                <w:sz w:val="20"/>
              </w:rPr>
            </w:pPr>
            <w:r w:rsidRPr="00AD3B0D">
              <w:rPr>
                <w:color w:val="000000"/>
                <w:sz w:val="20"/>
              </w:rPr>
              <w:t>1</w:t>
            </w:r>
            <w:r w:rsidR="00576B90" w:rsidRPr="00AD3B0D">
              <w:rPr>
                <w:color w:val="000000"/>
                <w:sz w:val="20"/>
              </w:rPr>
              <w:t>,</w:t>
            </w:r>
            <w:r w:rsidRPr="00AD3B0D">
              <w:rPr>
                <w:color w:val="000000"/>
                <w:sz w:val="20"/>
              </w:rPr>
              <w:t>68</w:t>
            </w:r>
          </w:p>
        </w:tc>
        <w:tc>
          <w:tcPr>
            <w:tcW w:w="1134" w:type="dxa"/>
            <w:vMerge/>
            <w:tcBorders>
              <w:top w:val="nil"/>
              <w:left w:val="single" w:sz="4" w:space="0" w:color="auto"/>
              <w:bottom w:val="single" w:sz="4" w:space="0" w:color="000000"/>
              <w:right w:val="single" w:sz="4" w:space="0" w:color="auto"/>
            </w:tcBorders>
            <w:vAlign w:val="center"/>
            <w:hideMark/>
          </w:tcPr>
          <w:p w14:paraId="7851329F" w14:textId="77777777" w:rsidR="007C4B50" w:rsidRPr="00AD3B0D" w:rsidRDefault="007C4B50" w:rsidP="00BC2AA5">
            <w:pPr>
              <w:spacing w:after="60"/>
              <w:jc w:val="center"/>
              <w:rPr>
                <w:color w:val="000000"/>
                <w:sz w:val="20"/>
              </w:rPr>
            </w:pPr>
          </w:p>
        </w:tc>
      </w:tr>
      <w:tr w:rsidR="007C4B50" w:rsidRPr="00AD3B0D" w14:paraId="54BC339A" w14:textId="77777777" w:rsidTr="00576B90">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25442D47" w14:textId="77777777" w:rsidR="007C4B50" w:rsidRPr="00AD3B0D" w:rsidRDefault="007C4B50" w:rsidP="00BC2AA5">
            <w:pPr>
              <w:spacing w:after="60"/>
              <w:jc w:val="both"/>
              <w:rPr>
                <w:color w:val="000000"/>
                <w:sz w:val="20"/>
              </w:rPr>
            </w:pPr>
            <w:r w:rsidRPr="00AD3B0D">
              <w:rPr>
                <w:color w:val="000000"/>
                <w:sz w:val="20"/>
              </w:rPr>
              <w:t>Комплексный план модернизации инфраструктуры</w:t>
            </w:r>
          </w:p>
        </w:tc>
        <w:tc>
          <w:tcPr>
            <w:tcW w:w="4395" w:type="dxa"/>
            <w:tcBorders>
              <w:top w:val="nil"/>
              <w:left w:val="nil"/>
              <w:bottom w:val="single" w:sz="4" w:space="0" w:color="auto"/>
              <w:right w:val="single" w:sz="4" w:space="0" w:color="auto"/>
            </w:tcBorders>
            <w:shd w:val="clear" w:color="auto" w:fill="auto"/>
            <w:vAlign w:val="bottom"/>
            <w:hideMark/>
          </w:tcPr>
          <w:p w14:paraId="4389BD62" w14:textId="77777777" w:rsidR="007C4B50" w:rsidRPr="00AD3B0D" w:rsidRDefault="007C4B50" w:rsidP="00BC2AA5">
            <w:pPr>
              <w:spacing w:after="60"/>
              <w:jc w:val="both"/>
              <w:rPr>
                <w:color w:val="000000"/>
                <w:sz w:val="20"/>
              </w:rPr>
            </w:pPr>
            <w:r w:rsidRPr="00AD3B0D">
              <w:rPr>
                <w:color w:val="000000"/>
                <w:sz w:val="20"/>
              </w:rPr>
              <w:t>Средняя коммерческая скорость товародвижения на железнодорожном транспорте, км /сутки</w:t>
            </w:r>
          </w:p>
        </w:tc>
        <w:tc>
          <w:tcPr>
            <w:tcW w:w="992" w:type="dxa"/>
            <w:tcBorders>
              <w:top w:val="nil"/>
              <w:left w:val="nil"/>
              <w:bottom w:val="single" w:sz="4" w:space="0" w:color="auto"/>
              <w:right w:val="single" w:sz="4" w:space="0" w:color="auto"/>
            </w:tcBorders>
            <w:shd w:val="clear" w:color="auto" w:fill="auto"/>
            <w:vAlign w:val="center"/>
            <w:hideMark/>
          </w:tcPr>
          <w:p w14:paraId="1633221C" w14:textId="77777777" w:rsidR="007C4B50" w:rsidRPr="00AD3B0D" w:rsidRDefault="007C4B50" w:rsidP="00BC2AA5">
            <w:pPr>
              <w:spacing w:after="60"/>
              <w:jc w:val="center"/>
              <w:rPr>
                <w:color w:val="000000"/>
                <w:sz w:val="20"/>
              </w:rPr>
            </w:pPr>
            <w:r w:rsidRPr="00AD3B0D">
              <w:rPr>
                <w:color w:val="000000"/>
                <w:sz w:val="20"/>
              </w:rPr>
              <w:t>380</w:t>
            </w:r>
          </w:p>
        </w:tc>
        <w:tc>
          <w:tcPr>
            <w:tcW w:w="992" w:type="dxa"/>
            <w:tcBorders>
              <w:top w:val="nil"/>
              <w:left w:val="nil"/>
              <w:bottom w:val="single" w:sz="4" w:space="0" w:color="auto"/>
              <w:right w:val="single" w:sz="4" w:space="0" w:color="auto"/>
            </w:tcBorders>
            <w:shd w:val="clear" w:color="auto" w:fill="auto"/>
            <w:vAlign w:val="center"/>
            <w:hideMark/>
          </w:tcPr>
          <w:p w14:paraId="42B046EA" w14:textId="77777777" w:rsidR="007C4B50" w:rsidRPr="00AD3B0D" w:rsidRDefault="007C4B50" w:rsidP="00BC2AA5">
            <w:pPr>
              <w:spacing w:after="60"/>
              <w:jc w:val="center"/>
              <w:rPr>
                <w:color w:val="000000"/>
                <w:sz w:val="20"/>
              </w:rPr>
            </w:pPr>
            <w:r w:rsidRPr="00AD3B0D">
              <w:rPr>
                <w:color w:val="000000"/>
                <w:sz w:val="20"/>
              </w:rPr>
              <w:t>410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9D686E" w14:textId="77777777" w:rsidR="007C4B50" w:rsidRPr="00AD3B0D" w:rsidRDefault="007C4B50" w:rsidP="00BC2AA5">
            <w:pPr>
              <w:spacing w:after="60"/>
              <w:jc w:val="center"/>
              <w:rPr>
                <w:color w:val="000000"/>
                <w:sz w:val="20"/>
              </w:rPr>
            </w:pPr>
            <w:r w:rsidRPr="00AD3B0D">
              <w:rPr>
                <w:color w:val="000000"/>
                <w:sz w:val="20"/>
              </w:rPr>
              <w:t>1 405</w:t>
            </w:r>
          </w:p>
        </w:tc>
      </w:tr>
      <w:tr w:rsidR="007C4B50" w:rsidRPr="00AD3B0D" w14:paraId="1B4C7407" w14:textId="77777777" w:rsidTr="00576B90">
        <w:trPr>
          <w:trHeight w:val="20"/>
        </w:trPr>
        <w:tc>
          <w:tcPr>
            <w:tcW w:w="1701" w:type="dxa"/>
            <w:vMerge/>
            <w:tcBorders>
              <w:top w:val="nil"/>
              <w:left w:val="single" w:sz="4" w:space="0" w:color="auto"/>
              <w:bottom w:val="single" w:sz="4" w:space="0" w:color="000000"/>
              <w:right w:val="single" w:sz="4" w:space="0" w:color="auto"/>
            </w:tcBorders>
            <w:vAlign w:val="center"/>
            <w:hideMark/>
          </w:tcPr>
          <w:p w14:paraId="53148DA9" w14:textId="77777777" w:rsidR="007C4B50" w:rsidRPr="00AD3B0D" w:rsidRDefault="007C4B50" w:rsidP="00BC2AA5">
            <w:pPr>
              <w:spacing w:after="60"/>
              <w:jc w:val="both"/>
              <w:rPr>
                <w:color w:val="000000"/>
                <w:sz w:val="20"/>
              </w:rPr>
            </w:pPr>
          </w:p>
        </w:tc>
        <w:tc>
          <w:tcPr>
            <w:tcW w:w="4395" w:type="dxa"/>
            <w:tcBorders>
              <w:top w:val="nil"/>
              <w:left w:val="nil"/>
              <w:bottom w:val="single" w:sz="4" w:space="0" w:color="auto"/>
              <w:right w:val="single" w:sz="4" w:space="0" w:color="auto"/>
            </w:tcBorders>
            <w:shd w:val="clear" w:color="auto" w:fill="auto"/>
            <w:vAlign w:val="bottom"/>
            <w:hideMark/>
          </w:tcPr>
          <w:p w14:paraId="568B69C1" w14:textId="77777777" w:rsidR="007C4B50" w:rsidRPr="00AD3B0D" w:rsidRDefault="007C4B50" w:rsidP="00BC2AA5">
            <w:pPr>
              <w:spacing w:after="60"/>
              <w:jc w:val="both"/>
              <w:rPr>
                <w:color w:val="000000"/>
                <w:sz w:val="20"/>
              </w:rPr>
            </w:pPr>
            <w:r w:rsidRPr="00AD3B0D">
              <w:rPr>
                <w:color w:val="000000"/>
                <w:sz w:val="20"/>
              </w:rPr>
              <w:t>Объем перевозок грузов в акватории Северного морского пути, млн. тонн</w:t>
            </w:r>
          </w:p>
        </w:tc>
        <w:tc>
          <w:tcPr>
            <w:tcW w:w="992" w:type="dxa"/>
            <w:tcBorders>
              <w:top w:val="nil"/>
              <w:left w:val="nil"/>
              <w:bottom w:val="single" w:sz="4" w:space="0" w:color="auto"/>
              <w:right w:val="single" w:sz="4" w:space="0" w:color="auto"/>
            </w:tcBorders>
            <w:shd w:val="clear" w:color="auto" w:fill="auto"/>
            <w:noWrap/>
            <w:vAlign w:val="center"/>
            <w:hideMark/>
          </w:tcPr>
          <w:p w14:paraId="3D64F764" w14:textId="481F7213" w:rsidR="007C4B50" w:rsidRPr="00AD3B0D" w:rsidRDefault="007C4B50" w:rsidP="00BC2AA5">
            <w:pPr>
              <w:spacing w:after="60"/>
              <w:jc w:val="center"/>
              <w:rPr>
                <w:color w:val="000000"/>
                <w:sz w:val="20"/>
              </w:rPr>
            </w:pPr>
            <w:r w:rsidRPr="00AD3B0D">
              <w:rPr>
                <w:color w:val="000000"/>
                <w:sz w:val="20"/>
              </w:rPr>
              <w:t>9</w:t>
            </w:r>
            <w:r w:rsidR="00AD3B0D">
              <w:rPr>
                <w:color w:val="000000"/>
                <w:sz w:val="20"/>
              </w:rPr>
              <w:t>,</w:t>
            </w:r>
            <w:r w:rsidRPr="00AD3B0D">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hideMark/>
          </w:tcPr>
          <w:p w14:paraId="65738ED8" w14:textId="77777777" w:rsidR="007C4B50" w:rsidRPr="00AD3B0D" w:rsidRDefault="007C4B50" w:rsidP="00BC2AA5">
            <w:pPr>
              <w:spacing w:after="60"/>
              <w:jc w:val="center"/>
              <w:rPr>
                <w:color w:val="000000"/>
                <w:sz w:val="20"/>
              </w:rPr>
            </w:pPr>
            <w:r w:rsidRPr="00AD3B0D">
              <w:rPr>
                <w:color w:val="000000"/>
                <w:sz w:val="20"/>
              </w:rPr>
              <w:t>61</w:t>
            </w:r>
          </w:p>
        </w:tc>
        <w:tc>
          <w:tcPr>
            <w:tcW w:w="1134" w:type="dxa"/>
            <w:vMerge/>
            <w:tcBorders>
              <w:top w:val="nil"/>
              <w:left w:val="single" w:sz="4" w:space="0" w:color="auto"/>
              <w:bottom w:val="single" w:sz="4" w:space="0" w:color="000000"/>
              <w:right w:val="single" w:sz="4" w:space="0" w:color="auto"/>
            </w:tcBorders>
            <w:vAlign w:val="center"/>
            <w:hideMark/>
          </w:tcPr>
          <w:p w14:paraId="1D3BD44E" w14:textId="77777777" w:rsidR="007C4B50" w:rsidRPr="00AD3B0D" w:rsidRDefault="007C4B50" w:rsidP="00BC2AA5">
            <w:pPr>
              <w:spacing w:after="60"/>
              <w:jc w:val="center"/>
              <w:rPr>
                <w:color w:val="000000"/>
                <w:sz w:val="20"/>
              </w:rPr>
            </w:pPr>
          </w:p>
        </w:tc>
      </w:tr>
      <w:tr w:rsidR="007C4B50" w:rsidRPr="00AD3B0D" w14:paraId="77EE4479" w14:textId="77777777" w:rsidTr="00576B90">
        <w:trPr>
          <w:trHeight w:val="20"/>
        </w:trPr>
        <w:tc>
          <w:tcPr>
            <w:tcW w:w="1701" w:type="dxa"/>
            <w:vMerge/>
            <w:tcBorders>
              <w:top w:val="nil"/>
              <w:left w:val="single" w:sz="4" w:space="0" w:color="auto"/>
              <w:bottom w:val="single" w:sz="4" w:space="0" w:color="000000"/>
              <w:right w:val="single" w:sz="4" w:space="0" w:color="auto"/>
            </w:tcBorders>
            <w:vAlign w:val="center"/>
            <w:hideMark/>
          </w:tcPr>
          <w:p w14:paraId="5F0BF327" w14:textId="77777777" w:rsidR="007C4B50" w:rsidRPr="00AD3B0D" w:rsidRDefault="007C4B50" w:rsidP="00BC2AA5">
            <w:pPr>
              <w:spacing w:after="60"/>
              <w:jc w:val="both"/>
              <w:rPr>
                <w:color w:val="000000"/>
                <w:sz w:val="20"/>
              </w:rPr>
            </w:pPr>
          </w:p>
        </w:tc>
        <w:tc>
          <w:tcPr>
            <w:tcW w:w="4395" w:type="dxa"/>
            <w:tcBorders>
              <w:top w:val="nil"/>
              <w:left w:val="nil"/>
              <w:bottom w:val="single" w:sz="4" w:space="0" w:color="auto"/>
              <w:right w:val="single" w:sz="4" w:space="0" w:color="auto"/>
            </w:tcBorders>
            <w:shd w:val="clear" w:color="auto" w:fill="auto"/>
            <w:vAlign w:val="bottom"/>
            <w:hideMark/>
          </w:tcPr>
          <w:p w14:paraId="687C0B5D" w14:textId="77777777" w:rsidR="007C4B50" w:rsidRPr="00AD3B0D" w:rsidRDefault="007C4B50" w:rsidP="00BC2AA5">
            <w:pPr>
              <w:spacing w:after="60"/>
              <w:jc w:val="both"/>
              <w:rPr>
                <w:color w:val="000000"/>
                <w:sz w:val="20"/>
              </w:rPr>
            </w:pPr>
            <w:r w:rsidRPr="00AD3B0D">
              <w:rPr>
                <w:color w:val="000000"/>
                <w:sz w:val="20"/>
              </w:rPr>
              <w:t>Транспортная подвижность населения, тыс. пасс-км на 1 чел. в год</w:t>
            </w:r>
          </w:p>
        </w:tc>
        <w:tc>
          <w:tcPr>
            <w:tcW w:w="992" w:type="dxa"/>
            <w:tcBorders>
              <w:top w:val="nil"/>
              <w:left w:val="nil"/>
              <w:bottom w:val="single" w:sz="4" w:space="0" w:color="auto"/>
              <w:right w:val="single" w:sz="4" w:space="0" w:color="auto"/>
            </w:tcBorders>
            <w:shd w:val="clear" w:color="auto" w:fill="auto"/>
            <w:noWrap/>
            <w:vAlign w:val="center"/>
            <w:hideMark/>
          </w:tcPr>
          <w:p w14:paraId="79CCD3B6" w14:textId="79682DBF" w:rsidR="007C4B50" w:rsidRPr="00AD3B0D" w:rsidRDefault="007C4B50" w:rsidP="00BC2AA5">
            <w:pPr>
              <w:spacing w:after="60"/>
              <w:jc w:val="center"/>
              <w:rPr>
                <w:color w:val="000000"/>
                <w:sz w:val="20"/>
              </w:rPr>
            </w:pPr>
            <w:r w:rsidRPr="00AD3B0D">
              <w:rPr>
                <w:color w:val="000000"/>
                <w:sz w:val="20"/>
              </w:rPr>
              <w:t>8</w:t>
            </w:r>
            <w:r w:rsidR="00AD3B0D">
              <w:rPr>
                <w:color w:val="000000"/>
                <w:sz w:val="20"/>
              </w:rPr>
              <w:t>,</w:t>
            </w:r>
            <w:r w:rsidRPr="00AD3B0D">
              <w:rPr>
                <w:color w:val="000000"/>
                <w:sz w:val="20"/>
              </w:rPr>
              <w:t>5</w:t>
            </w:r>
          </w:p>
        </w:tc>
        <w:tc>
          <w:tcPr>
            <w:tcW w:w="992" w:type="dxa"/>
            <w:tcBorders>
              <w:top w:val="nil"/>
              <w:left w:val="nil"/>
              <w:bottom w:val="single" w:sz="4" w:space="0" w:color="auto"/>
              <w:right w:val="single" w:sz="4" w:space="0" w:color="auto"/>
            </w:tcBorders>
            <w:shd w:val="clear" w:color="auto" w:fill="auto"/>
            <w:noWrap/>
            <w:vAlign w:val="center"/>
            <w:hideMark/>
          </w:tcPr>
          <w:p w14:paraId="41E2E0A8" w14:textId="2CAFF957" w:rsidR="007C4B50" w:rsidRPr="00AD3B0D" w:rsidRDefault="007C4B50" w:rsidP="00BC2AA5">
            <w:pPr>
              <w:spacing w:after="60"/>
              <w:jc w:val="center"/>
              <w:rPr>
                <w:color w:val="000000"/>
                <w:sz w:val="20"/>
              </w:rPr>
            </w:pPr>
            <w:r w:rsidRPr="00AD3B0D">
              <w:rPr>
                <w:color w:val="000000"/>
                <w:sz w:val="20"/>
              </w:rPr>
              <w:t>9</w:t>
            </w:r>
            <w:r w:rsidR="00AD3B0D">
              <w:rPr>
                <w:color w:val="000000"/>
                <w:sz w:val="20"/>
              </w:rPr>
              <w:t>,</w:t>
            </w:r>
            <w:r w:rsidRPr="00AD3B0D">
              <w:rPr>
                <w:color w:val="000000"/>
                <w:sz w:val="20"/>
              </w:rPr>
              <w:t>1</w:t>
            </w:r>
          </w:p>
        </w:tc>
        <w:tc>
          <w:tcPr>
            <w:tcW w:w="1134" w:type="dxa"/>
            <w:vMerge/>
            <w:tcBorders>
              <w:top w:val="nil"/>
              <w:left w:val="single" w:sz="4" w:space="0" w:color="auto"/>
              <w:bottom w:val="single" w:sz="4" w:space="0" w:color="000000"/>
              <w:right w:val="single" w:sz="4" w:space="0" w:color="auto"/>
            </w:tcBorders>
            <w:vAlign w:val="center"/>
            <w:hideMark/>
          </w:tcPr>
          <w:p w14:paraId="37D16A78" w14:textId="77777777" w:rsidR="007C4B50" w:rsidRPr="00AD3B0D" w:rsidRDefault="007C4B50" w:rsidP="00BC2AA5">
            <w:pPr>
              <w:spacing w:after="60"/>
              <w:jc w:val="center"/>
              <w:rPr>
                <w:color w:val="000000"/>
                <w:sz w:val="20"/>
              </w:rPr>
            </w:pPr>
          </w:p>
        </w:tc>
      </w:tr>
      <w:tr w:rsidR="007C4B50" w:rsidRPr="00AD3B0D" w14:paraId="4CEDB260" w14:textId="77777777" w:rsidTr="00576B90">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0AC5CFB8" w14:textId="77777777" w:rsidR="007C4B50" w:rsidRPr="00AD3B0D" w:rsidRDefault="007C4B50" w:rsidP="00BC2AA5">
            <w:pPr>
              <w:spacing w:after="60"/>
              <w:jc w:val="both"/>
              <w:rPr>
                <w:color w:val="000000"/>
                <w:sz w:val="20"/>
              </w:rPr>
            </w:pPr>
            <w:r w:rsidRPr="00AD3B0D">
              <w:rPr>
                <w:color w:val="000000"/>
                <w:sz w:val="20"/>
              </w:rPr>
              <w:t>Здравоохранение</w:t>
            </w:r>
          </w:p>
        </w:tc>
        <w:tc>
          <w:tcPr>
            <w:tcW w:w="4395" w:type="dxa"/>
            <w:tcBorders>
              <w:top w:val="nil"/>
              <w:left w:val="nil"/>
              <w:bottom w:val="single" w:sz="4" w:space="0" w:color="auto"/>
              <w:right w:val="single" w:sz="4" w:space="0" w:color="auto"/>
            </w:tcBorders>
            <w:shd w:val="clear" w:color="auto" w:fill="auto"/>
            <w:vAlign w:val="bottom"/>
            <w:hideMark/>
          </w:tcPr>
          <w:p w14:paraId="61BE7FC3" w14:textId="77777777" w:rsidR="007C4B50" w:rsidRPr="00AD3B0D" w:rsidRDefault="007C4B50" w:rsidP="00BC2AA5">
            <w:pPr>
              <w:spacing w:after="60"/>
              <w:jc w:val="both"/>
              <w:rPr>
                <w:color w:val="000000"/>
                <w:sz w:val="20"/>
              </w:rPr>
            </w:pPr>
            <w:r w:rsidRPr="00AD3B0D">
              <w:rPr>
                <w:color w:val="000000"/>
                <w:sz w:val="20"/>
              </w:rPr>
              <w:t>Младенческая смертность (на 1 тыс. родившихся детей)</w:t>
            </w:r>
          </w:p>
        </w:tc>
        <w:tc>
          <w:tcPr>
            <w:tcW w:w="992" w:type="dxa"/>
            <w:tcBorders>
              <w:top w:val="nil"/>
              <w:left w:val="nil"/>
              <w:bottom w:val="single" w:sz="4" w:space="0" w:color="auto"/>
              <w:right w:val="single" w:sz="4" w:space="0" w:color="auto"/>
            </w:tcBorders>
            <w:shd w:val="clear" w:color="auto" w:fill="auto"/>
            <w:vAlign w:val="center"/>
            <w:hideMark/>
          </w:tcPr>
          <w:p w14:paraId="64384556" w14:textId="75FD494E" w:rsidR="007C4B50" w:rsidRPr="00AD3B0D" w:rsidRDefault="007C4B50" w:rsidP="00BC2AA5">
            <w:pPr>
              <w:spacing w:after="60"/>
              <w:jc w:val="center"/>
              <w:rPr>
                <w:color w:val="000000"/>
                <w:sz w:val="20"/>
              </w:rPr>
            </w:pPr>
            <w:r w:rsidRPr="00AD3B0D">
              <w:rPr>
                <w:color w:val="000000"/>
                <w:sz w:val="20"/>
              </w:rPr>
              <w:t>5</w:t>
            </w:r>
            <w:r w:rsidR="00AD3B0D">
              <w:rPr>
                <w:color w:val="000000"/>
                <w:sz w:val="20"/>
              </w:rPr>
              <w:t>,</w:t>
            </w:r>
            <w:r w:rsidRPr="00AD3B0D">
              <w:rPr>
                <w:color w:val="000000"/>
                <w:sz w:val="20"/>
              </w:rPr>
              <w:t>5</w:t>
            </w:r>
          </w:p>
        </w:tc>
        <w:tc>
          <w:tcPr>
            <w:tcW w:w="992" w:type="dxa"/>
            <w:tcBorders>
              <w:top w:val="nil"/>
              <w:left w:val="nil"/>
              <w:bottom w:val="single" w:sz="4" w:space="0" w:color="auto"/>
              <w:right w:val="single" w:sz="4" w:space="0" w:color="auto"/>
            </w:tcBorders>
            <w:shd w:val="clear" w:color="auto" w:fill="auto"/>
            <w:vAlign w:val="center"/>
            <w:hideMark/>
          </w:tcPr>
          <w:p w14:paraId="5DC8EADA" w14:textId="10F23937" w:rsidR="007C4B50" w:rsidRPr="00AD3B0D" w:rsidRDefault="007C4B50" w:rsidP="00BC2AA5">
            <w:pPr>
              <w:spacing w:after="60"/>
              <w:jc w:val="center"/>
              <w:rPr>
                <w:color w:val="000000"/>
                <w:sz w:val="20"/>
              </w:rPr>
            </w:pPr>
            <w:r w:rsidRPr="00AD3B0D">
              <w:rPr>
                <w:color w:val="000000"/>
                <w:sz w:val="20"/>
              </w:rPr>
              <w:t>4</w:t>
            </w:r>
            <w:r w:rsidR="00AD3B0D">
              <w:rPr>
                <w:color w:val="000000"/>
                <w:sz w:val="20"/>
              </w:rPr>
              <w:t>,</w:t>
            </w:r>
            <w:r w:rsidRPr="00AD3B0D">
              <w:rPr>
                <w:color w:val="000000"/>
                <w:sz w:val="20"/>
              </w:rPr>
              <w:t>8</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E69BA3" w14:textId="77777777" w:rsidR="007C4B50" w:rsidRPr="00AD3B0D" w:rsidRDefault="007C4B50" w:rsidP="00BC2AA5">
            <w:pPr>
              <w:spacing w:after="60"/>
              <w:jc w:val="center"/>
              <w:rPr>
                <w:color w:val="000000"/>
                <w:sz w:val="20"/>
              </w:rPr>
            </w:pPr>
            <w:r w:rsidRPr="00AD3B0D">
              <w:rPr>
                <w:color w:val="000000"/>
                <w:sz w:val="20"/>
              </w:rPr>
              <w:t>793</w:t>
            </w:r>
          </w:p>
        </w:tc>
      </w:tr>
      <w:tr w:rsidR="007C4B50" w:rsidRPr="00AD3B0D" w14:paraId="5B420CFA" w14:textId="77777777" w:rsidTr="00576B90">
        <w:trPr>
          <w:trHeight w:val="20"/>
        </w:trPr>
        <w:tc>
          <w:tcPr>
            <w:tcW w:w="1701" w:type="dxa"/>
            <w:vMerge/>
            <w:tcBorders>
              <w:top w:val="nil"/>
              <w:left w:val="single" w:sz="4" w:space="0" w:color="auto"/>
              <w:bottom w:val="single" w:sz="4" w:space="0" w:color="000000"/>
              <w:right w:val="single" w:sz="4" w:space="0" w:color="auto"/>
            </w:tcBorders>
            <w:vAlign w:val="center"/>
            <w:hideMark/>
          </w:tcPr>
          <w:p w14:paraId="55E0F7F2" w14:textId="77777777" w:rsidR="007C4B50" w:rsidRPr="00AD3B0D" w:rsidRDefault="007C4B50" w:rsidP="00BC2AA5">
            <w:pPr>
              <w:spacing w:after="60"/>
              <w:jc w:val="both"/>
              <w:rPr>
                <w:color w:val="000000"/>
                <w:sz w:val="20"/>
              </w:rPr>
            </w:pPr>
          </w:p>
        </w:tc>
        <w:tc>
          <w:tcPr>
            <w:tcW w:w="4395" w:type="dxa"/>
            <w:tcBorders>
              <w:top w:val="nil"/>
              <w:left w:val="nil"/>
              <w:bottom w:val="single" w:sz="4" w:space="0" w:color="auto"/>
              <w:right w:val="single" w:sz="4" w:space="0" w:color="auto"/>
            </w:tcBorders>
            <w:shd w:val="clear" w:color="auto" w:fill="auto"/>
            <w:vAlign w:val="bottom"/>
            <w:hideMark/>
          </w:tcPr>
          <w:p w14:paraId="3294EE69" w14:textId="77777777" w:rsidR="007C4B50" w:rsidRPr="00AD3B0D" w:rsidRDefault="007C4B50" w:rsidP="00BC2AA5">
            <w:pPr>
              <w:spacing w:after="60"/>
              <w:jc w:val="both"/>
              <w:rPr>
                <w:color w:val="000000"/>
                <w:sz w:val="20"/>
              </w:rPr>
            </w:pPr>
            <w:r w:rsidRPr="00AD3B0D">
              <w:rPr>
                <w:color w:val="000000"/>
                <w:sz w:val="20"/>
              </w:rPr>
              <w:t>Смертность населения трудоспособного возраста (женщины в возрасте 16-55 лет, мужчины в возрасте 16-60 лет, на 100 тыс. населения)</w:t>
            </w:r>
          </w:p>
        </w:tc>
        <w:tc>
          <w:tcPr>
            <w:tcW w:w="992" w:type="dxa"/>
            <w:tcBorders>
              <w:top w:val="nil"/>
              <w:left w:val="nil"/>
              <w:bottom w:val="single" w:sz="4" w:space="0" w:color="auto"/>
              <w:right w:val="single" w:sz="4" w:space="0" w:color="auto"/>
            </w:tcBorders>
            <w:shd w:val="clear" w:color="auto" w:fill="auto"/>
            <w:noWrap/>
            <w:vAlign w:val="center"/>
            <w:hideMark/>
          </w:tcPr>
          <w:p w14:paraId="168AF06A" w14:textId="77777777" w:rsidR="007C4B50" w:rsidRPr="00AD3B0D" w:rsidRDefault="007C4B50" w:rsidP="00BC2AA5">
            <w:pPr>
              <w:spacing w:after="60"/>
              <w:jc w:val="center"/>
              <w:rPr>
                <w:color w:val="000000"/>
                <w:sz w:val="20"/>
              </w:rPr>
            </w:pPr>
            <w:r w:rsidRPr="00AD3B0D">
              <w:rPr>
                <w:color w:val="000000"/>
                <w:sz w:val="20"/>
              </w:rPr>
              <w:t>455</w:t>
            </w:r>
          </w:p>
        </w:tc>
        <w:tc>
          <w:tcPr>
            <w:tcW w:w="992" w:type="dxa"/>
            <w:tcBorders>
              <w:top w:val="nil"/>
              <w:left w:val="nil"/>
              <w:bottom w:val="single" w:sz="4" w:space="0" w:color="auto"/>
              <w:right w:val="single" w:sz="4" w:space="0" w:color="auto"/>
            </w:tcBorders>
            <w:shd w:val="clear" w:color="auto" w:fill="auto"/>
            <w:noWrap/>
            <w:vAlign w:val="center"/>
            <w:hideMark/>
          </w:tcPr>
          <w:p w14:paraId="6B35C3CF" w14:textId="77777777" w:rsidR="007C4B50" w:rsidRPr="00AD3B0D" w:rsidRDefault="007C4B50" w:rsidP="00BC2AA5">
            <w:pPr>
              <w:spacing w:after="60"/>
              <w:jc w:val="center"/>
              <w:rPr>
                <w:color w:val="000000"/>
                <w:sz w:val="20"/>
              </w:rPr>
            </w:pPr>
            <w:r w:rsidRPr="00AD3B0D">
              <w:rPr>
                <w:color w:val="000000"/>
                <w:sz w:val="20"/>
              </w:rPr>
              <w:t>383</w:t>
            </w:r>
          </w:p>
        </w:tc>
        <w:tc>
          <w:tcPr>
            <w:tcW w:w="1134" w:type="dxa"/>
            <w:vMerge/>
            <w:tcBorders>
              <w:top w:val="nil"/>
              <w:left w:val="single" w:sz="4" w:space="0" w:color="auto"/>
              <w:bottom w:val="single" w:sz="4" w:space="0" w:color="000000"/>
              <w:right w:val="single" w:sz="4" w:space="0" w:color="auto"/>
            </w:tcBorders>
            <w:vAlign w:val="center"/>
            <w:hideMark/>
          </w:tcPr>
          <w:p w14:paraId="08A5C9F9" w14:textId="77777777" w:rsidR="007C4B50" w:rsidRPr="00AD3B0D" w:rsidRDefault="007C4B50" w:rsidP="00BC2AA5">
            <w:pPr>
              <w:spacing w:after="60"/>
              <w:jc w:val="center"/>
              <w:rPr>
                <w:color w:val="000000"/>
                <w:sz w:val="20"/>
              </w:rPr>
            </w:pPr>
          </w:p>
        </w:tc>
      </w:tr>
      <w:tr w:rsidR="007C4B50" w:rsidRPr="00AD3B0D" w14:paraId="4B167FCC" w14:textId="77777777" w:rsidTr="00576B90">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0FF8C384" w14:textId="77777777" w:rsidR="007C4B50" w:rsidRPr="00AD3B0D" w:rsidRDefault="007C4B50" w:rsidP="00BC2AA5">
            <w:pPr>
              <w:spacing w:after="60"/>
              <w:jc w:val="both"/>
              <w:rPr>
                <w:color w:val="000000"/>
                <w:sz w:val="20"/>
              </w:rPr>
            </w:pPr>
            <w:r w:rsidRPr="00AD3B0D">
              <w:rPr>
                <w:color w:val="000000"/>
                <w:sz w:val="20"/>
              </w:rPr>
              <w:t>Цифровая экономика Российской Федерации</w:t>
            </w:r>
          </w:p>
        </w:tc>
        <w:tc>
          <w:tcPr>
            <w:tcW w:w="4395" w:type="dxa"/>
            <w:tcBorders>
              <w:top w:val="nil"/>
              <w:left w:val="nil"/>
              <w:bottom w:val="single" w:sz="4" w:space="0" w:color="auto"/>
              <w:right w:val="single" w:sz="4" w:space="0" w:color="auto"/>
            </w:tcBorders>
            <w:shd w:val="clear" w:color="auto" w:fill="auto"/>
            <w:vAlign w:val="bottom"/>
            <w:hideMark/>
          </w:tcPr>
          <w:p w14:paraId="5571599F" w14:textId="77777777" w:rsidR="007C4B50" w:rsidRPr="00AD3B0D" w:rsidRDefault="007C4B50" w:rsidP="00BC2AA5">
            <w:pPr>
              <w:spacing w:after="60"/>
              <w:jc w:val="both"/>
              <w:rPr>
                <w:color w:val="000000"/>
                <w:sz w:val="20"/>
              </w:rPr>
            </w:pPr>
            <w:r w:rsidRPr="00AD3B0D">
              <w:rPr>
                <w:color w:val="000000"/>
                <w:sz w:val="20"/>
              </w:rPr>
              <w:t>Внутренние затраты на развитие цифровой экономики за счет всех источников (по доле в валовом внутреннем продукте страны)</w:t>
            </w:r>
          </w:p>
        </w:tc>
        <w:tc>
          <w:tcPr>
            <w:tcW w:w="992" w:type="dxa"/>
            <w:tcBorders>
              <w:top w:val="nil"/>
              <w:left w:val="nil"/>
              <w:bottom w:val="single" w:sz="4" w:space="0" w:color="auto"/>
              <w:right w:val="single" w:sz="4" w:space="0" w:color="auto"/>
            </w:tcBorders>
            <w:shd w:val="clear" w:color="auto" w:fill="auto"/>
            <w:vAlign w:val="center"/>
            <w:hideMark/>
          </w:tcPr>
          <w:p w14:paraId="78880B37" w14:textId="37899A78" w:rsidR="007C4B50" w:rsidRPr="00AD3B0D" w:rsidRDefault="007C4B50" w:rsidP="00BC2AA5">
            <w:pPr>
              <w:spacing w:after="60"/>
              <w:jc w:val="center"/>
              <w:rPr>
                <w:color w:val="000000"/>
                <w:sz w:val="20"/>
              </w:rPr>
            </w:pPr>
            <w:r w:rsidRPr="00AD3B0D">
              <w:rPr>
                <w:color w:val="000000"/>
                <w:sz w:val="20"/>
              </w:rPr>
              <w:t>1</w:t>
            </w:r>
            <w:r w:rsidR="00AD3B0D">
              <w:rPr>
                <w:color w:val="000000"/>
                <w:sz w:val="20"/>
              </w:rPr>
              <w:t>,</w:t>
            </w:r>
            <w:r w:rsidRPr="00AD3B0D">
              <w:rPr>
                <w:color w:val="000000"/>
                <w:sz w:val="20"/>
              </w:rPr>
              <w:t>9</w:t>
            </w:r>
          </w:p>
        </w:tc>
        <w:tc>
          <w:tcPr>
            <w:tcW w:w="992" w:type="dxa"/>
            <w:tcBorders>
              <w:top w:val="nil"/>
              <w:left w:val="nil"/>
              <w:bottom w:val="single" w:sz="4" w:space="0" w:color="auto"/>
              <w:right w:val="single" w:sz="4" w:space="0" w:color="auto"/>
            </w:tcBorders>
            <w:shd w:val="clear" w:color="auto" w:fill="auto"/>
            <w:vAlign w:val="center"/>
            <w:hideMark/>
          </w:tcPr>
          <w:p w14:paraId="162330BF" w14:textId="34F7BCDE" w:rsidR="007C4B50" w:rsidRPr="00AD3B0D" w:rsidRDefault="007C4B50" w:rsidP="00BC2AA5">
            <w:pPr>
              <w:spacing w:after="60"/>
              <w:jc w:val="center"/>
              <w:rPr>
                <w:color w:val="000000"/>
                <w:sz w:val="20"/>
              </w:rPr>
            </w:pPr>
            <w:r w:rsidRPr="00AD3B0D">
              <w:rPr>
                <w:color w:val="000000"/>
                <w:sz w:val="20"/>
              </w:rPr>
              <w:t>3</w:t>
            </w:r>
            <w:r w:rsidR="00AD3B0D">
              <w:rPr>
                <w:color w:val="000000"/>
                <w:sz w:val="20"/>
              </w:rPr>
              <w:t>,</w:t>
            </w:r>
            <w:r w:rsidRPr="00AD3B0D">
              <w:rPr>
                <w:color w:val="000000"/>
                <w:sz w:val="20"/>
              </w:rPr>
              <w:t>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11DB4A" w14:textId="77777777" w:rsidR="007C4B50" w:rsidRPr="00AD3B0D" w:rsidRDefault="007C4B50" w:rsidP="00BC2AA5">
            <w:pPr>
              <w:spacing w:after="60"/>
              <w:jc w:val="center"/>
              <w:rPr>
                <w:color w:val="000000"/>
                <w:sz w:val="20"/>
              </w:rPr>
            </w:pPr>
            <w:r w:rsidRPr="00AD3B0D">
              <w:rPr>
                <w:color w:val="000000"/>
                <w:sz w:val="20"/>
              </w:rPr>
              <w:t>560</w:t>
            </w:r>
          </w:p>
        </w:tc>
      </w:tr>
      <w:tr w:rsidR="007C4B50" w:rsidRPr="00AD3B0D" w14:paraId="0AFD9178" w14:textId="77777777" w:rsidTr="00576B90">
        <w:trPr>
          <w:trHeight w:val="20"/>
        </w:trPr>
        <w:tc>
          <w:tcPr>
            <w:tcW w:w="1701" w:type="dxa"/>
            <w:vMerge/>
            <w:tcBorders>
              <w:top w:val="nil"/>
              <w:left w:val="single" w:sz="4" w:space="0" w:color="auto"/>
              <w:bottom w:val="single" w:sz="4" w:space="0" w:color="000000"/>
              <w:right w:val="single" w:sz="4" w:space="0" w:color="auto"/>
            </w:tcBorders>
            <w:vAlign w:val="center"/>
            <w:hideMark/>
          </w:tcPr>
          <w:p w14:paraId="39318DC0" w14:textId="77777777" w:rsidR="007C4B50" w:rsidRPr="00AD3B0D" w:rsidRDefault="007C4B50" w:rsidP="00BC2AA5">
            <w:pPr>
              <w:spacing w:after="60"/>
              <w:jc w:val="both"/>
              <w:rPr>
                <w:color w:val="000000"/>
                <w:sz w:val="20"/>
              </w:rPr>
            </w:pPr>
          </w:p>
        </w:tc>
        <w:tc>
          <w:tcPr>
            <w:tcW w:w="4395" w:type="dxa"/>
            <w:tcBorders>
              <w:top w:val="nil"/>
              <w:left w:val="nil"/>
              <w:bottom w:val="single" w:sz="4" w:space="0" w:color="auto"/>
              <w:right w:val="single" w:sz="4" w:space="0" w:color="auto"/>
            </w:tcBorders>
            <w:shd w:val="clear" w:color="auto" w:fill="auto"/>
            <w:vAlign w:val="bottom"/>
            <w:hideMark/>
          </w:tcPr>
          <w:p w14:paraId="3D17D405" w14:textId="77777777" w:rsidR="007C4B50" w:rsidRPr="00AD3B0D" w:rsidRDefault="007C4B50" w:rsidP="00BC2AA5">
            <w:pPr>
              <w:spacing w:after="60"/>
              <w:jc w:val="both"/>
              <w:rPr>
                <w:color w:val="000000"/>
                <w:sz w:val="20"/>
              </w:rPr>
            </w:pPr>
            <w:r w:rsidRPr="00AD3B0D">
              <w:rPr>
                <w:color w:val="000000"/>
                <w:sz w:val="20"/>
              </w:rPr>
              <w:t>Доля домохозяйств, имеющих широкополосный доступ к сети «Интернет»</w:t>
            </w:r>
          </w:p>
        </w:tc>
        <w:tc>
          <w:tcPr>
            <w:tcW w:w="992" w:type="dxa"/>
            <w:tcBorders>
              <w:top w:val="nil"/>
              <w:left w:val="nil"/>
              <w:bottom w:val="single" w:sz="4" w:space="0" w:color="auto"/>
              <w:right w:val="single" w:sz="4" w:space="0" w:color="auto"/>
            </w:tcBorders>
            <w:shd w:val="clear" w:color="auto" w:fill="auto"/>
            <w:noWrap/>
            <w:vAlign w:val="center"/>
            <w:hideMark/>
          </w:tcPr>
          <w:p w14:paraId="562D926A" w14:textId="77777777" w:rsidR="007C4B50" w:rsidRPr="00AD3B0D" w:rsidRDefault="007C4B50" w:rsidP="00BC2AA5">
            <w:pPr>
              <w:spacing w:after="60"/>
              <w:jc w:val="center"/>
              <w:rPr>
                <w:color w:val="000000"/>
                <w:sz w:val="20"/>
              </w:rPr>
            </w:pPr>
            <w:r w:rsidRPr="00AD3B0D">
              <w:rPr>
                <w:color w:val="000000"/>
                <w:sz w:val="20"/>
              </w:rPr>
              <w:t>75</w:t>
            </w:r>
          </w:p>
        </w:tc>
        <w:tc>
          <w:tcPr>
            <w:tcW w:w="992" w:type="dxa"/>
            <w:tcBorders>
              <w:top w:val="nil"/>
              <w:left w:val="nil"/>
              <w:bottom w:val="single" w:sz="4" w:space="0" w:color="auto"/>
              <w:right w:val="single" w:sz="4" w:space="0" w:color="auto"/>
            </w:tcBorders>
            <w:shd w:val="clear" w:color="auto" w:fill="auto"/>
            <w:noWrap/>
            <w:vAlign w:val="center"/>
            <w:hideMark/>
          </w:tcPr>
          <w:p w14:paraId="2D56DB1A" w14:textId="77777777" w:rsidR="007C4B50" w:rsidRPr="00AD3B0D" w:rsidRDefault="007C4B50" w:rsidP="00BC2AA5">
            <w:pPr>
              <w:spacing w:after="60"/>
              <w:jc w:val="center"/>
              <w:rPr>
                <w:color w:val="000000"/>
                <w:sz w:val="20"/>
              </w:rPr>
            </w:pPr>
            <w:r w:rsidRPr="00AD3B0D">
              <w:rPr>
                <w:color w:val="000000"/>
                <w:sz w:val="20"/>
              </w:rPr>
              <w:t>92</w:t>
            </w:r>
          </w:p>
        </w:tc>
        <w:tc>
          <w:tcPr>
            <w:tcW w:w="1134" w:type="dxa"/>
            <w:vMerge/>
            <w:tcBorders>
              <w:top w:val="nil"/>
              <w:left w:val="single" w:sz="4" w:space="0" w:color="auto"/>
              <w:bottom w:val="single" w:sz="4" w:space="0" w:color="000000"/>
              <w:right w:val="single" w:sz="4" w:space="0" w:color="auto"/>
            </w:tcBorders>
            <w:vAlign w:val="center"/>
            <w:hideMark/>
          </w:tcPr>
          <w:p w14:paraId="7820522D" w14:textId="77777777" w:rsidR="007C4B50" w:rsidRPr="00AD3B0D" w:rsidRDefault="007C4B50" w:rsidP="00BC2AA5">
            <w:pPr>
              <w:spacing w:after="60"/>
              <w:jc w:val="center"/>
              <w:rPr>
                <w:color w:val="000000"/>
                <w:sz w:val="20"/>
              </w:rPr>
            </w:pPr>
          </w:p>
        </w:tc>
      </w:tr>
      <w:tr w:rsidR="007C4B50" w:rsidRPr="00AD3B0D" w14:paraId="523AC635" w14:textId="77777777" w:rsidTr="00576B90">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CC26BA8" w14:textId="77777777" w:rsidR="007C4B50" w:rsidRPr="00AD3B0D" w:rsidRDefault="007C4B50" w:rsidP="00BC2AA5">
            <w:pPr>
              <w:spacing w:after="60"/>
              <w:jc w:val="both"/>
              <w:rPr>
                <w:color w:val="000000"/>
                <w:sz w:val="20"/>
              </w:rPr>
            </w:pPr>
            <w:r w:rsidRPr="00AD3B0D">
              <w:rPr>
                <w:color w:val="000000"/>
                <w:sz w:val="20"/>
              </w:rPr>
              <w:t>Международная кооперация и экспорт</w:t>
            </w:r>
          </w:p>
        </w:tc>
        <w:tc>
          <w:tcPr>
            <w:tcW w:w="4395" w:type="dxa"/>
            <w:tcBorders>
              <w:top w:val="nil"/>
              <w:left w:val="nil"/>
              <w:bottom w:val="single" w:sz="4" w:space="0" w:color="auto"/>
              <w:right w:val="single" w:sz="4" w:space="0" w:color="auto"/>
            </w:tcBorders>
            <w:shd w:val="clear" w:color="auto" w:fill="auto"/>
            <w:vAlign w:val="bottom"/>
            <w:hideMark/>
          </w:tcPr>
          <w:p w14:paraId="09A8D551" w14:textId="77777777" w:rsidR="007C4B50" w:rsidRPr="00AD3B0D" w:rsidRDefault="007C4B50" w:rsidP="00BC2AA5">
            <w:pPr>
              <w:spacing w:after="60"/>
              <w:jc w:val="both"/>
              <w:rPr>
                <w:color w:val="000000"/>
                <w:sz w:val="20"/>
              </w:rPr>
            </w:pPr>
            <w:r w:rsidRPr="00AD3B0D">
              <w:rPr>
                <w:color w:val="000000"/>
                <w:sz w:val="20"/>
              </w:rPr>
              <w:t>Доля экспорта продукции обрабатывающей промышленности, сельскохозяйственной продукции и услуг в валовом внутреннем продукте страны</w:t>
            </w:r>
          </w:p>
        </w:tc>
        <w:tc>
          <w:tcPr>
            <w:tcW w:w="992" w:type="dxa"/>
            <w:tcBorders>
              <w:top w:val="nil"/>
              <w:left w:val="nil"/>
              <w:bottom w:val="single" w:sz="4" w:space="0" w:color="auto"/>
              <w:right w:val="single" w:sz="4" w:space="0" w:color="auto"/>
            </w:tcBorders>
            <w:shd w:val="clear" w:color="auto" w:fill="auto"/>
            <w:vAlign w:val="center"/>
            <w:hideMark/>
          </w:tcPr>
          <w:p w14:paraId="2D0C2A44" w14:textId="1F15713C" w:rsidR="007C4B50" w:rsidRPr="00AD3B0D" w:rsidRDefault="007C4B50" w:rsidP="00BC2AA5">
            <w:pPr>
              <w:spacing w:after="60"/>
              <w:jc w:val="center"/>
              <w:rPr>
                <w:color w:val="000000"/>
                <w:sz w:val="20"/>
              </w:rPr>
            </w:pPr>
            <w:r w:rsidRPr="00AD3B0D">
              <w:rPr>
                <w:color w:val="000000"/>
                <w:sz w:val="20"/>
              </w:rPr>
              <w:t>17</w:t>
            </w:r>
            <w:r w:rsidR="00AD3B0D">
              <w:rPr>
                <w:color w:val="000000"/>
                <w:sz w:val="20"/>
              </w:rPr>
              <w:t>,</w:t>
            </w:r>
            <w:r w:rsidRPr="00AD3B0D">
              <w:rPr>
                <w:color w:val="000000"/>
                <w:sz w:val="20"/>
              </w:rPr>
              <w:t>8</w:t>
            </w:r>
          </w:p>
        </w:tc>
        <w:tc>
          <w:tcPr>
            <w:tcW w:w="992" w:type="dxa"/>
            <w:tcBorders>
              <w:top w:val="nil"/>
              <w:left w:val="nil"/>
              <w:bottom w:val="single" w:sz="4" w:space="0" w:color="auto"/>
              <w:right w:val="single" w:sz="4" w:space="0" w:color="auto"/>
            </w:tcBorders>
            <w:shd w:val="clear" w:color="auto" w:fill="auto"/>
            <w:vAlign w:val="center"/>
            <w:hideMark/>
          </w:tcPr>
          <w:p w14:paraId="46BE4221" w14:textId="14A5C372" w:rsidR="007C4B50" w:rsidRPr="00AD3B0D" w:rsidRDefault="007C4B50" w:rsidP="00BC2AA5">
            <w:pPr>
              <w:spacing w:after="60"/>
              <w:jc w:val="center"/>
              <w:rPr>
                <w:color w:val="000000"/>
                <w:sz w:val="20"/>
              </w:rPr>
            </w:pPr>
            <w:r w:rsidRPr="00AD3B0D">
              <w:rPr>
                <w:color w:val="000000"/>
                <w:sz w:val="20"/>
              </w:rPr>
              <w:t>19</w:t>
            </w:r>
            <w:r w:rsidR="00AD3B0D">
              <w:rPr>
                <w:color w:val="000000"/>
                <w:sz w:val="20"/>
              </w:rPr>
              <w:t>,</w:t>
            </w:r>
            <w:r w:rsidRPr="00AD3B0D">
              <w:rPr>
                <w:color w:val="000000"/>
                <w:sz w:val="20"/>
              </w:rPr>
              <w:t>2</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FBB426" w14:textId="77777777" w:rsidR="007C4B50" w:rsidRPr="00AD3B0D" w:rsidRDefault="007C4B50" w:rsidP="00BC2AA5">
            <w:pPr>
              <w:spacing w:after="60"/>
              <w:jc w:val="center"/>
              <w:rPr>
                <w:color w:val="000000"/>
                <w:sz w:val="20"/>
              </w:rPr>
            </w:pPr>
            <w:r w:rsidRPr="00AD3B0D">
              <w:rPr>
                <w:color w:val="000000"/>
                <w:sz w:val="20"/>
              </w:rPr>
              <w:t>418</w:t>
            </w:r>
          </w:p>
        </w:tc>
      </w:tr>
      <w:tr w:rsidR="007C4B50" w:rsidRPr="00AD3B0D" w14:paraId="333069F2" w14:textId="77777777" w:rsidTr="00576B90">
        <w:trPr>
          <w:trHeight w:val="20"/>
        </w:trPr>
        <w:tc>
          <w:tcPr>
            <w:tcW w:w="1701" w:type="dxa"/>
            <w:vMerge/>
            <w:tcBorders>
              <w:top w:val="nil"/>
              <w:left w:val="single" w:sz="4" w:space="0" w:color="auto"/>
              <w:bottom w:val="single" w:sz="4" w:space="0" w:color="000000"/>
              <w:right w:val="single" w:sz="4" w:space="0" w:color="auto"/>
            </w:tcBorders>
            <w:vAlign w:val="center"/>
            <w:hideMark/>
          </w:tcPr>
          <w:p w14:paraId="33D2C622" w14:textId="77777777" w:rsidR="007C4B50" w:rsidRPr="00AD3B0D" w:rsidRDefault="007C4B50" w:rsidP="00BC2AA5">
            <w:pPr>
              <w:spacing w:after="60"/>
              <w:jc w:val="both"/>
              <w:rPr>
                <w:color w:val="000000"/>
                <w:sz w:val="20"/>
              </w:rPr>
            </w:pPr>
          </w:p>
        </w:tc>
        <w:tc>
          <w:tcPr>
            <w:tcW w:w="4395" w:type="dxa"/>
            <w:tcBorders>
              <w:top w:val="nil"/>
              <w:left w:val="nil"/>
              <w:bottom w:val="single" w:sz="4" w:space="0" w:color="auto"/>
              <w:right w:val="single" w:sz="4" w:space="0" w:color="auto"/>
            </w:tcBorders>
            <w:shd w:val="clear" w:color="auto" w:fill="auto"/>
            <w:vAlign w:val="bottom"/>
            <w:hideMark/>
          </w:tcPr>
          <w:p w14:paraId="3807C8E4" w14:textId="3647AC2E" w:rsidR="007C4B50" w:rsidRPr="00AD3B0D" w:rsidRDefault="007C4B50" w:rsidP="00BC2AA5">
            <w:pPr>
              <w:spacing w:after="60"/>
              <w:jc w:val="both"/>
              <w:rPr>
                <w:color w:val="000000"/>
                <w:sz w:val="20"/>
              </w:rPr>
            </w:pPr>
            <w:r w:rsidRPr="00AD3B0D">
              <w:rPr>
                <w:color w:val="000000"/>
                <w:sz w:val="20"/>
              </w:rPr>
              <w:t xml:space="preserve">Объем </w:t>
            </w:r>
            <w:r w:rsidR="00AD3B0D" w:rsidRPr="00AD3B0D">
              <w:rPr>
                <w:color w:val="000000"/>
                <w:sz w:val="20"/>
              </w:rPr>
              <w:t>экспорта услуг</w:t>
            </w:r>
          </w:p>
        </w:tc>
        <w:tc>
          <w:tcPr>
            <w:tcW w:w="992" w:type="dxa"/>
            <w:tcBorders>
              <w:top w:val="nil"/>
              <w:left w:val="nil"/>
              <w:bottom w:val="single" w:sz="4" w:space="0" w:color="auto"/>
              <w:right w:val="single" w:sz="4" w:space="0" w:color="auto"/>
            </w:tcBorders>
            <w:shd w:val="clear" w:color="auto" w:fill="auto"/>
            <w:noWrap/>
            <w:vAlign w:val="center"/>
            <w:hideMark/>
          </w:tcPr>
          <w:p w14:paraId="1DB291B2" w14:textId="77777777" w:rsidR="007C4B50" w:rsidRPr="00AD3B0D" w:rsidRDefault="007C4B50" w:rsidP="00BC2AA5">
            <w:pPr>
              <w:spacing w:after="60"/>
              <w:jc w:val="center"/>
              <w:rPr>
                <w:color w:val="000000"/>
                <w:sz w:val="20"/>
              </w:rPr>
            </w:pPr>
            <w:r w:rsidRPr="00AD3B0D">
              <w:rPr>
                <w:color w:val="000000"/>
                <w:sz w:val="20"/>
              </w:rPr>
              <w:t>64</w:t>
            </w:r>
          </w:p>
        </w:tc>
        <w:tc>
          <w:tcPr>
            <w:tcW w:w="992" w:type="dxa"/>
            <w:tcBorders>
              <w:top w:val="nil"/>
              <w:left w:val="nil"/>
              <w:bottom w:val="single" w:sz="4" w:space="0" w:color="auto"/>
              <w:right w:val="single" w:sz="4" w:space="0" w:color="auto"/>
            </w:tcBorders>
            <w:shd w:val="clear" w:color="auto" w:fill="auto"/>
            <w:noWrap/>
            <w:vAlign w:val="center"/>
            <w:hideMark/>
          </w:tcPr>
          <w:p w14:paraId="668C1C59" w14:textId="77777777" w:rsidR="007C4B50" w:rsidRPr="00AD3B0D" w:rsidRDefault="007C4B50" w:rsidP="00BC2AA5">
            <w:pPr>
              <w:spacing w:after="60"/>
              <w:jc w:val="center"/>
              <w:rPr>
                <w:color w:val="000000"/>
                <w:sz w:val="20"/>
              </w:rPr>
            </w:pPr>
            <w:r w:rsidRPr="00AD3B0D">
              <w:rPr>
                <w:color w:val="000000"/>
                <w:sz w:val="20"/>
              </w:rPr>
              <w:t>88</w:t>
            </w:r>
          </w:p>
        </w:tc>
        <w:tc>
          <w:tcPr>
            <w:tcW w:w="1134" w:type="dxa"/>
            <w:vMerge/>
            <w:tcBorders>
              <w:top w:val="nil"/>
              <w:left w:val="single" w:sz="4" w:space="0" w:color="auto"/>
              <w:bottom w:val="single" w:sz="4" w:space="0" w:color="000000"/>
              <w:right w:val="single" w:sz="4" w:space="0" w:color="auto"/>
            </w:tcBorders>
            <w:vAlign w:val="center"/>
            <w:hideMark/>
          </w:tcPr>
          <w:p w14:paraId="28287580" w14:textId="77777777" w:rsidR="007C4B50" w:rsidRPr="00AD3B0D" w:rsidRDefault="007C4B50" w:rsidP="00BC2AA5">
            <w:pPr>
              <w:spacing w:after="60"/>
              <w:jc w:val="center"/>
              <w:rPr>
                <w:color w:val="000000"/>
                <w:sz w:val="20"/>
              </w:rPr>
            </w:pPr>
          </w:p>
        </w:tc>
      </w:tr>
      <w:tr w:rsidR="007C4B50" w:rsidRPr="00AD3B0D" w14:paraId="5663A106" w14:textId="77777777" w:rsidTr="00576B90">
        <w:trPr>
          <w:trHeight w:val="20"/>
        </w:trPr>
        <w:tc>
          <w:tcPr>
            <w:tcW w:w="1701" w:type="dxa"/>
            <w:vMerge/>
            <w:tcBorders>
              <w:top w:val="nil"/>
              <w:left w:val="single" w:sz="4" w:space="0" w:color="auto"/>
              <w:bottom w:val="single" w:sz="4" w:space="0" w:color="000000"/>
              <w:right w:val="single" w:sz="4" w:space="0" w:color="auto"/>
            </w:tcBorders>
            <w:vAlign w:val="center"/>
            <w:hideMark/>
          </w:tcPr>
          <w:p w14:paraId="635D3677" w14:textId="77777777" w:rsidR="007C4B50" w:rsidRPr="00AD3B0D" w:rsidRDefault="007C4B50" w:rsidP="00BC2AA5">
            <w:pPr>
              <w:spacing w:after="60"/>
              <w:jc w:val="both"/>
              <w:rPr>
                <w:color w:val="000000"/>
                <w:sz w:val="20"/>
              </w:rPr>
            </w:pPr>
          </w:p>
        </w:tc>
        <w:tc>
          <w:tcPr>
            <w:tcW w:w="4395" w:type="dxa"/>
            <w:tcBorders>
              <w:top w:val="nil"/>
              <w:left w:val="nil"/>
              <w:bottom w:val="single" w:sz="4" w:space="0" w:color="auto"/>
              <w:right w:val="single" w:sz="4" w:space="0" w:color="auto"/>
            </w:tcBorders>
            <w:shd w:val="clear" w:color="auto" w:fill="auto"/>
            <w:vAlign w:val="bottom"/>
            <w:hideMark/>
          </w:tcPr>
          <w:p w14:paraId="09FF4D00" w14:textId="77777777" w:rsidR="007C4B50" w:rsidRPr="00AD3B0D" w:rsidRDefault="007C4B50" w:rsidP="00BC2AA5">
            <w:pPr>
              <w:spacing w:after="60"/>
              <w:jc w:val="both"/>
              <w:rPr>
                <w:color w:val="000000"/>
                <w:sz w:val="20"/>
              </w:rPr>
            </w:pPr>
            <w:r w:rsidRPr="00AD3B0D">
              <w:rPr>
                <w:color w:val="000000"/>
                <w:sz w:val="20"/>
              </w:rPr>
              <w:t>Объём экспорта несырьевых неэнергетических товаров</w:t>
            </w:r>
          </w:p>
        </w:tc>
        <w:tc>
          <w:tcPr>
            <w:tcW w:w="992" w:type="dxa"/>
            <w:tcBorders>
              <w:top w:val="nil"/>
              <w:left w:val="nil"/>
              <w:bottom w:val="single" w:sz="4" w:space="0" w:color="auto"/>
              <w:right w:val="single" w:sz="4" w:space="0" w:color="auto"/>
            </w:tcBorders>
            <w:shd w:val="clear" w:color="auto" w:fill="auto"/>
            <w:noWrap/>
            <w:vAlign w:val="center"/>
            <w:hideMark/>
          </w:tcPr>
          <w:p w14:paraId="22399D58" w14:textId="77777777" w:rsidR="007C4B50" w:rsidRPr="00AD3B0D" w:rsidRDefault="007C4B50" w:rsidP="00BC2AA5">
            <w:pPr>
              <w:spacing w:after="60"/>
              <w:jc w:val="center"/>
              <w:rPr>
                <w:color w:val="000000"/>
                <w:sz w:val="20"/>
              </w:rPr>
            </w:pPr>
            <w:r w:rsidRPr="00AD3B0D">
              <w:rPr>
                <w:color w:val="000000"/>
                <w:sz w:val="20"/>
              </w:rPr>
              <w:t>149</w:t>
            </w:r>
          </w:p>
        </w:tc>
        <w:tc>
          <w:tcPr>
            <w:tcW w:w="992" w:type="dxa"/>
            <w:tcBorders>
              <w:top w:val="nil"/>
              <w:left w:val="nil"/>
              <w:bottom w:val="single" w:sz="4" w:space="0" w:color="auto"/>
              <w:right w:val="single" w:sz="4" w:space="0" w:color="auto"/>
            </w:tcBorders>
            <w:shd w:val="clear" w:color="auto" w:fill="auto"/>
            <w:noWrap/>
            <w:vAlign w:val="center"/>
            <w:hideMark/>
          </w:tcPr>
          <w:p w14:paraId="1755F01E" w14:textId="77777777" w:rsidR="007C4B50" w:rsidRPr="00AD3B0D" w:rsidRDefault="007C4B50" w:rsidP="00BC2AA5">
            <w:pPr>
              <w:spacing w:after="60"/>
              <w:jc w:val="center"/>
              <w:rPr>
                <w:color w:val="000000"/>
                <w:sz w:val="20"/>
              </w:rPr>
            </w:pPr>
            <w:r w:rsidRPr="00AD3B0D">
              <w:rPr>
                <w:color w:val="000000"/>
                <w:sz w:val="20"/>
              </w:rPr>
              <w:t>202</w:t>
            </w:r>
          </w:p>
        </w:tc>
        <w:tc>
          <w:tcPr>
            <w:tcW w:w="1134" w:type="dxa"/>
            <w:vMerge/>
            <w:tcBorders>
              <w:top w:val="nil"/>
              <w:left w:val="single" w:sz="4" w:space="0" w:color="auto"/>
              <w:bottom w:val="single" w:sz="4" w:space="0" w:color="000000"/>
              <w:right w:val="single" w:sz="4" w:space="0" w:color="auto"/>
            </w:tcBorders>
            <w:vAlign w:val="center"/>
            <w:hideMark/>
          </w:tcPr>
          <w:p w14:paraId="56E97CBF" w14:textId="77777777" w:rsidR="007C4B50" w:rsidRPr="00AD3B0D" w:rsidRDefault="007C4B50" w:rsidP="00BC2AA5">
            <w:pPr>
              <w:spacing w:after="60"/>
              <w:jc w:val="center"/>
              <w:rPr>
                <w:color w:val="000000"/>
                <w:sz w:val="20"/>
              </w:rPr>
            </w:pPr>
          </w:p>
        </w:tc>
      </w:tr>
      <w:tr w:rsidR="007C4B50" w:rsidRPr="00AD3B0D" w14:paraId="34450E1B" w14:textId="77777777" w:rsidTr="00576B90">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472543C3" w14:textId="77777777" w:rsidR="007C4B50" w:rsidRPr="00AD3B0D" w:rsidRDefault="007C4B50" w:rsidP="00BC2AA5">
            <w:pPr>
              <w:spacing w:after="60"/>
              <w:jc w:val="both"/>
              <w:rPr>
                <w:color w:val="000000"/>
                <w:sz w:val="20"/>
              </w:rPr>
            </w:pPr>
            <w:r w:rsidRPr="00AD3B0D">
              <w:rPr>
                <w:color w:val="000000"/>
                <w:sz w:val="20"/>
              </w:rPr>
              <w:t>Жилье и городская среда</w:t>
            </w:r>
          </w:p>
        </w:tc>
        <w:tc>
          <w:tcPr>
            <w:tcW w:w="4395" w:type="dxa"/>
            <w:tcBorders>
              <w:top w:val="nil"/>
              <w:left w:val="nil"/>
              <w:bottom w:val="single" w:sz="4" w:space="0" w:color="auto"/>
              <w:right w:val="single" w:sz="4" w:space="0" w:color="auto"/>
            </w:tcBorders>
            <w:shd w:val="clear" w:color="auto" w:fill="auto"/>
            <w:vAlign w:val="bottom"/>
            <w:hideMark/>
          </w:tcPr>
          <w:p w14:paraId="7BA56ED8" w14:textId="77777777" w:rsidR="007C4B50" w:rsidRPr="00AD3B0D" w:rsidRDefault="007C4B50" w:rsidP="00BC2AA5">
            <w:pPr>
              <w:spacing w:after="60"/>
              <w:jc w:val="both"/>
              <w:rPr>
                <w:color w:val="000000"/>
                <w:sz w:val="20"/>
              </w:rPr>
            </w:pPr>
            <w:r w:rsidRPr="00AD3B0D">
              <w:rPr>
                <w:color w:val="000000"/>
                <w:sz w:val="20"/>
              </w:rPr>
              <w:t>Ввод жилья в многоквартирных жилых домах</w:t>
            </w:r>
          </w:p>
        </w:tc>
        <w:tc>
          <w:tcPr>
            <w:tcW w:w="992" w:type="dxa"/>
            <w:tcBorders>
              <w:top w:val="nil"/>
              <w:left w:val="nil"/>
              <w:bottom w:val="single" w:sz="4" w:space="0" w:color="auto"/>
              <w:right w:val="single" w:sz="4" w:space="0" w:color="auto"/>
            </w:tcBorders>
            <w:shd w:val="clear" w:color="auto" w:fill="auto"/>
            <w:vAlign w:val="center"/>
            <w:hideMark/>
          </w:tcPr>
          <w:p w14:paraId="149A60F6" w14:textId="76A52A4A" w:rsidR="007C4B50" w:rsidRPr="00AD3B0D" w:rsidRDefault="007C4B50" w:rsidP="00BC2AA5">
            <w:pPr>
              <w:spacing w:after="60"/>
              <w:jc w:val="center"/>
              <w:rPr>
                <w:color w:val="000000"/>
                <w:sz w:val="20"/>
              </w:rPr>
            </w:pPr>
            <w:r w:rsidRPr="00AD3B0D">
              <w:rPr>
                <w:color w:val="000000"/>
                <w:sz w:val="20"/>
              </w:rPr>
              <w:t>49</w:t>
            </w:r>
            <w:r w:rsidR="00AD3B0D">
              <w:rPr>
                <w:color w:val="000000"/>
                <w:sz w:val="20"/>
              </w:rPr>
              <w:t>,</w:t>
            </w:r>
            <w:r w:rsidRPr="00AD3B0D">
              <w:rPr>
                <w:color w:val="000000"/>
                <w:sz w:val="20"/>
              </w:rPr>
              <w:t>7</w:t>
            </w:r>
          </w:p>
        </w:tc>
        <w:tc>
          <w:tcPr>
            <w:tcW w:w="992" w:type="dxa"/>
            <w:tcBorders>
              <w:top w:val="nil"/>
              <w:left w:val="nil"/>
              <w:bottom w:val="single" w:sz="4" w:space="0" w:color="auto"/>
              <w:right w:val="single" w:sz="4" w:space="0" w:color="auto"/>
            </w:tcBorders>
            <w:shd w:val="clear" w:color="auto" w:fill="auto"/>
            <w:vAlign w:val="center"/>
            <w:hideMark/>
          </w:tcPr>
          <w:p w14:paraId="01868707" w14:textId="395440F5" w:rsidR="007C4B50" w:rsidRPr="00AD3B0D" w:rsidRDefault="007C4B50" w:rsidP="00BC2AA5">
            <w:pPr>
              <w:spacing w:after="60"/>
              <w:jc w:val="center"/>
              <w:rPr>
                <w:color w:val="000000"/>
                <w:sz w:val="20"/>
              </w:rPr>
            </w:pPr>
            <w:r w:rsidRPr="00AD3B0D">
              <w:rPr>
                <w:color w:val="000000"/>
                <w:sz w:val="20"/>
              </w:rPr>
              <w:t>68</w:t>
            </w:r>
            <w:r w:rsidR="00AD3B0D">
              <w:rPr>
                <w:color w:val="000000"/>
                <w:sz w:val="20"/>
              </w:rPr>
              <w:t>,</w:t>
            </w:r>
            <w:r w:rsidRPr="00AD3B0D">
              <w:rPr>
                <w:color w:val="000000"/>
                <w:sz w:val="20"/>
              </w:rPr>
              <w:t>3</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F6B9DD" w14:textId="77777777" w:rsidR="007C4B50" w:rsidRPr="00AD3B0D" w:rsidRDefault="007C4B50" w:rsidP="00BC2AA5">
            <w:pPr>
              <w:spacing w:after="60"/>
              <w:jc w:val="center"/>
              <w:rPr>
                <w:color w:val="000000"/>
                <w:sz w:val="20"/>
              </w:rPr>
            </w:pPr>
            <w:r w:rsidRPr="00AD3B0D">
              <w:rPr>
                <w:color w:val="000000"/>
                <w:sz w:val="20"/>
              </w:rPr>
              <w:t>403</w:t>
            </w:r>
          </w:p>
        </w:tc>
      </w:tr>
      <w:tr w:rsidR="007C4B50" w:rsidRPr="00AD3B0D" w14:paraId="0C46F6AB" w14:textId="77777777" w:rsidTr="00576B90">
        <w:trPr>
          <w:trHeight w:val="20"/>
        </w:trPr>
        <w:tc>
          <w:tcPr>
            <w:tcW w:w="1701" w:type="dxa"/>
            <w:vMerge/>
            <w:tcBorders>
              <w:top w:val="nil"/>
              <w:left w:val="single" w:sz="4" w:space="0" w:color="auto"/>
              <w:bottom w:val="single" w:sz="4" w:space="0" w:color="000000"/>
              <w:right w:val="single" w:sz="4" w:space="0" w:color="auto"/>
            </w:tcBorders>
            <w:vAlign w:val="center"/>
            <w:hideMark/>
          </w:tcPr>
          <w:p w14:paraId="583AF757" w14:textId="77777777" w:rsidR="007C4B50" w:rsidRPr="00AD3B0D" w:rsidRDefault="007C4B50" w:rsidP="00BC2AA5">
            <w:pPr>
              <w:spacing w:after="60"/>
              <w:jc w:val="both"/>
              <w:rPr>
                <w:color w:val="000000"/>
                <w:sz w:val="20"/>
              </w:rPr>
            </w:pPr>
          </w:p>
        </w:tc>
        <w:tc>
          <w:tcPr>
            <w:tcW w:w="4395" w:type="dxa"/>
            <w:tcBorders>
              <w:top w:val="nil"/>
              <w:left w:val="nil"/>
              <w:bottom w:val="single" w:sz="4" w:space="0" w:color="auto"/>
              <w:right w:val="single" w:sz="4" w:space="0" w:color="auto"/>
            </w:tcBorders>
            <w:shd w:val="clear" w:color="auto" w:fill="auto"/>
            <w:vAlign w:val="bottom"/>
            <w:hideMark/>
          </w:tcPr>
          <w:p w14:paraId="692F9869" w14:textId="77777777" w:rsidR="007C4B50" w:rsidRPr="00AD3B0D" w:rsidRDefault="007C4B50" w:rsidP="00BC2AA5">
            <w:pPr>
              <w:spacing w:after="60"/>
              <w:jc w:val="both"/>
              <w:rPr>
                <w:color w:val="000000"/>
                <w:sz w:val="20"/>
              </w:rPr>
            </w:pPr>
            <w:r w:rsidRPr="00AD3B0D">
              <w:rPr>
                <w:color w:val="000000"/>
                <w:sz w:val="20"/>
              </w:rPr>
              <w:t>Среднегодовая процентная ставка по ипотечным жилищным кредитам в рублях</w:t>
            </w:r>
          </w:p>
        </w:tc>
        <w:tc>
          <w:tcPr>
            <w:tcW w:w="992" w:type="dxa"/>
            <w:tcBorders>
              <w:top w:val="nil"/>
              <w:left w:val="nil"/>
              <w:bottom w:val="single" w:sz="4" w:space="0" w:color="auto"/>
              <w:right w:val="single" w:sz="4" w:space="0" w:color="auto"/>
            </w:tcBorders>
            <w:shd w:val="clear" w:color="auto" w:fill="auto"/>
            <w:noWrap/>
            <w:vAlign w:val="center"/>
            <w:hideMark/>
          </w:tcPr>
          <w:p w14:paraId="61F6E788" w14:textId="704CDC61" w:rsidR="007C4B50" w:rsidRPr="00AD3B0D" w:rsidRDefault="007C4B50" w:rsidP="00BC2AA5">
            <w:pPr>
              <w:spacing w:after="60"/>
              <w:jc w:val="center"/>
              <w:rPr>
                <w:color w:val="000000"/>
                <w:sz w:val="20"/>
              </w:rPr>
            </w:pPr>
            <w:r w:rsidRPr="00AD3B0D">
              <w:rPr>
                <w:color w:val="000000"/>
                <w:sz w:val="20"/>
              </w:rPr>
              <w:t>9</w:t>
            </w:r>
            <w:r w:rsidR="00AD3B0D">
              <w:rPr>
                <w:color w:val="000000"/>
                <w:sz w:val="20"/>
              </w:rPr>
              <w:t>,</w:t>
            </w:r>
            <w:r w:rsidRPr="00AD3B0D">
              <w:rPr>
                <w:color w:val="000000"/>
                <w:sz w:val="20"/>
              </w:rPr>
              <w:t>5</w:t>
            </w:r>
          </w:p>
        </w:tc>
        <w:tc>
          <w:tcPr>
            <w:tcW w:w="992" w:type="dxa"/>
            <w:tcBorders>
              <w:top w:val="nil"/>
              <w:left w:val="nil"/>
              <w:bottom w:val="single" w:sz="4" w:space="0" w:color="auto"/>
              <w:right w:val="single" w:sz="4" w:space="0" w:color="auto"/>
            </w:tcBorders>
            <w:shd w:val="clear" w:color="auto" w:fill="auto"/>
            <w:noWrap/>
            <w:vAlign w:val="center"/>
            <w:hideMark/>
          </w:tcPr>
          <w:p w14:paraId="581D421E" w14:textId="4FAF6C39" w:rsidR="007C4B50" w:rsidRPr="00AD3B0D" w:rsidRDefault="007C4B50" w:rsidP="00BC2AA5">
            <w:pPr>
              <w:spacing w:after="60"/>
              <w:jc w:val="center"/>
              <w:rPr>
                <w:color w:val="000000"/>
                <w:sz w:val="20"/>
              </w:rPr>
            </w:pPr>
            <w:r w:rsidRPr="00AD3B0D">
              <w:rPr>
                <w:color w:val="000000"/>
                <w:sz w:val="20"/>
              </w:rPr>
              <w:t>8</w:t>
            </w:r>
            <w:r w:rsidR="00AD3B0D">
              <w:rPr>
                <w:color w:val="000000"/>
                <w:sz w:val="20"/>
              </w:rPr>
              <w:t>,</w:t>
            </w:r>
            <w:r w:rsidRPr="00AD3B0D">
              <w:rPr>
                <w:color w:val="000000"/>
                <w:sz w:val="20"/>
              </w:rPr>
              <w:t>4</w:t>
            </w:r>
          </w:p>
        </w:tc>
        <w:tc>
          <w:tcPr>
            <w:tcW w:w="1134" w:type="dxa"/>
            <w:vMerge/>
            <w:tcBorders>
              <w:top w:val="nil"/>
              <w:left w:val="single" w:sz="4" w:space="0" w:color="auto"/>
              <w:bottom w:val="single" w:sz="4" w:space="0" w:color="000000"/>
              <w:right w:val="single" w:sz="4" w:space="0" w:color="auto"/>
            </w:tcBorders>
            <w:vAlign w:val="center"/>
            <w:hideMark/>
          </w:tcPr>
          <w:p w14:paraId="757E6072" w14:textId="77777777" w:rsidR="007C4B50" w:rsidRPr="00AD3B0D" w:rsidRDefault="007C4B50" w:rsidP="00BC2AA5">
            <w:pPr>
              <w:spacing w:after="60"/>
              <w:jc w:val="center"/>
              <w:rPr>
                <w:color w:val="000000"/>
                <w:sz w:val="20"/>
              </w:rPr>
            </w:pPr>
          </w:p>
        </w:tc>
      </w:tr>
      <w:tr w:rsidR="007C4B50" w:rsidRPr="00AD3B0D" w14:paraId="0CF5E97D" w14:textId="77777777" w:rsidTr="00576B90">
        <w:trPr>
          <w:trHeight w:val="20"/>
        </w:trPr>
        <w:tc>
          <w:tcPr>
            <w:tcW w:w="1701" w:type="dxa"/>
            <w:vMerge/>
            <w:tcBorders>
              <w:top w:val="nil"/>
              <w:left w:val="single" w:sz="4" w:space="0" w:color="auto"/>
              <w:bottom w:val="single" w:sz="4" w:space="0" w:color="000000"/>
              <w:right w:val="single" w:sz="4" w:space="0" w:color="auto"/>
            </w:tcBorders>
            <w:vAlign w:val="center"/>
            <w:hideMark/>
          </w:tcPr>
          <w:p w14:paraId="1971BE56" w14:textId="77777777" w:rsidR="007C4B50" w:rsidRPr="00AD3B0D" w:rsidRDefault="007C4B50" w:rsidP="00BC2AA5">
            <w:pPr>
              <w:spacing w:after="60"/>
              <w:jc w:val="both"/>
              <w:rPr>
                <w:color w:val="000000"/>
                <w:sz w:val="20"/>
              </w:rPr>
            </w:pPr>
          </w:p>
        </w:tc>
        <w:tc>
          <w:tcPr>
            <w:tcW w:w="4395" w:type="dxa"/>
            <w:tcBorders>
              <w:top w:val="nil"/>
              <w:left w:val="nil"/>
              <w:bottom w:val="single" w:sz="4" w:space="0" w:color="auto"/>
              <w:right w:val="single" w:sz="4" w:space="0" w:color="auto"/>
            </w:tcBorders>
            <w:shd w:val="clear" w:color="auto" w:fill="auto"/>
            <w:vAlign w:val="bottom"/>
            <w:hideMark/>
          </w:tcPr>
          <w:p w14:paraId="3B9FB645" w14:textId="77777777" w:rsidR="007C4B50" w:rsidRPr="00AD3B0D" w:rsidRDefault="007C4B50" w:rsidP="00BC2AA5">
            <w:pPr>
              <w:spacing w:after="60"/>
              <w:jc w:val="both"/>
              <w:rPr>
                <w:color w:val="000000"/>
                <w:sz w:val="20"/>
              </w:rPr>
            </w:pPr>
            <w:r w:rsidRPr="00AD3B0D">
              <w:rPr>
                <w:color w:val="000000"/>
                <w:sz w:val="20"/>
              </w:rPr>
              <w:t>Средняя стоимость 1 кв. метра модельного жилья на первичном рынке, тыс. рублей</w:t>
            </w:r>
          </w:p>
        </w:tc>
        <w:tc>
          <w:tcPr>
            <w:tcW w:w="992" w:type="dxa"/>
            <w:tcBorders>
              <w:top w:val="nil"/>
              <w:left w:val="nil"/>
              <w:bottom w:val="single" w:sz="4" w:space="0" w:color="auto"/>
              <w:right w:val="single" w:sz="4" w:space="0" w:color="auto"/>
            </w:tcBorders>
            <w:shd w:val="clear" w:color="auto" w:fill="auto"/>
            <w:noWrap/>
            <w:vAlign w:val="center"/>
            <w:hideMark/>
          </w:tcPr>
          <w:p w14:paraId="7920446A" w14:textId="17D7B1A2" w:rsidR="007C4B50" w:rsidRPr="00AD3B0D" w:rsidRDefault="007C4B50" w:rsidP="00BC2AA5">
            <w:pPr>
              <w:spacing w:after="60"/>
              <w:jc w:val="center"/>
              <w:rPr>
                <w:color w:val="000000"/>
                <w:sz w:val="20"/>
              </w:rPr>
            </w:pPr>
            <w:r w:rsidRPr="00AD3B0D">
              <w:rPr>
                <w:color w:val="000000"/>
                <w:sz w:val="20"/>
              </w:rPr>
              <w:t>68</w:t>
            </w:r>
            <w:r w:rsidR="00AD3B0D">
              <w:rPr>
                <w:color w:val="000000"/>
                <w:sz w:val="20"/>
              </w:rPr>
              <w:t>,</w:t>
            </w:r>
            <w:r w:rsidRPr="00AD3B0D">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hideMark/>
          </w:tcPr>
          <w:p w14:paraId="65ED7E0F" w14:textId="48C64F0B" w:rsidR="007C4B50" w:rsidRPr="00AD3B0D" w:rsidRDefault="007C4B50" w:rsidP="00BC2AA5">
            <w:pPr>
              <w:spacing w:after="60"/>
              <w:jc w:val="center"/>
              <w:rPr>
                <w:color w:val="000000"/>
                <w:sz w:val="20"/>
              </w:rPr>
            </w:pPr>
            <w:r w:rsidRPr="00AD3B0D">
              <w:rPr>
                <w:color w:val="000000"/>
                <w:sz w:val="20"/>
              </w:rPr>
              <w:t>87</w:t>
            </w:r>
            <w:r w:rsidR="00AD3B0D">
              <w:rPr>
                <w:color w:val="000000"/>
                <w:sz w:val="20"/>
              </w:rPr>
              <w:t>,</w:t>
            </w:r>
            <w:r w:rsidRPr="00AD3B0D">
              <w:rPr>
                <w:color w:val="000000"/>
                <w:sz w:val="20"/>
              </w:rPr>
              <w:t>8</w:t>
            </w:r>
          </w:p>
        </w:tc>
        <w:tc>
          <w:tcPr>
            <w:tcW w:w="1134" w:type="dxa"/>
            <w:vMerge/>
            <w:tcBorders>
              <w:top w:val="nil"/>
              <w:left w:val="single" w:sz="4" w:space="0" w:color="auto"/>
              <w:bottom w:val="single" w:sz="4" w:space="0" w:color="000000"/>
              <w:right w:val="single" w:sz="4" w:space="0" w:color="auto"/>
            </w:tcBorders>
            <w:vAlign w:val="center"/>
            <w:hideMark/>
          </w:tcPr>
          <w:p w14:paraId="6309E07C" w14:textId="77777777" w:rsidR="007C4B50" w:rsidRPr="00AD3B0D" w:rsidRDefault="007C4B50" w:rsidP="00BC2AA5">
            <w:pPr>
              <w:spacing w:after="60"/>
              <w:jc w:val="center"/>
              <w:rPr>
                <w:color w:val="000000"/>
                <w:sz w:val="20"/>
              </w:rPr>
            </w:pPr>
          </w:p>
        </w:tc>
      </w:tr>
      <w:tr w:rsidR="007C4B50" w:rsidRPr="00AD3B0D" w14:paraId="35A2233F" w14:textId="77777777" w:rsidTr="00576B90">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510B1E3A" w14:textId="77777777" w:rsidR="007C4B50" w:rsidRPr="00AD3B0D" w:rsidRDefault="007C4B50" w:rsidP="00BC2AA5">
            <w:pPr>
              <w:spacing w:after="60"/>
              <w:jc w:val="both"/>
              <w:rPr>
                <w:color w:val="000000"/>
                <w:sz w:val="20"/>
              </w:rPr>
            </w:pPr>
            <w:r w:rsidRPr="00AD3B0D">
              <w:rPr>
                <w:color w:val="000000"/>
                <w:sz w:val="20"/>
              </w:rPr>
              <w:t>Образование</w:t>
            </w:r>
          </w:p>
        </w:tc>
        <w:tc>
          <w:tcPr>
            <w:tcW w:w="4395" w:type="dxa"/>
            <w:tcBorders>
              <w:top w:val="nil"/>
              <w:left w:val="nil"/>
              <w:bottom w:val="single" w:sz="4" w:space="0" w:color="auto"/>
              <w:right w:val="single" w:sz="4" w:space="0" w:color="auto"/>
            </w:tcBorders>
            <w:shd w:val="clear" w:color="auto" w:fill="auto"/>
            <w:vAlign w:val="bottom"/>
            <w:hideMark/>
          </w:tcPr>
          <w:p w14:paraId="32936B4A" w14:textId="77777777" w:rsidR="007C4B50" w:rsidRPr="00AD3B0D" w:rsidRDefault="007C4B50" w:rsidP="00BC2AA5">
            <w:pPr>
              <w:spacing w:after="60"/>
              <w:jc w:val="both"/>
              <w:rPr>
                <w:color w:val="000000"/>
                <w:sz w:val="20"/>
              </w:rPr>
            </w:pPr>
            <w:r w:rsidRPr="00AD3B0D">
              <w:rPr>
                <w:color w:val="000000"/>
                <w:sz w:val="20"/>
              </w:rPr>
              <w:t>Доля детей в возрасте от 5 до 18 лет, охваченных дополнительным образованием</w:t>
            </w:r>
          </w:p>
        </w:tc>
        <w:tc>
          <w:tcPr>
            <w:tcW w:w="992" w:type="dxa"/>
            <w:tcBorders>
              <w:top w:val="nil"/>
              <w:left w:val="nil"/>
              <w:bottom w:val="single" w:sz="4" w:space="0" w:color="auto"/>
              <w:right w:val="single" w:sz="4" w:space="0" w:color="auto"/>
            </w:tcBorders>
            <w:shd w:val="clear" w:color="auto" w:fill="auto"/>
            <w:vAlign w:val="center"/>
            <w:hideMark/>
          </w:tcPr>
          <w:p w14:paraId="5C87D604" w14:textId="7AD345DD" w:rsidR="007C4B50" w:rsidRPr="00AD3B0D" w:rsidRDefault="007C4B50" w:rsidP="00BC2AA5">
            <w:pPr>
              <w:spacing w:after="60"/>
              <w:jc w:val="center"/>
              <w:rPr>
                <w:color w:val="000000"/>
                <w:sz w:val="20"/>
              </w:rPr>
            </w:pPr>
            <w:r w:rsidRPr="00AD3B0D">
              <w:rPr>
                <w:color w:val="000000"/>
                <w:sz w:val="20"/>
              </w:rPr>
              <w:t>71</w:t>
            </w:r>
            <w:r w:rsidR="00AD3B0D">
              <w:rPr>
                <w:color w:val="000000"/>
                <w:sz w:val="20"/>
              </w:rPr>
              <w:t>,</w:t>
            </w:r>
            <w:r w:rsidRPr="00AD3B0D">
              <w:rPr>
                <w:color w:val="000000"/>
                <w:sz w:val="20"/>
              </w:rPr>
              <w:t>5</w:t>
            </w:r>
          </w:p>
        </w:tc>
        <w:tc>
          <w:tcPr>
            <w:tcW w:w="992" w:type="dxa"/>
            <w:tcBorders>
              <w:top w:val="nil"/>
              <w:left w:val="nil"/>
              <w:bottom w:val="single" w:sz="4" w:space="0" w:color="auto"/>
              <w:right w:val="single" w:sz="4" w:space="0" w:color="auto"/>
            </w:tcBorders>
            <w:shd w:val="clear" w:color="auto" w:fill="auto"/>
            <w:vAlign w:val="center"/>
            <w:hideMark/>
          </w:tcPr>
          <w:p w14:paraId="622A3304" w14:textId="77777777" w:rsidR="007C4B50" w:rsidRPr="00AD3B0D" w:rsidRDefault="007C4B50" w:rsidP="00BC2AA5">
            <w:pPr>
              <w:spacing w:after="60"/>
              <w:jc w:val="center"/>
              <w:rPr>
                <w:color w:val="000000"/>
                <w:sz w:val="20"/>
              </w:rPr>
            </w:pPr>
            <w:r w:rsidRPr="00AD3B0D">
              <w:rPr>
                <w:color w:val="000000"/>
                <w:sz w:val="20"/>
              </w:rPr>
              <w:t>77</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F3F8F2" w14:textId="77777777" w:rsidR="007C4B50" w:rsidRPr="00AD3B0D" w:rsidRDefault="007C4B50" w:rsidP="00BC2AA5">
            <w:pPr>
              <w:spacing w:after="60"/>
              <w:jc w:val="center"/>
              <w:rPr>
                <w:color w:val="000000"/>
                <w:sz w:val="20"/>
              </w:rPr>
            </w:pPr>
            <w:r w:rsidRPr="00AD3B0D">
              <w:rPr>
                <w:color w:val="000000"/>
                <w:sz w:val="20"/>
              </w:rPr>
              <w:t>380</w:t>
            </w:r>
          </w:p>
        </w:tc>
      </w:tr>
      <w:tr w:rsidR="007C4B50" w:rsidRPr="00AD3B0D" w14:paraId="2C96B205" w14:textId="77777777" w:rsidTr="00576B90">
        <w:trPr>
          <w:trHeight w:val="20"/>
        </w:trPr>
        <w:tc>
          <w:tcPr>
            <w:tcW w:w="1701" w:type="dxa"/>
            <w:vMerge/>
            <w:tcBorders>
              <w:top w:val="nil"/>
              <w:left w:val="single" w:sz="4" w:space="0" w:color="auto"/>
              <w:bottom w:val="single" w:sz="4" w:space="0" w:color="000000"/>
              <w:right w:val="single" w:sz="4" w:space="0" w:color="auto"/>
            </w:tcBorders>
            <w:vAlign w:val="center"/>
            <w:hideMark/>
          </w:tcPr>
          <w:p w14:paraId="282EFEBB" w14:textId="77777777" w:rsidR="007C4B50" w:rsidRPr="00AD3B0D" w:rsidRDefault="007C4B50" w:rsidP="00BC2AA5">
            <w:pPr>
              <w:spacing w:after="60"/>
              <w:jc w:val="both"/>
              <w:rPr>
                <w:color w:val="000000"/>
                <w:sz w:val="20"/>
              </w:rPr>
            </w:pPr>
          </w:p>
        </w:tc>
        <w:tc>
          <w:tcPr>
            <w:tcW w:w="4395" w:type="dxa"/>
            <w:tcBorders>
              <w:top w:val="nil"/>
              <w:left w:val="nil"/>
              <w:bottom w:val="single" w:sz="4" w:space="0" w:color="auto"/>
              <w:right w:val="single" w:sz="4" w:space="0" w:color="auto"/>
            </w:tcBorders>
            <w:shd w:val="clear" w:color="auto" w:fill="auto"/>
            <w:vAlign w:val="bottom"/>
            <w:hideMark/>
          </w:tcPr>
          <w:p w14:paraId="2DEF136B" w14:textId="77777777" w:rsidR="007C4B50" w:rsidRPr="00AD3B0D" w:rsidRDefault="007C4B50" w:rsidP="00BC2AA5">
            <w:pPr>
              <w:spacing w:after="60"/>
              <w:jc w:val="both"/>
              <w:rPr>
                <w:color w:val="000000"/>
                <w:sz w:val="20"/>
              </w:rPr>
            </w:pPr>
            <w:r w:rsidRPr="00AD3B0D">
              <w:rPr>
                <w:color w:val="000000"/>
                <w:sz w:val="20"/>
              </w:rPr>
              <w:t>Место России в мире по присутствию университетов в топ-500 глобальных рейтингов университетов</w:t>
            </w:r>
          </w:p>
        </w:tc>
        <w:tc>
          <w:tcPr>
            <w:tcW w:w="992" w:type="dxa"/>
            <w:tcBorders>
              <w:top w:val="nil"/>
              <w:left w:val="nil"/>
              <w:bottom w:val="single" w:sz="4" w:space="0" w:color="auto"/>
              <w:right w:val="single" w:sz="4" w:space="0" w:color="auto"/>
            </w:tcBorders>
            <w:shd w:val="clear" w:color="auto" w:fill="auto"/>
            <w:vAlign w:val="center"/>
            <w:hideMark/>
          </w:tcPr>
          <w:p w14:paraId="47C8AE49" w14:textId="77777777" w:rsidR="007C4B50" w:rsidRPr="00AD3B0D" w:rsidRDefault="007C4B50" w:rsidP="00BC2AA5">
            <w:pPr>
              <w:spacing w:after="60"/>
              <w:jc w:val="center"/>
              <w:rPr>
                <w:color w:val="000000"/>
                <w:sz w:val="20"/>
              </w:rPr>
            </w:pPr>
            <w:r w:rsidRPr="00AD3B0D">
              <w:rPr>
                <w:color w:val="000000"/>
                <w:sz w:val="20"/>
              </w:rPr>
              <w:t>17</w:t>
            </w:r>
          </w:p>
        </w:tc>
        <w:tc>
          <w:tcPr>
            <w:tcW w:w="992" w:type="dxa"/>
            <w:tcBorders>
              <w:top w:val="nil"/>
              <w:left w:val="nil"/>
              <w:bottom w:val="single" w:sz="4" w:space="0" w:color="auto"/>
              <w:right w:val="single" w:sz="4" w:space="0" w:color="auto"/>
            </w:tcBorders>
            <w:shd w:val="clear" w:color="auto" w:fill="auto"/>
            <w:vAlign w:val="center"/>
            <w:hideMark/>
          </w:tcPr>
          <w:p w14:paraId="78D30C1F" w14:textId="77777777" w:rsidR="007C4B50" w:rsidRPr="00AD3B0D" w:rsidRDefault="007C4B50" w:rsidP="00BC2AA5">
            <w:pPr>
              <w:spacing w:after="60"/>
              <w:jc w:val="center"/>
              <w:rPr>
                <w:color w:val="000000"/>
                <w:sz w:val="20"/>
              </w:rPr>
            </w:pPr>
            <w:r w:rsidRPr="00AD3B0D">
              <w:rPr>
                <w:color w:val="000000"/>
                <w:sz w:val="20"/>
              </w:rPr>
              <w:t>13</w:t>
            </w:r>
          </w:p>
        </w:tc>
        <w:tc>
          <w:tcPr>
            <w:tcW w:w="1134" w:type="dxa"/>
            <w:vMerge/>
            <w:tcBorders>
              <w:top w:val="nil"/>
              <w:left w:val="single" w:sz="4" w:space="0" w:color="auto"/>
              <w:bottom w:val="single" w:sz="4" w:space="0" w:color="000000"/>
              <w:right w:val="single" w:sz="4" w:space="0" w:color="auto"/>
            </w:tcBorders>
            <w:vAlign w:val="center"/>
            <w:hideMark/>
          </w:tcPr>
          <w:p w14:paraId="5384E6CA" w14:textId="77777777" w:rsidR="007C4B50" w:rsidRPr="00AD3B0D" w:rsidRDefault="007C4B50" w:rsidP="00BC2AA5">
            <w:pPr>
              <w:spacing w:after="60"/>
              <w:jc w:val="center"/>
              <w:rPr>
                <w:color w:val="000000"/>
                <w:sz w:val="20"/>
              </w:rPr>
            </w:pPr>
          </w:p>
        </w:tc>
      </w:tr>
      <w:tr w:rsidR="007C4B50" w:rsidRPr="00AD3B0D" w14:paraId="2687C512" w14:textId="77777777" w:rsidTr="00576B90">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2C382D1B" w14:textId="77777777" w:rsidR="007C4B50" w:rsidRPr="00AD3B0D" w:rsidRDefault="007C4B50" w:rsidP="00BC2AA5">
            <w:pPr>
              <w:spacing w:after="60"/>
              <w:jc w:val="both"/>
              <w:rPr>
                <w:color w:val="000000"/>
                <w:sz w:val="20"/>
              </w:rPr>
            </w:pPr>
            <w:r w:rsidRPr="00AD3B0D">
              <w:rPr>
                <w:color w:val="000000"/>
                <w:sz w:val="20"/>
              </w:rPr>
              <w:t>Экология</w:t>
            </w:r>
          </w:p>
        </w:tc>
        <w:tc>
          <w:tcPr>
            <w:tcW w:w="4395" w:type="dxa"/>
            <w:tcBorders>
              <w:top w:val="nil"/>
              <w:left w:val="nil"/>
              <w:bottom w:val="single" w:sz="4" w:space="0" w:color="auto"/>
              <w:right w:val="single" w:sz="4" w:space="0" w:color="auto"/>
            </w:tcBorders>
            <w:shd w:val="clear" w:color="auto" w:fill="auto"/>
            <w:vAlign w:val="bottom"/>
            <w:hideMark/>
          </w:tcPr>
          <w:p w14:paraId="02271CA2" w14:textId="77777777" w:rsidR="007C4B50" w:rsidRPr="00AD3B0D" w:rsidRDefault="007C4B50" w:rsidP="00BC2AA5">
            <w:pPr>
              <w:spacing w:after="60"/>
              <w:jc w:val="both"/>
              <w:rPr>
                <w:color w:val="000000"/>
                <w:sz w:val="20"/>
              </w:rPr>
            </w:pPr>
            <w:r w:rsidRPr="00AD3B0D">
              <w:rPr>
                <w:color w:val="000000"/>
                <w:sz w:val="20"/>
              </w:rPr>
              <w:t>Доля твердых коммунальных отходов, направленных на обработку, в общем объеме образованных твердых коммунальных отходов</w:t>
            </w:r>
          </w:p>
        </w:tc>
        <w:tc>
          <w:tcPr>
            <w:tcW w:w="992" w:type="dxa"/>
            <w:tcBorders>
              <w:top w:val="nil"/>
              <w:left w:val="nil"/>
              <w:bottom w:val="single" w:sz="4" w:space="0" w:color="auto"/>
              <w:right w:val="single" w:sz="4" w:space="0" w:color="auto"/>
            </w:tcBorders>
            <w:shd w:val="clear" w:color="auto" w:fill="auto"/>
            <w:noWrap/>
            <w:vAlign w:val="center"/>
            <w:hideMark/>
          </w:tcPr>
          <w:p w14:paraId="318232B1" w14:textId="77777777" w:rsidR="007C4B50" w:rsidRPr="00AD3B0D" w:rsidRDefault="007C4B50" w:rsidP="00BC2AA5">
            <w:pPr>
              <w:spacing w:after="60"/>
              <w:jc w:val="center"/>
              <w:rPr>
                <w:color w:val="000000"/>
                <w:sz w:val="20"/>
              </w:rPr>
            </w:pPr>
            <w:r w:rsidRPr="00AD3B0D">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hideMark/>
          </w:tcPr>
          <w:p w14:paraId="6ADF80D9" w14:textId="77777777" w:rsidR="007C4B50" w:rsidRPr="00AD3B0D" w:rsidRDefault="007C4B50" w:rsidP="00BC2AA5">
            <w:pPr>
              <w:spacing w:after="60"/>
              <w:jc w:val="center"/>
              <w:rPr>
                <w:color w:val="000000"/>
                <w:sz w:val="20"/>
              </w:rPr>
            </w:pPr>
            <w:r w:rsidRPr="00AD3B0D">
              <w:rPr>
                <w:color w:val="000000"/>
                <w:sz w:val="20"/>
              </w:rPr>
              <w:t>40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5EFFCB" w14:textId="77777777" w:rsidR="007C4B50" w:rsidRPr="00AD3B0D" w:rsidRDefault="007C4B50" w:rsidP="00BC2AA5">
            <w:pPr>
              <w:spacing w:after="60"/>
              <w:jc w:val="center"/>
              <w:rPr>
                <w:color w:val="000000"/>
                <w:sz w:val="20"/>
              </w:rPr>
            </w:pPr>
            <w:r w:rsidRPr="00AD3B0D">
              <w:rPr>
                <w:color w:val="000000"/>
                <w:sz w:val="20"/>
              </w:rPr>
              <w:t>357</w:t>
            </w:r>
          </w:p>
        </w:tc>
      </w:tr>
      <w:tr w:rsidR="007C4B50" w:rsidRPr="00AD3B0D" w14:paraId="5594D5AE" w14:textId="77777777" w:rsidTr="00576B90">
        <w:trPr>
          <w:trHeight w:val="20"/>
        </w:trPr>
        <w:tc>
          <w:tcPr>
            <w:tcW w:w="1701" w:type="dxa"/>
            <w:vMerge/>
            <w:tcBorders>
              <w:top w:val="nil"/>
              <w:left w:val="single" w:sz="4" w:space="0" w:color="auto"/>
              <w:bottom w:val="single" w:sz="4" w:space="0" w:color="000000"/>
              <w:right w:val="single" w:sz="4" w:space="0" w:color="auto"/>
            </w:tcBorders>
            <w:vAlign w:val="center"/>
            <w:hideMark/>
          </w:tcPr>
          <w:p w14:paraId="41A01177" w14:textId="77777777" w:rsidR="007C4B50" w:rsidRPr="00AD3B0D" w:rsidRDefault="007C4B50" w:rsidP="00BC2AA5">
            <w:pPr>
              <w:spacing w:after="60"/>
              <w:jc w:val="both"/>
              <w:rPr>
                <w:color w:val="000000"/>
                <w:sz w:val="20"/>
              </w:rPr>
            </w:pPr>
          </w:p>
        </w:tc>
        <w:tc>
          <w:tcPr>
            <w:tcW w:w="4395" w:type="dxa"/>
            <w:tcBorders>
              <w:top w:val="nil"/>
              <w:left w:val="nil"/>
              <w:bottom w:val="single" w:sz="4" w:space="0" w:color="auto"/>
              <w:right w:val="single" w:sz="4" w:space="0" w:color="auto"/>
            </w:tcBorders>
            <w:shd w:val="clear" w:color="auto" w:fill="auto"/>
            <w:vAlign w:val="bottom"/>
            <w:hideMark/>
          </w:tcPr>
          <w:p w14:paraId="34CAD879" w14:textId="77777777" w:rsidR="007C4B50" w:rsidRPr="00AD3B0D" w:rsidRDefault="007C4B50" w:rsidP="00BC2AA5">
            <w:pPr>
              <w:spacing w:after="60"/>
              <w:jc w:val="both"/>
              <w:rPr>
                <w:color w:val="000000"/>
                <w:sz w:val="20"/>
              </w:rPr>
            </w:pPr>
            <w:r w:rsidRPr="00AD3B0D">
              <w:rPr>
                <w:color w:val="000000"/>
                <w:sz w:val="20"/>
              </w:rPr>
              <w:t>Количество ликвидированных несанкционированных свалок в границах городов из общего количества свалок, выявленных на 1 января 2018 года</w:t>
            </w:r>
          </w:p>
        </w:tc>
        <w:tc>
          <w:tcPr>
            <w:tcW w:w="992" w:type="dxa"/>
            <w:tcBorders>
              <w:top w:val="nil"/>
              <w:left w:val="nil"/>
              <w:bottom w:val="single" w:sz="4" w:space="0" w:color="auto"/>
              <w:right w:val="single" w:sz="4" w:space="0" w:color="auto"/>
            </w:tcBorders>
            <w:shd w:val="clear" w:color="auto" w:fill="auto"/>
            <w:noWrap/>
            <w:vAlign w:val="center"/>
            <w:hideMark/>
          </w:tcPr>
          <w:p w14:paraId="64DF766B" w14:textId="77777777" w:rsidR="007C4B50" w:rsidRPr="00AD3B0D" w:rsidRDefault="007C4B50" w:rsidP="00BC2AA5">
            <w:pPr>
              <w:spacing w:after="60"/>
              <w:jc w:val="center"/>
              <w:rPr>
                <w:color w:val="000000"/>
                <w:sz w:val="20"/>
              </w:rPr>
            </w:pPr>
            <w:r w:rsidRPr="00AD3B0D">
              <w:rPr>
                <w:color w:val="000000"/>
                <w:sz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6BCEC641" w14:textId="77777777" w:rsidR="007C4B50" w:rsidRPr="00AD3B0D" w:rsidRDefault="007C4B50" w:rsidP="00BC2AA5">
            <w:pPr>
              <w:spacing w:after="60"/>
              <w:jc w:val="center"/>
              <w:rPr>
                <w:color w:val="000000"/>
                <w:sz w:val="20"/>
              </w:rPr>
            </w:pPr>
            <w:r w:rsidRPr="00AD3B0D">
              <w:rPr>
                <w:color w:val="000000"/>
                <w:sz w:val="20"/>
              </w:rPr>
              <w:t>108</w:t>
            </w:r>
          </w:p>
        </w:tc>
        <w:tc>
          <w:tcPr>
            <w:tcW w:w="1134" w:type="dxa"/>
            <w:vMerge/>
            <w:tcBorders>
              <w:top w:val="nil"/>
              <w:left w:val="single" w:sz="4" w:space="0" w:color="auto"/>
              <w:bottom w:val="single" w:sz="4" w:space="0" w:color="000000"/>
              <w:right w:val="single" w:sz="4" w:space="0" w:color="auto"/>
            </w:tcBorders>
            <w:vAlign w:val="center"/>
            <w:hideMark/>
          </w:tcPr>
          <w:p w14:paraId="76988E37" w14:textId="77777777" w:rsidR="007C4B50" w:rsidRPr="00AD3B0D" w:rsidRDefault="007C4B50" w:rsidP="00BC2AA5">
            <w:pPr>
              <w:spacing w:after="60"/>
              <w:jc w:val="center"/>
              <w:rPr>
                <w:color w:val="000000"/>
                <w:sz w:val="20"/>
              </w:rPr>
            </w:pPr>
          </w:p>
        </w:tc>
      </w:tr>
      <w:tr w:rsidR="007C4B50" w:rsidRPr="00AD3B0D" w14:paraId="0A3236E9" w14:textId="77777777" w:rsidTr="00576B90">
        <w:trPr>
          <w:trHeight w:val="20"/>
        </w:trPr>
        <w:tc>
          <w:tcPr>
            <w:tcW w:w="1701" w:type="dxa"/>
            <w:vMerge/>
            <w:tcBorders>
              <w:top w:val="nil"/>
              <w:left w:val="single" w:sz="4" w:space="0" w:color="auto"/>
              <w:bottom w:val="single" w:sz="4" w:space="0" w:color="000000"/>
              <w:right w:val="single" w:sz="4" w:space="0" w:color="auto"/>
            </w:tcBorders>
            <w:vAlign w:val="center"/>
            <w:hideMark/>
          </w:tcPr>
          <w:p w14:paraId="49D65E3C" w14:textId="77777777" w:rsidR="007C4B50" w:rsidRPr="00AD3B0D" w:rsidRDefault="007C4B50" w:rsidP="00BC2AA5">
            <w:pPr>
              <w:spacing w:after="60"/>
              <w:jc w:val="both"/>
              <w:rPr>
                <w:color w:val="000000"/>
                <w:sz w:val="20"/>
              </w:rPr>
            </w:pPr>
          </w:p>
        </w:tc>
        <w:tc>
          <w:tcPr>
            <w:tcW w:w="4395" w:type="dxa"/>
            <w:tcBorders>
              <w:top w:val="nil"/>
              <w:left w:val="nil"/>
              <w:bottom w:val="single" w:sz="4" w:space="0" w:color="auto"/>
              <w:right w:val="single" w:sz="4" w:space="0" w:color="auto"/>
            </w:tcBorders>
            <w:shd w:val="clear" w:color="auto" w:fill="auto"/>
            <w:vAlign w:val="bottom"/>
            <w:hideMark/>
          </w:tcPr>
          <w:p w14:paraId="3FE9FE76" w14:textId="77777777" w:rsidR="007C4B50" w:rsidRPr="00AD3B0D" w:rsidRDefault="007C4B50" w:rsidP="00BC2AA5">
            <w:pPr>
              <w:spacing w:after="60"/>
              <w:jc w:val="both"/>
              <w:rPr>
                <w:color w:val="000000"/>
                <w:sz w:val="20"/>
              </w:rPr>
            </w:pPr>
            <w:r w:rsidRPr="00AD3B0D">
              <w:rPr>
                <w:color w:val="000000"/>
                <w:sz w:val="20"/>
              </w:rPr>
              <w:t>Совокупный объем выбросов загрязняющих веществ в атмосферный воздух</w:t>
            </w:r>
          </w:p>
        </w:tc>
        <w:tc>
          <w:tcPr>
            <w:tcW w:w="992" w:type="dxa"/>
            <w:tcBorders>
              <w:top w:val="nil"/>
              <w:left w:val="nil"/>
              <w:bottom w:val="single" w:sz="4" w:space="0" w:color="auto"/>
              <w:right w:val="single" w:sz="4" w:space="0" w:color="auto"/>
            </w:tcBorders>
            <w:shd w:val="clear" w:color="auto" w:fill="auto"/>
            <w:noWrap/>
            <w:vAlign w:val="center"/>
            <w:hideMark/>
          </w:tcPr>
          <w:p w14:paraId="0ED3C678" w14:textId="77777777" w:rsidR="007C4B50" w:rsidRPr="00AD3B0D" w:rsidRDefault="007C4B50" w:rsidP="00BC2AA5">
            <w:pPr>
              <w:spacing w:after="60"/>
              <w:jc w:val="center"/>
              <w:rPr>
                <w:color w:val="000000"/>
                <w:sz w:val="20"/>
              </w:rPr>
            </w:pPr>
            <w:r w:rsidRPr="00AD3B0D">
              <w:rPr>
                <w:color w:val="000000"/>
                <w:sz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6D7195A6" w14:textId="77777777" w:rsidR="007C4B50" w:rsidRPr="00AD3B0D" w:rsidRDefault="007C4B50" w:rsidP="00BC2AA5">
            <w:pPr>
              <w:spacing w:after="60"/>
              <w:jc w:val="center"/>
              <w:rPr>
                <w:color w:val="000000"/>
                <w:sz w:val="20"/>
              </w:rPr>
            </w:pPr>
            <w:r w:rsidRPr="00AD3B0D">
              <w:rPr>
                <w:color w:val="000000"/>
                <w:sz w:val="20"/>
              </w:rPr>
              <w:t>93</w:t>
            </w:r>
          </w:p>
        </w:tc>
        <w:tc>
          <w:tcPr>
            <w:tcW w:w="1134" w:type="dxa"/>
            <w:vMerge/>
            <w:tcBorders>
              <w:top w:val="nil"/>
              <w:left w:val="single" w:sz="4" w:space="0" w:color="auto"/>
              <w:bottom w:val="single" w:sz="4" w:space="0" w:color="000000"/>
              <w:right w:val="single" w:sz="4" w:space="0" w:color="auto"/>
            </w:tcBorders>
            <w:vAlign w:val="center"/>
            <w:hideMark/>
          </w:tcPr>
          <w:p w14:paraId="3986FA04" w14:textId="77777777" w:rsidR="007C4B50" w:rsidRPr="00AD3B0D" w:rsidRDefault="007C4B50" w:rsidP="00BC2AA5">
            <w:pPr>
              <w:spacing w:after="60"/>
              <w:jc w:val="center"/>
              <w:rPr>
                <w:color w:val="000000"/>
                <w:sz w:val="20"/>
              </w:rPr>
            </w:pPr>
          </w:p>
        </w:tc>
      </w:tr>
      <w:tr w:rsidR="007C4B50" w:rsidRPr="00AD3B0D" w14:paraId="77727EC8" w14:textId="77777777" w:rsidTr="00576B90">
        <w:trPr>
          <w:trHeight w:val="20"/>
        </w:trPr>
        <w:tc>
          <w:tcPr>
            <w:tcW w:w="1701" w:type="dxa"/>
            <w:vMerge/>
            <w:tcBorders>
              <w:top w:val="nil"/>
              <w:left w:val="single" w:sz="4" w:space="0" w:color="auto"/>
              <w:bottom w:val="single" w:sz="4" w:space="0" w:color="000000"/>
              <w:right w:val="single" w:sz="4" w:space="0" w:color="auto"/>
            </w:tcBorders>
            <w:vAlign w:val="center"/>
            <w:hideMark/>
          </w:tcPr>
          <w:p w14:paraId="437138C0" w14:textId="77777777" w:rsidR="007C4B50" w:rsidRPr="00AD3B0D" w:rsidRDefault="007C4B50" w:rsidP="00BC2AA5">
            <w:pPr>
              <w:spacing w:after="60"/>
              <w:jc w:val="both"/>
              <w:rPr>
                <w:color w:val="000000"/>
                <w:sz w:val="20"/>
              </w:rPr>
            </w:pPr>
          </w:p>
        </w:tc>
        <w:tc>
          <w:tcPr>
            <w:tcW w:w="4395" w:type="dxa"/>
            <w:tcBorders>
              <w:top w:val="nil"/>
              <w:left w:val="nil"/>
              <w:bottom w:val="single" w:sz="4" w:space="0" w:color="auto"/>
              <w:right w:val="single" w:sz="4" w:space="0" w:color="auto"/>
            </w:tcBorders>
            <w:shd w:val="clear" w:color="auto" w:fill="auto"/>
            <w:vAlign w:val="bottom"/>
            <w:hideMark/>
          </w:tcPr>
          <w:p w14:paraId="699AE8C0" w14:textId="77777777" w:rsidR="007C4B50" w:rsidRPr="00AD3B0D" w:rsidRDefault="007C4B50" w:rsidP="00BC2AA5">
            <w:pPr>
              <w:spacing w:after="60"/>
              <w:jc w:val="both"/>
              <w:rPr>
                <w:color w:val="000000"/>
                <w:sz w:val="20"/>
              </w:rPr>
            </w:pPr>
            <w:r w:rsidRPr="00AD3B0D">
              <w:rPr>
                <w:color w:val="000000"/>
                <w:sz w:val="20"/>
              </w:rPr>
              <w:t>Ущерб от лесных пожаров, млрд рублей</w:t>
            </w:r>
          </w:p>
        </w:tc>
        <w:tc>
          <w:tcPr>
            <w:tcW w:w="992" w:type="dxa"/>
            <w:tcBorders>
              <w:top w:val="nil"/>
              <w:left w:val="nil"/>
              <w:bottom w:val="single" w:sz="4" w:space="0" w:color="auto"/>
              <w:right w:val="single" w:sz="4" w:space="0" w:color="auto"/>
            </w:tcBorders>
            <w:shd w:val="clear" w:color="auto" w:fill="auto"/>
            <w:noWrap/>
            <w:vAlign w:val="center"/>
            <w:hideMark/>
          </w:tcPr>
          <w:p w14:paraId="76E00721" w14:textId="162C2C91" w:rsidR="007C4B50" w:rsidRPr="00AD3B0D" w:rsidRDefault="007C4B50" w:rsidP="00BC2AA5">
            <w:pPr>
              <w:spacing w:after="60"/>
              <w:jc w:val="center"/>
              <w:rPr>
                <w:color w:val="000000"/>
                <w:sz w:val="20"/>
              </w:rPr>
            </w:pPr>
            <w:r w:rsidRPr="00AD3B0D">
              <w:rPr>
                <w:color w:val="000000"/>
                <w:sz w:val="20"/>
              </w:rPr>
              <w:t>32</w:t>
            </w:r>
            <w:r w:rsidR="00AD3B0D">
              <w:rPr>
                <w:color w:val="000000"/>
                <w:sz w:val="20"/>
              </w:rPr>
              <w:t>,</w:t>
            </w:r>
            <w:r w:rsidRPr="00AD3B0D">
              <w:rPr>
                <w:color w:val="000000"/>
                <w:sz w:val="20"/>
              </w:rPr>
              <w:t>3</w:t>
            </w:r>
          </w:p>
        </w:tc>
        <w:tc>
          <w:tcPr>
            <w:tcW w:w="992" w:type="dxa"/>
            <w:tcBorders>
              <w:top w:val="nil"/>
              <w:left w:val="nil"/>
              <w:bottom w:val="single" w:sz="4" w:space="0" w:color="auto"/>
              <w:right w:val="single" w:sz="4" w:space="0" w:color="auto"/>
            </w:tcBorders>
            <w:shd w:val="clear" w:color="auto" w:fill="auto"/>
            <w:noWrap/>
            <w:vAlign w:val="center"/>
            <w:hideMark/>
          </w:tcPr>
          <w:p w14:paraId="0B7E8716" w14:textId="77777777" w:rsidR="007C4B50" w:rsidRPr="00AD3B0D" w:rsidRDefault="007C4B50" w:rsidP="00BC2AA5">
            <w:pPr>
              <w:spacing w:after="60"/>
              <w:jc w:val="center"/>
              <w:rPr>
                <w:color w:val="000000"/>
                <w:sz w:val="20"/>
              </w:rPr>
            </w:pPr>
            <w:r w:rsidRPr="00AD3B0D">
              <w:rPr>
                <w:color w:val="000000"/>
                <w:sz w:val="20"/>
              </w:rPr>
              <w:t>16</w:t>
            </w:r>
          </w:p>
        </w:tc>
        <w:tc>
          <w:tcPr>
            <w:tcW w:w="1134" w:type="dxa"/>
            <w:vMerge/>
            <w:tcBorders>
              <w:top w:val="nil"/>
              <w:left w:val="single" w:sz="4" w:space="0" w:color="auto"/>
              <w:bottom w:val="single" w:sz="4" w:space="0" w:color="000000"/>
              <w:right w:val="single" w:sz="4" w:space="0" w:color="auto"/>
            </w:tcBorders>
            <w:vAlign w:val="center"/>
            <w:hideMark/>
          </w:tcPr>
          <w:p w14:paraId="1011017B" w14:textId="77777777" w:rsidR="007C4B50" w:rsidRPr="00AD3B0D" w:rsidRDefault="007C4B50" w:rsidP="00BC2AA5">
            <w:pPr>
              <w:spacing w:after="60"/>
              <w:jc w:val="center"/>
              <w:rPr>
                <w:color w:val="000000"/>
                <w:sz w:val="20"/>
              </w:rPr>
            </w:pPr>
          </w:p>
        </w:tc>
      </w:tr>
      <w:tr w:rsidR="007C4B50" w:rsidRPr="00AD3B0D" w14:paraId="3C252A0D" w14:textId="77777777" w:rsidTr="00576B90">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7E76BA36" w14:textId="77777777" w:rsidR="007C4B50" w:rsidRPr="00AD3B0D" w:rsidRDefault="007C4B50" w:rsidP="00BC2AA5">
            <w:pPr>
              <w:spacing w:after="60"/>
              <w:jc w:val="both"/>
              <w:rPr>
                <w:color w:val="000000"/>
                <w:sz w:val="20"/>
              </w:rPr>
            </w:pPr>
            <w:r w:rsidRPr="00AD3B0D">
              <w:rPr>
                <w:color w:val="000000"/>
                <w:sz w:val="20"/>
              </w:rPr>
              <w:t>Безопасные и качественные автомобильные дороги</w:t>
            </w:r>
          </w:p>
        </w:tc>
        <w:tc>
          <w:tcPr>
            <w:tcW w:w="4395" w:type="dxa"/>
            <w:tcBorders>
              <w:top w:val="nil"/>
              <w:left w:val="nil"/>
              <w:bottom w:val="single" w:sz="4" w:space="0" w:color="auto"/>
              <w:right w:val="single" w:sz="4" w:space="0" w:color="auto"/>
            </w:tcBorders>
            <w:shd w:val="clear" w:color="auto" w:fill="auto"/>
            <w:vAlign w:val="bottom"/>
            <w:hideMark/>
          </w:tcPr>
          <w:p w14:paraId="2BD297B0" w14:textId="77777777" w:rsidR="007C4B50" w:rsidRPr="00AD3B0D" w:rsidRDefault="007C4B50" w:rsidP="00BC2AA5">
            <w:pPr>
              <w:spacing w:after="60"/>
              <w:jc w:val="both"/>
              <w:rPr>
                <w:color w:val="000000"/>
                <w:sz w:val="20"/>
              </w:rPr>
            </w:pPr>
            <w:r w:rsidRPr="00AD3B0D">
              <w:rPr>
                <w:color w:val="000000"/>
                <w:sz w:val="20"/>
              </w:rPr>
              <w:t>Доля автомобильных дорог регионального значения, соответствующих нормативным требованиям</w:t>
            </w:r>
          </w:p>
        </w:tc>
        <w:tc>
          <w:tcPr>
            <w:tcW w:w="992" w:type="dxa"/>
            <w:tcBorders>
              <w:top w:val="nil"/>
              <w:left w:val="nil"/>
              <w:bottom w:val="single" w:sz="4" w:space="0" w:color="auto"/>
              <w:right w:val="single" w:sz="4" w:space="0" w:color="auto"/>
            </w:tcBorders>
            <w:shd w:val="clear" w:color="auto" w:fill="auto"/>
            <w:vAlign w:val="center"/>
            <w:hideMark/>
          </w:tcPr>
          <w:p w14:paraId="49120E55" w14:textId="37B68520" w:rsidR="007C4B50" w:rsidRPr="00AD3B0D" w:rsidRDefault="007C4B50" w:rsidP="00BC2AA5">
            <w:pPr>
              <w:spacing w:after="60"/>
              <w:jc w:val="center"/>
              <w:rPr>
                <w:color w:val="000000"/>
                <w:sz w:val="20"/>
              </w:rPr>
            </w:pPr>
            <w:r w:rsidRPr="00AD3B0D">
              <w:rPr>
                <w:color w:val="000000"/>
                <w:sz w:val="20"/>
              </w:rPr>
              <w:t>44</w:t>
            </w:r>
            <w:r w:rsidR="00AD3B0D">
              <w:rPr>
                <w:color w:val="000000"/>
                <w:sz w:val="20"/>
              </w:rPr>
              <w:t>,</w:t>
            </w:r>
            <w:r w:rsidRPr="00AD3B0D">
              <w:rPr>
                <w:color w:val="000000"/>
                <w:sz w:val="20"/>
              </w:rPr>
              <w:t>1</w:t>
            </w:r>
          </w:p>
        </w:tc>
        <w:tc>
          <w:tcPr>
            <w:tcW w:w="992" w:type="dxa"/>
            <w:tcBorders>
              <w:top w:val="nil"/>
              <w:left w:val="nil"/>
              <w:bottom w:val="single" w:sz="4" w:space="0" w:color="auto"/>
              <w:right w:val="single" w:sz="4" w:space="0" w:color="auto"/>
            </w:tcBorders>
            <w:shd w:val="clear" w:color="auto" w:fill="auto"/>
            <w:vAlign w:val="center"/>
            <w:hideMark/>
          </w:tcPr>
          <w:p w14:paraId="54BCB316" w14:textId="701DFD48" w:rsidR="007C4B50" w:rsidRPr="00AD3B0D" w:rsidRDefault="007C4B50" w:rsidP="00BC2AA5">
            <w:pPr>
              <w:spacing w:after="60"/>
              <w:jc w:val="center"/>
              <w:rPr>
                <w:color w:val="000000"/>
                <w:sz w:val="20"/>
              </w:rPr>
            </w:pPr>
            <w:r w:rsidRPr="00AD3B0D">
              <w:rPr>
                <w:color w:val="000000"/>
                <w:sz w:val="20"/>
              </w:rPr>
              <w:t>46</w:t>
            </w:r>
            <w:r w:rsidR="00AD3B0D">
              <w:rPr>
                <w:color w:val="000000"/>
                <w:sz w:val="20"/>
              </w:rPr>
              <w:t>,</w:t>
            </w:r>
            <w:r w:rsidRPr="00AD3B0D">
              <w:rPr>
                <w:color w:val="000000"/>
                <w:sz w:val="20"/>
              </w:rPr>
              <w:t>8</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2F3585" w14:textId="77777777" w:rsidR="007C4B50" w:rsidRPr="00AD3B0D" w:rsidRDefault="007C4B50" w:rsidP="00BC2AA5">
            <w:pPr>
              <w:spacing w:after="60"/>
              <w:jc w:val="center"/>
              <w:rPr>
                <w:color w:val="000000"/>
                <w:sz w:val="20"/>
              </w:rPr>
            </w:pPr>
            <w:r w:rsidRPr="00AD3B0D">
              <w:rPr>
                <w:color w:val="000000"/>
                <w:sz w:val="20"/>
              </w:rPr>
              <w:t>266</w:t>
            </w:r>
          </w:p>
        </w:tc>
      </w:tr>
      <w:tr w:rsidR="007C4B50" w:rsidRPr="00AD3B0D" w14:paraId="553EF108" w14:textId="77777777" w:rsidTr="00576B90">
        <w:trPr>
          <w:trHeight w:val="20"/>
        </w:trPr>
        <w:tc>
          <w:tcPr>
            <w:tcW w:w="1701" w:type="dxa"/>
            <w:vMerge/>
            <w:tcBorders>
              <w:top w:val="nil"/>
              <w:left w:val="single" w:sz="4" w:space="0" w:color="auto"/>
              <w:bottom w:val="single" w:sz="4" w:space="0" w:color="000000"/>
              <w:right w:val="single" w:sz="4" w:space="0" w:color="auto"/>
            </w:tcBorders>
            <w:vAlign w:val="center"/>
            <w:hideMark/>
          </w:tcPr>
          <w:p w14:paraId="78CAFC6D" w14:textId="77777777" w:rsidR="007C4B50" w:rsidRPr="00AD3B0D" w:rsidRDefault="007C4B50" w:rsidP="00BC2AA5">
            <w:pPr>
              <w:spacing w:after="60"/>
              <w:jc w:val="both"/>
              <w:rPr>
                <w:color w:val="000000"/>
                <w:sz w:val="20"/>
              </w:rPr>
            </w:pPr>
          </w:p>
        </w:tc>
        <w:tc>
          <w:tcPr>
            <w:tcW w:w="4395" w:type="dxa"/>
            <w:tcBorders>
              <w:top w:val="nil"/>
              <w:left w:val="nil"/>
              <w:bottom w:val="single" w:sz="4" w:space="0" w:color="auto"/>
              <w:right w:val="single" w:sz="4" w:space="0" w:color="auto"/>
            </w:tcBorders>
            <w:shd w:val="clear" w:color="auto" w:fill="auto"/>
            <w:vAlign w:val="bottom"/>
            <w:hideMark/>
          </w:tcPr>
          <w:p w14:paraId="1E42DB49" w14:textId="77777777" w:rsidR="007C4B50" w:rsidRPr="00AD3B0D" w:rsidRDefault="007C4B50" w:rsidP="00BC2AA5">
            <w:pPr>
              <w:spacing w:after="60"/>
              <w:jc w:val="both"/>
              <w:rPr>
                <w:color w:val="000000"/>
                <w:sz w:val="20"/>
              </w:rPr>
            </w:pPr>
            <w:r w:rsidRPr="00AD3B0D">
              <w:rPr>
                <w:color w:val="000000"/>
                <w:sz w:val="20"/>
              </w:rPr>
              <w:t>Количество погибших в дорожно-транспортных происшествиях, человек на 100 тысяч населения  </w:t>
            </w:r>
          </w:p>
        </w:tc>
        <w:tc>
          <w:tcPr>
            <w:tcW w:w="992" w:type="dxa"/>
            <w:tcBorders>
              <w:top w:val="nil"/>
              <w:left w:val="nil"/>
              <w:bottom w:val="single" w:sz="4" w:space="0" w:color="auto"/>
              <w:right w:val="single" w:sz="4" w:space="0" w:color="auto"/>
            </w:tcBorders>
            <w:shd w:val="clear" w:color="auto" w:fill="auto"/>
            <w:noWrap/>
            <w:vAlign w:val="center"/>
            <w:hideMark/>
          </w:tcPr>
          <w:p w14:paraId="05E33266" w14:textId="498A9922" w:rsidR="007C4B50" w:rsidRPr="00AD3B0D" w:rsidRDefault="007C4B50" w:rsidP="00BC2AA5">
            <w:pPr>
              <w:spacing w:after="60"/>
              <w:jc w:val="center"/>
              <w:rPr>
                <w:color w:val="000000"/>
                <w:sz w:val="20"/>
              </w:rPr>
            </w:pPr>
            <w:r w:rsidRPr="00AD3B0D">
              <w:rPr>
                <w:color w:val="000000"/>
                <w:sz w:val="20"/>
              </w:rPr>
              <w:t>11</w:t>
            </w:r>
            <w:r w:rsidR="00AD3B0D">
              <w:rPr>
                <w:color w:val="000000"/>
                <w:sz w:val="20"/>
              </w:rPr>
              <w:t>,</w:t>
            </w:r>
            <w:r w:rsidRPr="00AD3B0D">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hideMark/>
          </w:tcPr>
          <w:p w14:paraId="78113357" w14:textId="65218F6E" w:rsidR="007C4B50" w:rsidRPr="00AD3B0D" w:rsidRDefault="007C4B50" w:rsidP="00BC2AA5">
            <w:pPr>
              <w:spacing w:after="60"/>
              <w:jc w:val="center"/>
              <w:rPr>
                <w:color w:val="000000"/>
                <w:sz w:val="20"/>
              </w:rPr>
            </w:pPr>
            <w:r w:rsidRPr="00AD3B0D">
              <w:rPr>
                <w:color w:val="000000"/>
                <w:sz w:val="20"/>
              </w:rPr>
              <w:t>8</w:t>
            </w:r>
            <w:r w:rsidR="00AD3B0D">
              <w:rPr>
                <w:color w:val="000000"/>
                <w:sz w:val="20"/>
              </w:rPr>
              <w:t>,</w:t>
            </w:r>
            <w:r w:rsidRPr="00AD3B0D">
              <w:rPr>
                <w:color w:val="000000"/>
                <w:sz w:val="20"/>
              </w:rPr>
              <w:t>4</w:t>
            </w:r>
          </w:p>
        </w:tc>
        <w:tc>
          <w:tcPr>
            <w:tcW w:w="1134" w:type="dxa"/>
            <w:vMerge/>
            <w:tcBorders>
              <w:top w:val="nil"/>
              <w:left w:val="single" w:sz="4" w:space="0" w:color="auto"/>
              <w:bottom w:val="single" w:sz="4" w:space="0" w:color="000000"/>
              <w:right w:val="single" w:sz="4" w:space="0" w:color="auto"/>
            </w:tcBorders>
            <w:vAlign w:val="center"/>
            <w:hideMark/>
          </w:tcPr>
          <w:p w14:paraId="46EB8AF7" w14:textId="77777777" w:rsidR="007C4B50" w:rsidRPr="00AD3B0D" w:rsidRDefault="007C4B50" w:rsidP="00BC2AA5">
            <w:pPr>
              <w:spacing w:after="60"/>
              <w:jc w:val="center"/>
              <w:rPr>
                <w:color w:val="000000"/>
                <w:sz w:val="20"/>
              </w:rPr>
            </w:pPr>
          </w:p>
        </w:tc>
      </w:tr>
      <w:tr w:rsidR="007C4B50" w:rsidRPr="00AD3B0D" w14:paraId="07C0FF8B" w14:textId="77777777" w:rsidTr="00576B90">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6AB1AECC" w14:textId="77777777" w:rsidR="007C4B50" w:rsidRPr="00AD3B0D" w:rsidRDefault="007C4B50" w:rsidP="00BC2AA5">
            <w:pPr>
              <w:spacing w:after="60"/>
              <w:jc w:val="both"/>
              <w:rPr>
                <w:color w:val="000000"/>
                <w:sz w:val="20"/>
              </w:rPr>
            </w:pPr>
            <w:r w:rsidRPr="00AD3B0D">
              <w:rPr>
                <w:color w:val="000000"/>
                <w:sz w:val="20"/>
              </w:rPr>
              <w:t>Наука</w:t>
            </w:r>
          </w:p>
        </w:tc>
        <w:tc>
          <w:tcPr>
            <w:tcW w:w="4395" w:type="dxa"/>
            <w:tcBorders>
              <w:top w:val="nil"/>
              <w:left w:val="nil"/>
              <w:bottom w:val="single" w:sz="4" w:space="0" w:color="auto"/>
              <w:right w:val="single" w:sz="4" w:space="0" w:color="auto"/>
            </w:tcBorders>
            <w:shd w:val="clear" w:color="auto" w:fill="auto"/>
            <w:vAlign w:val="bottom"/>
            <w:hideMark/>
          </w:tcPr>
          <w:p w14:paraId="3D8BC1B8" w14:textId="77777777" w:rsidR="007C4B50" w:rsidRPr="00AD3B0D" w:rsidRDefault="007C4B50" w:rsidP="00BC2AA5">
            <w:pPr>
              <w:spacing w:after="60"/>
              <w:jc w:val="both"/>
              <w:rPr>
                <w:color w:val="000000"/>
                <w:sz w:val="20"/>
              </w:rPr>
            </w:pPr>
            <w:r w:rsidRPr="00AD3B0D">
              <w:rPr>
                <w:color w:val="000000"/>
                <w:sz w:val="20"/>
              </w:rPr>
              <w:t>Соотношение темпа роста внутренних затрат на исследования и разработки за счет всех источников к темпу роста валового внутреннего продукта</w:t>
            </w:r>
          </w:p>
        </w:tc>
        <w:tc>
          <w:tcPr>
            <w:tcW w:w="992" w:type="dxa"/>
            <w:tcBorders>
              <w:top w:val="nil"/>
              <w:left w:val="nil"/>
              <w:bottom w:val="single" w:sz="4" w:space="0" w:color="auto"/>
              <w:right w:val="single" w:sz="4" w:space="0" w:color="auto"/>
            </w:tcBorders>
            <w:shd w:val="clear" w:color="auto" w:fill="auto"/>
            <w:vAlign w:val="center"/>
            <w:hideMark/>
          </w:tcPr>
          <w:p w14:paraId="3593821E" w14:textId="77777777" w:rsidR="007C4B50" w:rsidRPr="00AD3B0D" w:rsidRDefault="007C4B50" w:rsidP="00BC2AA5">
            <w:pPr>
              <w:spacing w:after="60"/>
              <w:jc w:val="center"/>
              <w:rPr>
                <w:color w:val="000000"/>
                <w:sz w:val="20"/>
              </w:rPr>
            </w:pPr>
            <w:r w:rsidRPr="00AD3B0D">
              <w:rPr>
                <w:color w:val="000000"/>
                <w:sz w:val="20"/>
              </w:rPr>
              <w:t>1</w:t>
            </w:r>
          </w:p>
        </w:tc>
        <w:tc>
          <w:tcPr>
            <w:tcW w:w="992" w:type="dxa"/>
            <w:tcBorders>
              <w:top w:val="nil"/>
              <w:left w:val="nil"/>
              <w:bottom w:val="single" w:sz="4" w:space="0" w:color="auto"/>
              <w:right w:val="single" w:sz="4" w:space="0" w:color="auto"/>
            </w:tcBorders>
            <w:shd w:val="clear" w:color="auto" w:fill="auto"/>
            <w:vAlign w:val="center"/>
            <w:hideMark/>
          </w:tcPr>
          <w:p w14:paraId="76F37D4E" w14:textId="5388663F" w:rsidR="007C4B50" w:rsidRPr="00AD3B0D" w:rsidRDefault="007C4B50" w:rsidP="00BC2AA5">
            <w:pPr>
              <w:spacing w:after="60"/>
              <w:jc w:val="center"/>
              <w:rPr>
                <w:color w:val="000000"/>
                <w:sz w:val="20"/>
              </w:rPr>
            </w:pPr>
            <w:r w:rsidRPr="00AD3B0D">
              <w:rPr>
                <w:color w:val="000000"/>
                <w:sz w:val="20"/>
              </w:rPr>
              <w:t>1</w:t>
            </w:r>
            <w:r w:rsidR="00AD3B0D">
              <w:rPr>
                <w:color w:val="000000"/>
                <w:sz w:val="20"/>
              </w:rPr>
              <w:t>,</w:t>
            </w:r>
            <w:r w:rsidRPr="00AD3B0D">
              <w:rPr>
                <w:color w:val="000000"/>
                <w:sz w:val="20"/>
              </w:rPr>
              <w:t>02</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1B1351" w14:textId="77777777" w:rsidR="007C4B50" w:rsidRPr="00AD3B0D" w:rsidRDefault="007C4B50" w:rsidP="00BC2AA5">
            <w:pPr>
              <w:spacing w:after="60"/>
              <w:jc w:val="center"/>
              <w:rPr>
                <w:color w:val="000000"/>
                <w:sz w:val="20"/>
              </w:rPr>
            </w:pPr>
            <w:r w:rsidRPr="00AD3B0D">
              <w:rPr>
                <w:color w:val="000000"/>
                <w:sz w:val="20"/>
              </w:rPr>
              <w:t>213</w:t>
            </w:r>
          </w:p>
        </w:tc>
      </w:tr>
      <w:tr w:rsidR="007C4B50" w:rsidRPr="00AD3B0D" w14:paraId="385C0E04" w14:textId="77777777" w:rsidTr="00576B90">
        <w:trPr>
          <w:trHeight w:val="20"/>
        </w:trPr>
        <w:tc>
          <w:tcPr>
            <w:tcW w:w="1701" w:type="dxa"/>
            <w:vMerge/>
            <w:tcBorders>
              <w:top w:val="nil"/>
              <w:left w:val="single" w:sz="4" w:space="0" w:color="auto"/>
              <w:bottom w:val="single" w:sz="4" w:space="0" w:color="000000"/>
              <w:right w:val="single" w:sz="4" w:space="0" w:color="auto"/>
            </w:tcBorders>
            <w:vAlign w:val="center"/>
            <w:hideMark/>
          </w:tcPr>
          <w:p w14:paraId="12182761" w14:textId="77777777" w:rsidR="007C4B50" w:rsidRPr="00AD3B0D" w:rsidRDefault="007C4B50" w:rsidP="00BC2AA5">
            <w:pPr>
              <w:spacing w:after="60"/>
              <w:jc w:val="both"/>
              <w:rPr>
                <w:color w:val="000000"/>
                <w:sz w:val="20"/>
              </w:rPr>
            </w:pPr>
          </w:p>
        </w:tc>
        <w:tc>
          <w:tcPr>
            <w:tcW w:w="4395" w:type="dxa"/>
            <w:tcBorders>
              <w:top w:val="nil"/>
              <w:left w:val="nil"/>
              <w:bottom w:val="single" w:sz="4" w:space="0" w:color="auto"/>
              <w:right w:val="single" w:sz="4" w:space="0" w:color="auto"/>
            </w:tcBorders>
            <w:shd w:val="clear" w:color="auto" w:fill="auto"/>
            <w:vAlign w:val="bottom"/>
            <w:hideMark/>
          </w:tcPr>
          <w:p w14:paraId="43AB6A56" w14:textId="77777777" w:rsidR="007C4B50" w:rsidRPr="00AD3B0D" w:rsidRDefault="007C4B50" w:rsidP="00BC2AA5">
            <w:pPr>
              <w:spacing w:after="60"/>
              <w:jc w:val="both"/>
              <w:rPr>
                <w:color w:val="000000"/>
                <w:sz w:val="20"/>
              </w:rPr>
            </w:pPr>
            <w:r w:rsidRPr="00AD3B0D">
              <w:rPr>
                <w:color w:val="000000"/>
                <w:sz w:val="20"/>
              </w:rPr>
              <w:t>Численность российских и зарубежных ученых, работающих в российских организациях и имеющих статьи в научных изданиях первого и второго квартилей, индексируемых в международных базах данных</w:t>
            </w:r>
          </w:p>
        </w:tc>
        <w:tc>
          <w:tcPr>
            <w:tcW w:w="992" w:type="dxa"/>
            <w:tcBorders>
              <w:top w:val="nil"/>
              <w:left w:val="nil"/>
              <w:bottom w:val="single" w:sz="4" w:space="0" w:color="auto"/>
              <w:right w:val="single" w:sz="4" w:space="0" w:color="auto"/>
            </w:tcBorders>
            <w:shd w:val="clear" w:color="auto" w:fill="auto"/>
            <w:noWrap/>
            <w:vAlign w:val="center"/>
            <w:hideMark/>
          </w:tcPr>
          <w:p w14:paraId="221B44A1" w14:textId="32C75F52" w:rsidR="007C4B50" w:rsidRPr="00AD3B0D" w:rsidRDefault="007C4B50" w:rsidP="00BC2AA5">
            <w:pPr>
              <w:spacing w:after="60"/>
              <w:jc w:val="center"/>
              <w:rPr>
                <w:color w:val="000000"/>
                <w:sz w:val="20"/>
              </w:rPr>
            </w:pPr>
            <w:r w:rsidRPr="00AD3B0D">
              <w:rPr>
                <w:color w:val="000000"/>
                <w:sz w:val="20"/>
              </w:rPr>
              <w:t>27</w:t>
            </w:r>
            <w:r w:rsidR="00AD3B0D">
              <w:rPr>
                <w:color w:val="000000"/>
                <w:sz w:val="20"/>
              </w:rPr>
              <w:t>,</w:t>
            </w:r>
            <w:r w:rsidRPr="00AD3B0D">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hideMark/>
          </w:tcPr>
          <w:p w14:paraId="0B2490BC" w14:textId="25A09DDD" w:rsidR="007C4B50" w:rsidRPr="00AD3B0D" w:rsidRDefault="007C4B50" w:rsidP="00BC2AA5">
            <w:pPr>
              <w:spacing w:after="60"/>
              <w:jc w:val="center"/>
              <w:rPr>
                <w:color w:val="000000"/>
                <w:sz w:val="20"/>
              </w:rPr>
            </w:pPr>
            <w:r w:rsidRPr="00AD3B0D">
              <w:rPr>
                <w:color w:val="000000"/>
                <w:sz w:val="20"/>
              </w:rPr>
              <w:t>28</w:t>
            </w:r>
            <w:r w:rsidR="00AD3B0D">
              <w:rPr>
                <w:color w:val="000000"/>
                <w:sz w:val="20"/>
              </w:rPr>
              <w:t>,</w:t>
            </w:r>
            <w:r w:rsidRPr="00AD3B0D">
              <w:rPr>
                <w:color w:val="000000"/>
                <w:sz w:val="20"/>
              </w:rPr>
              <w:t>9</w:t>
            </w:r>
          </w:p>
        </w:tc>
        <w:tc>
          <w:tcPr>
            <w:tcW w:w="1134" w:type="dxa"/>
            <w:vMerge/>
            <w:tcBorders>
              <w:top w:val="nil"/>
              <w:left w:val="single" w:sz="4" w:space="0" w:color="auto"/>
              <w:bottom w:val="single" w:sz="4" w:space="0" w:color="000000"/>
              <w:right w:val="single" w:sz="4" w:space="0" w:color="auto"/>
            </w:tcBorders>
            <w:vAlign w:val="center"/>
            <w:hideMark/>
          </w:tcPr>
          <w:p w14:paraId="14D13146" w14:textId="77777777" w:rsidR="007C4B50" w:rsidRPr="00AD3B0D" w:rsidRDefault="007C4B50" w:rsidP="00BC2AA5">
            <w:pPr>
              <w:spacing w:after="60"/>
              <w:jc w:val="center"/>
              <w:rPr>
                <w:color w:val="000000"/>
                <w:sz w:val="20"/>
              </w:rPr>
            </w:pPr>
          </w:p>
        </w:tc>
      </w:tr>
      <w:tr w:rsidR="007C4B50" w:rsidRPr="00AD3B0D" w14:paraId="1310B51D" w14:textId="77777777" w:rsidTr="00576B90">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E928326" w14:textId="77777777" w:rsidR="007C4B50" w:rsidRPr="00AD3B0D" w:rsidRDefault="007C4B50" w:rsidP="00BC2AA5">
            <w:pPr>
              <w:spacing w:after="60"/>
              <w:jc w:val="both"/>
              <w:rPr>
                <w:color w:val="000000"/>
                <w:sz w:val="20"/>
              </w:rPr>
            </w:pPr>
            <w:r w:rsidRPr="00AD3B0D">
              <w:rPr>
                <w:color w:val="000000"/>
                <w:sz w:val="20"/>
              </w:rPr>
              <w:t>МСП и поддержка индивидуальной предпринимательской инициативы</w:t>
            </w:r>
          </w:p>
        </w:tc>
        <w:tc>
          <w:tcPr>
            <w:tcW w:w="4395" w:type="dxa"/>
            <w:tcBorders>
              <w:top w:val="nil"/>
              <w:left w:val="nil"/>
              <w:bottom w:val="single" w:sz="4" w:space="0" w:color="auto"/>
              <w:right w:val="single" w:sz="4" w:space="0" w:color="auto"/>
            </w:tcBorders>
            <w:shd w:val="clear" w:color="auto" w:fill="auto"/>
            <w:vAlign w:val="bottom"/>
            <w:hideMark/>
          </w:tcPr>
          <w:p w14:paraId="15BE1E87" w14:textId="77777777" w:rsidR="007C4B50" w:rsidRPr="00AD3B0D" w:rsidRDefault="007C4B50" w:rsidP="00BC2AA5">
            <w:pPr>
              <w:spacing w:after="60"/>
              <w:jc w:val="both"/>
              <w:rPr>
                <w:color w:val="000000"/>
                <w:sz w:val="20"/>
              </w:rPr>
            </w:pPr>
            <w:r w:rsidRPr="00AD3B0D">
              <w:rPr>
                <w:color w:val="000000"/>
                <w:sz w:val="20"/>
              </w:rPr>
              <w:t>Доля малого и среднего предпринимательства в валовом внутреннем продукте</w:t>
            </w:r>
          </w:p>
        </w:tc>
        <w:tc>
          <w:tcPr>
            <w:tcW w:w="992" w:type="dxa"/>
            <w:tcBorders>
              <w:top w:val="nil"/>
              <w:left w:val="nil"/>
              <w:bottom w:val="single" w:sz="4" w:space="0" w:color="auto"/>
              <w:right w:val="single" w:sz="4" w:space="0" w:color="auto"/>
            </w:tcBorders>
            <w:shd w:val="clear" w:color="auto" w:fill="auto"/>
            <w:vAlign w:val="center"/>
            <w:hideMark/>
          </w:tcPr>
          <w:p w14:paraId="39A5CCBA" w14:textId="1DD4EF4B" w:rsidR="007C4B50" w:rsidRPr="00AD3B0D" w:rsidRDefault="007C4B50" w:rsidP="00BC2AA5">
            <w:pPr>
              <w:spacing w:after="60"/>
              <w:jc w:val="center"/>
              <w:rPr>
                <w:color w:val="000000"/>
                <w:sz w:val="20"/>
              </w:rPr>
            </w:pPr>
            <w:r w:rsidRPr="00AD3B0D">
              <w:rPr>
                <w:color w:val="000000"/>
                <w:sz w:val="20"/>
              </w:rPr>
              <w:t>22</w:t>
            </w:r>
            <w:r w:rsidR="00AD3B0D">
              <w:rPr>
                <w:color w:val="000000"/>
                <w:sz w:val="20"/>
              </w:rPr>
              <w:t>,</w:t>
            </w:r>
            <w:r w:rsidRPr="00AD3B0D">
              <w:rPr>
                <w:color w:val="000000"/>
                <w:sz w:val="20"/>
              </w:rPr>
              <w:t>9</w:t>
            </w:r>
          </w:p>
        </w:tc>
        <w:tc>
          <w:tcPr>
            <w:tcW w:w="992" w:type="dxa"/>
            <w:tcBorders>
              <w:top w:val="nil"/>
              <w:left w:val="nil"/>
              <w:bottom w:val="single" w:sz="4" w:space="0" w:color="auto"/>
              <w:right w:val="single" w:sz="4" w:space="0" w:color="auto"/>
            </w:tcBorders>
            <w:shd w:val="clear" w:color="auto" w:fill="auto"/>
            <w:vAlign w:val="center"/>
            <w:hideMark/>
          </w:tcPr>
          <w:p w14:paraId="28ABD171" w14:textId="0CECD914" w:rsidR="007C4B50" w:rsidRPr="00AD3B0D" w:rsidRDefault="007C4B50" w:rsidP="00BC2AA5">
            <w:pPr>
              <w:spacing w:after="60"/>
              <w:jc w:val="center"/>
              <w:rPr>
                <w:color w:val="000000"/>
                <w:sz w:val="20"/>
              </w:rPr>
            </w:pPr>
            <w:r w:rsidRPr="00AD3B0D">
              <w:rPr>
                <w:color w:val="000000"/>
                <w:sz w:val="20"/>
              </w:rPr>
              <w:t>27</w:t>
            </w:r>
            <w:r w:rsidR="00AD3B0D">
              <w:rPr>
                <w:color w:val="000000"/>
                <w:sz w:val="20"/>
              </w:rPr>
              <w:t>,</w:t>
            </w:r>
            <w:r w:rsidRPr="00AD3B0D">
              <w:rPr>
                <w:color w:val="000000"/>
                <w:sz w:val="20"/>
              </w:rPr>
              <w:t>5</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8E95AB" w14:textId="77777777" w:rsidR="007C4B50" w:rsidRPr="00AD3B0D" w:rsidRDefault="007C4B50" w:rsidP="00BC2AA5">
            <w:pPr>
              <w:spacing w:after="60"/>
              <w:jc w:val="center"/>
              <w:rPr>
                <w:color w:val="000000"/>
                <w:sz w:val="20"/>
              </w:rPr>
            </w:pPr>
            <w:r w:rsidRPr="00AD3B0D">
              <w:rPr>
                <w:color w:val="000000"/>
                <w:sz w:val="20"/>
              </w:rPr>
              <w:t>185</w:t>
            </w:r>
          </w:p>
        </w:tc>
      </w:tr>
      <w:tr w:rsidR="007C4B50" w:rsidRPr="00AD3B0D" w14:paraId="19E5DC7B" w14:textId="77777777" w:rsidTr="00576B90">
        <w:trPr>
          <w:trHeight w:val="20"/>
        </w:trPr>
        <w:tc>
          <w:tcPr>
            <w:tcW w:w="1701" w:type="dxa"/>
            <w:vMerge/>
            <w:tcBorders>
              <w:top w:val="nil"/>
              <w:left w:val="single" w:sz="4" w:space="0" w:color="auto"/>
              <w:bottom w:val="single" w:sz="4" w:space="0" w:color="000000"/>
              <w:right w:val="single" w:sz="4" w:space="0" w:color="auto"/>
            </w:tcBorders>
            <w:vAlign w:val="center"/>
            <w:hideMark/>
          </w:tcPr>
          <w:p w14:paraId="0300D3E9" w14:textId="77777777" w:rsidR="007C4B50" w:rsidRPr="00AD3B0D" w:rsidRDefault="007C4B50" w:rsidP="00BC2AA5">
            <w:pPr>
              <w:spacing w:after="60"/>
              <w:jc w:val="both"/>
              <w:rPr>
                <w:color w:val="000000"/>
                <w:sz w:val="20"/>
              </w:rPr>
            </w:pPr>
          </w:p>
        </w:tc>
        <w:tc>
          <w:tcPr>
            <w:tcW w:w="4395" w:type="dxa"/>
            <w:tcBorders>
              <w:top w:val="nil"/>
              <w:left w:val="nil"/>
              <w:bottom w:val="single" w:sz="4" w:space="0" w:color="auto"/>
              <w:right w:val="single" w:sz="4" w:space="0" w:color="auto"/>
            </w:tcBorders>
            <w:shd w:val="clear" w:color="auto" w:fill="auto"/>
            <w:vAlign w:val="bottom"/>
            <w:hideMark/>
          </w:tcPr>
          <w:p w14:paraId="51CE31DD" w14:textId="77777777" w:rsidR="007C4B50" w:rsidRPr="00AD3B0D" w:rsidRDefault="007C4B50" w:rsidP="00BC2AA5">
            <w:pPr>
              <w:spacing w:after="60"/>
              <w:jc w:val="both"/>
              <w:rPr>
                <w:color w:val="000000"/>
                <w:sz w:val="20"/>
              </w:rPr>
            </w:pPr>
            <w:r w:rsidRPr="00AD3B0D">
              <w:rPr>
                <w:color w:val="000000"/>
                <w:sz w:val="20"/>
              </w:rPr>
              <w:t>Численность занятых в сфере малого и среднего предпринимательства, включая индивидуальных предпринимателей</w:t>
            </w:r>
          </w:p>
        </w:tc>
        <w:tc>
          <w:tcPr>
            <w:tcW w:w="992" w:type="dxa"/>
            <w:tcBorders>
              <w:top w:val="nil"/>
              <w:left w:val="nil"/>
              <w:bottom w:val="single" w:sz="4" w:space="0" w:color="auto"/>
              <w:right w:val="single" w:sz="4" w:space="0" w:color="auto"/>
            </w:tcBorders>
            <w:shd w:val="clear" w:color="auto" w:fill="auto"/>
            <w:noWrap/>
            <w:vAlign w:val="center"/>
            <w:hideMark/>
          </w:tcPr>
          <w:p w14:paraId="6E5BC92C" w14:textId="75509D05" w:rsidR="007C4B50" w:rsidRPr="00AD3B0D" w:rsidRDefault="007C4B50" w:rsidP="00BC2AA5">
            <w:pPr>
              <w:spacing w:after="60"/>
              <w:jc w:val="center"/>
              <w:rPr>
                <w:color w:val="000000"/>
                <w:sz w:val="20"/>
              </w:rPr>
            </w:pPr>
            <w:r w:rsidRPr="00AD3B0D">
              <w:rPr>
                <w:color w:val="000000"/>
                <w:sz w:val="20"/>
              </w:rPr>
              <w:t>29</w:t>
            </w:r>
            <w:r w:rsidR="00AD3B0D">
              <w:rPr>
                <w:color w:val="000000"/>
                <w:sz w:val="20"/>
              </w:rPr>
              <w:t>,</w:t>
            </w:r>
            <w:r w:rsidRPr="00AD3B0D">
              <w:rPr>
                <w:color w:val="000000"/>
                <w:sz w:val="20"/>
              </w:rPr>
              <w:t>6</w:t>
            </w:r>
          </w:p>
        </w:tc>
        <w:tc>
          <w:tcPr>
            <w:tcW w:w="992" w:type="dxa"/>
            <w:tcBorders>
              <w:top w:val="nil"/>
              <w:left w:val="nil"/>
              <w:bottom w:val="single" w:sz="4" w:space="0" w:color="auto"/>
              <w:right w:val="single" w:sz="4" w:space="0" w:color="auto"/>
            </w:tcBorders>
            <w:shd w:val="clear" w:color="auto" w:fill="auto"/>
            <w:noWrap/>
            <w:vAlign w:val="center"/>
            <w:hideMark/>
          </w:tcPr>
          <w:p w14:paraId="52417E51" w14:textId="30A4B0F8" w:rsidR="007C4B50" w:rsidRPr="00AD3B0D" w:rsidRDefault="007C4B50" w:rsidP="00BC2AA5">
            <w:pPr>
              <w:spacing w:after="60"/>
              <w:jc w:val="center"/>
              <w:rPr>
                <w:color w:val="000000"/>
                <w:sz w:val="20"/>
              </w:rPr>
            </w:pPr>
            <w:r w:rsidRPr="00AD3B0D">
              <w:rPr>
                <w:color w:val="000000"/>
                <w:sz w:val="20"/>
              </w:rPr>
              <w:t>22</w:t>
            </w:r>
            <w:r w:rsidR="00AD3B0D">
              <w:rPr>
                <w:color w:val="000000"/>
                <w:sz w:val="20"/>
              </w:rPr>
              <w:t>,</w:t>
            </w:r>
            <w:r w:rsidRPr="00AD3B0D">
              <w:rPr>
                <w:color w:val="000000"/>
                <w:sz w:val="20"/>
              </w:rPr>
              <w:t>9</w:t>
            </w:r>
          </w:p>
        </w:tc>
        <w:tc>
          <w:tcPr>
            <w:tcW w:w="1134" w:type="dxa"/>
            <w:vMerge/>
            <w:tcBorders>
              <w:top w:val="nil"/>
              <w:left w:val="single" w:sz="4" w:space="0" w:color="auto"/>
              <w:bottom w:val="single" w:sz="4" w:space="0" w:color="000000"/>
              <w:right w:val="single" w:sz="4" w:space="0" w:color="auto"/>
            </w:tcBorders>
            <w:vAlign w:val="center"/>
            <w:hideMark/>
          </w:tcPr>
          <w:p w14:paraId="3597C178" w14:textId="77777777" w:rsidR="007C4B50" w:rsidRPr="00AD3B0D" w:rsidRDefault="007C4B50" w:rsidP="00BC2AA5">
            <w:pPr>
              <w:spacing w:after="60"/>
              <w:jc w:val="center"/>
              <w:rPr>
                <w:color w:val="000000"/>
                <w:sz w:val="20"/>
              </w:rPr>
            </w:pPr>
          </w:p>
        </w:tc>
      </w:tr>
      <w:tr w:rsidR="007C4B50" w:rsidRPr="00AD3B0D" w14:paraId="112CF7D5" w14:textId="77777777" w:rsidTr="00A46B79">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224823E4" w14:textId="77777777" w:rsidR="007C4B50" w:rsidRPr="00AD3B0D" w:rsidRDefault="007C4B50" w:rsidP="00BC2AA5">
            <w:pPr>
              <w:spacing w:after="60"/>
              <w:rPr>
                <w:color w:val="000000"/>
                <w:sz w:val="20"/>
              </w:rPr>
            </w:pPr>
            <w:r w:rsidRPr="00AD3B0D">
              <w:rPr>
                <w:color w:val="000000"/>
                <w:sz w:val="20"/>
              </w:rPr>
              <w:t>Культура</w:t>
            </w:r>
          </w:p>
        </w:tc>
        <w:tc>
          <w:tcPr>
            <w:tcW w:w="4395" w:type="dxa"/>
            <w:tcBorders>
              <w:top w:val="nil"/>
              <w:left w:val="nil"/>
              <w:bottom w:val="single" w:sz="4" w:space="0" w:color="auto"/>
              <w:right w:val="single" w:sz="4" w:space="0" w:color="auto"/>
            </w:tcBorders>
            <w:shd w:val="clear" w:color="auto" w:fill="auto"/>
            <w:vAlign w:val="bottom"/>
            <w:hideMark/>
          </w:tcPr>
          <w:p w14:paraId="4495A710" w14:textId="77777777" w:rsidR="007C4B50" w:rsidRPr="00AD3B0D" w:rsidRDefault="007C4B50" w:rsidP="00BC2AA5">
            <w:pPr>
              <w:spacing w:after="60"/>
              <w:jc w:val="both"/>
              <w:rPr>
                <w:color w:val="000000"/>
                <w:sz w:val="20"/>
              </w:rPr>
            </w:pPr>
            <w:r w:rsidRPr="00AD3B0D">
              <w:rPr>
                <w:color w:val="000000"/>
                <w:sz w:val="20"/>
              </w:rPr>
              <w:t>Число посещений организаций культуры (увеличение на 15%)</w:t>
            </w:r>
          </w:p>
        </w:tc>
        <w:tc>
          <w:tcPr>
            <w:tcW w:w="992" w:type="dxa"/>
            <w:tcBorders>
              <w:top w:val="nil"/>
              <w:left w:val="nil"/>
              <w:bottom w:val="single" w:sz="4" w:space="0" w:color="auto"/>
              <w:right w:val="single" w:sz="4" w:space="0" w:color="auto"/>
            </w:tcBorders>
            <w:shd w:val="clear" w:color="auto" w:fill="auto"/>
            <w:vAlign w:val="center"/>
            <w:hideMark/>
          </w:tcPr>
          <w:p w14:paraId="3C36E45C" w14:textId="77777777" w:rsidR="007C4B50" w:rsidRPr="00AD3B0D" w:rsidRDefault="007C4B50" w:rsidP="00BC2AA5">
            <w:pPr>
              <w:spacing w:after="60"/>
              <w:jc w:val="center"/>
              <w:rPr>
                <w:color w:val="000000"/>
                <w:sz w:val="20"/>
              </w:rPr>
            </w:pPr>
            <w:r w:rsidRPr="00AD3B0D">
              <w:rPr>
                <w:color w:val="000000"/>
                <w:sz w:val="20"/>
              </w:rPr>
              <w:t>101</w:t>
            </w:r>
          </w:p>
        </w:tc>
        <w:tc>
          <w:tcPr>
            <w:tcW w:w="992" w:type="dxa"/>
            <w:tcBorders>
              <w:top w:val="nil"/>
              <w:left w:val="nil"/>
              <w:bottom w:val="single" w:sz="4" w:space="0" w:color="auto"/>
              <w:right w:val="single" w:sz="4" w:space="0" w:color="auto"/>
            </w:tcBorders>
            <w:shd w:val="clear" w:color="auto" w:fill="auto"/>
            <w:vAlign w:val="center"/>
            <w:hideMark/>
          </w:tcPr>
          <w:p w14:paraId="20E36535" w14:textId="77777777" w:rsidR="007C4B50" w:rsidRPr="00AD3B0D" w:rsidRDefault="007C4B50" w:rsidP="00BC2AA5">
            <w:pPr>
              <w:spacing w:after="60"/>
              <w:jc w:val="center"/>
              <w:rPr>
                <w:color w:val="000000"/>
                <w:sz w:val="20"/>
              </w:rPr>
            </w:pPr>
            <w:r w:rsidRPr="00AD3B0D">
              <w:rPr>
                <w:color w:val="000000"/>
                <w:sz w:val="20"/>
              </w:rPr>
              <w:t>107</w:t>
            </w:r>
          </w:p>
        </w:tc>
        <w:tc>
          <w:tcPr>
            <w:tcW w:w="1134" w:type="dxa"/>
            <w:tcBorders>
              <w:top w:val="nil"/>
              <w:left w:val="nil"/>
              <w:bottom w:val="single" w:sz="4" w:space="0" w:color="auto"/>
              <w:right w:val="single" w:sz="4" w:space="0" w:color="auto"/>
            </w:tcBorders>
            <w:shd w:val="clear" w:color="auto" w:fill="auto"/>
            <w:noWrap/>
            <w:vAlign w:val="center"/>
            <w:hideMark/>
          </w:tcPr>
          <w:p w14:paraId="4EAE562E" w14:textId="77777777" w:rsidR="007C4B50" w:rsidRPr="00AD3B0D" w:rsidRDefault="007C4B50" w:rsidP="00BC2AA5">
            <w:pPr>
              <w:spacing w:after="60"/>
              <w:jc w:val="center"/>
              <w:rPr>
                <w:color w:val="000000"/>
                <w:sz w:val="20"/>
              </w:rPr>
            </w:pPr>
            <w:r w:rsidRPr="00AD3B0D">
              <w:rPr>
                <w:color w:val="000000"/>
                <w:sz w:val="20"/>
              </w:rPr>
              <w:t>53</w:t>
            </w:r>
          </w:p>
        </w:tc>
      </w:tr>
      <w:tr w:rsidR="007C4B50" w:rsidRPr="00AD3B0D" w14:paraId="2D8FF849" w14:textId="77777777" w:rsidTr="00576B90">
        <w:trPr>
          <w:trHeight w:val="20"/>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052C670C" w14:textId="77777777" w:rsidR="007C4B50" w:rsidRPr="00AD3B0D" w:rsidRDefault="007C4B50" w:rsidP="00BC2AA5">
            <w:pPr>
              <w:spacing w:after="60"/>
              <w:jc w:val="both"/>
              <w:rPr>
                <w:color w:val="000000"/>
                <w:sz w:val="20"/>
              </w:rPr>
            </w:pPr>
            <w:r w:rsidRPr="00AD3B0D">
              <w:rPr>
                <w:color w:val="000000"/>
                <w:sz w:val="20"/>
              </w:rPr>
              <w:t>Производительность труда и поддержка занятости</w:t>
            </w:r>
          </w:p>
        </w:tc>
        <w:tc>
          <w:tcPr>
            <w:tcW w:w="4395" w:type="dxa"/>
            <w:tcBorders>
              <w:top w:val="nil"/>
              <w:left w:val="nil"/>
              <w:bottom w:val="single" w:sz="4" w:space="0" w:color="auto"/>
              <w:right w:val="single" w:sz="4" w:space="0" w:color="auto"/>
            </w:tcBorders>
            <w:shd w:val="clear" w:color="auto" w:fill="auto"/>
            <w:vAlign w:val="bottom"/>
            <w:hideMark/>
          </w:tcPr>
          <w:p w14:paraId="1379E179" w14:textId="77777777" w:rsidR="007C4B50" w:rsidRPr="00AD3B0D" w:rsidRDefault="007C4B50" w:rsidP="00BC2AA5">
            <w:pPr>
              <w:spacing w:after="60"/>
              <w:jc w:val="both"/>
              <w:rPr>
                <w:color w:val="000000"/>
                <w:sz w:val="20"/>
              </w:rPr>
            </w:pPr>
            <w:r w:rsidRPr="00AD3B0D">
              <w:rPr>
                <w:color w:val="000000"/>
                <w:sz w:val="20"/>
              </w:rPr>
              <w:t>Рост производительности труда на средних и крупных предприятиях базовых несырьевых отраслей экономики по отношению к предыдущему году</w:t>
            </w:r>
          </w:p>
        </w:tc>
        <w:tc>
          <w:tcPr>
            <w:tcW w:w="992" w:type="dxa"/>
            <w:tcBorders>
              <w:top w:val="nil"/>
              <w:left w:val="nil"/>
              <w:bottom w:val="single" w:sz="4" w:space="0" w:color="auto"/>
              <w:right w:val="single" w:sz="4" w:space="0" w:color="auto"/>
            </w:tcBorders>
            <w:shd w:val="clear" w:color="auto" w:fill="auto"/>
            <w:vAlign w:val="center"/>
            <w:hideMark/>
          </w:tcPr>
          <w:p w14:paraId="45CB9594" w14:textId="3925E027" w:rsidR="007C4B50" w:rsidRPr="00AD3B0D" w:rsidRDefault="007C4B50" w:rsidP="00BC2AA5">
            <w:pPr>
              <w:spacing w:after="60"/>
              <w:jc w:val="center"/>
              <w:rPr>
                <w:color w:val="000000"/>
                <w:sz w:val="20"/>
              </w:rPr>
            </w:pPr>
            <w:r w:rsidRPr="00AD3B0D">
              <w:rPr>
                <w:color w:val="000000"/>
                <w:sz w:val="20"/>
              </w:rPr>
              <w:t>101</w:t>
            </w:r>
            <w:r w:rsidR="00AD3B0D">
              <w:rPr>
                <w:color w:val="000000"/>
                <w:sz w:val="20"/>
              </w:rPr>
              <w:t>,</w:t>
            </w:r>
            <w:r w:rsidRPr="00AD3B0D">
              <w:rPr>
                <w:color w:val="000000"/>
                <w:sz w:val="20"/>
              </w:rPr>
              <w:t>4</w:t>
            </w:r>
          </w:p>
        </w:tc>
        <w:tc>
          <w:tcPr>
            <w:tcW w:w="992" w:type="dxa"/>
            <w:tcBorders>
              <w:top w:val="nil"/>
              <w:left w:val="nil"/>
              <w:bottom w:val="single" w:sz="4" w:space="0" w:color="auto"/>
              <w:right w:val="single" w:sz="4" w:space="0" w:color="auto"/>
            </w:tcBorders>
            <w:shd w:val="clear" w:color="auto" w:fill="auto"/>
            <w:vAlign w:val="center"/>
            <w:hideMark/>
          </w:tcPr>
          <w:p w14:paraId="2E363891" w14:textId="7D150BA2" w:rsidR="007C4B50" w:rsidRPr="00AD3B0D" w:rsidRDefault="007C4B50" w:rsidP="00BC2AA5">
            <w:pPr>
              <w:spacing w:after="60"/>
              <w:jc w:val="center"/>
              <w:rPr>
                <w:color w:val="000000"/>
                <w:sz w:val="20"/>
              </w:rPr>
            </w:pPr>
            <w:r w:rsidRPr="00AD3B0D">
              <w:rPr>
                <w:color w:val="000000"/>
                <w:sz w:val="20"/>
              </w:rPr>
              <w:t>103</w:t>
            </w:r>
            <w:r w:rsidR="00AD3B0D">
              <w:rPr>
                <w:color w:val="000000"/>
                <w:sz w:val="20"/>
              </w:rPr>
              <w:t>,</w:t>
            </w:r>
            <w:r w:rsidRPr="00AD3B0D">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14:paraId="7124D86E" w14:textId="77777777" w:rsidR="007C4B50" w:rsidRPr="00AD3B0D" w:rsidRDefault="007C4B50" w:rsidP="00BC2AA5">
            <w:pPr>
              <w:spacing w:after="60"/>
              <w:jc w:val="center"/>
              <w:rPr>
                <w:color w:val="000000"/>
                <w:sz w:val="20"/>
              </w:rPr>
            </w:pPr>
            <w:r w:rsidRPr="00AD3B0D">
              <w:rPr>
                <w:color w:val="000000"/>
                <w:sz w:val="20"/>
              </w:rPr>
              <w:t>21</w:t>
            </w:r>
          </w:p>
        </w:tc>
      </w:tr>
    </w:tbl>
    <w:p w14:paraId="5BADF96B" w14:textId="77777777" w:rsidR="007C4B50" w:rsidRPr="007D53C2" w:rsidRDefault="007C4B50" w:rsidP="00576B90">
      <w:pPr>
        <w:spacing w:after="60"/>
        <w:ind w:firstLine="709"/>
        <w:jc w:val="both"/>
        <w:rPr>
          <w:sz w:val="20"/>
        </w:rPr>
      </w:pPr>
      <w:r w:rsidRPr="00A46B79">
        <w:rPr>
          <w:i/>
          <w:sz w:val="20"/>
        </w:rPr>
        <w:t>Источник</w:t>
      </w:r>
      <w:r w:rsidRPr="007D53C2">
        <w:rPr>
          <w:sz w:val="20"/>
        </w:rPr>
        <w:t>: приложение 14 к проекту закона «О федеральном бюджете на 2020 год и на плановый период 2021 и 2022 годов</w:t>
      </w:r>
      <w:r>
        <w:rPr>
          <w:sz w:val="20"/>
        </w:rPr>
        <w:t>»</w:t>
      </w:r>
      <w:r w:rsidRPr="007D53C2">
        <w:rPr>
          <w:sz w:val="20"/>
        </w:rPr>
        <w:t>, утвержденные президиумом Совета при Президенте Российской Федерации по стратегическому развитию и национальным проектам паспорта национальных проектов, расчеты авторов.</w:t>
      </w:r>
    </w:p>
    <w:p w14:paraId="3C466905" w14:textId="5271E61E" w:rsidR="007C4B50" w:rsidRDefault="007C4B50" w:rsidP="00576B90">
      <w:pPr>
        <w:spacing w:after="60"/>
        <w:ind w:firstLine="709"/>
        <w:jc w:val="both"/>
      </w:pPr>
      <w:r>
        <w:t xml:space="preserve">Из </w:t>
      </w:r>
      <w:r w:rsidR="00035686" w:rsidRPr="00035686">
        <w:rPr>
          <w:i/>
        </w:rPr>
        <w:t>таблиц</w:t>
      </w:r>
      <w:r w:rsidR="00035686">
        <w:rPr>
          <w:i/>
        </w:rPr>
        <w:t>ы</w:t>
      </w:r>
      <w:r w:rsidR="00035686" w:rsidRPr="00035686">
        <w:t> </w:t>
      </w:r>
      <w:r w:rsidR="00C84D38">
        <w:rPr>
          <w:i/>
          <w:noProof/>
        </w:rPr>
        <w:t>12</w:t>
      </w:r>
      <w:r>
        <w:t xml:space="preserve"> видно, что основной объем расходов федерального бюджета в рамках национальных проектов за период 2020 – 2022 гг. направляется на «Демографию», «Здравоохранение», «Комплексный план модернизации инфраструктуры» и «Цифровую экономику Российской Федерации», что представляется достаточно обоснованным в связи со значимостью выделенных целевых показателей национальных проектов.</w:t>
      </w:r>
    </w:p>
    <w:p w14:paraId="7437B4E9" w14:textId="688C76B9" w:rsidR="007C4B50" w:rsidRDefault="007C4B50" w:rsidP="00576B90">
      <w:pPr>
        <w:spacing w:after="60"/>
        <w:ind w:firstLine="709"/>
        <w:jc w:val="both"/>
      </w:pPr>
      <w:r>
        <w:t>Вместе с тем стоит отметить, что расходы на национальные проекты «Малое и среднее предпринимательство и поддержка индивидуальной предпринимательской инициативы», а также «</w:t>
      </w:r>
      <w:r w:rsidRPr="002262AB">
        <w:t>Производительность труда и поддержка занятости</w:t>
      </w:r>
      <w:r>
        <w:t xml:space="preserve">» остаются на достаточно низком уровне, несмотря на значимость задач, поставленных в рамках этих национальных проектов и важность указанных в </w:t>
      </w:r>
      <w:r w:rsidR="00035686" w:rsidRPr="00035686">
        <w:rPr>
          <w:i/>
        </w:rPr>
        <w:t>таблиц</w:t>
      </w:r>
      <w:r w:rsidR="00035686">
        <w:rPr>
          <w:i/>
        </w:rPr>
        <w:t>е</w:t>
      </w:r>
      <w:r w:rsidR="00035686" w:rsidRPr="00035686">
        <w:t> </w:t>
      </w:r>
      <w:r w:rsidR="00C84D38">
        <w:rPr>
          <w:i/>
          <w:noProof/>
        </w:rPr>
        <w:t>12</w:t>
      </w:r>
      <w:r>
        <w:t xml:space="preserve"> целевых показателей</w:t>
      </w:r>
      <w:r>
        <w:rPr>
          <w:rStyle w:val="aa"/>
        </w:rPr>
        <w:footnoteReference w:id="13"/>
      </w:r>
      <w:r>
        <w:t xml:space="preserve">. Необходимо отметить, что два указанных национальных проекта должны оказывать значимое влияние на достижение таких ключевых национальных целей развития, как </w:t>
      </w:r>
      <w:r w:rsidR="00AD3B0D">
        <w:t>ц</w:t>
      </w:r>
      <w:r>
        <w:t>ель 8</w:t>
      </w:r>
      <w:r w:rsidR="00AD3B0D">
        <w:t xml:space="preserve"> (</w:t>
      </w:r>
      <w:r>
        <w:t>«</w:t>
      </w:r>
      <w:r w:rsidRPr="00AE7C4E">
        <w:t>Вхождение Российской Федерации в число пяти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w:t>
      </w:r>
      <w:r>
        <w:t>»</w:t>
      </w:r>
      <w:r w:rsidR="00AD3B0D">
        <w:t>)</w:t>
      </w:r>
      <w:r>
        <w:t xml:space="preserve">, </w:t>
      </w:r>
      <w:r w:rsidR="00AD3B0D">
        <w:t>ц</w:t>
      </w:r>
      <w:r>
        <w:t>ел</w:t>
      </w:r>
      <w:r w:rsidR="00AD3B0D">
        <w:t>ь</w:t>
      </w:r>
      <w:r>
        <w:t xml:space="preserve"> 3 </w:t>
      </w:r>
      <w:r w:rsidR="00AD3B0D">
        <w:t>(</w:t>
      </w:r>
      <w:r>
        <w:t>«Обеспечение устойчивого роста реальных доходов граждан, а также роста уровня пенсионного обеспечения выше уровня инфляции»</w:t>
      </w:r>
      <w:r w:rsidR="00AD3B0D">
        <w:t>)</w:t>
      </w:r>
      <w:r>
        <w:t xml:space="preserve"> и </w:t>
      </w:r>
      <w:r w:rsidR="00AD3B0D">
        <w:t>ц</w:t>
      </w:r>
      <w:r>
        <w:t>ел</w:t>
      </w:r>
      <w:r w:rsidR="00AD3B0D">
        <w:t>ь</w:t>
      </w:r>
      <w:r>
        <w:t xml:space="preserve"> 4 </w:t>
      </w:r>
      <w:r w:rsidR="00AD3B0D">
        <w:t>(</w:t>
      </w:r>
      <w:r>
        <w:t>«Снижение в два раза уровня бедности в Российской Федерации»</w:t>
      </w:r>
      <w:r w:rsidR="00AD3B0D">
        <w:t>)</w:t>
      </w:r>
      <w:r>
        <w:t>. Недостаточные объемы финансирования указанных национальных проектов могут приводить к рискам недостижения не только целевых показателей самих национальных проектов, но и негативно влиять на другие национальные проекты, а также на достижение национальных целей развития Российской Федерации.</w:t>
      </w:r>
    </w:p>
    <w:p w14:paraId="6FE2E7B7" w14:textId="77777777" w:rsidR="00EB2D24" w:rsidRDefault="007C4B50" w:rsidP="00576B90">
      <w:pPr>
        <w:spacing w:after="60"/>
        <w:ind w:firstLine="709"/>
        <w:jc w:val="both"/>
      </w:pPr>
      <w:r>
        <w:t xml:space="preserve">Таким образом, можно отметить позитивные тенденции, связанные с ростом расходов федерального бюджета на 2020 год и на </w:t>
      </w:r>
      <w:r w:rsidRPr="006B440C">
        <w:t>плановый период 2021 и 2022 годов</w:t>
      </w:r>
      <w:r>
        <w:t>, направленных на национальные проекты</w:t>
      </w:r>
      <w:r w:rsidR="00AD3B0D">
        <w:t>,</w:t>
      </w:r>
      <w:r>
        <w:t xml:space="preserve"> и, как следствие, рост </w:t>
      </w:r>
      <w:r w:rsidRPr="00CE65ED">
        <w:t>объем</w:t>
      </w:r>
      <w:r>
        <w:t>ов</w:t>
      </w:r>
      <w:r w:rsidRPr="00CE65ED">
        <w:t xml:space="preserve"> финансирования через проектные инструменты по сравнению с текущими расходами</w:t>
      </w:r>
      <w:r>
        <w:t xml:space="preserve">. </w:t>
      </w:r>
    </w:p>
    <w:p w14:paraId="44F180FE" w14:textId="5AFE36B3" w:rsidR="007C4B50" w:rsidRPr="00244B83" w:rsidRDefault="007C4B50" w:rsidP="00576B90">
      <w:pPr>
        <w:spacing w:after="60"/>
        <w:ind w:firstLine="709"/>
        <w:jc w:val="both"/>
      </w:pPr>
      <w:r>
        <w:t xml:space="preserve">В то же время вызывают вопросы три важных аспекта этого роста. Первый – рост расходов по национальным проектам с низким уровнем исполнения расходов бюджетных средств в текущем 2019 году повышает риски формального выполнения мероприятий будущих лет с целью освоения средств. Второй – рост расходов по одним национальным проектам при одновременном </w:t>
      </w:r>
      <w:r w:rsidR="00F64E9C">
        <w:t xml:space="preserve">сокращении </w:t>
      </w:r>
      <w:r>
        <w:t>по другим может сни</w:t>
      </w:r>
      <w:r w:rsidR="00EB2D24">
        <w:t>зит</w:t>
      </w:r>
      <w:r>
        <w:t xml:space="preserve">ь совокупные мультипликативные эффекты для всей экономики. Третий – сбалансированность распределения расходов между национальными проектами, поскольку уровень расходов по отдельным национальным проектам оказывается достаточно низким, несмотря на их важность для осуществления прорывного социально-экономического и научно-технологического развития и достижения национальных целей развития, обозначенных в Указе Президента </w:t>
      </w:r>
      <w:r w:rsidR="00733417">
        <w:t>РФ</w:t>
      </w:r>
      <w:r>
        <w:t xml:space="preserve"> № 204.</w:t>
      </w:r>
    </w:p>
    <w:p w14:paraId="2B834EE2" w14:textId="7CD2B6E0" w:rsidR="0002614E" w:rsidRPr="0002614E" w:rsidRDefault="002D146E" w:rsidP="00ED539A">
      <w:pPr>
        <w:keepNext/>
        <w:spacing w:before="240" w:after="60"/>
        <w:jc w:val="center"/>
        <w:outlineLvl w:val="1"/>
        <w:rPr>
          <w:b/>
        </w:rPr>
      </w:pPr>
      <w:bookmarkStart w:id="23" w:name="_Toc21436747"/>
      <w:r>
        <w:rPr>
          <w:b/>
        </w:rPr>
        <w:t>6.</w:t>
      </w:r>
      <w:r w:rsidR="006C63D9">
        <w:rPr>
          <w:b/>
        </w:rPr>
        <w:t xml:space="preserve">2 </w:t>
      </w:r>
      <w:r w:rsidR="00995E45" w:rsidRPr="006C63D9">
        <w:rPr>
          <w:b/>
        </w:rPr>
        <w:t>Общие тенденции расходов по функциональным разделам</w:t>
      </w:r>
      <w:bookmarkStart w:id="24" w:name="_Toc465959031"/>
      <w:bookmarkEnd w:id="15"/>
      <w:bookmarkEnd w:id="23"/>
    </w:p>
    <w:p w14:paraId="22D9C959" w14:textId="369939B5" w:rsidR="006C63D9" w:rsidRDefault="006C63D9" w:rsidP="006C63D9">
      <w:pPr>
        <w:spacing w:after="60"/>
        <w:ind w:firstLine="709"/>
        <w:jc w:val="both"/>
      </w:pPr>
      <w:r w:rsidRPr="00276E68">
        <w:t xml:space="preserve">В разрезе функциональной классификации расходов </w:t>
      </w:r>
      <w:r w:rsidRPr="00663212">
        <w:t>(</w:t>
      </w:r>
      <w:r w:rsidRPr="00663212">
        <w:rPr>
          <w:i/>
        </w:rPr>
        <w:t>табл</w:t>
      </w:r>
      <w:r w:rsidR="00191F82" w:rsidRPr="00663212">
        <w:rPr>
          <w:i/>
        </w:rPr>
        <w:t>ица</w:t>
      </w:r>
      <w:r w:rsidR="00663212" w:rsidRPr="00663212">
        <w:rPr>
          <w:i/>
        </w:rPr>
        <w:t xml:space="preserve"> </w:t>
      </w:r>
      <w:r w:rsidR="00C84D38">
        <w:rPr>
          <w:i/>
          <w:noProof/>
        </w:rPr>
        <w:t>13</w:t>
      </w:r>
      <w:r w:rsidRPr="00663212">
        <w:t>)</w:t>
      </w:r>
      <w:r w:rsidRPr="00276E68">
        <w:t xml:space="preserve"> </w:t>
      </w:r>
      <w:r w:rsidRPr="00FB33AE">
        <w:t xml:space="preserve">запланирован </w:t>
      </w:r>
      <w:r w:rsidRPr="00276E68">
        <w:t xml:space="preserve">рост расходов в </w:t>
      </w:r>
      <w:r>
        <w:t>номинальном выражении в 2022</w:t>
      </w:r>
      <w:r w:rsidRPr="00276E68">
        <w:t xml:space="preserve"> г. относительно 2018 г. по всем разделам, кроме СМИ</w:t>
      </w:r>
      <w:r>
        <w:t xml:space="preserve"> и</w:t>
      </w:r>
      <w:r w:rsidRPr="00276E68">
        <w:t xml:space="preserve"> </w:t>
      </w:r>
      <w:r>
        <w:t>«</w:t>
      </w:r>
      <w:r w:rsidRPr="00CF7BC8">
        <w:t>Межбюджетные трансферты общего характера</w:t>
      </w:r>
      <w:r>
        <w:t xml:space="preserve">», </w:t>
      </w:r>
      <w:r w:rsidRPr="00276E68">
        <w:t>бюджетные ассигнования п</w:t>
      </w:r>
      <w:r>
        <w:t>о которым могут сократиться на 17,2</w:t>
      </w:r>
      <w:r w:rsidRPr="00276E68">
        <w:t xml:space="preserve"> и </w:t>
      </w:r>
      <w:r>
        <w:t>91,3</w:t>
      </w:r>
      <w:r w:rsidRPr="00276E68">
        <w:t xml:space="preserve"> млрд руб. соответственно или на </w:t>
      </w:r>
      <w:r>
        <w:t>19,4 и 0,1</w:t>
      </w:r>
      <w:r w:rsidR="00EB2D24">
        <w:t>%</w:t>
      </w:r>
      <w:r>
        <w:t>.</w:t>
      </w:r>
    </w:p>
    <w:p w14:paraId="6F73229B" w14:textId="196C8103" w:rsidR="004E5F60" w:rsidRPr="00600DF7" w:rsidRDefault="004E5F60" w:rsidP="004E5F60">
      <w:pPr>
        <w:spacing w:after="60"/>
        <w:jc w:val="right"/>
        <w:rPr>
          <w:i/>
        </w:rPr>
      </w:pPr>
      <w:r w:rsidRPr="00600DF7">
        <w:rPr>
          <w:i/>
        </w:rPr>
        <w:t>Таблица</w:t>
      </w:r>
      <w:r>
        <w:rPr>
          <w:i/>
        </w:rPr>
        <w:t xml:space="preserve"> </w:t>
      </w:r>
      <w:bookmarkStart w:id="25" w:name="_Ref21341690"/>
      <w:r w:rsidR="00C84D38">
        <w:rPr>
          <w:i/>
          <w:noProof/>
        </w:rPr>
        <w:t>13</w:t>
      </w:r>
      <w:bookmarkEnd w:id="25"/>
    </w:p>
    <w:p w14:paraId="6FD09C0E" w14:textId="77777777" w:rsidR="006C63D9" w:rsidRPr="006625CC" w:rsidRDefault="006C63D9" w:rsidP="006C63D9">
      <w:pPr>
        <w:pStyle w:val="af7"/>
      </w:pPr>
      <w:r w:rsidRPr="006625CC">
        <w:t>Расходы федерального бюджета в 201</w:t>
      </w:r>
      <w:r>
        <w:t>8-2022</w:t>
      </w:r>
      <w:r w:rsidRPr="006625CC">
        <w:t xml:space="preserve"> гг.</w:t>
      </w:r>
      <w:r>
        <w:t>,</w:t>
      </w:r>
      <w:r w:rsidRPr="006625CC">
        <w:t xml:space="preserve"> </w:t>
      </w:r>
      <w:r>
        <w:t>млрд руб.</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1308"/>
        <w:gridCol w:w="1021"/>
        <w:gridCol w:w="1018"/>
        <w:gridCol w:w="1018"/>
        <w:gridCol w:w="1016"/>
        <w:gridCol w:w="1016"/>
        <w:gridCol w:w="1163"/>
      </w:tblGrid>
      <w:tr w:rsidR="006C63D9" w14:paraId="5CC2CCA1" w14:textId="77777777" w:rsidTr="00156669">
        <w:trPr>
          <w:trHeight w:val="600"/>
          <w:tblHeader/>
        </w:trPr>
        <w:tc>
          <w:tcPr>
            <w:tcW w:w="996" w:type="pct"/>
            <w:vMerge w:val="restart"/>
            <w:shd w:val="clear" w:color="auto" w:fill="auto"/>
            <w:vAlign w:val="center"/>
          </w:tcPr>
          <w:p w14:paraId="30FFC630" w14:textId="77777777" w:rsidR="006C63D9" w:rsidRDefault="006C63D9" w:rsidP="00191F82">
            <w:pPr>
              <w:pStyle w:val="af4"/>
            </w:pPr>
          </w:p>
        </w:tc>
        <w:tc>
          <w:tcPr>
            <w:tcW w:w="693" w:type="pct"/>
            <w:vAlign w:val="center"/>
          </w:tcPr>
          <w:p w14:paraId="5F62F813" w14:textId="77777777" w:rsidR="006C63D9" w:rsidRDefault="006C63D9" w:rsidP="00191F82">
            <w:pPr>
              <w:pStyle w:val="af4"/>
            </w:pPr>
            <w:r>
              <w:t>Кассовое исполнение</w:t>
            </w:r>
          </w:p>
        </w:tc>
        <w:tc>
          <w:tcPr>
            <w:tcW w:w="541" w:type="pct"/>
            <w:shd w:val="clear" w:color="auto" w:fill="auto"/>
            <w:vAlign w:val="center"/>
          </w:tcPr>
          <w:p w14:paraId="72D3EC88" w14:textId="77777777" w:rsidR="006C63D9" w:rsidRDefault="006C63D9" w:rsidP="00191F82">
            <w:pPr>
              <w:pStyle w:val="af4"/>
            </w:pPr>
            <w:r>
              <w:t>Оценка</w:t>
            </w:r>
          </w:p>
        </w:tc>
        <w:tc>
          <w:tcPr>
            <w:tcW w:w="1616" w:type="pct"/>
            <w:gridSpan w:val="3"/>
            <w:shd w:val="clear" w:color="auto" w:fill="auto"/>
            <w:vAlign w:val="center"/>
          </w:tcPr>
          <w:p w14:paraId="4726125F" w14:textId="77777777" w:rsidR="006C63D9" w:rsidRDefault="006C63D9" w:rsidP="00191F82">
            <w:pPr>
              <w:pStyle w:val="af4"/>
            </w:pPr>
            <w:r w:rsidRPr="00204D50">
              <w:t xml:space="preserve">Законопроект </w:t>
            </w:r>
          </w:p>
        </w:tc>
        <w:tc>
          <w:tcPr>
            <w:tcW w:w="1154" w:type="pct"/>
            <w:gridSpan w:val="2"/>
            <w:shd w:val="clear" w:color="auto" w:fill="auto"/>
            <w:vAlign w:val="center"/>
          </w:tcPr>
          <w:p w14:paraId="1A9B8ED2" w14:textId="77777777" w:rsidR="006C63D9" w:rsidRPr="00173630" w:rsidRDefault="006C63D9" w:rsidP="00191F82">
            <w:pPr>
              <w:pStyle w:val="af4"/>
              <w:rPr>
                <w:iCs/>
              </w:rPr>
            </w:pPr>
            <w:r>
              <w:rPr>
                <w:iCs/>
              </w:rPr>
              <w:t>Отклонение 2022 г.</w:t>
            </w:r>
            <w:r w:rsidRPr="00173630">
              <w:rPr>
                <w:iCs/>
              </w:rPr>
              <w:t xml:space="preserve"> к 201</w:t>
            </w:r>
            <w:r>
              <w:rPr>
                <w:iCs/>
              </w:rPr>
              <w:t>8 г.</w:t>
            </w:r>
          </w:p>
        </w:tc>
      </w:tr>
      <w:tr w:rsidR="006C63D9" w14:paraId="397A7284" w14:textId="77777777" w:rsidTr="00156669">
        <w:trPr>
          <w:trHeight w:val="529"/>
          <w:tblHeader/>
        </w:trPr>
        <w:tc>
          <w:tcPr>
            <w:tcW w:w="996" w:type="pct"/>
            <w:vMerge/>
            <w:vAlign w:val="center"/>
          </w:tcPr>
          <w:p w14:paraId="38311B20" w14:textId="77777777" w:rsidR="006C63D9" w:rsidRDefault="006C63D9" w:rsidP="00191F82">
            <w:pPr>
              <w:pStyle w:val="af4"/>
            </w:pPr>
          </w:p>
        </w:tc>
        <w:tc>
          <w:tcPr>
            <w:tcW w:w="693" w:type="pct"/>
            <w:vAlign w:val="center"/>
          </w:tcPr>
          <w:p w14:paraId="4EEA5DE9" w14:textId="77777777" w:rsidR="006C63D9" w:rsidRDefault="006C63D9" w:rsidP="00191F82">
            <w:pPr>
              <w:pStyle w:val="af4"/>
            </w:pPr>
            <w:r>
              <w:t>2018 г.</w:t>
            </w:r>
          </w:p>
        </w:tc>
        <w:tc>
          <w:tcPr>
            <w:tcW w:w="541" w:type="pct"/>
            <w:shd w:val="clear" w:color="auto" w:fill="auto"/>
            <w:vAlign w:val="center"/>
          </w:tcPr>
          <w:p w14:paraId="102191D5" w14:textId="77777777" w:rsidR="006C63D9" w:rsidRDefault="006C63D9" w:rsidP="00191F82">
            <w:pPr>
              <w:pStyle w:val="af4"/>
            </w:pPr>
            <w:r>
              <w:t>2019 г.</w:t>
            </w:r>
          </w:p>
        </w:tc>
        <w:tc>
          <w:tcPr>
            <w:tcW w:w="539" w:type="pct"/>
            <w:tcBorders>
              <w:bottom w:val="single" w:sz="4" w:space="0" w:color="auto"/>
            </w:tcBorders>
            <w:shd w:val="clear" w:color="auto" w:fill="auto"/>
            <w:vAlign w:val="center"/>
          </w:tcPr>
          <w:p w14:paraId="72E45837" w14:textId="77777777" w:rsidR="006C63D9" w:rsidRDefault="006C63D9" w:rsidP="00191F82">
            <w:pPr>
              <w:pStyle w:val="af4"/>
            </w:pPr>
            <w:r>
              <w:t>2020 г.</w:t>
            </w:r>
          </w:p>
        </w:tc>
        <w:tc>
          <w:tcPr>
            <w:tcW w:w="539" w:type="pct"/>
            <w:tcBorders>
              <w:bottom w:val="single" w:sz="4" w:space="0" w:color="auto"/>
            </w:tcBorders>
            <w:shd w:val="clear" w:color="auto" w:fill="auto"/>
            <w:vAlign w:val="center"/>
          </w:tcPr>
          <w:p w14:paraId="3D192CE4" w14:textId="77777777" w:rsidR="006C63D9" w:rsidRDefault="006C63D9" w:rsidP="00191F82">
            <w:pPr>
              <w:pStyle w:val="af4"/>
            </w:pPr>
            <w:r>
              <w:t>2021 г.</w:t>
            </w:r>
          </w:p>
        </w:tc>
        <w:tc>
          <w:tcPr>
            <w:tcW w:w="538" w:type="pct"/>
            <w:tcBorders>
              <w:bottom w:val="single" w:sz="4" w:space="0" w:color="auto"/>
            </w:tcBorders>
            <w:shd w:val="clear" w:color="auto" w:fill="auto"/>
            <w:vAlign w:val="center"/>
          </w:tcPr>
          <w:p w14:paraId="09DC0ADC" w14:textId="77777777" w:rsidR="006C63D9" w:rsidRDefault="006C63D9" w:rsidP="00191F82">
            <w:pPr>
              <w:pStyle w:val="af4"/>
            </w:pPr>
            <w:r>
              <w:t>2022 г.</w:t>
            </w:r>
          </w:p>
        </w:tc>
        <w:tc>
          <w:tcPr>
            <w:tcW w:w="538" w:type="pct"/>
            <w:tcBorders>
              <w:bottom w:val="single" w:sz="4" w:space="0" w:color="auto"/>
            </w:tcBorders>
            <w:shd w:val="clear" w:color="auto" w:fill="auto"/>
            <w:vAlign w:val="center"/>
          </w:tcPr>
          <w:p w14:paraId="59996034" w14:textId="77777777" w:rsidR="006C63D9" w:rsidRPr="00C72729" w:rsidRDefault="006C63D9" w:rsidP="00191F82">
            <w:pPr>
              <w:pStyle w:val="af4"/>
            </w:pPr>
            <w:r w:rsidRPr="00C72729">
              <w:t>млрд руб.</w:t>
            </w:r>
          </w:p>
        </w:tc>
        <w:tc>
          <w:tcPr>
            <w:tcW w:w="616" w:type="pct"/>
            <w:tcBorders>
              <w:bottom w:val="single" w:sz="4" w:space="0" w:color="auto"/>
            </w:tcBorders>
            <w:shd w:val="clear" w:color="auto" w:fill="auto"/>
            <w:vAlign w:val="center"/>
          </w:tcPr>
          <w:p w14:paraId="6C0C9343" w14:textId="77777777" w:rsidR="006C63D9" w:rsidRPr="00C72729" w:rsidRDefault="006C63D9" w:rsidP="00191F82">
            <w:pPr>
              <w:pStyle w:val="af4"/>
            </w:pPr>
            <w:r w:rsidRPr="00C72729">
              <w:t>прирост, %</w:t>
            </w:r>
          </w:p>
        </w:tc>
      </w:tr>
      <w:tr w:rsidR="006C63D9" w14:paraId="40B4AFBA" w14:textId="77777777" w:rsidTr="00156669">
        <w:trPr>
          <w:trHeight w:val="283"/>
        </w:trPr>
        <w:tc>
          <w:tcPr>
            <w:tcW w:w="996" w:type="pct"/>
            <w:shd w:val="clear" w:color="auto" w:fill="auto"/>
            <w:vAlign w:val="center"/>
          </w:tcPr>
          <w:p w14:paraId="2988117D" w14:textId="77777777" w:rsidR="006C63D9" w:rsidRPr="0044128E" w:rsidRDefault="006C63D9" w:rsidP="00191F82">
            <w:pPr>
              <w:pStyle w:val="af2"/>
              <w:rPr>
                <w:b/>
              </w:rPr>
            </w:pPr>
            <w:r w:rsidRPr="0044128E">
              <w:rPr>
                <w:b/>
              </w:rPr>
              <w:t>Расходы, всего:</w:t>
            </w:r>
          </w:p>
        </w:tc>
        <w:tc>
          <w:tcPr>
            <w:tcW w:w="693" w:type="pct"/>
            <w:vAlign w:val="center"/>
          </w:tcPr>
          <w:p w14:paraId="6413B296" w14:textId="77777777" w:rsidR="006C63D9" w:rsidRPr="004869F5" w:rsidRDefault="006C63D9" w:rsidP="00191F82">
            <w:pPr>
              <w:pStyle w:val="af3"/>
              <w:rPr>
                <w:b/>
              </w:rPr>
            </w:pPr>
            <w:r>
              <w:rPr>
                <w:b/>
              </w:rPr>
              <w:t>16 713,0</w:t>
            </w:r>
          </w:p>
        </w:tc>
        <w:tc>
          <w:tcPr>
            <w:tcW w:w="541" w:type="pct"/>
            <w:shd w:val="clear" w:color="auto" w:fill="auto"/>
            <w:vAlign w:val="center"/>
          </w:tcPr>
          <w:p w14:paraId="62B71DF3" w14:textId="77777777" w:rsidR="006C63D9" w:rsidRPr="004869F5" w:rsidRDefault="006C63D9" w:rsidP="00191F82">
            <w:pPr>
              <w:pStyle w:val="af3"/>
              <w:rPr>
                <w:b/>
              </w:rPr>
            </w:pPr>
            <w:r>
              <w:rPr>
                <w:rFonts w:eastAsiaTheme="minorEastAsia"/>
                <w:b/>
                <w:lang w:eastAsia="en-US"/>
              </w:rPr>
              <w:t>18 293,7</w:t>
            </w:r>
          </w:p>
        </w:tc>
        <w:tc>
          <w:tcPr>
            <w:tcW w:w="539" w:type="pct"/>
            <w:shd w:val="clear" w:color="auto" w:fill="auto"/>
            <w:vAlign w:val="center"/>
          </w:tcPr>
          <w:p w14:paraId="2604DDFA" w14:textId="77777777" w:rsidR="006C63D9" w:rsidRPr="004869F5" w:rsidRDefault="006C63D9" w:rsidP="00191F82">
            <w:pPr>
              <w:pStyle w:val="af3"/>
              <w:rPr>
                <w:b/>
              </w:rPr>
            </w:pPr>
            <w:r>
              <w:rPr>
                <w:rFonts w:eastAsiaTheme="minorEastAsia"/>
                <w:b/>
                <w:lang w:eastAsia="en-US"/>
              </w:rPr>
              <w:t>19 503,3</w:t>
            </w:r>
          </w:p>
        </w:tc>
        <w:tc>
          <w:tcPr>
            <w:tcW w:w="539" w:type="pct"/>
            <w:vAlign w:val="center"/>
          </w:tcPr>
          <w:p w14:paraId="23C48C79" w14:textId="77777777" w:rsidR="006C63D9" w:rsidRPr="004869F5" w:rsidRDefault="006C63D9" w:rsidP="00191F82">
            <w:pPr>
              <w:pStyle w:val="af3"/>
              <w:rPr>
                <w:b/>
              </w:rPr>
            </w:pPr>
            <w:r>
              <w:rPr>
                <w:rFonts w:eastAsiaTheme="minorEastAsia"/>
                <w:b/>
                <w:lang w:eastAsia="en-US"/>
              </w:rPr>
              <w:t>20 634,0</w:t>
            </w:r>
          </w:p>
        </w:tc>
        <w:tc>
          <w:tcPr>
            <w:tcW w:w="538" w:type="pct"/>
            <w:shd w:val="clear" w:color="auto" w:fill="auto"/>
            <w:vAlign w:val="center"/>
          </w:tcPr>
          <w:p w14:paraId="464DD0D4" w14:textId="77777777" w:rsidR="006C63D9" w:rsidRPr="004869F5" w:rsidRDefault="006C63D9" w:rsidP="00191F82">
            <w:pPr>
              <w:pStyle w:val="af3"/>
              <w:rPr>
                <w:b/>
              </w:rPr>
            </w:pPr>
            <w:r>
              <w:rPr>
                <w:rFonts w:eastAsiaTheme="minorEastAsia"/>
                <w:b/>
                <w:lang w:eastAsia="en-US"/>
              </w:rPr>
              <w:t>21 763,3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32512ACF" w14:textId="77777777" w:rsidR="006C63D9" w:rsidRPr="00173630" w:rsidRDefault="006C63D9" w:rsidP="00191F82">
            <w:pPr>
              <w:jc w:val="center"/>
              <w:rPr>
                <w:b/>
                <w:i/>
                <w:iCs/>
                <w:color w:val="000000"/>
                <w:sz w:val="20"/>
              </w:rPr>
            </w:pPr>
            <w:r>
              <w:rPr>
                <w:b/>
                <w:bCs/>
                <w:i/>
                <w:iCs/>
                <w:color w:val="000000"/>
                <w:sz w:val="20"/>
              </w:rPr>
              <w:t>5 050,3</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6EE42036" w14:textId="77777777" w:rsidR="006C63D9" w:rsidRPr="00173630" w:rsidRDefault="006C63D9" w:rsidP="00191F82">
            <w:pPr>
              <w:jc w:val="center"/>
              <w:rPr>
                <w:b/>
                <w:i/>
                <w:iCs/>
                <w:color w:val="000000"/>
                <w:sz w:val="20"/>
              </w:rPr>
            </w:pPr>
            <w:r>
              <w:rPr>
                <w:b/>
                <w:i/>
                <w:iCs/>
                <w:color w:val="000000"/>
                <w:sz w:val="20"/>
              </w:rPr>
              <w:t>30,2</w:t>
            </w:r>
          </w:p>
        </w:tc>
      </w:tr>
      <w:tr w:rsidR="006C63D9" w14:paraId="0A1F392F" w14:textId="77777777" w:rsidTr="00156669">
        <w:trPr>
          <w:trHeight w:val="255"/>
        </w:trPr>
        <w:tc>
          <w:tcPr>
            <w:tcW w:w="996" w:type="pct"/>
            <w:shd w:val="clear" w:color="auto" w:fill="auto"/>
            <w:vAlign w:val="center"/>
          </w:tcPr>
          <w:p w14:paraId="6EC65300" w14:textId="77777777" w:rsidR="006C63D9" w:rsidRDefault="006C63D9" w:rsidP="00191F82">
            <w:pPr>
              <w:pStyle w:val="af2"/>
              <w:rPr>
                <w:iCs/>
              </w:rPr>
            </w:pPr>
            <w:r>
              <w:rPr>
                <w:iCs/>
              </w:rPr>
              <w:t>в том числе:</w:t>
            </w:r>
          </w:p>
        </w:tc>
        <w:tc>
          <w:tcPr>
            <w:tcW w:w="693" w:type="pct"/>
            <w:vAlign w:val="center"/>
          </w:tcPr>
          <w:p w14:paraId="496B1E6F" w14:textId="77777777" w:rsidR="006C63D9" w:rsidRPr="00431E7F" w:rsidRDefault="006C63D9" w:rsidP="00191F82">
            <w:pPr>
              <w:pStyle w:val="af3"/>
            </w:pPr>
          </w:p>
        </w:tc>
        <w:tc>
          <w:tcPr>
            <w:tcW w:w="541" w:type="pct"/>
            <w:shd w:val="clear" w:color="auto" w:fill="auto"/>
            <w:vAlign w:val="center"/>
          </w:tcPr>
          <w:p w14:paraId="2D7B76D8" w14:textId="77777777" w:rsidR="006C63D9" w:rsidRPr="00431E7F" w:rsidRDefault="006C63D9" w:rsidP="00191F82">
            <w:pPr>
              <w:pStyle w:val="af3"/>
            </w:pPr>
          </w:p>
        </w:tc>
        <w:tc>
          <w:tcPr>
            <w:tcW w:w="539" w:type="pct"/>
            <w:tcBorders>
              <w:top w:val="single" w:sz="4" w:space="0" w:color="auto"/>
              <w:bottom w:val="single" w:sz="4" w:space="0" w:color="auto"/>
              <w:right w:val="single" w:sz="4" w:space="0" w:color="auto"/>
            </w:tcBorders>
            <w:shd w:val="clear" w:color="auto" w:fill="auto"/>
            <w:vAlign w:val="center"/>
          </w:tcPr>
          <w:p w14:paraId="748B133C" w14:textId="77777777" w:rsidR="006C63D9" w:rsidRPr="00431E7F" w:rsidRDefault="006C63D9" w:rsidP="00191F82">
            <w:pPr>
              <w:pStyle w:val="af3"/>
            </w:pPr>
          </w:p>
        </w:tc>
        <w:tc>
          <w:tcPr>
            <w:tcW w:w="539" w:type="pct"/>
            <w:tcBorders>
              <w:top w:val="single" w:sz="4" w:space="0" w:color="auto"/>
              <w:left w:val="single" w:sz="4" w:space="0" w:color="auto"/>
              <w:bottom w:val="single" w:sz="4" w:space="0" w:color="auto"/>
              <w:right w:val="single" w:sz="4" w:space="0" w:color="auto"/>
            </w:tcBorders>
            <w:noWrap/>
            <w:vAlign w:val="center"/>
          </w:tcPr>
          <w:p w14:paraId="166DCBAD" w14:textId="77777777" w:rsidR="006C63D9" w:rsidRPr="00431E7F" w:rsidRDefault="006C63D9" w:rsidP="00191F82">
            <w:pPr>
              <w:pStyle w:val="af3"/>
            </w:pP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B6E76" w14:textId="77777777" w:rsidR="006C63D9" w:rsidRPr="00431E7F" w:rsidRDefault="006C63D9" w:rsidP="00191F82">
            <w:pPr>
              <w:pStyle w:val="af3"/>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56396AB3" w14:textId="77777777" w:rsidR="006C63D9" w:rsidRPr="00173630" w:rsidRDefault="006C63D9" w:rsidP="00191F82">
            <w:pPr>
              <w:jc w:val="center"/>
              <w:rPr>
                <w:i/>
                <w:iCs/>
                <w:color w:val="000000"/>
                <w:sz w:val="20"/>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73BF39F4" w14:textId="77777777" w:rsidR="006C63D9" w:rsidRPr="00496C8D" w:rsidRDefault="006C63D9" w:rsidP="00191F82">
            <w:pPr>
              <w:jc w:val="center"/>
              <w:rPr>
                <w:i/>
                <w:iCs/>
                <w:color w:val="000000"/>
                <w:sz w:val="20"/>
              </w:rPr>
            </w:pPr>
          </w:p>
        </w:tc>
      </w:tr>
      <w:tr w:rsidR="006C63D9" w14:paraId="25ECFEB5" w14:textId="77777777" w:rsidTr="00156669">
        <w:trPr>
          <w:trHeight w:val="119"/>
        </w:trPr>
        <w:tc>
          <w:tcPr>
            <w:tcW w:w="996" w:type="pct"/>
            <w:shd w:val="clear" w:color="auto" w:fill="auto"/>
            <w:vAlign w:val="center"/>
          </w:tcPr>
          <w:p w14:paraId="6AE17725" w14:textId="77777777" w:rsidR="006C63D9" w:rsidRDefault="006C63D9" w:rsidP="00191F82">
            <w:pPr>
              <w:pStyle w:val="af2"/>
            </w:pPr>
            <w:r>
              <w:t>Общегосударственные вопросы</w:t>
            </w:r>
          </w:p>
        </w:tc>
        <w:tc>
          <w:tcPr>
            <w:tcW w:w="693" w:type="pct"/>
            <w:vAlign w:val="center"/>
          </w:tcPr>
          <w:p w14:paraId="66A4B3AF" w14:textId="77777777" w:rsidR="006C63D9" w:rsidRPr="00431E7F" w:rsidRDefault="006C63D9" w:rsidP="00191F82">
            <w:pPr>
              <w:pStyle w:val="af3"/>
            </w:pPr>
            <w:r>
              <w:t>1257,1</w:t>
            </w:r>
          </w:p>
        </w:tc>
        <w:tc>
          <w:tcPr>
            <w:tcW w:w="541" w:type="pct"/>
            <w:vAlign w:val="center"/>
          </w:tcPr>
          <w:p w14:paraId="578E3A7B" w14:textId="77777777" w:rsidR="006C63D9" w:rsidRPr="00431E7F" w:rsidRDefault="006C63D9" w:rsidP="00191F82">
            <w:pPr>
              <w:pStyle w:val="af3"/>
            </w:pPr>
            <w:r>
              <w:t>1673,9</w:t>
            </w:r>
          </w:p>
        </w:tc>
        <w:tc>
          <w:tcPr>
            <w:tcW w:w="539" w:type="pct"/>
            <w:tcBorders>
              <w:top w:val="single" w:sz="4" w:space="0" w:color="auto"/>
              <w:bottom w:val="single" w:sz="4" w:space="0" w:color="auto"/>
              <w:right w:val="single" w:sz="4" w:space="0" w:color="auto"/>
            </w:tcBorders>
            <w:vAlign w:val="center"/>
          </w:tcPr>
          <w:p w14:paraId="06666ED5" w14:textId="77777777" w:rsidR="006C63D9" w:rsidRPr="00431E7F" w:rsidRDefault="006C63D9" w:rsidP="00191F82">
            <w:pPr>
              <w:pStyle w:val="af3"/>
            </w:pPr>
            <w:r>
              <w:t>1555,3</w:t>
            </w:r>
          </w:p>
        </w:tc>
        <w:tc>
          <w:tcPr>
            <w:tcW w:w="539" w:type="pct"/>
            <w:tcBorders>
              <w:top w:val="single" w:sz="4" w:space="0" w:color="auto"/>
              <w:left w:val="single" w:sz="4" w:space="0" w:color="auto"/>
              <w:bottom w:val="single" w:sz="4" w:space="0" w:color="auto"/>
              <w:right w:val="single" w:sz="4" w:space="0" w:color="auto"/>
            </w:tcBorders>
            <w:vAlign w:val="center"/>
          </w:tcPr>
          <w:p w14:paraId="22B6954E" w14:textId="77777777" w:rsidR="006C63D9" w:rsidRPr="00431E7F" w:rsidRDefault="006C63D9" w:rsidP="00191F82">
            <w:pPr>
              <w:pStyle w:val="af3"/>
            </w:pPr>
            <w:r>
              <w:t>1617,0</w:t>
            </w:r>
          </w:p>
        </w:tc>
        <w:tc>
          <w:tcPr>
            <w:tcW w:w="538" w:type="pct"/>
            <w:tcBorders>
              <w:top w:val="single" w:sz="4" w:space="0" w:color="auto"/>
              <w:left w:val="single" w:sz="4" w:space="0" w:color="auto"/>
              <w:bottom w:val="single" w:sz="4" w:space="0" w:color="auto"/>
              <w:right w:val="single" w:sz="4" w:space="0" w:color="auto"/>
            </w:tcBorders>
            <w:vAlign w:val="center"/>
          </w:tcPr>
          <w:p w14:paraId="518AA674" w14:textId="77777777" w:rsidR="006C63D9" w:rsidRPr="00431E7F" w:rsidRDefault="006C63D9" w:rsidP="00191F82">
            <w:pPr>
              <w:pStyle w:val="af3"/>
            </w:pPr>
            <w:r>
              <w:t>1665,1</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F20972B" w14:textId="77777777" w:rsidR="006C63D9" w:rsidRPr="002A54EC" w:rsidRDefault="006C63D9" w:rsidP="00191F82">
            <w:pPr>
              <w:jc w:val="center"/>
              <w:rPr>
                <w:iCs/>
                <w:color w:val="000000"/>
                <w:sz w:val="20"/>
              </w:rPr>
            </w:pPr>
            <w:r w:rsidRPr="002A54EC">
              <w:rPr>
                <w:bCs/>
                <w:iCs/>
                <w:color w:val="000000"/>
                <w:sz w:val="20"/>
              </w:rPr>
              <w:t>408,0</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30541D18" w14:textId="77777777" w:rsidR="006C63D9" w:rsidRPr="00496C8D" w:rsidRDefault="006C63D9" w:rsidP="00191F82">
            <w:pPr>
              <w:jc w:val="center"/>
              <w:rPr>
                <w:i/>
                <w:iCs/>
                <w:color w:val="000000"/>
                <w:sz w:val="20"/>
              </w:rPr>
            </w:pPr>
            <w:r>
              <w:rPr>
                <w:i/>
                <w:iCs/>
                <w:color w:val="000000"/>
                <w:sz w:val="20"/>
              </w:rPr>
              <w:t>32,4</w:t>
            </w:r>
          </w:p>
        </w:tc>
      </w:tr>
      <w:tr w:rsidR="006C63D9" w14:paraId="1BA69D78" w14:textId="77777777" w:rsidTr="00156669">
        <w:trPr>
          <w:trHeight w:val="255"/>
        </w:trPr>
        <w:tc>
          <w:tcPr>
            <w:tcW w:w="996" w:type="pct"/>
            <w:shd w:val="clear" w:color="auto" w:fill="auto"/>
            <w:vAlign w:val="center"/>
          </w:tcPr>
          <w:p w14:paraId="0FF42931" w14:textId="77777777" w:rsidR="006C63D9" w:rsidRDefault="006C63D9" w:rsidP="00191F82">
            <w:pPr>
              <w:pStyle w:val="af2"/>
            </w:pPr>
            <w:r>
              <w:t>Национальная оборона</w:t>
            </w:r>
          </w:p>
        </w:tc>
        <w:tc>
          <w:tcPr>
            <w:tcW w:w="693" w:type="pct"/>
            <w:vAlign w:val="center"/>
          </w:tcPr>
          <w:p w14:paraId="24DD0290" w14:textId="77777777" w:rsidR="006C63D9" w:rsidRPr="00431E7F" w:rsidRDefault="006C63D9" w:rsidP="00191F82">
            <w:pPr>
              <w:pStyle w:val="af3"/>
            </w:pPr>
            <w:r>
              <w:t>2827,0</w:t>
            </w:r>
          </w:p>
        </w:tc>
        <w:tc>
          <w:tcPr>
            <w:tcW w:w="541" w:type="pct"/>
            <w:shd w:val="clear" w:color="auto" w:fill="auto"/>
            <w:vAlign w:val="center"/>
          </w:tcPr>
          <w:p w14:paraId="4DB805E9" w14:textId="77777777" w:rsidR="006C63D9" w:rsidRPr="00431E7F" w:rsidRDefault="006C63D9" w:rsidP="00191F82">
            <w:pPr>
              <w:pStyle w:val="af3"/>
            </w:pPr>
            <w:r>
              <w:t>3210,5</w:t>
            </w:r>
          </w:p>
        </w:tc>
        <w:tc>
          <w:tcPr>
            <w:tcW w:w="539" w:type="pct"/>
            <w:tcBorders>
              <w:top w:val="single" w:sz="4" w:space="0" w:color="auto"/>
              <w:bottom w:val="single" w:sz="4" w:space="0" w:color="auto"/>
              <w:right w:val="single" w:sz="4" w:space="0" w:color="auto"/>
            </w:tcBorders>
            <w:shd w:val="clear" w:color="auto" w:fill="auto"/>
            <w:vAlign w:val="center"/>
          </w:tcPr>
          <w:p w14:paraId="27C78CF2" w14:textId="77777777" w:rsidR="006C63D9" w:rsidRPr="00431E7F" w:rsidRDefault="006C63D9" w:rsidP="00191F82">
            <w:pPr>
              <w:pStyle w:val="af3"/>
            </w:pPr>
            <w:r>
              <w:t>3100,8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D76D677" w14:textId="77777777" w:rsidR="006C63D9" w:rsidRPr="00431E7F" w:rsidRDefault="006C63D9" w:rsidP="00191F82">
            <w:pPr>
              <w:pStyle w:val="af3"/>
            </w:pPr>
            <w:r>
              <w:t>3246,5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30E4FB3" w14:textId="77777777" w:rsidR="006C63D9" w:rsidRPr="00431E7F" w:rsidRDefault="006C63D9" w:rsidP="00191F82">
            <w:pPr>
              <w:pStyle w:val="af3"/>
            </w:pPr>
            <w:r>
              <w:t>3332,7</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17144FE9" w14:textId="77777777" w:rsidR="006C63D9" w:rsidRPr="002A54EC" w:rsidRDefault="006C63D9" w:rsidP="00191F82">
            <w:pPr>
              <w:jc w:val="center"/>
              <w:rPr>
                <w:iCs/>
                <w:color w:val="000000"/>
                <w:sz w:val="20"/>
              </w:rPr>
            </w:pPr>
            <w:r w:rsidRPr="002A54EC">
              <w:rPr>
                <w:bCs/>
                <w:iCs/>
                <w:color w:val="000000"/>
                <w:sz w:val="20"/>
              </w:rPr>
              <w:t>505,7</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014A54DF" w14:textId="77777777" w:rsidR="006C63D9" w:rsidRPr="00496C8D" w:rsidRDefault="006C63D9" w:rsidP="00191F82">
            <w:pPr>
              <w:jc w:val="center"/>
              <w:rPr>
                <w:i/>
                <w:iCs/>
                <w:color w:val="000000"/>
                <w:sz w:val="20"/>
              </w:rPr>
            </w:pPr>
            <w:r>
              <w:rPr>
                <w:i/>
                <w:iCs/>
                <w:color w:val="000000"/>
                <w:sz w:val="20"/>
              </w:rPr>
              <w:t>17,9</w:t>
            </w:r>
          </w:p>
        </w:tc>
      </w:tr>
      <w:tr w:rsidR="006C63D9" w14:paraId="758B06D8" w14:textId="77777777" w:rsidTr="00156669">
        <w:trPr>
          <w:trHeight w:val="398"/>
        </w:trPr>
        <w:tc>
          <w:tcPr>
            <w:tcW w:w="996" w:type="pct"/>
            <w:shd w:val="clear" w:color="auto" w:fill="auto"/>
            <w:vAlign w:val="center"/>
          </w:tcPr>
          <w:p w14:paraId="61F3CFBF" w14:textId="77777777" w:rsidR="006C63D9" w:rsidRDefault="006C63D9" w:rsidP="00191F82">
            <w:pPr>
              <w:pStyle w:val="af2"/>
            </w:pPr>
            <w:r>
              <w:t>Национальная безопасность и правоохранительная деятельность</w:t>
            </w:r>
          </w:p>
        </w:tc>
        <w:tc>
          <w:tcPr>
            <w:tcW w:w="693" w:type="pct"/>
            <w:vAlign w:val="center"/>
          </w:tcPr>
          <w:p w14:paraId="6175BED8" w14:textId="77777777" w:rsidR="006C63D9" w:rsidRPr="00431E7F" w:rsidRDefault="006C63D9" w:rsidP="00191F82">
            <w:pPr>
              <w:pStyle w:val="af3"/>
            </w:pPr>
            <w:r>
              <w:t>1971,6</w:t>
            </w:r>
          </w:p>
        </w:tc>
        <w:tc>
          <w:tcPr>
            <w:tcW w:w="541" w:type="pct"/>
            <w:shd w:val="clear" w:color="auto" w:fill="auto"/>
            <w:vAlign w:val="center"/>
          </w:tcPr>
          <w:p w14:paraId="7D274E90" w14:textId="77777777" w:rsidR="006C63D9" w:rsidRPr="00431E7F" w:rsidRDefault="006C63D9" w:rsidP="00191F82">
            <w:pPr>
              <w:pStyle w:val="af3"/>
            </w:pPr>
            <w:r>
              <w:t>2234,6</w:t>
            </w:r>
          </w:p>
        </w:tc>
        <w:tc>
          <w:tcPr>
            <w:tcW w:w="539" w:type="pct"/>
            <w:tcBorders>
              <w:top w:val="single" w:sz="4" w:space="0" w:color="auto"/>
              <w:bottom w:val="single" w:sz="4" w:space="0" w:color="auto"/>
              <w:right w:val="single" w:sz="4" w:space="0" w:color="auto"/>
            </w:tcBorders>
            <w:shd w:val="clear" w:color="auto" w:fill="auto"/>
            <w:vAlign w:val="center"/>
          </w:tcPr>
          <w:p w14:paraId="67FDF24E" w14:textId="77777777" w:rsidR="006C63D9" w:rsidRPr="00431E7F" w:rsidRDefault="006C63D9" w:rsidP="00191F82">
            <w:pPr>
              <w:pStyle w:val="af3"/>
            </w:pPr>
            <w:r>
              <w:t>2458,2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4458E41" w14:textId="77777777" w:rsidR="006C63D9" w:rsidRPr="00431E7F" w:rsidRDefault="006C63D9" w:rsidP="00191F82">
            <w:pPr>
              <w:pStyle w:val="af3"/>
            </w:pPr>
            <w:r>
              <w:t>2456,0</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B6F0704" w14:textId="77777777" w:rsidR="006C63D9" w:rsidRPr="00431E7F" w:rsidRDefault="006C63D9" w:rsidP="00191F82">
            <w:pPr>
              <w:pStyle w:val="af3"/>
            </w:pPr>
            <w:r>
              <w:t>2479,9</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7D6CEF27" w14:textId="77777777" w:rsidR="006C63D9" w:rsidRPr="002A54EC" w:rsidRDefault="006C63D9" w:rsidP="00191F82">
            <w:pPr>
              <w:jc w:val="center"/>
              <w:rPr>
                <w:iCs/>
                <w:color w:val="000000"/>
                <w:sz w:val="20"/>
              </w:rPr>
            </w:pPr>
            <w:r w:rsidRPr="002A54EC">
              <w:rPr>
                <w:bCs/>
                <w:iCs/>
                <w:color w:val="000000"/>
                <w:sz w:val="20"/>
              </w:rPr>
              <w:t>508,3</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571FAF0A" w14:textId="77777777" w:rsidR="006C63D9" w:rsidRPr="00496C8D" w:rsidRDefault="006C63D9" w:rsidP="00191F82">
            <w:pPr>
              <w:jc w:val="center"/>
              <w:rPr>
                <w:i/>
                <w:iCs/>
                <w:color w:val="000000"/>
                <w:sz w:val="20"/>
              </w:rPr>
            </w:pPr>
            <w:r>
              <w:rPr>
                <w:i/>
                <w:iCs/>
                <w:color w:val="000000"/>
                <w:sz w:val="20"/>
              </w:rPr>
              <w:t>25,8</w:t>
            </w:r>
          </w:p>
        </w:tc>
      </w:tr>
      <w:tr w:rsidR="006C63D9" w14:paraId="63BBE51A" w14:textId="77777777" w:rsidTr="00156669">
        <w:trPr>
          <w:trHeight w:val="255"/>
        </w:trPr>
        <w:tc>
          <w:tcPr>
            <w:tcW w:w="996" w:type="pct"/>
            <w:shd w:val="clear" w:color="auto" w:fill="auto"/>
            <w:vAlign w:val="center"/>
          </w:tcPr>
          <w:p w14:paraId="7192821A" w14:textId="77777777" w:rsidR="006C63D9" w:rsidRDefault="006C63D9" w:rsidP="00191F82">
            <w:pPr>
              <w:pStyle w:val="af2"/>
            </w:pPr>
            <w:r>
              <w:t>Национальная экономика</w:t>
            </w:r>
          </w:p>
        </w:tc>
        <w:tc>
          <w:tcPr>
            <w:tcW w:w="693" w:type="pct"/>
            <w:vAlign w:val="center"/>
          </w:tcPr>
          <w:p w14:paraId="1C96268B" w14:textId="77777777" w:rsidR="006C63D9" w:rsidRPr="00431E7F" w:rsidRDefault="006C63D9" w:rsidP="00191F82">
            <w:pPr>
              <w:pStyle w:val="af3"/>
            </w:pPr>
            <w:r>
              <w:t>2402,1</w:t>
            </w:r>
          </w:p>
        </w:tc>
        <w:tc>
          <w:tcPr>
            <w:tcW w:w="541" w:type="pct"/>
            <w:shd w:val="clear" w:color="auto" w:fill="auto"/>
            <w:vAlign w:val="center"/>
          </w:tcPr>
          <w:p w14:paraId="47516927" w14:textId="77777777" w:rsidR="006C63D9" w:rsidRPr="00431E7F" w:rsidRDefault="006C63D9" w:rsidP="00191F82">
            <w:pPr>
              <w:pStyle w:val="af3"/>
            </w:pPr>
            <w:r>
              <w:t>2866,4</w:t>
            </w:r>
          </w:p>
        </w:tc>
        <w:tc>
          <w:tcPr>
            <w:tcW w:w="539" w:type="pct"/>
            <w:tcBorders>
              <w:top w:val="single" w:sz="4" w:space="0" w:color="auto"/>
              <w:bottom w:val="single" w:sz="4" w:space="0" w:color="auto"/>
              <w:right w:val="single" w:sz="4" w:space="0" w:color="auto"/>
            </w:tcBorders>
            <w:shd w:val="clear" w:color="auto" w:fill="auto"/>
            <w:vAlign w:val="center"/>
          </w:tcPr>
          <w:p w14:paraId="193BE206" w14:textId="77777777" w:rsidR="006C63D9" w:rsidRPr="00431E7F" w:rsidRDefault="006C63D9" w:rsidP="00191F82">
            <w:pPr>
              <w:pStyle w:val="af3"/>
            </w:pPr>
            <w:r>
              <w:t>2638,3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95AC664" w14:textId="77777777" w:rsidR="006C63D9" w:rsidRPr="00431E7F" w:rsidRDefault="006C63D9" w:rsidP="00191F82">
            <w:pPr>
              <w:pStyle w:val="af3"/>
            </w:pPr>
            <w:r>
              <w:t>2842,8</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1A79A560" w14:textId="77777777" w:rsidR="006C63D9" w:rsidRPr="00431E7F" w:rsidRDefault="006C63D9" w:rsidP="00191F82">
            <w:pPr>
              <w:pStyle w:val="af3"/>
            </w:pPr>
            <w:r>
              <w:t>3246,4</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7CA0C72" w14:textId="77777777" w:rsidR="006C63D9" w:rsidRPr="002A54EC" w:rsidRDefault="006C63D9" w:rsidP="00191F82">
            <w:pPr>
              <w:jc w:val="center"/>
              <w:rPr>
                <w:iCs/>
                <w:color w:val="000000"/>
                <w:sz w:val="20"/>
              </w:rPr>
            </w:pPr>
            <w:r w:rsidRPr="002A54EC">
              <w:rPr>
                <w:bCs/>
                <w:iCs/>
                <w:color w:val="000000"/>
                <w:sz w:val="20"/>
              </w:rPr>
              <w:t>844,3</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2D4C5093" w14:textId="77777777" w:rsidR="006C63D9" w:rsidRPr="00496C8D" w:rsidRDefault="006C63D9" w:rsidP="00191F82">
            <w:pPr>
              <w:jc w:val="center"/>
              <w:rPr>
                <w:i/>
                <w:iCs/>
                <w:color w:val="000000"/>
                <w:sz w:val="20"/>
              </w:rPr>
            </w:pPr>
            <w:r>
              <w:rPr>
                <w:i/>
                <w:iCs/>
                <w:color w:val="000000"/>
                <w:sz w:val="20"/>
              </w:rPr>
              <w:t>35,1</w:t>
            </w:r>
          </w:p>
        </w:tc>
      </w:tr>
      <w:tr w:rsidR="006C63D9" w14:paraId="61384AAC" w14:textId="77777777" w:rsidTr="00156669">
        <w:trPr>
          <w:trHeight w:val="70"/>
        </w:trPr>
        <w:tc>
          <w:tcPr>
            <w:tcW w:w="996" w:type="pct"/>
            <w:shd w:val="clear" w:color="auto" w:fill="auto"/>
            <w:vAlign w:val="center"/>
          </w:tcPr>
          <w:p w14:paraId="3A50FE26" w14:textId="77777777" w:rsidR="006C63D9" w:rsidRDefault="006C63D9" w:rsidP="00191F82">
            <w:pPr>
              <w:pStyle w:val="af2"/>
            </w:pPr>
            <w:r>
              <w:t>Жилищно-коммунальное хозяйство</w:t>
            </w:r>
          </w:p>
        </w:tc>
        <w:tc>
          <w:tcPr>
            <w:tcW w:w="693" w:type="pct"/>
            <w:vAlign w:val="center"/>
          </w:tcPr>
          <w:p w14:paraId="5032BA44" w14:textId="77777777" w:rsidR="006C63D9" w:rsidRPr="00431E7F" w:rsidRDefault="006C63D9" w:rsidP="00191F82">
            <w:pPr>
              <w:pStyle w:val="af3"/>
            </w:pPr>
            <w:r>
              <w:t>148,8</w:t>
            </w:r>
          </w:p>
        </w:tc>
        <w:tc>
          <w:tcPr>
            <w:tcW w:w="541" w:type="pct"/>
            <w:shd w:val="clear" w:color="auto" w:fill="auto"/>
            <w:vAlign w:val="center"/>
          </w:tcPr>
          <w:p w14:paraId="4520A0F7" w14:textId="77777777" w:rsidR="006C63D9" w:rsidRPr="00431E7F" w:rsidRDefault="006C63D9" w:rsidP="00191F82">
            <w:pPr>
              <w:pStyle w:val="af3"/>
            </w:pPr>
            <w:r>
              <w:t>289,4</w:t>
            </w:r>
          </w:p>
        </w:tc>
        <w:tc>
          <w:tcPr>
            <w:tcW w:w="539" w:type="pct"/>
            <w:tcBorders>
              <w:top w:val="single" w:sz="4" w:space="0" w:color="auto"/>
              <w:bottom w:val="single" w:sz="4" w:space="0" w:color="auto"/>
              <w:right w:val="single" w:sz="4" w:space="0" w:color="auto"/>
            </w:tcBorders>
            <w:shd w:val="clear" w:color="auto" w:fill="auto"/>
            <w:vAlign w:val="center"/>
          </w:tcPr>
          <w:p w14:paraId="0FCBEA8A" w14:textId="77777777" w:rsidR="006C63D9" w:rsidRPr="00431E7F" w:rsidRDefault="006C63D9" w:rsidP="00191F82">
            <w:pPr>
              <w:pStyle w:val="af3"/>
            </w:pPr>
            <w:r>
              <w:t>251,6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CF17C90" w14:textId="77777777" w:rsidR="006C63D9" w:rsidRPr="00431E7F" w:rsidRDefault="006C63D9" w:rsidP="00191F82">
            <w:pPr>
              <w:pStyle w:val="af3"/>
            </w:pPr>
            <w:r>
              <w:t>289,6</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77445E46" w14:textId="77777777" w:rsidR="006C63D9" w:rsidRPr="00431E7F" w:rsidRDefault="006C63D9" w:rsidP="00191F82">
            <w:pPr>
              <w:pStyle w:val="af3"/>
            </w:pPr>
            <w:r>
              <w:t>386,5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14E1ABF4" w14:textId="77777777" w:rsidR="006C63D9" w:rsidRPr="002A54EC" w:rsidRDefault="006C63D9" w:rsidP="00191F82">
            <w:pPr>
              <w:jc w:val="center"/>
              <w:rPr>
                <w:iCs/>
                <w:color w:val="000000"/>
                <w:sz w:val="20"/>
              </w:rPr>
            </w:pPr>
            <w:r w:rsidRPr="002A54EC">
              <w:rPr>
                <w:bCs/>
                <w:iCs/>
                <w:color w:val="000000"/>
                <w:sz w:val="20"/>
              </w:rPr>
              <w:t>237,7</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308E6152" w14:textId="77777777" w:rsidR="006C63D9" w:rsidRPr="00496C8D" w:rsidRDefault="006C63D9" w:rsidP="00191F82">
            <w:pPr>
              <w:jc w:val="center"/>
              <w:rPr>
                <w:i/>
                <w:iCs/>
                <w:color w:val="000000"/>
                <w:sz w:val="20"/>
              </w:rPr>
            </w:pPr>
            <w:r>
              <w:rPr>
                <w:i/>
                <w:iCs/>
                <w:color w:val="000000"/>
                <w:sz w:val="20"/>
              </w:rPr>
              <w:t>в 2,6 раз</w:t>
            </w:r>
          </w:p>
        </w:tc>
      </w:tr>
      <w:tr w:rsidR="006C63D9" w14:paraId="0E1F13FF" w14:textId="77777777" w:rsidTr="00156669">
        <w:trPr>
          <w:trHeight w:val="255"/>
        </w:trPr>
        <w:tc>
          <w:tcPr>
            <w:tcW w:w="996" w:type="pct"/>
            <w:shd w:val="clear" w:color="auto" w:fill="auto"/>
            <w:vAlign w:val="center"/>
          </w:tcPr>
          <w:p w14:paraId="4795980D" w14:textId="77777777" w:rsidR="006C63D9" w:rsidRDefault="006C63D9" w:rsidP="00191F82">
            <w:pPr>
              <w:pStyle w:val="af2"/>
            </w:pPr>
            <w:r>
              <w:t>Охрана окружающей среды</w:t>
            </w:r>
          </w:p>
        </w:tc>
        <w:tc>
          <w:tcPr>
            <w:tcW w:w="693" w:type="pct"/>
            <w:vAlign w:val="center"/>
          </w:tcPr>
          <w:p w14:paraId="50F71652" w14:textId="77777777" w:rsidR="006C63D9" w:rsidRPr="00431E7F" w:rsidRDefault="006C63D9" w:rsidP="00191F82">
            <w:pPr>
              <w:pStyle w:val="af3"/>
            </w:pPr>
            <w:r>
              <w:t>116,0</w:t>
            </w:r>
          </w:p>
        </w:tc>
        <w:tc>
          <w:tcPr>
            <w:tcW w:w="541" w:type="pct"/>
            <w:shd w:val="clear" w:color="auto" w:fill="auto"/>
            <w:vAlign w:val="center"/>
          </w:tcPr>
          <w:p w14:paraId="32201B56" w14:textId="77777777" w:rsidR="006C63D9" w:rsidRPr="00431E7F" w:rsidRDefault="006C63D9" w:rsidP="00191F82">
            <w:pPr>
              <w:pStyle w:val="af3"/>
            </w:pPr>
            <w:r>
              <w:t>199,0</w:t>
            </w:r>
          </w:p>
        </w:tc>
        <w:tc>
          <w:tcPr>
            <w:tcW w:w="539" w:type="pct"/>
            <w:tcBorders>
              <w:top w:val="single" w:sz="4" w:space="0" w:color="auto"/>
              <w:bottom w:val="single" w:sz="4" w:space="0" w:color="auto"/>
              <w:right w:val="single" w:sz="4" w:space="0" w:color="auto"/>
            </w:tcBorders>
            <w:shd w:val="clear" w:color="auto" w:fill="auto"/>
            <w:vAlign w:val="center"/>
          </w:tcPr>
          <w:p w14:paraId="14C57A07" w14:textId="77777777" w:rsidR="006C63D9" w:rsidRPr="00431E7F" w:rsidRDefault="006C63D9" w:rsidP="00191F82">
            <w:pPr>
              <w:pStyle w:val="af3"/>
            </w:pPr>
            <w:r>
              <w:t>348,4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6E71277" w14:textId="77777777" w:rsidR="006C63D9" w:rsidRPr="00431E7F" w:rsidRDefault="006C63D9" w:rsidP="00191F82">
            <w:pPr>
              <w:pStyle w:val="af3"/>
            </w:pPr>
            <w:r>
              <w:t>411,5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19BC5AB7" w14:textId="77777777" w:rsidR="006C63D9" w:rsidRPr="00431E7F" w:rsidRDefault="006C63D9" w:rsidP="00191F82">
            <w:pPr>
              <w:pStyle w:val="af3"/>
            </w:pPr>
            <w:r>
              <w:t>437,7</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69F0DF24" w14:textId="77777777" w:rsidR="006C63D9" w:rsidRPr="002A54EC" w:rsidRDefault="006C63D9" w:rsidP="00191F82">
            <w:pPr>
              <w:jc w:val="center"/>
              <w:rPr>
                <w:iCs/>
                <w:color w:val="000000"/>
                <w:sz w:val="20"/>
              </w:rPr>
            </w:pPr>
            <w:r w:rsidRPr="002A54EC">
              <w:rPr>
                <w:bCs/>
                <w:iCs/>
                <w:color w:val="000000"/>
                <w:sz w:val="20"/>
              </w:rPr>
              <w:t>321,7</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58AD5EEA" w14:textId="77777777" w:rsidR="006C63D9" w:rsidRPr="00496C8D" w:rsidRDefault="006C63D9" w:rsidP="00191F82">
            <w:pPr>
              <w:jc w:val="center"/>
              <w:rPr>
                <w:i/>
                <w:iCs/>
                <w:color w:val="000000"/>
                <w:sz w:val="20"/>
              </w:rPr>
            </w:pPr>
            <w:r>
              <w:rPr>
                <w:i/>
                <w:iCs/>
                <w:color w:val="000000"/>
                <w:sz w:val="20"/>
              </w:rPr>
              <w:t>в 3,8 раз</w:t>
            </w:r>
          </w:p>
        </w:tc>
      </w:tr>
      <w:tr w:rsidR="006C63D9" w14:paraId="1B0DC9F9" w14:textId="77777777" w:rsidTr="00156669">
        <w:trPr>
          <w:trHeight w:val="255"/>
        </w:trPr>
        <w:tc>
          <w:tcPr>
            <w:tcW w:w="996" w:type="pct"/>
            <w:shd w:val="clear" w:color="auto" w:fill="auto"/>
            <w:vAlign w:val="center"/>
          </w:tcPr>
          <w:p w14:paraId="594EE112" w14:textId="77777777" w:rsidR="006C63D9" w:rsidRDefault="006C63D9" w:rsidP="00191F82">
            <w:pPr>
              <w:pStyle w:val="af2"/>
            </w:pPr>
            <w:r>
              <w:t>Образование</w:t>
            </w:r>
          </w:p>
        </w:tc>
        <w:tc>
          <w:tcPr>
            <w:tcW w:w="693" w:type="pct"/>
            <w:vAlign w:val="center"/>
          </w:tcPr>
          <w:p w14:paraId="421D5BA9" w14:textId="77777777" w:rsidR="006C63D9" w:rsidRPr="00431E7F" w:rsidRDefault="006C63D9" w:rsidP="00191F82">
            <w:pPr>
              <w:pStyle w:val="af3"/>
            </w:pPr>
            <w:r>
              <w:t>722,6</w:t>
            </w:r>
          </w:p>
        </w:tc>
        <w:tc>
          <w:tcPr>
            <w:tcW w:w="541" w:type="pct"/>
            <w:shd w:val="clear" w:color="auto" w:fill="auto"/>
            <w:vAlign w:val="center"/>
          </w:tcPr>
          <w:p w14:paraId="7B52405A" w14:textId="77777777" w:rsidR="006C63D9" w:rsidRPr="00431E7F" w:rsidRDefault="006C63D9" w:rsidP="00191F82">
            <w:pPr>
              <w:pStyle w:val="af3"/>
            </w:pPr>
            <w:r>
              <w:t>898,5</w:t>
            </w:r>
          </w:p>
        </w:tc>
        <w:tc>
          <w:tcPr>
            <w:tcW w:w="539" w:type="pct"/>
            <w:tcBorders>
              <w:top w:val="single" w:sz="4" w:space="0" w:color="auto"/>
              <w:bottom w:val="single" w:sz="4" w:space="0" w:color="auto"/>
              <w:right w:val="single" w:sz="4" w:space="0" w:color="auto"/>
            </w:tcBorders>
            <w:shd w:val="clear" w:color="auto" w:fill="auto"/>
            <w:vAlign w:val="center"/>
          </w:tcPr>
          <w:p w14:paraId="1D7BB45C" w14:textId="77777777" w:rsidR="006C63D9" w:rsidRPr="00431E7F" w:rsidRDefault="006C63D9" w:rsidP="00191F82">
            <w:pPr>
              <w:pStyle w:val="af3"/>
            </w:pPr>
            <w:r>
              <w:t>911,6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DC2E40C" w14:textId="77777777" w:rsidR="006C63D9" w:rsidRPr="00431E7F" w:rsidRDefault="006C63D9" w:rsidP="00191F82">
            <w:pPr>
              <w:pStyle w:val="af3"/>
            </w:pPr>
            <w:r>
              <w:t>947,3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28B363CC" w14:textId="77777777" w:rsidR="006C63D9" w:rsidRPr="00431E7F" w:rsidRDefault="006C63D9" w:rsidP="00191F82">
            <w:pPr>
              <w:pStyle w:val="af3"/>
            </w:pPr>
            <w:r>
              <w:t>903,5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05084EDF" w14:textId="77777777" w:rsidR="006C63D9" w:rsidRPr="002A54EC" w:rsidRDefault="006C63D9" w:rsidP="00191F82">
            <w:pPr>
              <w:jc w:val="center"/>
              <w:rPr>
                <w:iCs/>
                <w:color w:val="000000"/>
                <w:sz w:val="20"/>
              </w:rPr>
            </w:pPr>
            <w:r w:rsidRPr="002A54EC">
              <w:rPr>
                <w:bCs/>
                <w:iCs/>
                <w:color w:val="000000"/>
                <w:sz w:val="20"/>
              </w:rPr>
              <w:t>180,9</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2AC6789C" w14:textId="77777777" w:rsidR="006C63D9" w:rsidRPr="00496C8D" w:rsidRDefault="006C63D9" w:rsidP="00191F82">
            <w:pPr>
              <w:jc w:val="center"/>
              <w:rPr>
                <w:i/>
                <w:iCs/>
                <w:color w:val="000000"/>
                <w:sz w:val="20"/>
              </w:rPr>
            </w:pPr>
            <w:r>
              <w:rPr>
                <w:i/>
                <w:iCs/>
                <w:color w:val="000000"/>
                <w:sz w:val="20"/>
              </w:rPr>
              <w:t>25,0</w:t>
            </w:r>
          </w:p>
        </w:tc>
      </w:tr>
      <w:tr w:rsidR="006C63D9" w14:paraId="34F0A41A" w14:textId="77777777" w:rsidTr="00156669">
        <w:trPr>
          <w:trHeight w:val="146"/>
        </w:trPr>
        <w:tc>
          <w:tcPr>
            <w:tcW w:w="996" w:type="pct"/>
            <w:shd w:val="clear" w:color="auto" w:fill="auto"/>
            <w:vAlign w:val="center"/>
          </w:tcPr>
          <w:p w14:paraId="7B0A0C00" w14:textId="77777777" w:rsidR="006C63D9" w:rsidRDefault="006C63D9" w:rsidP="00191F82">
            <w:pPr>
              <w:pStyle w:val="af2"/>
            </w:pPr>
            <w:r>
              <w:t>Культура, кинематография</w:t>
            </w:r>
          </w:p>
        </w:tc>
        <w:tc>
          <w:tcPr>
            <w:tcW w:w="693" w:type="pct"/>
            <w:vAlign w:val="center"/>
          </w:tcPr>
          <w:p w14:paraId="4B7B6531" w14:textId="77777777" w:rsidR="006C63D9" w:rsidRPr="00431E7F" w:rsidRDefault="006C63D9" w:rsidP="00191F82">
            <w:pPr>
              <w:pStyle w:val="af3"/>
            </w:pPr>
            <w:r>
              <w:t>94,8</w:t>
            </w:r>
          </w:p>
        </w:tc>
        <w:tc>
          <w:tcPr>
            <w:tcW w:w="541" w:type="pct"/>
            <w:shd w:val="clear" w:color="auto" w:fill="auto"/>
            <w:vAlign w:val="center"/>
          </w:tcPr>
          <w:p w14:paraId="57E5F91E" w14:textId="77777777" w:rsidR="006C63D9" w:rsidRPr="00431E7F" w:rsidRDefault="006C63D9" w:rsidP="00191F82">
            <w:pPr>
              <w:pStyle w:val="af3"/>
            </w:pPr>
            <w:r>
              <w:t>140,9</w:t>
            </w:r>
          </w:p>
        </w:tc>
        <w:tc>
          <w:tcPr>
            <w:tcW w:w="539" w:type="pct"/>
            <w:tcBorders>
              <w:top w:val="single" w:sz="4" w:space="0" w:color="auto"/>
              <w:bottom w:val="single" w:sz="4" w:space="0" w:color="auto"/>
              <w:right w:val="single" w:sz="4" w:space="0" w:color="auto"/>
            </w:tcBorders>
            <w:shd w:val="clear" w:color="auto" w:fill="auto"/>
            <w:vAlign w:val="center"/>
          </w:tcPr>
          <w:p w14:paraId="2C92D874" w14:textId="77777777" w:rsidR="006C63D9" w:rsidRPr="00431E7F" w:rsidRDefault="006C63D9" w:rsidP="00191F82">
            <w:pPr>
              <w:pStyle w:val="af3"/>
            </w:pPr>
            <w:r>
              <w:t>138,4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886AAD7" w14:textId="77777777" w:rsidR="006C63D9" w:rsidRPr="00431E7F" w:rsidRDefault="006C63D9" w:rsidP="00191F82">
            <w:pPr>
              <w:pStyle w:val="af3"/>
            </w:pPr>
            <w:r>
              <w:t>132,9</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0154C5A3" w14:textId="77777777" w:rsidR="006C63D9" w:rsidRPr="00431E7F" w:rsidRDefault="006C63D9" w:rsidP="00191F82">
            <w:pPr>
              <w:pStyle w:val="af3"/>
            </w:pPr>
            <w:r>
              <w:t>124,2</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2C2EB54A" w14:textId="77777777" w:rsidR="006C63D9" w:rsidRPr="002A54EC" w:rsidRDefault="006C63D9" w:rsidP="00191F82">
            <w:pPr>
              <w:jc w:val="center"/>
              <w:rPr>
                <w:iCs/>
                <w:color w:val="000000"/>
                <w:sz w:val="20"/>
              </w:rPr>
            </w:pPr>
            <w:r w:rsidRPr="002A54EC">
              <w:rPr>
                <w:bCs/>
                <w:iCs/>
                <w:color w:val="000000"/>
                <w:sz w:val="20"/>
              </w:rPr>
              <w:t>29,4</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16ED9EC5" w14:textId="77777777" w:rsidR="006C63D9" w:rsidRPr="00496C8D" w:rsidRDefault="006C63D9" w:rsidP="00191F82">
            <w:pPr>
              <w:jc w:val="center"/>
              <w:rPr>
                <w:i/>
                <w:iCs/>
                <w:color w:val="000000"/>
                <w:sz w:val="20"/>
              </w:rPr>
            </w:pPr>
            <w:r>
              <w:rPr>
                <w:i/>
                <w:iCs/>
                <w:color w:val="000000"/>
                <w:sz w:val="20"/>
              </w:rPr>
              <w:t>31,0</w:t>
            </w:r>
          </w:p>
        </w:tc>
      </w:tr>
      <w:tr w:rsidR="006C63D9" w14:paraId="4F6B1097" w14:textId="77777777" w:rsidTr="00156669">
        <w:trPr>
          <w:trHeight w:val="255"/>
        </w:trPr>
        <w:tc>
          <w:tcPr>
            <w:tcW w:w="996" w:type="pct"/>
            <w:shd w:val="clear" w:color="auto" w:fill="auto"/>
            <w:vAlign w:val="center"/>
          </w:tcPr>
          <w:p w14:paraId="0ED441F1" w14:textId="77777777" w:rsidR="006C63D9" w:rsidRDefault="006C63D9" w:rsidP="00191F82">
            <w:pPr>
              <w:pStyle w:val="af2"/>
            </w:pPr>
            <w:r>
              <w:t>Здравоохранение</w:t>
            </w:r>
          </w:p>
        </w:tc>
        <w:tc>
          <w:tcPr>
            <w:tcW w:w="693" w:type="pct"/>
            <w:vAlign w:val="center"/>
          </w:tcPr>
          <w:p w14:paraId="7FF27720" w14:textId="77777777" w:rsidR="006C63D9" w:rsidRPr="00431E7F" w:rsidRDefault="006C63D9" w:rsidP="00191F82">
            <w:pPr>
              <w:pStyle w:val="af3"/>
            </w:pPr>
            <w:r>
              <w:t>537,3</w:t>
            </w:r>
          </w:p>
        </w:tc>
        <w:tc>
          <w:tcPr>
            <w:tcW w:w="541" w:type="pct"/>
            <w:shd w:val="clear" w:color="auto" w:fill="auto"/>
            <w:vAlign w:val="center"/>
          </w:tcPr>
          <w:p w14:paraId="13D11481" w14:textId="77777777" w:rsidR="006C63D9" w:rsidRPr="00431E7F" w:rsidRDefault="006C63D9" w:rsidP="00191F82">
            <w:pPr>
              <w:pStyle w:val="af3"/>
            </w:pPr>
            <w:r>
              <w:t>736,9</w:t>
            </w:r>
          </w:p>
        </w:tc>
        <w:tc>
          <w:tcPr>
            <w:tcW w:w="539" w:type="pct"/>
            <w:tcBorders>
              <w:top w:val="single" w:sz="4" w:space="0" w:color="auto"/>
              <w:bottom w:val="single" w:sz="4" w:space="0" w:color="auto"/>
              <w:right w:val="single" w:sz="4" w:space="0" w:color="auto"/>
            </w:tcBorders>
            <w:shd w:val="clear" w:color="auto" w:fill="auto"/>
            <w:vAlign w:val="center"/>
          </w:tcPr>
          <w:p w14:paraId="570C5D1F" w14:textId="77777777" w:rsidR="006C63D9" w:rsidRPr="00431E7F" w:rsidRDefault="006C63D9" w:rsidP="00191F82">
            <w:pPr>
              <w:pStyle w:val="af3"/>
            </w:pPr>
            <w:r>
              <w:t>1022,1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05D5A50" w14:textId="77777777" w:rsidR="006C63D9" w:rsidRPr="00431E7F" w:rsidRDefault="006C63D9" w:rsidP="00191F82">
            <w:pPr>
              <w:pStyle w:val="af3"/>
            </w:pPr>
            <w:r>
              <w:t>961,3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685E5FB0" w14:textId="77777777" w:rsidR="006C63D9" w:rsidRPr="00431E7F" w:rsidRDefault="006C63D9" w:rsidP="00191F82">
            <w:pPr>
              <w:pStyle w:val="af3"/>
            </w:pPr>
            <w:r>
              <w:t>976,2</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0789DEB9" w14:textId="77777777" w:rsidR="006C63D9" w:rsidRPr="002A54EC" w:rsidRDefault="006C63D9" w:rsidP="00191F82">
            <w:pPr>
              <w:jc w:val="center"/>
              <w:rPr>
                <w:iCs/>
                <w:color w:val="000000"/>
                <w:sz w:val="20"/>
              </w:rPr>
            </w:pPr>
            <w:r w:rsidRPr="002A54EC">
              <w:rPr>
                <w:bCs/>
                <w:iCs/>
                <w:color w:val="000000"/>
                <w:sz w:val="20"/>
              </w:rPr>
              <w:t>438,9</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4F321561" w14:textId="77777777" w:rsidR="006C63D9" w:rsidRPr="00496C8D" w:rsidRDefault="006C63D9" w:rsidP="00191F82">
            <w:pPr>
              <w:jc w:val="center"/>
              <w:rPr>
                <w:i/>
                <w:iCs/>
                <w:color w:val="000000"/>
                <w:sz w:val="20"/>
              </w:rPr>
            </w:pPr>
            <w:r>
              <w:rPr>
                <w:i/>
                <w:iCs/>
                <w:color w:val="000000"/>
                <w:sz w:val="20"/>
              </w:rPr>
              <w:t>81,7</w:t>
            </w:r>
          </w:p>
        </w:tc>
      </w:tr>
      <w:tr w:rsidR="006C63D9" w14:paraId="214B4493" w14:textId="77777777" w:rsidTr="00156669">
        <w:trPr>
          <w:trHeight w:val="255"/>
        </w:trPr>
        <w:tc>
          <w:tcPr>
            <w:tcW w:w="996" w:type="pct"/>
            <w:shd w:val="clear" w:color="auto" w:fill="auto"/>
            <w:vAlign w:val="center"/>
          </w:tcPr>
          <w:p w14:paraId="59684F57" w14:textId="77777777" w:rsidR="006C63D9" w:rsidRDefault="006C63D9" w:rsidP="00191F82">
            <w:pPr>
              <w:pStyle w:val="af2"/>
            </w:pPr>
            <w:r>
              <w:t>Социальная политика</w:t>
            </w:r>
          </w:p>
        </w:tc>
        <w:tc>
          <w:tcPr>
            <w:tcW w:w="693" w:type="pct"/>
            <w:vAlign w:val="center"/>
          </w:tcPr>
          <w:p w14:paraId="11B89852" w14:textId="77777777" w:rsidR="006C63D9" w:rsidRPr="00431E7F" w:rsidRDefault="006C63D9" w:rsidP="00191F82">
            <w:pPr>
              <w:pStyle w:val="af3"/>
            </w:pPr>
            <w:r>
              <w:t>4581,8</w:t>
            </w:r>
          </w:p>
        </w:tc>
        <w:tc>
          <w:tcPr>
            <w:tcW w:w="541" w:type="pct"/>
            <w:shd w:val="clear" w:color="auto" w:fill="auto"/>
            <w:vAlign w:val="center"/>
          </w:tcPr>
          <w:p w14:paraId="71B841DA" w14:textId="77777777" w:rsidR="006C63D9" w:rsidRPr="00431E7F" w:rsidRDefault="006C63D9" w:rsidP="00191F82">
            <w:pPr>
              <w:pStyle w:val="af3"/>
            </w:pPr>
            <w:r>
              <w:t>4856,0</w:t>
            </w:r>
          </w:p>
        </w:tc>
        <w:tc>
          <w:tcPr>
            <w:tcW w:w="539" w:type="pct"/>
            <w:tcBorders>
              <w:top w:val="single" w:sz="4" w:space="0" w:color="auto"/>
              <w:bottom w:val="single" w:sz="4" w:space="0" w:color="auto"/>
              <w:right w:val="single" w:sz="4" w:space="0" w:color="auto"/>
            </w:tcBorders>
            <w:shd w:val="clear" w:color="auto" w:fill="auto"/>
            <w:vAlign w:val="center"/>
          </w:tcPr>
          <w:p w14:paraId="44C32DA6" w14:textId="77777777" w:rsidR="006C63D9" w:rsidRPr="00431E7F" w:rsidRDefault="006C63D9" w:rsidP="00191F82">
            <w:pPr>
              <w:pStyle w:val="af3"/>
            </w:pPr>
            <w:r>
              <w:t>5010,6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EBB110D" w14:textId="77777777" w:rsidR="006C63D9" w:rsidRPr="00431E7F" w:rsidRDefault="006C63D9" w:rsidP="00191F82">
            <w:pPr>
              <w:pStyle w:val="af3"/>
            </w:pPr>
            <w:r>
              <w:t>5046,1</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3989C7BC" w14:textId="77777777" w:rsidR="006C63D9" w:rsidRPr="00431E7F" w:rsidRDefault="006C63D9" w:rsidP="00191F82">
            <w:pPr>
              <w:pStyle w:val="af3"/>
            </w:pPr>
            <w:r>
              <w:t>4827,7</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75C050FC" w14:textId="77777777" w:rsidR="006C63D9" w:rsidRPr="002A54EC" w:rsidRDefault="006C63D9" w:rsidP="00191F82">
            <w:pPr>
              <w:jc w:val="center"/>
              <w:rPr>
                <w:iCs/>
                <w:color w:val="000000"/>
                <w:sz w:val="20"/>
              </w:rPr>
            </w:pPr>
            <w:r w:rsidRPr="002A54EC">
              <w:rPr>
                <w:bCs/>
                <w:iCs/>
                <w:color w:val="000000"/>
                <w:sz w:val="20"/>
              </w:rPr>
              <w:t>245,9</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6DEFBDA5" w14:textId="77777777" w:rsidR="006C63D9" w:rsidRPr="00496C8D" w:rsidRDefault="006C63D9" w:rsidP="00191F82">
            <w:pPr>
              <w:jc w:val="center"/>
              <w:rPr>
                <w:i/>
                <w:iCs/>
                <w:color w:val="000000"/>
                <w:sz w:val="20"/>
              </w:rPr>
            </w:pPr>
            <w:r>
              <w:rPr>
                <w:i/>
                <w:iCs/>
                <w:color w:val="000000"/>
                <w:sz w:val="20"/>
              </w:rPr>
              <w:t>5,3</w:t>
            </w:r>
          </w:p>
        </w:tc>
      </w:tr>
      <w:tr w:rsidR="006C63D9" w14:paraId="69385FFA" w14:textId="77777777" w:rsidTr="00156669">
        <w:trPr>
          <w:trHeight w:val="255"/>
        </w:trPr>
        <w:tc>
          <w:tcPr>
            <w:tcW w:w="996" w:type="pct"/>
            <w:shd w:val="clear" w:color="auto" w:fill="auto"/>
            <w:vAlign w:val="center"/>
          </w:tcPr>
          <w:p w14:paraId="5F9288F4" w14:textId="77777777" w:rsidR="006C63D9" w:rsidRDefault="006C63D9" w:rsidP="00191F82">
            <w:pPr>
              <w:pStyle w:val="af2"/>
            </w:pPr>
            <w:r>
              <w:t>Физическая культура и спорт</w:t>
            </w:r>
          </w:p>
        </w:tc>
        <w:tc>
          <w:tcPr>
            <w:tcW w:w="693" w:type="pct"/>
            <w:vAlign w:val="center"/>
          </w:tcPr>
          <w:p w14:paraId="139CD268" w14:textId="77777777" w:rsidR="006C63D9" w:rsidRPr="00431E7F" w:rsidRDefault="006C63D9" w:rsidP="00191F82">
            <w:pPr>
              <w:pStyle w:val="af3"/>
            </w:pPr>
            <w:r>
              <w:t>64,0</w:t>
            </w:r>
          </w:p>
        </w:tc>
        <w:tc>
          <w:tcPr>
            <w:tcW w:w="541" w:type="pct"/>
            <w:shd w:val="clear" w:color="auto" w:fill="auto"/>
            <w:vAlign w:val="center"/>
          </w:tcPr>
          <w:p w14:paraId="0240AA7D" w14:textId="77777777" w:rsidR="006C63D9" w:rsidRPr="00431E7F" w:rsidRDefault="006C63D9" w:rsidP="00191F82">
            <w:pPr>
              <w:pStyle w:val="af3"/>
            </w:pPr>
            <w:r>
              <w:t>86,8</w:t>
            </w:r>
          </w:p>
        </w:tc>
        <w:tc>
          <w:tcPr>
            <w:tcW w:w="539" w:type="pct"/>
            <w:tcBorders>
              <w:top w:val="single" w:sz="4" w:space="0" w:color="auto"/>
              <w:bottom w:val="single" w:sz="4" w:space="0" w:color="auto"/>
              <w:right w:val="single" w:sz="4" w:space="0" w:color="auto"/>
            </w:tcBorders>
            <w:shd w:val="clear" w:color="auto" w:fill="auto"/>
            <w:vAlign w:val="center"/>
          </w:tcPr>
          <w:p w14:paraId="05D93490" w14:textId="77777777" w:rsidR="006C63D9" w:rsidRPr="00431E7F" w:rsidRDefault="006C63D9" w:rsidP="00191F82">
            <w:pPr>
              <w:pStyle w:val="af3"/>
            </w:pPr>
            <w:r>
              <w:t>69,9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8C21FCD" w14:textId="77777777" w:rsidR="006C63D9" w:rsidRPr="00431E7F" w:rsidRDefault="006C63D9" w:rsidP="00191F82">
            <w:pPr>
              <w:pStyle w:val="af3"/>
            </w:pPr>
            <w:r>
              <w:t>61,1</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A4AE1BD" w14:textId="77777777" w:rsidR="006C63D9" w:rsidRPr="00431E7F" w:rsidRDefault="006C63D9" w:rsidP="00191F82">
            <w:pPr>
              <w:pStyle w:val="af3"/>
            </w:pPr>
            <w:r>
              <w:t>64,2</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35C2FE55" w14:textId="77777777" w:rsidR="006C63D9" w:rsidRPr="002A54EC" w:rsidRDefault="006C63D9" w:rsidP="00191F82">
            <w:pPr>
              <w:jc w:val="center"/>
              <w:rPr>
                <w:iCs/>
                <w:color w:val="000000"/>
                <w:sz w:val="20"/>
              </w:rPr>
            </w:pPr>
            <w:r w:rsidRPr="002A54EC">
              <w:rPr>
                <w:bCs/>
                <w:iCs/>
                <w:color w:val="000000"/>
                <w:sz w:val="20"/>
              </w:rPr>
              <w:t>0,2</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14A3C139" w14:textId="77777777" w:rsidR="006C63D9" w:rsidRPr="00496C8D" w:rsidRDefault="006C63D9" w:rsidP="00191F82">
            <w:pPr>
              <w:jc w:val="center"/>
              <w:rPr>
                <w:i/>
                <w:iCs/>
                <w:color w:val="000000"/>
                <w:sz w:val="20"/>
              </w:rPr>
            </w:pPr>
            <w:r>
              <w:rPr>
                <w:i/>
                <w:iCs/>
                <w:color w:val="000000"/>
                <w:sz w:val="20"/>
              </w:rPr>
              <w:t>0,0</w:t>
            </w:r>
          </w:p>
        </w:tc>
      </w:tr>
      <w:tr w:rsidR="006C63D9" w14:paraId="40FEE10D" w14:textId="77777777" w:rsidTr="00156669">
        <w:trPr>
          <w:trHeight w:val="255"/>
        </w:trPr>
        <w:tc>
          <w:tcPr>
            <w:tcW w:w="996" w:type="pct"/>
            <w:shd w:val="clear" w:color="auto" w:fill="auto"/>
            <w:vAlign w:val="center"/>
          </w:tcPr>
          <w:p w14:paraId="32C6E378" w14:textId="77777777" w:rsidR="006C63D9" w:rsidRDefault="006C63D9" w:rsidP="00191F82">
            <w:pPr>
              <w:pStyle w:val="af2"/>
            </w:pPr>
            <w:r>
              <w:t>СМИ</w:t>
            </w:r>
          </w:p>
        </w:tc>
        <w:tc>
          <w:tcPr>
            <w:tcW w:w="693" w:type="pct"/>
            <w:vAlign w:val="center"/>
          </w:tcPr>
          <w:p w14:paraId="131150C8" w14:textId="77777777" w:rsidR="006C63D9" w:rsidRPr="00431E7F" w:rsidRDefault="006C63D9" w:rsidP="00191F82">
            <w:pPr>
              <w:pStyle w:val="af3"/>
            </w:pPr>
            <w:r>
              <w:t>88,4</w:t>
            </w:r>
          </w:p>
        </w:tc>
        <w:tc>
          <w:tcPr>
            <w:tcW w:w="541" w:type="pct"/>
            <w:shd w:val="clear" w:color="auto" w:fill="auto"/>
            <w:vAlign w:val="center"/>
          </w:tcPr>
          <w:p w14:paraId="1A54C87F" w14:textId="77777777" w:rsidR="006C63D9" w:rsidRPr="00431E7F" w:rsidRDefault="006C63D9" w:rsidP="00191F82">
            <w:pPr>
              <w:pStyle w:val="af3"/>
            </w:pPr>
            <w:r>
              <w:t>88,2</w:t>
            </w:r>
          </w:p>
        </w:tc>
        <w:tc>
          <w:tcPr>
            <w:tcW w:w="539" w:type="pct"/>
            <w:tcBorders>
              <w:top w:val="single" w:sz="4" w:space="0" w:color="auto"/>
              <w:bottom w:val="single" w:sz="4" w:space="0" w:color="auto"/>
              <w:right w:val="single" w:sz="4" w:space="0" w:color="auto"/>
            </w:tcBorders>
            <w:shd w:val="clear" w:color="auto" w:fill="auto"/>
            <w:vAlign w:val="center"/>
          </w:tcPr>
          <w:p w14:paraId="419C80AF" w14:textId="77777777" w:rsidR="006C63D9" w:rsidRPr="00431E7F" w:rsidRDefault="006C63D9" w:rsidP="00191F82">
            <w:pPr>
              <w:pStyle w:val="af3"/>
            </w:pPr>
            <w:r>
              <w:t>92,4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C019D88" w14:textId="77777777" w:rsidR="006C63D9" w:rsidRPr="00431E7F" w:rsidRDefault="006C63D9" w:rsidP="00191F82">
            <w:pPr>
              <w:pStyle w:val="af3"/>
            </w:pPr>
            <w:r>
              <w:t>71,5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550529B8" w14:textId="77777777" w:rsidR="006C63D9" w:rsidRPr="00431E7F" w:rsidRDefault="006C63D9" w:rsidP="00191F82">
            <w:pPr>
              <w:pStyle w:val="af3"/>
            </w:pPr>
            <w:r>
              <w:t>71,2</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21E6457" w14:textId="77777777" w:rsidR="006C63D9" w:rsidRPr="002A54EC" w:rsidRDefault="006C63D9" w:rsidP="00191F82">
            <w:pPr>
              <w:jc w:val="center"/>
              <w:rPr>
                <w:iCs/>
                <w:color w:val="000000"/>
                <w:sz w:val="20"/>
              </w:rPr>
            </w:pPr>
            <w:r w:rsidRPr="002A54EC">
              <w:rPr>
                <w:bCs/>
                <w:iCs/>
                <w:color w:val="000000"/>
                <w:sz w:val="20"/>
              </w:rPr>
              <w:t>-17,2</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22FC380C" w14:textId="77777777" w:rsidR="006C63D9" w:rsidRPr="00496C8D" w:rsidRDefault="006C63D9" w:rsidP="00191F82">
            <w:pPr>
              <w:jc w:val="center"/>
              <w:rPr>
                <w:i/>
                <w:iCs/>
                <w:color w:val="000000"/>
                <w:sz w:val="20"/>
              </w:rPr>
            </w:pPr>
            <w:r>
              <w:rPr>
                <w:i/>
                <w:iCs/>
                <w:color w:val="000000"/>
                <w:sz w:val="20"/>
              </w:rPr>
              <w:t>-19,4</w:t>
            </w:r>
          </w:p>
        </w:tc>
      </w:tr>
      <w:tr w:rsidR="006C63D9" w14:paraId="45747EF1" w14:textId="77777777" w:rsidTr="00156669">
        <w:trPr>
          <w:trHeight w:val="255"/>
        </w:trPr>
        <w:tc>
          <w:tcPr>
            <w:tcW w:w="996" w:type="pct"/>
            <w:shd w:val="clear" w:color="auto" w:fill="auto"/>
            <w:vAlign w:val="center"/>
          </w:tcPr>
          <w:p w14:paraId="0D0C8E83" w14:textId="77777777" w:rsidR="006C63D9" w:rsidRDefault="006C63D9" w:rsidP="00191F82">
            <w:pPr>
              <w:pStyle w:val="af2"/>
            </w:pPr>
            <w:r>
              <w:t>Обслуживание государственного и муниципального долга</w:t>
            </w:r>
          </w:p>
        </w:tc>
        <w:tc>
          <w:tcPr>
            <w:tcW w:w="693" w:type="pct"/>
            <w:vAlign w:val="center"/>
          </w:tcPr>
          <w:p w14:paraId="35C3E273" w14:textId="77777777" w:rsidR="006C63D9" w:rsidRPr="00431E7F" w:rsidRDefault="006C63D9" w:rsidP="00191F82">
            <w:pPr>
              <w:pStyle w:val="af3"/>
            </w:pPr>
            <w:r>
              <w:t>806,0</w:t>
            </w:r>
          </w:p>
        </w:tc>
        <w:tc>
          <w:tcPr>
            <w:tcW w:w="541" w:type="pct"/>
            <w:shd w:val="clear" w:color="auto" w:fill="auto"/>
            <w:vAlign w:val="center"/>
          </w:tcPr>
          <w:p w14:paraId="36D32BB9" w14:textId="77777777" w:rsidR="006C63D9" w:rsidRPr="00431E7F" w:rsidRDefault="006C63D9" w:rsidP="00191F82">
            <w:pPr>
              <w:pStyle w:val="af3"/>
            </w:pPr>
            <w:r>
              <w:t>819,0</w:t>
            </w:r>
          </w:p>
        </w:tc>
        <w:tc>
          <w:tcPr>
            <w:tcW w:w="539" w:type="pct"/>
            <w:tcBorders>
              <w:top w:val="single" w:sz="4" w:space="0" w:color="auto"/>
              <w:bottom w:val="single" w:sz="4" w:space="0" w:color="auto"/>
              <w:right w:val="single" w:sz="4" w:space="0" w:color="auto"/>
            </w:tcBorders>
            <w:shd w:val="clear" w:color="auto" w:fill="auto"/>
            <w:vAlign w:val="center"/>
          </w:tcPr>
          <w:p w14:paraId="5E4118CB" w14:textId="77777777" w:rsidR="006C63D9" w:rsidRPr="00431E7F" w:rsidRDefault="006C63D9" w:rsidP="00191F82">
            <w:pPr>
              <w:pStyle w:val="af3"/>
            </w:pPr>
            <w:r>
              <w:t>986,9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261139E" w14:textId="77777777" w:rsidR="006C63D9" w:rsidRPr="00431E7F" w:rsidRDefault="006C63D9" w:rsidP="00191F82">
            <w:pPr>
              <w:pStyle w:val="af3"/>
            </w:pPr>
            <w:r>
              <w:t>1037,0</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613A4F24" w14:textId="77777777" w:rsidR="006C63D9" w:rsidRPr="00431E7F" w:rsidRDefault="006C63D9" w:rsidP="00191F82">
            <w:pPr>
              <w:pStyle w:val="af3"/>
            </w:pPr>
            <w:r>
              <w:t>1155,7</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14FB0182" w14:textId="77777777" w:rsidR="006C63D9" w:rsidRPr="002A54EC" w:rsidRDefault="006C63D9" w:rsidP="00191F82">
            <w:pPr>
              <w:jc w:val="center"/>
              <w:rPr>
                <w:iCs/>
                <w:color w:val="000000"/>
                <w:sz w:val="20"/>
              </w:rPr>
            </w:pPr>
            <w:r w:rsidRPr="002A54EC">
              <w:rPr>
                <w:bCs/>
                <w:iCs/>
                <w:color w:val="000000"/>
                <w:sz w:val="20"/>
              </w:rPr>
              <w:t>349,7</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7C759225" w14:textId="77777777" w:rsidR="006C63D9" w:rsidRPr="00496C8D" w:rsidRDefault="006C63D9" w:rsidP="00191F82">
            <w:pPr>
              <w:jc w:val="center"/>
              <w:rPr>
                <w:i/>
                <w:iCs/>
                <w:color w:val="000000"/>
                <w:sz w:val="20"/>
              </w:rPr>
            </w:pPr>
            <w:r>
              <w:rPr>
                <w:i/>
                <w:iCs/>
                <w:color w:val="000000"/>
                <w:sz w:val="20"/>
              </w:rPr>
              <w:t>43,4</w:t>
            </w:r>
          </w:p>
        </w:tc>
      </w:tr>
      <w:tr w:rsidR="006C63D9" w14:paraId="46955A31" w14:textId="77777777" w:rsidTr="00156669">
        <w:trPr>
          <w:trHeight w:val="510"/>
        </w:trPr>
        <w:tc>
          <w:tcPr>
            <w:tcW w:w="996" w:type="pct"/>
            <w:shd w:val="clear" w:color="auto" w:fill="auto"/>
            <w:vAlign w:val="center"/>
          </w:tcPr>
          <w:p w14:paraId="2136B3CD" w14:textId="77777777" w:rsidR="006C63D9" w:rsidRDefault="006C63D9" w:rsidP="00191F82">
            <w:pPr>
              <w:pStyle w:val="af2"/>
            </w:pPr>
            <w:r>
              <w:t>Межбюджетные трансферты общего характера</w:t>
            </w:r>
          </w:p>
        </w:tc>
        <w:tc>
          <w:tcPr>
            <w:tcW w:w="693" w:type="pct"/>
            <w:vAlign w:val="center"/>
          </w:tcPr>
          <w:p w14:paraId="4A9C878E" w14:textId="77777777" w:rsidR="006C63D9" w:rsidRPr="00431E7F" w:rsidRDefault="006C63D9" w:rsidP="00191F82">
            <w:pPr>
              <w:pStyle w:val="af3"/>
            </w:pPr>
            <w:r>
              <w:t>1095,4</w:t>
            </w:r>
          </w:p>
        </w:tc>
        <w:tc>
          <w:tcPr>
            <w:tcW w:w="541" w:type="pct"/>
            <w:shd w:val="clear" w:color="auto" w:fill="auto"/>
            <w:vAlign w:val="center"/>
          </w:tcPr>
          <w:p w14:paraId="72092262" w14:textId="77777777" w:rsidR="006C63D9" w:rsidRPr="00431E7F" w:rsidRDefault="006C63D9" w:rsidP="00191F82">
            <w:pPr>
              <w:pStyle w:val="af3"/>
            </w:pPr>
            <w:r>
              <w:t>1038,7</w:t>
            </w:r>
          </w:p>
        </w:tc>
        <w:tc>
          <w:tcPr>
            <w:tcW w:w="539" w:type="pct"/>
            <w:tcBorders>
              <w:top w:val="single" w:sz="4" w:space="0" w:color="auto"/>
              <w:bottom w:val="single" w:sz="4" w:space="0" w:color="auto"/>
              <w:right w:val="single" w:sz="4" w:space="0" w:color="auto"/>
            </w:tcBorders>
            <w:shd w:val="clear" w:color="auto" w:fill="auto"/>
            <w:vAlign w:val="center"/>
          </w:tcPr>
          <w:p w14:paraId="6378F499" w14:textId="77777777" w:rsidR="006C63D9" w:rsidRPr="00431E7F" w:rsidRDefault="006C63D9" w:rsidP="00191F82">
            <w:pPr>
              <w:pStyle w:val="af3"/>
            </w:pPr>
            <w:r>
              <w:t>1008,7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24C7A1C" w14:textId="77777777" w:rsidR="006C63D9" w:rsidRPr="00431E7F" w:rsidRDefault="006C63D9" w:rsidP="00191F82">
            <w:pPr>
              <w:pStyle w:val="af3"/>
            </w:pPr>
            <w:r>
              <w:t>995,6</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3AF5468F" w14:textId="77777777" w:rsidR="006C63D9" w:rsidRPr="00431E7F" w:rsidRDefault="006C63D9" w:rsidP="00191F82">
            <w:pPr>
              <w:pStyle w:val="af3"/>
            </w:pPr>
            <w:r>
              <w:t>1004,1</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6EA0B33D" w14:textId="77777777" w:rsidR="006C63D9" w:rsidRPr="002A54EC" w:rsidRDefault="006C63D9" w:rsidP="00191F82">
            <w:pPr>
              <w:jc w:val="center"/>
              <w:rPr>
                <w:iCs/>
                <w:color w:val="000000"/>
                <w:sz w:val="20"/>
              </w:rPr>
            </w:pPr>
            <w:r w:rsidRPr="002A54EC">
              <w:rPr>
                <w:bCs/>
                <w:iCs/>
                <w:color w:val="000000"/>
                <w:sz w:val="20"/>
              </w:rPr>
              <w:t>-91,3</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26091C74" w14:textId="77777777" w:rsidR="006C63D9" w:rsidRPr="00496C8D" w:rsidRDefault="006C63D9" w:rsidP="00191F82">
            <w:pPr>
              <w:jc w:val="center"/>
              <w:rPr>
                <w:i/>
                <w:iCs/>
                <w:color w:val="000000"/>
                <w:sz w:val="20"/>
              </w:rPr>
            </w:pPr>
            <w:r>
              <w:rPr>
                <w:i/>
                <w:iCs/>
                <w:color w:val="000000"/>
                <w:sz w:val="20"/>
              </w:rPr>
              <w:t>-0,1</w:t>
            </w:r>
          </w:p>
        </w:tc>
      </w:tr>
      <w:tr w:rsidR="006C63D9" w14:paraId="6BDD2AD5" w14:textId="77777777" w:rsidTr="00156669">
        <w:trPr>
          <w:trHeight w:val="510"/>
        </w:trPr>
        <w:tc>
          <w:tcPr>
            <w:tcW w:w="996" w:type="pct"/>
            <w:shd w:val="clear" w:color="auto" w:fill="auto"/>
            <w:vAlign w:val="center"/>
          </w:tcPr>
          <w:p w14:paraId="6AB1F1A6" w14:textId="77777777" w:rsidR="006C63D9" w:rsidRDefault="006C63D9" w:rsidP="00191F82">
            <w:pPr>
              <w:pStyle w:val="af2"/>
            </w:pPr>
            <w:r>
              <w:t>Условно-утверждаемые расходы</w:t>
            </w:r>
          </w:p>
        </w:tc>
        <w:tc>
          <w:tcPr>
            <w:tcW w:w="693" w:type="pct"/>
            <w:vAlign w:val="center"/>
          </w:tcPr>
          <w:p w14:paraId="47906411" w14:textId="77777777" w:rsidR="006C63D9" w:rsidRPr="00431E7F" w:rsidRDefault="006C63D9" w:rsidP="00191F82">
            <w:pPr>
              <w:pStyle w:val="af3"/>
            </w:pPr>
            <w:r>
              <w:t>-</w:t>
            </w:r>
          </w:p>
        </w:tc>
        <w:tc>
          <w:tcPr>
            <w:tcW w:w="541" w:type="pct"/>
            <w:shd w:val="clear" w:color="auto" w:fill="auto"/>
            <w:vAlign w:val="center"/>
          </w:tcPr>
          <w:p w14:paraId="095BB632" w14:textId="77777777" w:rsidR="006C63D9" w:rsidRPr="00431E7F" w:rsidRDefault="006C63D9" w:rsidP="00191F82">
            <w:pPr>
              <w:pStyle w:val="af3"/>
            </w:pPr>
            <w:r>
              <w:t>-</w:t>
            </w:r>
          </w:p>
        </w:tc>
        <w:tc>
          <w:tcPr>
            <w:tcW w:w="539" w:type="pct"/>
            <w:tcBorders>
              <w:top w:val="single" w:sz="4" w:space="0" w:color="auto"/>
              <w:bottom w:val="single" w:sz="4" w:space="0" w:color="auto"/>
              <w:right w:val="single" w:sz="4" w:space="0" w:color="auto"/>
            </w:tcBorders>
            <w:shd w:val="clear" w:color="auto" w:fill="auto"/>
            <w:vAlign w:val="center"/>
          </w:tcPr>
          <w:p w14:paraId="1E6963B9" w14:textId="77777777" w:rsidR="006C63D9" w:rsidRPr="00431E7F" w:rsidRDefault="006C63D9" w:rsidP="00191F82">
            <w:pPr>
              <w:pStyle w:val="af3"/>
            </w:pPr>
            <w: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C237597" w14:textId="77777777" w:rsidR="006C63D9" w:rsidRPr="00431E7F" w:rsidRDefault="006C63D9" w:rsidP="00191F82">
            <w:pPr>
              <w:pStyle w:val="af3"/>
            </w:pPr>
            <w:r>
              <w:t>515,8</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07630357" w14:textId="77777777" w:rsidR="006C63D9" w:rsidRPr="00431E7F" w:rsidRDefault="006C63D9" w:rsidP="00191F82">
            <w:pPr>
              <w:pStyle w:val="af3"/>
            </w:pPr>
            <w:r>
              <w:t>1088,2</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7C83E024" w14:textId="77777777" w:rsidR="006C63D9" w:rsidRPr="002A54EC" w:rsidRDefault="006C63D9" w:rsidP="00191F82">
            <w:pPr>
              <w:jc w:val="center"/>
              <w:rPr>
                <w:iCs/>
                <w:color w:val="000000"/>
                <w:sz w:val="20"/>
              </w:rPr>
            </w:pPr>
            <w:r>
              <w:rPr>
                <w:iCs/>
                <w:color w:val="000000"/>
                <w:sz w:val="20"/>
              </w:rPr>
              <w:t>-</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6A3AC67A" w14:textId="77777777" w:rsidR="006C63D9" w:rsidRPr="00173630" w:rsidRDefault="006C63D9" w:rsidP="00191F82">
            <w:pPr>
              <w:pStyle w:val="af3"/>
              <w:rPr>
                <w:i/>
              </w:rPr>
            </w:pPr>
            <w:r>
              <w:rPr>
                <w:i/>
              </w:rPr>
              <w:t>-</w:t>
            </w:r>
          </w:p>
        </w:tc>
      </w:tr>
    </w:tbl>
    <w:p w14:paraId="1EC11887" w14:textId="77777777" w:rsidR="006C63D9" w:rsidRPr="00276E68" w:rsidRDefault="006C63D9" w:rsidP="006C63D9">
      <w:pPr>
        <w:keepLines/>
        <w:spacing w:after="120"/>
        <w:ind w:firstLine="708"/>
        <w:rPr>
          <w:rFonts w:eastAsia="Calibri"/>
          <w:sz w:val="20"/>
          <w:lang w:eastAsia="en-US"/>
        </w:rPr>
      </w:pPr>
      <w:r w:rsidRPr="00276E68">
        <w:rPr>
          <w:i/>
          <w:sz w:val="20"/>
        </w:rPr>
        <w:t>Источник:</w:t>
      </w:r>
      <w:r w:rsidRPr="00276E68">
        <w:rPr>
          <w:sz w:val="20"/>
        </w:rPr>
        <w:t xml:space="preserve"> Пояснительная записка к проекту федерального закона «О федеральном бюджете на 20</w:t>
      </w:r>
      <w:r>
        <w:rPr>
          <w:sz w:val="20"/>
        </w:rPr>
        <w:t>20</w:t>
      </w:r>
      <w:r w:rsidRPr="00276E68">
        <w:rPr>
          <w:sz w:val="20"/>
        </w:rPr>
        <w:t xml:space="preserve"> год и на плановый период 202</w:t>
      </w:r>
      <w:r>
        <w:rPr>
          <w:sz w:val="20"/>
        </w:rPr>
        <w:t>1</w:t>
      </w:r>
      <w:r w:rsidRPr="00276E68">
        <w:rPr>
          <w:sz w:val="20"/>
        </w:rPr>
        <w:t xml:space="preserve"> и 20</w:t>
      </w:r>
      <w:r>
        <w:rPr>
          <w:sz w:val="20"/>
        </w:rPr>
        <w:t>22</w:t>
      </w:r>
      <w:r w:rsidRPr="00276E68">
        <w:rPr>
          <w:sz w:val="20"/>
        </w:rPr>
        <w:t xml:space="preserve"> годов», Федеральное Казначейство, расчеты авторов.</w:t>
      </w:r>
    </w:p>
    <w:p w14:paraId="70D6C34A" w14:textId="5BF47D69" w:rsidR="006C63D9" w:rsidRDefault="006C63D9" w:rsidP="006C63D9">
      <w:pPr>
        <w:spacing w:after="60"/>
        <w:ind w:firstLine="709"/>
        <w:jc w:val="both"/>
      </w:pPr>
      <w:r>
        <w:t xml:space="preserve">Значительный прирост расходов в 2022 г. в сравнении с 2018 г. в номинальном выражении планируется по разделам: «Охрана окружающей среды» и </w:t>
      </w:r>
      <w:r w:rsidRPr="00B0385A">
        <w:t>«Жилищно-коммунальное хозяйство»</w:t>
      </w:r>
      <w:r>
        <w:t xml:space="preserve"> в 3,8 и 2,6 раз или на </w:t>
      </w:r>
      <w:r w:rsidRPr="00226D4C">
        <w:t xml:space="preserve">321,7 </w:t>
      </w:r>
      <w:r>
        <w:t>и 237,7 и млрд руб.</w:t>
      </w:r>
      <w:r w:rsidRPr="00B0385A">
        <w:t xml:space="preserve"> соответственно</w:t>
      </w:r>
      <w:r>
        <w:t>. Увеличение бюджетных ассигнований в 2022 г. в сравнение с 2018 г. запланировано и по наиболее значимым компонентам производительных расходов, на о</w:t>
      </w:r>
      <w:r w:rsidRPr="00B0385A">
        <w:t xml:space="preserve">бразование </w:t>
      </w:r>
      <w:r>
        <w:t>и</w:t>
      </w:r>
      <w:r w:rsidR="00EB2D24">
        <w:t xml:space="preserve"> здравоохранение на 25,0 и 81,7</w:t>
      </w:r>
      <w:r>
        <w:t xml:space="preserve">% в номинальном выражении и на 180,9 и 438,9 млрд руб. соответственно, а также по некоторым другим разделам, в рамках которых осуществляется финансирование национальных приоритетов в соответствии с Указом Президента Российской Федерации № 204. </w:t>
      </w:r>
    </w:p>
    <w:p w14:paraId="7A0EDC53" w14:textId="77777777" w:rsidR="006C63D9" w:rsidRPr="00062484" w:rsidRDefault="006C63D9" w:rsidP="006C63D9">
      <w:pPr>
        <w:spacing w:after="60"/>
        <w:ind w:firstLine="709"/>
        <w:jc w:val="both"/>
        <w:rPr>
          <w:szCs w:val="28"/>
        </w:rPr>
      </w:pPr>
      <w:r w:rsidRPr="00062484">
        <w:rPr>
          <w:szCs w:val="28"/>
        </w:rPr>
        <w:t>Основные корректировки бюджетных ассигнований в 2020-2022 гг. связаны с реализацией национальных проектов, в том числе</w:t>
      </w:r>
      <w:r>
        <w:rPr>
          <w:szCs w:val="28"/>
        </w:rPr>
        <w:t>, по таким социально значимым для граждан и служащих направлениям, как</w:t>
      </w:r>
      <w:r w:rsidRPr="00062484">
        <w:rPr>
          <w:szCs w:val="28"/>
        </w:rPr>
        <w:t>:</w:t>
      </w:r>
    </w:p>
    <w:p w14:paraId="27275277" w14:textId="5DDFEBEE" w:rsidR="006C63D9" w:rsidRPr="00156669" w:rsidRDefault="006C63D9" w:rsidP="001173C1">
      <w:pPr>
        <w:pStyle w:val="afc"/>
        <w:numPr>
          <w:ilvl w:val="0"/>
          <w:numId w:val="9"/>
        </w:numPr>
        <w:spacing w:after="60"/>
        <w:ind w:left="1066" w:hanging="357"/>
        <w:rPr>
          <w:szCs w:val="28"/>
        </w:rPr>
      </w:pPr>
      <w:r w:rsidRPr="00156669">
        <w:rPr>
          <w:szCs w:val="28"/>
        </w:rPr>
        <w:t>на реализацию мероприятий празднования 75-й годовщины Победы в Великой Отечественной войне 1941-1945 годов в 2020 г. расходы вырастут на 2,3 млрд руб.;</w:t>
      </w:r>
    </w:p>
    <w:p w14:paraId="2A9371E1" w14:textId="726B0025" w:rsidR="006C63D9" w:rsidRPr="00062484" w:rsidRDefault="006C63D9" w:rsidP="001173C1">
      <w:pPr>
        <w:pStyle w:val="afc"/>
        <w:numPr>
          <w:ilvl w:val="0"/>
          <w:numId w:val="9"/>
        </w:numPr>
        <w:spacing w:after="60"/>
        <w:ind w:left="1066" w:hanging="357"/>
      </w:pPr>
      <w:r w:rsidRPr="00156669">
        <w:rPr>
          <w:szCs w:val="28"/>
        </w:rPr>
        <w:t>на модернизацию первичного звена здравоохранения в субъектах РФ запланировано увеличение на 50,0 млрд руб. ежегодно;</w:t>
      </w:r>
      <w:r w:rsidRPr="00062484">
        <w:t xml:space="preserve"> </w:t>
      </w:r>
    </w:p>
    <w:p w14:paraId="758485A0" w14:textId="7E165209" w:rsidR="006C63D9" w:rsidRDefault="006C63D9" w:rsidP="001173C1">
      <w:pPr>
        <w:pStyle w:val="afc"/>
        <w:numPr>
          <w:ilvl w:val="0"/>
          <w:numId w:val="9"/>
        </w:numPr>
        <w:spacing w:after="60"/>
        <w:ind w:left="1066" w:hanging="357"/>
      </w:pPr>
      <w:r w:rsidRPr="00062484">
        <w:t xml:space="preserve">на возмещение недополученных доходов по выданным гражданам, имеющим детей, жилищным/ипотечным кредитам или займам, </w:t>
      </w:r>
      <w:r>
        <w:t xml:space="preserve">объем бюджетных ассигнований увеличится на </w:t>
      </w:r>
      <w:r w:rsidRPr="00062484">
        <w:t>16,4 млрд руб. в 2020 г. и 30,1 млрд руб. в 2021-2022 гг.;</w:t>
      </w:r>
    </w:p>
    <w:p w14:paraId="78073080" w14:textId="39562A84" w:rsidR="006C63D9" w:rsidRDefault="006C63D9" w:rsidP="001173C1">
      <w:pPr>
        <w:pStyle w:val="afc"/>
        <w:numPr>
          <w:ilvl w:val="0"/>
          <w:numId w:val="9"/>
        </w:numPr>
        <w:spacing w:after="60"/>
        <w:ind w:left="1066" w:hanging="357"/>
      </w:pPr>
      <w:r>
        <w:t xml:space="preserve">на денежное довольствие военнослужащих по контракту в 2020-2022 гг. расходы возрастут на 35,4 млрд руб.; </w:t>
      </w:r>
    </w:p>
    <w:p w14:paraId="46DC9590" w14:textId="39A9DE8C" w:rsidR="006C63D9" w:rsidRDefault="006C63D9" w:rsidP="001173C1">
      <w:pPr>
        <w:pStyle w:val="afc"/>
        <w:numPr>
          <w:ilvl w:val="0"/>
          <w:numId w:val="9"/>
        </w:numPr>
        <w:spacing w:after="60"/>
        <w:ind w:left="1066" w:hanging="357"/>
      </w:pPr>
      <w:r w:rsidRPr="00156669">
        <w:rPr>
          <w:szCs w:val="28"/>
        </w:rPr>
        <w:t xml:space="preserve">на пенсионное обеспечение граждан, уволенных с военной и приравненной к ней службе, планируется увеличение бюджетных ассигнований в 2020 г. и 2021 г. на 113,5 и 234,2 млрд руб. соответственно. </w:t>
      </w:r>
    </w:p>
    <w:p w14:paraId="176280EB" w14:textId="44CB7D79" w:rsidR="006C63D9" w:rsidRDefault="006C63D9" w:rsidP="006C63D9">
      <w:pPr>
        <w:spacing w:after="60"/>
        <w:ind w:firstLine="709"/>
        <w:jc w:val="both"/>
      </w:pPr>
      <w:r>
        <w:t>О</w:t>
      </w:r>
      <w:r w:rsidRPr="009E0F5E">
        <w:t xml:space="preserve">бъем условно-утверждаемых расходов </w:t>
      </w:r>
      <w:r>
        <w:t xml:space="preserve">в 2021-2022 гг. составит 515,8 и </w:t>
      </w:r>
      <w:r w:rsidRPr="009E0F5E">
        <w:t>1088,2</w:t>
      </w:r>
      <w:r>
        <w:t xml:space="preserve"> млрд руб. соответственно или 2,5 и 5,0% соответственно от общего объема расходной части федерального бюджета.</w:t>
      </w:r>
    </w:p>
    <w:p w14:paraId="38F8756A" w14:textId="77777777" w:rsidR="006C63D9" w:rsidRPr="00062484" w:rsidRDefault="006C63D9" w:rsidP="006C63D9">
      <w:pPr>
        <w:spacing w:after="60"/>
        <w:ind w:firstLine="709"/>
        <w:jc w:val="both"/>
      </w:pPr>
      <w:r w:rsidRPr="00062484">
        <w:t>По динамике планируемых объемов расходов федерального бюджета в 2022 гг. в сравнение с фактическим исполнением 2018 г. относительно ВВП отмечается:</w:t>
      </w:r>
    </w:p>
    <w:p w14:paraId="2EBD2645" w14:textId="282CFC36" w:rsidR="006C63D9" w:rsidRPr="00156669" w:rsidRDefault="006C63D9" w:rsidP="001173C1">
      <w:pPr>
        <w:pStyle w:val="afc"/>
        <w:numPr>
          <w:ilvl w:val="0"/>
          <w:numId w:val="10"/>
        </w:numPr>
        <w:spacing w:before="0" w:after="60"/>
        <w:ind w:left="1066" w:hanging="357"/>
        <w:rPr>
          <w:szCs w:val="28"/>
        </w:rPr>
      </w:pPr>
      <w:r w:rsidRPr="00062484">
        <w:t>рост расходов по разделам «</w:t>
      </w:r>
      <w:r w:rsidRPr="00156669">
        <w:rPr>
          <w:szCs w:val="28"/>
        </w:rPr>
        <w:t>Общегосударственные вопросы», «Национальная безопасность и правоохранительная деятельность» и «Обслуживание государственног</w:t>
      </w:r>
      <w:r w:rsidR="00EB2D24">
        <w:rPr>
          <w:szCs w:val="28"/>
        </w:rPr>
        <w:t>о долга» на 0,1 п.п. ВВП до 1,3-2,0-0,9</w:t>
      </w:r>
      <w:r w:rsidRPr="00156669">
        <w:rPr>
          <w:szCs w:val="28"/>
        </w:rPr>
        <w:t>% ВВП соответственно;</w:t>
      </w:r>
    </w:p>
    <w:p w14:paraId="2971F8D7" w14:textId="1A70A597" w:rsidR="006C63D9" w:rsidRPr="00156669" w:rsidRDefault="006C63D9" w:rsidP="001173C1">
      <w:pPr>
        <w:pStyle w:val="afc"/>
        <w:numPr>
          <w:ilvl w:val="0"/>
          <w:numId w:val="10"/>
        </w:numPr>
        <w:spacing w:before="0" w:after="60"/>
        <w:ind w:left="1066" w:hanging="357"/>
        <w:rPr>
          <w:szCs w:val="28"/>
        </w:rPr>
      </w:pPr>
      <w:r w:rsidRPr="00156669">
        <w:rPr>
          <w:szCs w:val="28"/>
        </w:rPr>
        <w:t>сокращение расходов на национальную оборону на (-) 0,1 п.п. ВВП до 2,6% ВВП</w:t>
      </w:r>
    </w:p>
    <w:p w14:paraId="1464066E" w14:textId="53954D0F" w:rsidR="006C63D9" w:rsidRPr="00156669" w:rsidRDefault="006C63D9" w:rsidP="001173C1">
      <w:pPr>
        <w:pStyle w:val="afc"/>
        <w:numPr>
          <w:ilvl w:val="0"/>
          <w:numId w:val="10"/>
        </w:numPr>
        <w:spacing w:before="0" w:after="60"/>
        <w:ind w:left="1066" w:hanging="357"/>
        <w:rPr>
          <w:szCs w:val="28"/>
        </w:rPr>
      </w:pPr>
      <w:r w:rsidRPr="00156669">
        <w:rPr>
          <w:szCs w:val="28"/>
        </w:rPr>
        <w:t xml:space="preserve">увеличение бюджетных ассигнований по разделу «Национальная экономка» на 0,2 п.п. ВВП </w:t>
      </w:r>
      <w:r w:rsidR="00EB2D24">
        <w:rPr>
          <w:szCs w:val="28"/>
        </w:rPr>
        <w:t>до 2,5</w:t>
      </w:r>
      <w:r w:rsidRPr="00156669">
        <w:rPr>
          <w:szCs w:val="28"/>
        </w:rPr>
        <w:t>% ВВП;</w:t>
      </w:r>
    </w:p>
    <w:p w14:paraId="5C5777E3" w14:textId="1DA7A90A" w:rsidR="006C63D9" w:rsidRPr="00156669" w:rsidRDefault="006C63D9" w:rsidP="001173C1">
      <w:pPr>
        <w:pStyle w:val="afc"/>
        <w:numPr>
          <w:ilvl w:val="0"/>
          <w:numId w:val="10"/>
        </w:numPr>
        <w:spacing w:before="0" w:after="60"/>
        <w:ind w:left="1066" w:hanging="357"/>
        <w:rPr>
          <w:szCs w:val="28"/>
        </w:rPr>
      </w:pPr>
      <w:r w:rsidRPr="00156669">
        <w:rPr>
          <w:szCs w:val="28"/>
        </w:rPr>
        <w:t xml:space="preserve">рост расходов по разделам «Жилищно-коммунальное хозяйство» и </w:t>
      </w:r>
      <w:r w:rsidR="00EB2D24">
        <w:rPr>
          <w:szCs w:val="28"/>
        </w:rPr>
        <w:t>«Охрана окружающей среды» с 0,1% ВВП до 0,3</w:t>
      </w:r>
      <w:r w:rsidRPr="00156669">
        <w:rPr>
          <w:szCs w:val="28"/>
        </w:rPr>
        <w:t>% ВВП;</w:t>
      </w:r>
    </w:p>
    <w:p w14:paraId="229F15B6" w14:textId="2593109A" w:rsidR="006C63D9" w:rsidRPr="00156669" w:rsidRDefault="006C63D9" w:rsidP="001173C1">
      <w:pPr>
        <w:pStyle w:val="afc"/>
        <w:numPr>
          <w:ilvl w:val="0"/>
          <w:numId w:val="10"/>
        </w:numPr>
        <w:spacing w:before="0" w:after="60"/>
        <w:ind w:left="1066" w:hanging="357"/>
        <w:rPr>
          <w:szCs w:val="28"/>
        </w:rPr>
      </w:pPr>
      <w:r w:rsidRPr="00156669">
        <w:rPr>
          <w:szCs w:val="28"/>
        </w:rPr>
        <w:t>увеличение бюджетных ассигнований по разделам «Образование» и «Здравоохранение» на 0,1 и 0,3 п.п. ВВП соответственно до 0,8% ВВП по каждому разделу;</w:t>
      </w:r>
    </w:p>
    <w:p w14:paraId="4C109D37" w14:textId="418F0249" w:rsidR="006C63D9" w:rsidRPr="00156669" w:rsidRDefault="006C63D9" w:rsidP="001173C1">
      <w:pPr>
        <w:pStyle w:val="afc"/>
        <w:numPr>
          <w:ilvl w:val="0"/>
          <w:numId w:val="10"/>
        </w:numPr>
        <w:spacing w:before="0" w:after="60"/>
        <w:ind w:left="1066" w:hanging="357"/>
        <w:rPr>
          <w:szCs w:val="28"/>
        </w:rPr>
      </w:pPr>
      <w:r w:rsidRPr="00156669">
        <w:rPr>
          <w:szCs w:val="28"/>
        </w:rPr>
        <w:t>сокращение расходов на социальную поли</w:t>
      </w:r>
      <w:r w:rsidR="00EB2D24">
        <w:rPr>
          <w:szCs w:val="28"/>
        </w:rPr>
        <w:t>тику на (-) 0,6 п.п. ВВП до 3,8</w:t>
      </w:r>
      <w:r w:rsidRPr="00156669">
        <w:rPr>
          <w:szCs w:val="28"/>
        </w:rPr>
        <w:t>% ВВП и по разделу «Межбюджетные трансферты общего характера бюджетам бюджетной системы</w:t>
      </w:r>
      <w:r w:rsidR="00EB2D24">
        <w:rPr>
          <w:szCs w:val="28"/>
        </w:rPr>
        <w:t xml:space="preserve"> РФ» на (-) 0,2 п.п. ВВП до 0,8</w:t>
      </w:r>
      <w:r w:rsidRPr="00156669">
        <w:rPr>
          <w:szCs w:val="28"/>
        </w:rPr>
        <w:t>% ВВП.</w:t>
      </w:r>
    </w:p>
    <w:p w14:paraId="346C265D" w14:textId="4B49AC42" w:rsidR="006C63D9" w:rsidRPr="00062484" w:rsidRDefault="006C63D9" w:rsidP="006C63D9">
      <w:pPr>
        <w:spacing w:after="60"/>
        <w:ind w:firstLine="709"/>
        <w:jc w:val="both"/>
        <w:rPr>
          <w:szCs w:val="28"/>
        </w:rPr>
      </w:pPr>
      <w:r w:rsidRPr="00062484">
        <w:rPr>
          <w:szCs w:val="28"/>
        </w:rPr>
        <w:t xml:space="preserve">По остальным разделам плановый объем расходов федерального бюджета в 2022 г. в долях ВВП не изменится в </w:t>
      </w:r>
      <w:r w:rsidR="00156669" w:rsidRPr="00062484">
        <w:rPr>
          <w:szCs w:val="28"/>
        </w:rPr>
        <w:t>сравнени</w:t>
      </w:r>
      <w:r w:rsidR="00156669">
        <w:rPr>
          <w:szCs w:val="28"/>
        </w:rPr>
        <w:t>и</w:t>
      </w:r>
      <w:r w:rsidR="00156669" w:rsidRPr="00062484">
        <w:rPr>
          <w:szCs w:val="28"/>
        </w:rPr>
        <w:t xml:space="preserve"> </w:t>
      </w:r>
      <w:r w:rsidRPr="00062484">
        <w:rPr>
          <w:szCs w:val="28"/>
        </w:rPr>
        <w:t xml:space="preserve">с фактическим исполнением 2018 г.  </w:t>
      </w:r>
    </w:p>
    <w:p w14:paraId="49FDF7AA" w14:textId="7746D2FB" w:rsidR="006C63D9" w:rsidRDefault="006C63D9" w:rsidP="006C63D9">
      <w:pPr>
        <w:spacing w:after="60"/>
        <w:ind w:firstLine="709"/>
        <w:jc w:val="both"/>
      </w:pPr>
      <w:r>
        <w:t xml:space="preserve">По динамике программной </w:t>
      </w:r>
      <w:r w:rsidR="00156669">
        <w:t>структур</w:t>
      </w:r>
      <w:r w:rsidR="00E168F3">
        <w:t>ы</w:t>
      </w:r>
      <w:r w:rsidR="00156669">
        <w:t xml:space="preserve"> </w:t>
      </w:r>
      <w:r>
        <w:t xml:space="preserve">расходов </w:t>
      </w:r>
      <w:r w:rsidRPr="00276E68">
        <w:t>(</w:t>
      </w:r>
      <w:r w:rsidRPr="00FE003C">
        <w:rPr>
          <w:i/>
        </w:rPr>
        <w:t>табл</w:t>
      </w:r>
      <w:r w:rsidR="00156669">
        <w:rPr>
          <w:i/>
        </w:rPr>
        <w:t>ица</w:t>
      </w:r>
      <w:r w:rsidR="00E168F3">
        <w:rPr>
          <w:i/>
        </w:rPr>
        <w:t xml:space="preserve"> </w:t>
      </w:r>
      <w:r w:rsidR="00C84D38">
        <w:rPr>
          <w:i/>
          <w:noProof/>
        </w:rPr>
        <w:t>14</w:t>
      </w:r>
      <w:r w:rsidRPr="00FE003C">
        <w:t>)</w:t>
      </w:r>
      <w:r>
        <w:t xml:space="preserve"> планируется увеличение расходов на 1503,2 млрд руб. в 2022 г. относительно 2019 г., в основном, за счет увеличения финансирования программ по направлению «</w:t>
      </w:r>
      <w:r w:rsidRPr="008C6ADC">
        <w:t>Инновационное развитие и модернизация экономики</w:t>
      </w:r>
      <w:r>
        <w:t>» на 890,6 млрд руб., «</w:t>
      </w:r>
      <w:r w:rsidRPr="008C6ADC">
        <w:t>Новое качество жизни</w:t>
      </w:r>
      <w:r>
        <w:t>» на 462,7 млрд руб. и «</w:t>
      </w:r>
      <w:r w:rsidRPr="008C6ADC">
        <w:t>Обеспечение национальной безопасности</w:t>
      </w:r>
      <w:r>
        <w:t xml:space="preserve">» на 228,3 млрд руб. Сокращение программных бюджетных ассигнований в 2022 г. в </w:t>
      </w:r>
      <w:r w:rsidR="00156669">
        <w:t xml:space="preserve">сравнении </w:t>
      </w:r>
      <w:r>
        <w:t>с 2019 г. запланировано по направлению «</w:t>
      </w:r>
      <w:r w:rsidRPr="008C6ADC">
        <w:t>Сбалансированное региональное развитие</w:t>
      </w:r>
      <w:r>
        <w:t>» на (</w:t>
      </w:r>
      <w:r w:rsidRPr="008C6ADC">
        <w:t>-</w:t>
      </w:r>
      <w:r>
        <w:t xml:space="preserve">) </w:t>
      </w:r>
      <w:r w:rsidRPr="008C6ADC">
        <w:t>112,9</w:t>
      </w:r>
      <w:r>
        <w:t xml:space="preserve"> млрд руб. </w:t>
      </w:r>
    </w:p>
    <w:p w14:paraId="773C8815" w14:textId="5676E1E4" w:rsidR="00DF409C" w:rsidRDefault="00DF409C" w:rsidP="006C63D9">
      <w:pPr>
        <w:spacing w:after="60"/>
        <w:ind w:firstLine="709"/>
        <w:jc w:val="both"/>
      </w:pPr>
    </w:p>
    <w:p w14:paraId="29C4CB09" w14:textId="77777777" w:rsidR="00DF409C" w:rsidRDefault="00DF409C" w:rsidP="006C63D9">
      <w:pPr>
        <w:spacing w:after="60"/>
        <w:ind w:firstLine="709"/>
        <w:jc w:val="both"/>
      </w:pPr>
    </w:p>
    <w:p w14:paraId="6D153775" w14:textId="338BC67A" w:rsidR="004E5F60" w:rsidRPr="00600DF7" w:rsidRDefault="004E5F60" w:rsidP="004E5F60">
      <w:pPr>
        <w:spacing w:after="60"/>
        <w:jc w:val="right"/>
        <w:rPr>
          <w:i/>
        </w:rPr>
      </w:pPr>
      <w:r w:rsidRPr="00600DF7">
        <w:rPr>
          <w:i/>
        </w:rPr>
        <w:t>Таблица</w:t>
      </w:r>
      <w:r>
        <w:rPr>
          <w:i/>
        </w:rPr>
        <w:t xml:space="preserve"> </w:t>
      </w:r>
      <w:bookmarkStart w:id="26" w:name="_Ref21341769"/>
      <w:r w:rsidR="00C84D38">
        <w:rPr>
          <w:i/>
          <w:noProof/>
        </w:rPr>
        <w:t>14</w:t>
      </w:r>
      <w:bookmarkEnd w:id="26"/>
    </w:p>
    <w:p w14:paraId="0B8DD974" w14:textId="77777777" w:rsidR="006C63D9" w:rsidRPr="006625CC" w:rsidRDefault="006C63D9" w:rsidP="006C63D9">
      <w:pPr>
        <w:pStyle w:val="af7"/>
      </w:pPr>
      <w:r>
        <w:t>Программная структура р</w:t>
      </w:r>
      <w:r w:rsidRPr="006625CC">
        <w:t>асход</w:t>
      </w:r>
      <w:r>
        <w:t>ов</w:t>
      </w:r>
      <w:r w:rsidRPr="006625CC">
        <w:t xml:space="preserve"> федерального бюджета в 201</w:t>
      </w:r>
      <w:r>
        <w:t>9-2022</w:t>
      </w:r>
      <w:r w:rsidRPr="006625CC">
        <w:t xml:space="preserve"> гг.</w:t>
      </w:r>
      <w:r>
        <w:t>,</w:t>
      </w:r>
      <w:r w:rsidRPr="006625CC">
        <w:t xml:space="preserve"> </w:t>
      </w:r>
      <w:r>
        <w:t>млрд руб.</w:t>
      </w:r>
    </w:p>
    <w:tbl>
      <w:tblPr>
        <w:tblW w:w="9209" w:type="dxa"/>
        <w:jc w:val="center"/>
        <w:tblLayout w:type="fixed"/>
        <w:tblLook w:val="04A0" w:firstRow="1" w:lastRow="0" w:firstColumn="1" w:lastColumn="0" w:noHBand="0" w:noVBand="1"/>
      </w:tblPr>
      <w:tblGrid>
        <w:gridCol w:w="3823"/>
        <w:gridCol w:w="992"/>
        <w:gridCol w:w="992"/>
        <w:gridCol w:w="992"/>
        <w:gridCol w:w="993"/>
        <w:gridCol w:w="1417"/>
      </w:tblGrid>
      <w:tr w:rsidR="006C63D9" w:rsidRPr="004F0A5B" w14:paraId="2D8E092E" w14:textId="77777777" w:rsidTr="004E5F60">
        <w:trPr>
          <w:trHeight w:val="576"/>
          <w:tblHeader/>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BE67E" w14:textId="77777777" w:rsidR="006C63D9" w:rsidRPr="00191F82" w:rsidRDefault="006C63D9" w:rsidP="00191F82">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66830" w14:textId="77777777" w:rsidR="006C63D9" w:rsidRPr="00191F82" w:rsidRDefault="006C63D9" w:rsidP="00191F82">
            <w:pPr>
              <w:jc w:val="center"/>
              <w:rPr>
                <w:b/>
                <w:sz w:val="20"/>
                <w:szCs w:val="20"/>
              </w:rPr>
            </w:pPr>
            <w:r w:rsidRPr="00191F82">
              <w:rPr>
                <w:b/>
                <w:sz w:val="20"/>
                <w:szCs w:val="20"/>
              </w:rPr>
              <w:t>2019 г. (оценка)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77A8F1" w14:textId="77777777" w:rsidR="006C63D9" w:rsidRPr="00191F82" w:rsidRDefault="006C63D9" w:rsidP="00191F82">
            <w:pPr>
              <w:jc w:val="center"/>
              <w:rPr>
                <w:b/>
                <w:sz w:val="20"/>
                <w:szCs w:val="20"/>
              </w:rPr>
            </w:pPr>
            <w:r w:rsidRPr="00191F82">
              <w:rPr>
                <w:b/>
                <w:sz w:val="20"/>
                <w:szCs w:val="20"/>
              </w:rPr>
              <w:t>2020 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99058A" w14:textId="6489C344" w:rsidR="006C63D9" w:rsidRPr="00191F82" w:rsidRDefault="006C63D9" w:rsidP="00191F82">
            <w:pPr>
              <w:jc w:val="center"/>
              <w:rPr>
                <w:b/>
                <w:sz w:val="20"/>
                <w:szCs w:val="20"/>
              </w:rPr>
            </w:pPr>
            <w:r w:rsidRPr="00191F82">
              <w:rPr>
                <w:b/>
                <w:sz w:val="20"/>
                <w:szCs w:val="20"/>
              </w:rPr>
              <w:t>2021 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0762666" w14:textId="77777777" w:rsidR="006C63D9" w:rsidRPr="00191F82" w:rsidRDefault="006C63D9" w:rsidP="00191F82">
            <w:pPr>
              <w:jc w:val="center"/>
              <w:rPr>
                <w:b/>
                <w:sz w:val="20"/>
                <w:szCs w:val="20"/>
              </w:rPr>
            </w:pPr>
            <w:r w:rsidRPr="00191F82">
              <w:rPr>
                <w:b/>
                <w:sz w:val="20"/>
                <w:szCs w:val="20"/>
              </w:rPr>
              <w:t>2022 г.</w:t>
            </w:r>
          </w:p>
        </w:tc>
        <w:tc>
          <w:tcPr>
            <w:tcW w:w="1417" w:type="dxa"/>
            <w:tcBorders>
              <w:top w:val="single" w:sz="4" w:space="0" w:color="auto"/>
              <w:left w:val="nil"/>
              <w:bottom w:val="single" w:sz="4" w:space="0" w:color="auto"/>
              <w:right w:val="single" w:sz="4" w:space="0" w:color="auto"/>
            </w:tcBorders>
          </w:tcPr>
          <w:p w14:paraId="6FABD16C" w14:textId="77777777" w:rsidR="006C63D9" w:rsidRPr="00191F82" w:rsidRDefault="006C63D9" w:rsidP="00191F82">
            <w:pPr>
              <w:jc w:val="center"/>
              <w:rPr>
                <w:b/>
                <w:sz w:val="20"/>
                <w:szCs w:val="20"/>
              </w:rPr>
            </w:pPr>
            <w:r w:rsidRPr="00191F82">
              <w:rPr>
                <w:b/>
                <w:sz w:val="20"/>
                <w:szCs w:val="20"/>
              </w:rPr>
              <w:t>Отклонение 2022 г. к 2019 г.</w:t>
            </w:r>
          </w:p>
        </w:tc>
      </w:tr>
      <w:tr w:rsidR="006C63D9" w:rsidRPr="004F0A5B" w14:paraId="1035CEAB" w14:textId="77777777" w:rsidTr="004E5F60">
        <w:trPr>
          <w:trHeight w:val="408"/>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3D0307BF" w14:textId="77777777" w:rsidR="006C63D9" w:rsidRPr="004D6303" w:rsidRDefault="006C63D9" w:rsidP="00191F82">
            <w:pPr>
              <w:rPr>
                <w:b/>
                <w:sz w:val="20"/>
                <w:szCs w:val="20"/>
              </w:rPr>
            </w:pPr>
            <w:r w:rsidRPr="004D6303">
              <w:rPr>
                <w:b/>
                <w:sz w:val="20"/>
                <w:szCs w:val="20"/>
              </w:rPr>
              <w:t>Расходы ФБ, всего,</w:t>
            </w:r>
          </w:p>
          <w:p w14:paraId="384D02A7" w14:textId="77777777" w:rsidR="006C63D9" w:rsidRDefault="006C63D9" w:rsidP="00191F82">
            <w:pPr>
              <w:rPr>
                <w:sz w:val="20"/>
                <w:szCs w:val="20"/>
              </w:rPr>
            </w:pPr>
            <w:r w:rsidRPr="006728C3">
              <w:rPr>
                <w:i/>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B9974" w14:textId="77777777" w:rsidR="006C63D9" w:rsidRPr="00DB4441" w:rsidRDefault="006C63D9" w:rsidP="00191F82">
            <w:pPr>
              <w:jc w:val="center"/>
              <w:rPr>
                <w:sz w:val="20"/>
                <w:szCs w:val="20"/>
              </w:rPr>
            </w:pPr>
            <w:r>
              <w:rPr>
                <w:rFonts w:eastAsiaTheme="minorEastAsia"/>
                <w:b/>
                <w:sz w:val="20"/>
                <w:lang w:eastAsia="en-US"/>
              </w:rPr>
              <w:t>18 293,7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B00B6" w14:textId="77777777" w:rsidR="006C63D9" w:rsidRPr="00DB4441" w:rsidRDefault="006C63D9" w:rsidP="00191F82">
            <w:pPr>
              <w:jc w:val="center"/>
              <w:rPr>
                <w:sz w:val="20"/>
                <w:szCs w:val="20"/>
              </w:rPr>
            </w:pPr>
            <w:r>
              <w:rPr>
                <w:rFonts w:eastAsiaTheme="minorEastAsia"/>
                <w:b/>
                <w:sz w:val="20"/>
                <w:lang w:eastAsia="en-US"/>
              </w:rPr>
              <w:t>19 503,3</w:t>
            </w:r>
          </w:p>
        </w:tc>
        <w:tc>
          <w:tcPr>
            <w:tcW w:w="992" w:type="dxa"/>
            <w:tcBorders>
              <w:top w:val="single" w:sz="4" w:space="0" w:color="auto"/>
              <w:left w:val="single" w:sz="4" w:space="0" w:color="auto"/>
              <w:bottom w:val="single" w:sz="4" w:space="0" w:color="auto"/>
              <w:right w:val="single" w:sz="4" w:space="0" w:color="auto"/>
            </w:tcBorders>
            <w:noWrap/>
            <w:vAlign w:val="center"/>
          </w:tcPr>
          <w:p w14:paraId="09870C7A" w14:textId="77777777" w:rsidR="006C63D9" w:rsidRPr="00DB4441" w:rsidRDefault="006C63D9" w:rsidP="00191F82">
            <w:pPr>
              <w:jc w:val="center"/>
              <w:rPr>
                <w:sz w:val="20"/>
                <w:szCs w:val="20"/>
              </w:rPr>
            </w:pPr>
            <w:r>
              <w:rPr>
                <w:rFonts w:eastAsiaTheme="minorEastAsia"/>
                <w:b/>
                <w:sz w:val="20"/>
                <w:lang w:eastAsia="en-US"/>
              </w:rPr>
              <w:t>20 634,0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66D4E" w14:textId="77777777" w:rsidR="006C63D9" w:rsidRPr="00DB4441" w:rsidRDefault="006C63D9" w:rsidP="00191F82">
            <w:pPr>
              <w:jc w:val="center"/>
              <w:rPr>
                <w:sz w:val="20"/>
                <w:szCs w:val="20"/>
              </w:rPr>
            </w:pPr>
            <w:r>
              <w:rPr>
                <w:rFonts w:eastAsiaTheme="minorEastAsia"/>
                <w:b/>
                <w:sz w:val="20"/>
                <w:lang w:eastAsia="en-US"/>
              </w:rPr>
              <w:t>21 763,3</w:t>
            </w:r>
          </w:p>
        </w:tc>
        <w:tc>
          <w:tcPr>
            <w:tcW w:w="1417" w:type="dxa"/>
            <w:tcBorders>
              <w:top w:val="single" w:sz="4" w:space="0" w:color="auto"/>
              <w:left w:val="single" w:sz="4" w:space="0" w:color="auto"/>
              <w:bottom w:val="single" w:sz="4" w:space="0" w:color="auto"/>
              <w:right w:val="single" w:sz="4" w:space="0" w:color="auto"/>
            </w:tcBorders>
            <w:vAlign w:val="center"/>
          </w:tcPr>
          <w:p w14:paraId="34CBF9AA" w14:textId="77777777" w:rsidR="006C63D9" w:rsidRDefault="006C63D9" w:rsidP="00191F82">
            <w:pPr>
              <w:jc w:val="center"/>
              <w:rPr>
                <w:sz w:val="20"/>
                <w:szCs w:val="20"/>
              </w:rPr>
            </w:pPr>
            <w:r w:rsidRPr="00BA61D0">
              <w:rPr>
                <w:rFonts w:eastAsiaTheme="minorEastAsia"/>
                <w:b/>
                <w:sz w:val="20"/>
                <w:szCs w:val="20"/>
                <w:lang w:eastAsia="en-US"/>
              </w:rPr>
              <w:t>3469,6</w:t>
            </w:r>
          </w:p>
        </w:tc>
      </w:tr>
      <w:tr w:rsidR="006C63D9" w:rsidRPr="004F0A5B" w14:paraId="0B814016" w14:textId="77777777" w:rsidTr="004E5F60">
        <w:trPr>
          <w:trHeight w:val="408"/>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63CC6" w14:textId="77777777" w:rsidR="006C63D9" w:rsidRDefault="006C63D9" w:rsidP="00191F82">
            <w:pPr>
              <w:rPr>
                <w:sz w:val="20"/>
                <w:szCs w:val="20"/>
              </w:rPr>
            </w:pPr>
            <w:r>
              <w:rPr>
                <w:sz w:val="20"/>
                <w:szCs w:val="20"/>
              </w:rPr>
              <w:t>- р</w:t>
            </w:r>
            <w:r w:rsidRPr="00DB4441">
              <w:rPr>
                <w:sz w:val="20"/>
                <w:szCs w:val="20"/>
              </w:rPr>
              <w:t>асходы на реализацию государственных программ, всего</w:t>
            </w:r>
          </w:p>
          <w:p w14:paraId="50968325" w14:textId="77777777" w:rsidR="006C63D9" w:rsidRPr="00DB4441" w:rsidRDefault="006C63D9" w:rsidP="00191F82">
            <w:pPr>
              <w:rPr>
                <w:sz w:val="20"/>
                <w:szCs w:val="20"/>
              </w:rPr>
            </w:pPr>
            <w:r w:rsidRPr="006728C3">
              <w:rPr>
                <w:i/>
                <w:sz w:val="20"/>
                <w:szCs w:val="20"/>
              </w:rPr>
              <w:t>в том числе по направлениям: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320F2A" w14:textId="77777777" w:rsidR="006C63D9" w:rsidRPr="00DB4441" w:rsidRDefault="006C63D9" w:rsidP="00191F82">
            <w:pPr>
              <w:jc w:val="center"/>
              <w:rPr>
                <w:sz w:val="20"/>
                <w:szCs w:val="20"/>
              </w:rPr>
            </w:pPr>
            <w:r w:rsidRPr="00DB4441">
              <w:rPr>
                <w:sz w:val="20"/>
                <w:szCs w:val="20"/>
              </w:rPr>
              <w:t>14</w:t>
            </w:r>
            <w:r>
              <w:rPr>
                <w:sz w:val="20"/>
                <w:szCs w:val="20"/>
              </w:rPr>
              <w:t xml:space="preserve"> </w:t>
            </w:r>
            <w:r w:rsidRPr="00DB4441">
              <w:rPr>
                <w:sz w:val="20"/>
                <w:szCs w:val="20"/>
              </w:rPr>
              <w:t>631</w:t>
            </w:r>
            <w:r>
              <w:rPr>
                <w:sz w:val="20"/>
                <w:szCs w:val="20"/>
              </w:rPr>
              <w:t>,</w:t>
            </w:r>
            <w:r w:rsidRPr="00DB4441">
              <w:rPr>
                <w:sz w:val="20"/>
                <w:szCs w:val="20"/>
              </w:rPr>
              <w:t>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07C873D" w14:textId="77777777" w:rsidR="006C63D9" w:rsidRPr="00DB4441" w:rsidRDefault="006C63D9" w:rsidP="00191F82">
            <w:pPr>
              <w:jc w:val="center"/>
              <w:rPr>
                <w:sz w:val="20"/>
                <w:szCs w:val="20"/>
              </w:rPr>
            </w:pPr>
            <w:r w:rsidRPr="00DB4441">
              <w:rPr>
                <w:sz w:val="20"/>
                <w:szCs w:val="20"/>
              </w:rPr>
              <w:t>14</w:t>
            </w:r>
            <w:r>
              <w:rPr>
                <w:sz w:val="20"/>
                <w:szCs w:val="20"/>
              </w:rPr>
              <w:t xml:space="preserve"> </w:t>
            </w:r>
            <w:r w:rsidRPr="00DB4441">
              <w:rPr>
                <w:sz w:val="20"/>
                <w:szCs w:val="20"/>
              </w:rPr>
              <w:t>639</w:t>
            </w:r>
            <w:r>
              <w:rPr>
                <w:sz w:val="20"/>
                <w:szCs w:val="20"/>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45D05DA" w14:textId="77777777" w:rsidR="006C63D9" w:rsidRPr="00DB4441" w:rsidRDefault="006C63D9" w:rsidP="00191F82">
            <w:pPr>
              <w:jc w:val="center"/>
              <w:rPr>
                <w:sz w:val="20"/>
                <w:szCs w:val="20"/>
              </w:rPr>
            </w:pPr>
            <w:r w:rsidRPr="00DB4441">
              <w:rPr>
                <w:sz w:val="20"/>
                <w:szCs w:val="20"/>
              </w:rPr>
              <w:t>15</w:t>
            </w:r>
            <w:r>
              <w:rPr>
                <w:sz w:val="20"/>
                <w:szCs w:val="20"/>
              </w:rPr>
              <w:t xml:space="preserve"> </w:t>
            </w:r>
            <w:r w:rsidRPr="00DB4441">
              <w:rPr>
                <w:sz w:val="20"/>
                <w:szCs w:val="20"/>
              </w:rPr>
              <w:t>274</w:t>
            </w:r>
            <w:r>
              <w:rPr>
                <w:sz w:val="20"/>
                <w:szCs w:val="20"/>
              </w:rPr>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FB65C1B" w14:textId="77777777" w:rsidR="006C63D9" w:rsidRPr="00DB4441" w:rsidRDefault="006C63D9" w:rsidP="00191F82">
            <w:pPr>
              <w:jc w:val="center"/>
              <w:rPr>
                <w:sz w:val="20"/>
                <w:szCs w:val="20"/>
              </w:rPr>
            </w:pPr>
            <w:r w:rsidRPr="00DB4441">
              <w:rPr>
                <w:sz w:val="20"/>
                <w:szCs w:val="20"/>
              </w:rPr>
              <w:t>16</w:t>
            </w:r>
            <w:r>
              <w:rPr>
                <w:sz w:val="20"/>
                <w:szCs w:val="20"/>
              </w:rPr>
              <w:t xml:space="preserve"> </w:t>
            </w:r>
            <w:r w:rsidRPr="00DB4441">
              <w:rPr>
                <w:sz w:val="20"/>
                <w:szCs w:val="20"/>
              </w:rPr>
              <w:t>134</w:t>
            </w:r>
            <w:r>
              <w:rPr>
                <w:sz w:val="20"/>
                <w:szCs w:val="20"/>
              </w:rPr>
              <w:t>,7</w:t>
            </w:r>
          </w:p>
        </w:tc>
        <w:tc>
          <w:tcPr>
            <w:tcW w:w="1417" w:type="dxa"/>
            <w:tcBorders>
              <w:top w:val="single" w:sz="4" w:space="0" w:color="auto"/>
              <w:left w:val="nil"/>
              <w:bottom w:val="single" w:sz="4" w:space="0" w:color="auto"/>
              <w:right w:val="single" w:sz="4" w:space="0" w:color="auto"/>
            </w:tcBorders>
            <w:vAlign w:val="center"/>
          </w:tcPr>
          <w:p w14:paraId="61F83E77" w14:textId="77777777" w:rsidR="006C63D9" w:rsidRPr="00BA61D0" w:rsidRDefault="006C63D9" w:rsidP="00191F82">
            <w:pPr>
              <w:jc w:val="center"/>
              <w:rPr>
                <w:sz w:val="20"/>
                <w:szCs w:val="20"/>
              </w:rPr>
            </w:pPr>
            <w:r>
              <w:rPr>
                <w:sz w:val="20"/>
                <w:szCs w:val="20"/>
              </w:rPr>
              <w:t>1503,2</w:t>
            </w:r>
          </w:p>
        </w:tc>
      </w:tr>
      <w:tr w:rsidR="006C63D9" w:rsidRPr="004F0A5B" w14:paraId="0C77355D" w14:textId="77777777" w:rsidTr="004E5F60">
        <w:trPr>
          <w:trHeight w:val="408"/>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8845232" w14:textId="77777777" w:rsidR="006C63D9" w:rsidRPr="00DB4441" w:rsidRDefault="006C63D9" w:rsidP="00191F82">
            <w:pPr>
              <w:rPr>
                <w:sz w:val="20"/>
                <w:szCs w:val="20"/>
              </w:rPr>
            </w:pPr>
            <w:r w:rsidRPr="00DB4441">
              <w:rPr>
                <w:sz w:val="20"/>
                <w:szCs w:val="20"/>
              </w:rPr>
              <w:t>Новое качество жизни</w:t>
            </w:r>
            <w:r>
              <w:rPr>
                <w:sz w:val="20"/>
                <w:szCs w:val="20"/>
              </w:rPr>
              <w:t xml:space="preserve"> </w:t>
            </w:r>
            <w:r w:rsidRPr="00DB4441">
              <w:rPr>
                <w:sz w:val="20"/>
                <w:szCs w:val="20"/>
              </w:rPr>
              <w:t>(10 программ)</w:t>
            </w:r>
          </w:p>
        </w:tc>
        <w:tc>
          <w:tcPr>
            <w:tcW w:w="992" w:type="dxa"/>
            <w:tcBorders>
              <w:top w:val="nil"/>
              <w:left w:val="nil"/>
              <w:bottom w:val="single" w:sz="4" w:space="0" w:color="auto"/>
              <w:right w:val="single" w:sz="4" w:space="0" w:color="auto"/>
            </w:tcBorders>
            <w:shd w:val="clear" w:color="auto" w:fill="auto"/>
            <w:noWrap/>
            <w:vAlign w:val="center"/>
            <w:hideMark/>
          </w:tcPr>
          <w:p w14:paraId="07524FF0" w14:textId="77777777" w:rsidR="006C63D9" w:rsidRPr="00DB4441" w:rsidRDefault="006C63D9" w:rsidP="00191F82">
            <w:pPr>
              <w:jc w:val="center"/>
              <w:rPr>
                <w:sz w:val="20"/>
                <w:szCs w:val="20"/>
              </w:rPr>
            </w:pPr>
            <w:r w:rsidRPr="00DB4441">
              <w:rPr>
                <w:sz w:val="20"/>
                <w:szCs w:val="20"/>
              </w:rPr>
              <w:t>2</w:t>
            </w:r>
            <w:r>
              <w:rPr>
                <w:sz w:val="20"/>
                <w:szCs w:val="20"/>
              </w:rPr>
              <w:t xml:space="preserve"> </w:t>
            </w:r>
            <w:r w:rsidRPr="00DB4441">
              <w:rPr>
                <w:sz w:val="20"/>
                <w:szCs w:val="20"/>
              </w:rPr>
              <w:t>783</w:t>
            </w:r>
            <w:r>
              <w:rPr>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14:paraId="7BD162C1" w14:textId="77777777" w:rsidR="006C63D9" w:rsidRPr="00DB4441" w:rsidRDefault="006C63D9" w:rsidP="00191F82">
            <w:pPr>
              <w:jc w:val="center"/>
              <w:rPr>
                <w:sz w:val="20"/>
                <w:szCs w:val="20"/>
              </w:rPr>
            </w:pPr>
            <w:r w:rsidRPr="00DB4441">
              <w:rPr>
                <w:sz w:val="20"/>
                <w:szCs w:val="20"/>
              </w:rPr>
              <w:t>3</w:t>
            </w:r>
            <w:r>
              <w:rPr>
                <w:sz w:val="20"/>
                <w:szCs w:val="20"/>
              </w:rPr>
              <w:t xml:space="preserve"> </w:t>
            </w:r>
            <w:r w:rsidRPr="00DB4441">
              <w:rPr>
                <w:sz w:val="20"/>
                <w:szCs w:val="20"/>
              </w:rPr>
              <w:t>137</w:t>
            </w:r>
            <w:r>
              <w:rPr>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14:paraId="2AC68BA3" w14:textId="77777777" w:rsidR="006C63D9" w:rsidRPr="00DB4441" w:rsidRDefault="006C63D9" w:rsidP="00191F82">
            <w:pPr>
              <w:jc w:val="center"/>
              <w:rPr>
                <w:sz w:val="20"/>
                <w:szCs w:val="20"/>
              </w:rPr>
            </w:pPr>
            <w:r w:rsidRPr="00DB4441">
              <w:rPr>
                <w:sz w:val="20"/>
                <w:szCs w:val="20"/>
              </w:rPr>
              <w:t>3</w:t>
            </w:r>
            <w:r>
              <w:rPr>
                <w:sz w:val="20"/>
                <w:szCs w:val="20"/>
              </w:rPr>
              <w:t xml:space="preserve"> </w:t>
            </w:r>
            <w:r w:rsidRPr="00DB4441">
              <w:rPr>
                <w:sz w:val="20"/>
                <w:szCs w:val="20"/>
              </w:rPr>
              <w:t>156</w:t>
            </w:r>
            <w:r>
              <w:rPr>
                <w:sz w:val="20"/>
                <w:szCs w:val="20"/>
              </w:rPr>
              <w:t>,6</w:t>
            </w:r>
          </w:p>
        </w:tc>
        <w:tc>
          <w:tcPr>
            <w:tcW w:w="993" w:type="dxa"/>
            <w:tcBorders>
              <w:top w:val="nil"/>
              <w:left w:val="nil"/>
              <w:bottom w:val="single" w:sz="4" w:space="0" w:color="auto"/>
              <w:right w:val="single" w:sz="4" w:space="0" w:color="auto"/>
            </w:tcBorders>
            <w:shd w:val="clear" w:color="auto" w:fill="auto"/>
            <w:noWrap/>
            <w:vAlign w:val="center"/>
            <w:hideMark/>
          </w:tcPr>
          <w:p w14:paraId="1DE7BA11" w14:textId="77777777" w:rsidR="006C63D9" w:rsidRPr="00DB4441" w:rsidRDefault="006C63D9" w:rsidP="00191F82">
            <w:pPr>
              <w:jc w:val="center"/>
              <w:rPr>
                <w:sz w:val="20"/>
                <w:szCs w:val="20"/>
              </w:rPr>
            </w:pPr>
            <w:r w:rsidRPr="00DB4441">
              <w:rPr>
                <w:sz w:val="20"/>
                <w:szCs w:val="20"/>
              </w:rPr>
              <w:t>3</w:t>
            </w:r>
            <w:r>
              <w:rPr>
                <w:sz w:val="20"/>
                <w:szCs w:val="20"/>
              </w:rPr>
              <w:t xml:space="preserve"> </w:t>
            </w:r>
            <w:r w:rsidRPr="00DB4441">
              <w:rPr>
                <w:sz w:val="20"/>
                <w:szCs w:val="20"/>
              </w:rPr>
              <w:t>246</w:t>
            </w:r>
            <w:r>
              <w:rPr>
                <w:sz w:val="20"/>
                <w:szCs w:val="20"/>
              </w:rPr>
              <w:t>,5</w:t>
            </w:r>
          </w:p>
        </w:tc>
        <w:tc>
          <w:tcPr>
            <w:tcW w:w="1417" w:type="dxa"/>
            <w:tcBorders>
              <w:top w:val="nil"/>
              <w:left w:val="nil"/>
              <w:bottom w:val="single" w:sz="4" w:space="0" w:color="auto"/>
              <w:right w:val="single" w:sz="4" w:space="0" w:color="auto"/>
            </w:tcBorders>
            <w:vAlign w:val="center"/>
          </w:tcPr>
          <w:p w14:paraId="5DD9ED73" w14:textId="77777777" w:rsidR="006C63D9" w:rsidRPr="00BA61D0" w:rsidRDefault="006C63D9" w:rsidP="00191F82">
            <w:pPr>
              <w:jc w:val="center"/>
              <w:rPr>
                <w:sz w:val="20"/>
                <w:szCs w:val="20"/>
              </w:rPr>
            </w:pPr>
            <w:r w:rsidRPr="00BA61D0">
              <w:rPr>
                <w:sz w:val="20"/>
                <w:szCs w:val="20"/>
              </w:rPr>
              <w:t>462,7</w:t>
            </w:r>
          </w:p>
        </w:tc>
      </w:tr>
      <w:tr w:rsidR="006C63D9" w:rsidRPr="004F0A5B" w14:paraId="279C8D73" w14:textId="77777777" w:rsidTr="004E5F60">
        <w:trPr>
          <w:trHeight w:val="612"/>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446E96E" w14:textId="77777777" w:rsidR="006C63D9" w:rsidRPr="00DB4441" w:rsidRDefault="006C63D9" w:rsidP="00191F82">
            <w:pPr>
              <w:rPr>
                <w:sz w:val="20"/>
                <w:szCs w:val="20"/>
              </w:rPr>
            </w:pPr>
            <w:r w:rsidRPr="00DB4441">
              <w:rPr>
                <w:sz w:val="20"/>
                <w:szCs w:val="20"/>
              </w:rPr>
              <w:t>Инновационное развитие и модернизация экономики</w:t>
            </w:r>
            <w:r>
              <w:rPr>
                <w:sz w:val="20"/>
                <w:szCs w:val="20"/>
              </w:rPr>
              <w:t xml:space="preserve"> </w:t>
            </w:r>
            <w:r w:rsidRPr="00DB4441">
              <w:rPr>
                <w:sz w:val="20"/>
                <w:szCs w:val="20"/>
              </w:rPr>
              <w:t>(19 программ), без закрытой части</w:t>
            </w:r>
          </w:p>
        </w:tc>
        <w:tc>
          <w:tcPr>
            <w:tcW w:w="992" w:type="dxa"/>
            <w:tcBorders>
              <w:top w:val="nil"/>
              <w:left w:val="nil"/>
              <w:bottom w:val="single" w:sz="4" w:space="0" w:color="auto"/>
              <w:right w:val="single" w:sz="4" w:space="0" w:color="auto"/>
            </w:tcBorders>
            <w:shd w:val="clear" w:color="auto" w:fill="auto"/>
            <w:noWrap/>
            <w:vAlign w:val="center"/>
            <w:hideMark/>
          </w:tcPr>
          <w:p w14:paraId="3F760717" w14:textId="77777777" w:rsidR="006C63D9" w:rsidRPr="00DB4441" w:rsidRDefault="006C63D9" w:rsidP="00191F82">
            <w:pPr>
              <w:jc w:val="center"/>
              <w:rPr>
                <w:sz w:val="20"/>
                <w:szCs w:val="20"/>
              </w:rPr>
            </w:pPr>
            <w:r w:rsidRPr="00DB4441">
              <w:rPr>
                <w:sz w:val="20"/>
                <w:szCs w:val="20"/>
              </w:rPr>
              <w:t>3</w:t>
            </w:r>
            <w:r>
              <w:rPr>
                <w:sz w:val="20"/>
                <w:szCs w:val="20"/>
              </w:rPr>
              <w:t xml:space="preserve"> </w:t>
            </w:r>
            <w:r w:rsidRPr="00DB4441">
              <w:rPr>
                <w:sz w:val="20"/>
                <w:szCs w:val="20"/>
              </w:rPr>
              <w:t>476</w:t>
            </w:r>
            <w:r>
              <w:rPr>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2DFAC6F0" w14:textId="77777777" w:rsidR="006C63D9" w:rsidRPr="00DB4441" w:rsidRDefault="006C63D9" w:rsidP="00191F82">
            <w:pPr>
              <w:jc w:val="center"/>
              <w:rPr>
                <w:sz w:val="20"/>
                <w:szCs w:val="20"/>
              </w:rPr>
            </w:pPr>
            <w:r w:rsidRPr="00DB4441">
              <w:rPr>
                <w:sz w:val="20"/>
                <w:szCs w:val="20"/>
              </w:rPr>
              <w:t>3</w:t>
            </w:r>
            <w:r>
              <w:rPr>
                <w:sz w:val="20"/>
                <w:szCs w:val="20"/>
              </w:rPr>
              <w:t xml:space="preserve"> </w:t>
            </w:r>
            <w:r w:rsidRPr="00DB4441">
              <w:rPr>
                <w:sz w:val="20"/>
                <w:szCs w:val="20"/>
              </w:rPr>
              <w:t>585</w:t>
            </w:r>
            <w:r>
              <w:rPr>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08AEA6E7" w14:textId="77777777" w:rsidR="006C63D9" w:rsidRPr="00DB4441" w:rsidRDefault="006C63D9" w:rsidP="00191F82">
            <w:pPr>
              <w:jc w:val="center"/>
              <w:rPr>
                <w:sz w:val="20"/>
                <w:szCs w:val="20"/>
              </w:rPr>
            </w:pPr>
            <w:r w:rsidRPr="00DB4441">
              <w:rPr>
                <w:sz w:val="20"/>
                <w:szCs w:val="20"/>
              </w:rPr>
              <w:t>3</w:t>
            </w:r>
            <w:r>
              <w:rPr>
                <w:sz w:val="20"/>
                <w:szCs w:val="20"/>
              </w:rPr>
              <w:t xml:space="preserve"> </w:t>
            </w:r>
            <w:r w:rsidRPr="00DB4441">
              <w:rPr>
                <w:sz w:val="20"/>
                <w:szCs w:val="20"/>
              </w:rPr>
              <w:t>900</w:t>
            </w:r>
            <w:r>
              <w:rPr>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14:paraId="2F45AADC" w14:textId="77777777" w:rsidR="006C63D9" w:rsidRPr="00DB4441" w:rsidRDefault="006C63D9" w:rsidP="00191F82">
            <w:pPr>
              <w:jc w:val="center"/>
              <w:rPr>
                <w:sz w:val="20"/>
                <w:szCs w:val="20"/>
              </w:rPr>
            </w:pPr>
            <w:r w:rsidRPr="00DB4441">
              <w:rPr>
                <w:sz w:val="20"/>
                <w:szCs w:val="20"/>
              </w:rPr>
              <w:t>4</w:t>
            </w:r>
            <w:r>
              <w:rPr>
                <w:sz w:val="20"/>
                <w:szCs w:val="20"/>
              </w:rPr>
              <w:t xml:space="preserve"> </w:t>
            </w:r>
            <w:r w:rsidRPr="00DB4441">
              <w:rPr>
                <w:sz w:val="20"/>
                <w:szCs w:val="20"/>
              </w:rPr>
              <w:t>366</w:t>
            </w:r>
            <w:r>
              <w:rPr>
                <w:sz w:val="20"/>
                <w:szCs w:val="20"/>
              </w:rPr>
              <w:t>,7</w:t>
            </w:r>
          </w:p>
        </w:tc>
        <w:tc>
          <w:tcPr>
            <w:tcW w:w="1417" w:type="dxa"/>
            <w:tcBorders>
              <w:top w:val="nil"/>
              <w:left w:val="nil"/>
              <w:bottom w:val="single" w:sz="4" w:space="0" w:color="auto"/>
              <w:right w:val="single" w:sz="4" w:space="0" w:color="auto"/>
            </w:tcBorders>
            <w:vAlign w:val="center"/>
          </w:tcPr>
          <w:p w14:paraId="1EB88394" w14:textId="77777777" w:rsidR="006C63D9" w:rsidRPr="00BA61D0" w:rsidRDefault="006C63D9" w:rsidP="00191F82">
            <w:pPr>
              <w:jc w:val="center"/>
              <w:rPr>
                <w:sz w:val="20"/>
                <w:szCs w:val="20"/>
              </w:rPr>
            </w:pPr>
            <w:r w:rsidRPr="00BA61D0">
              <w:rPr>
                <w:sz w:val="20"/>
                <w:szCs w:val="20"/>
              </w:rPr>
              <w:t>890,6</w:t>
            </w:r>
          </w:p>
        </w:tc>
      </w:tr>
      <w:tr w:rsidR="006C63D9" w:rsidRPr="004F0A5B" w14:paraId="6DA7CE19" w14:textId="77777777" w:rsidTr="004E5F60">
        <w:trPr>
          <w:trHeight w:val="612"/>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BEB2F99" w14:textId="77777777" w:rsidR="006C63D9" w:rsidRPr="00DB4441" w:rsidRDefault="006C63D9" w:rsidP="00191F82">
            <w:pPr>
              <w:rPr>
                <w:sz w:val="20"/>
                <w:szCs w:val="20"/>
              </w:rPr>
            </w:pPr>
            <w:r w:rsidRPr="00DB4441">
              <w:rPr>
                <w:sz w:val="20"/>
                <w:szCs w:val="20"/>
              </w:rPr>
              <w:t>Обеспечение национальной безопасности (5 программ), без закрытой части</w:t>
            </w:r>
          </w:p>
        </w:tc>
        <w:tc>
          <w:tcPr>
            <w:tcW w:w="992" w:type="dxa"/>
            <w:tcBorders>
              <w:top w:val="nil"/>
              <w:left w:val="nil"/>
              <w:bottom w:val="single" w:sz="4" w:space="0" w:color="auto"/>
              <w:right w:val="single" w:sz="4" w:space="0" w:color="auto"/>
            </w:tcBorders>
            <w:shd w:val="clear" w:color="auto" w:fill="auto"/>
            <w:noWrap/>
            <w:vAlign w:val="center"/>
            <w:hideMark/>
          </w:tcPr>
          <w:p w14:paraId="488DCA9C" w14:textId="77777777" w:rsidR="006C63D9" w:rsidRPr="00DB4441" w:rsidRDefault="006C63D9" w:rsidP="00191F82">
            <w:pPr>
              <w:jc w:val="center"/>
              <w:rPr>
                <w:sz w:val="20"/>
                <w:szCs w:val="20"/>
              </w:rPr>
            </w:pPr>
            <w:r w:rsidRPr="00DB4441">
              <w:rPr>
                <w:sz w:val="20"/>
                <w:szCs w:val="20"/>
              </w:rPr>
              <w:t>2</w:t>
            </w:r>
            <w:r>
              <w:rPr>
                <w:sz w:val="20"/>
                <w:szCs w:val="20"/>
              </w:rPr>
              <w:t xml:space="preserve"> </w:t>
            </w:r>
            <w:r w:rsidRPr="00DB4441">
              <w:rPr>
                <w:sz w:val="20"/>
                <w:szCs w:val="20"/>
              </w:rPr>
              <w:t>326</w:t>
            </w:r>
            <w:r>
              <w:rPr>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14:paraId="02A2AE33" w14:textId="77777777" w:rsidR="006C63D9" w:rsidRPr="00DB4441" w:rsidRDefault="006C63D9" w:rsidP="00191F82">
            <w:pPr>
              <w:jc w:val="center"/>
              <w:rPr>
                <w:sz w:val="20"/>
                <w:szCs w:val="20"/>
              </w:rPr>
            </w:pPr>
            <w:r w:rsidRPr="00DB4441">
              <w:rPr>
                <w:sz w:val="20"/>
                <w:szCs w:val="20"/>
              </w:rPr>
              <w:t>2</w:t>
            </w:r>
            <w:r>
              <w:rPr>
                <w:sz w:val="20"/>
                <w:szCs w:val="20"/>
              </w:rPr>
              <w:t xml:space="preserve"> </w:t>
            </w:r>
            <w:r w:rsidRPr="00DB4441">
              <w:rPr>
                <w:sz w:val="20"/>
                <w:szCs w:val="20"/>
              </w:rPr>
              <w:t>415</w:t>
            </w:r>
            <w:r>
              <w:rPr>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14:paraId="360180BE" w14:textId="77777777" w:rsidR="006C63D9" w:rsidRPr="00DB4441" w:rsidRDefault="006C63D9" w:rsidP="00191F82">
            <w:pPr>
              <w:jc w:val="center"/>
              <w:rPr>
                <w:sz w:val="20"/>
                <w:szCs w:val="20"/>
              </w:rPr>
            </w:pPr>
            <w:r w:rsidRPr="00DB4441">
              <w:rPr>
                <w:sz w:val="20"/>
                <w:szCs w:val="20"/>
              </w:rPr>
              <w:t>2</w:t>
            </w:r>
            <w:r>
              <w:rPr>
                <w:sz w:val="20"/>
                <w:szCs w:val="20"/>
              </w:rPr>
              <w:t xml:space="preserve"> </w:t>
            </w:r>
            <w:r w:rsidRPr="00DB4441">
              <w:rPr>
                <w:sz w:val="20"/>
                <w:szCs w:val="20"/>
              </w:rPr>
              <w:t>481</w:t>
            </w:r>
            <w:r>
              <w:rPr>
                <w:sz w:val="20"/>
                <w:szCs w:val="20"/>
              </w:rPr>
              <w:t>,4</w:t>
            </w:r>
          </w:p>
        </w:tc>
        <w:tc>
          <w:tcPr>
            <w:tcW w:w="993" w:type="dxa"/>
            <w:tcBorders>
              <w:top w:val="nil"/>
              <w:left w:val="nil"/>
              <w:bottom w:val="single" w:sz="4" w:space="0" w:color="auto"/>
              <w:right w:val="single" w:sz="4" w:space="0" w:color="auto"/>
            </w:tcBorders>
            <w:shd w:val="clear" w:color="auto" w:fill="auto"/>
            <w:noWrap/>
            <w:vAlign w:val="center"/>
            <w:hideMark/>
          </w:tcPr>
          <w:p w14:paraId="72B4C4ED" w14:textId="77777777" w:rsidR="006C63D9" w:rsidRPr="00DB4441" w:rsidRDefault="006C63D9" w:rsidP="00191F82">
            <w:pPr>
              <w:jc w:val="center"/>
              <w:rPr>
                <w:sz w:val="20"/>
                <w:szCs w:val="20"/>
              </w:rPr>
            </w:pPr>
            <w:r w:rsidRPr="00DB4441">
              <w:rPr>
                <w:sz w:val="20"/>
                <w:szCs w:val="20"/>
              </w:rPr>
              <w:t>2</w:t>
            </w:r>
            <w:r>
              <w:rPr>
                <w:sz w:val="20"/>
                <w:szCs w:val="20"/>
              </w:rPr>
              <w:t xml:space="preserve"> </w:t>
            </w:r>
            <w:r w:rsidRPr="00DB4441">
              <w:rPr>
                <w:sz w:val="20"/>
                <w:szCs w:val="20"/>
              </w:rPr>
              <w:t>554</w:t>
            </w:r>
            <w:r>
              <w:rPr>
                <w:sz w:val="20"/>
                <w:szCs w:val="20"/>
              </w:rPr>
              <w:t>,7</w:t>
            </w:r>
          </w:p>
        </w:tc>
        <w:tc>
          <w:tcPr>
            <w:tcW w:w="1417" w:type="dxa"/>
            <w:tcBorders>
              <w:top w:val="nil"/>
              <w:left w:val="nil"/>
              <w:bottom w:val="single" w:sz="4" w:space="0" w:color="auto"/>
              <w:right w:val="single" w:sz="4" w:space="0" w:color="auto"/>
            </w:tcBorders>
            <w:vAlign w:val="center"/>
          </w:tcPr>
          <w:p w14:paraId="1BF3A904" w14:textId="77777777" w:rsidR="006C63D9" w:rsidRPr="00BA61D0" w:rsidRDefault="006C63D9" w:rsidP="00191F82">
            <w:pPr>
              <w:jc w:val="center"/>
              <w:rPr>
                <w:sz w:val="20"/>
                <w:szCs w:val="20"/>
              </w:rPr>
            </w:pPr>
            <w:r w:rsidRPr="00BA61D0">
              <w:rPr>
                <w:sz w:val="20"/>
                <w:szCs w:val="20"/>
              </w:rPr>
              <w:t>228,3</w:t>
            </w:r>
          </w:p>
        </w:tc>
      </w:tr>
      <w:tr w:rsidR="006C63D9" w:rsidRPr="004F0A5B" w14:paraId="7D6CB8D3" w14:textId="77777777" w:rsidTr="004E5F60">
        <w:trPr>
          <w:trHeight w:val="612"/>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99A9881" w14:textId="77777777" w:rsidR="006C63D9" w:rsidRPr="00DB4441" w:rsidRDefault="006C63D9" w:rsidP="00191F82">
            <w:pPr>
              <w:rPr>
                <w:sz w:val="20"/>
                <w:szCs w:val="20"/>
              </w:rPr>
            </w:pPr>
            <w:r w:rsidRPr="00DB4441">
              <w:rPr>
                <w:sz w:val="20"/>
                <w:szCs w:val="20"/>
              </w:rPr>
              <w:t>Сбалансированное региональное развитие</w:t>
            </w:r>
            <w:r>
              <w:rPr>
                <w:sz w:val="20"/>
                <w:szCs w:val="20"/>
              </w:rPr>
              <w:t xml:space="preserve"> </w:t>
            </w:r>
            <w:r w:rsidRPr="00DB4441">
              <w:rPr>
                <w:sz w:val="20"/>
                <w:szCs w:val="20"/>
              </w:rPr>
              <w:t>(6 программ)</w:t>
            </w:r>
          </w:p>
        </w:tc>
        <w:tc>
          <w:tcPr>
            <w:tcW w:w="992" w:type="dxa"/>
            <w:tcBorders>
              <w:top w:val="nil"/>
              <w:left w:val="nil"/>
              <w:bottom w:val="single" w:sz="4" w:space="0" w:color="auto"/>
              <w:right w:val="single" w:sz="4" w:space="0" w:color="auto"/>
            </w:tcBorders>
            <w:shd w:val="clear" w:color="auto" w:fill="auto"/>
            <w:noWrap/>
            <w:vAlign w:val="center"/>
            <w:hideMark/>
          </w:tcPr>
          <w:p w14:paraId="1AD97DC8" w14:textId="77777777" w:rsidR="006C63D9" w:rsidRPr="00DB4441" w:rsidRDefault="006C63D9" w:rsidP="00191F82">
            <w:pPr>
              <w:jc w:val="center"/>
              <w:rPr>
                <w:sz w:val="20"/>
                <w:szCs w:val="20"/>
              </w:rPr>
            </w:pPr>
            <w:r w:rsidRPr="00DB4441">
              <w:rPr>
                <w:sz w:val="20"/>
                <w:szCs w:val="20"/>
              </w:rPr>
              <w:t>1</w:t>
            </w:r>
            <w:r>
              <w:rPr>
                <w:sz w:val="20"/>
                <w:szCs w:val="20"/>
              </w:rPr>
              <w:t xml:space="preserve"> </w:t>
            </w:r>
            <w:r w:rsidRPr="00DB4441">
              <w:rPr>
                <w:sz w:val="20"/>
                <w:szCs w:val="20"/>
              </w:rPr>
              <w:t>270</w:t>
            </w:r>
            <w:r>
              <w:rPr>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14:paraId="24BB313B" w14:textId="77777777" w:rsidR="006C63D9" w:rsidRPr="00DB4441" w:rsidRDefault="006C63D9" w:rsidP="00191F82">
            <w:pPr>
              <w:jc w:val="center"/>
              <w:rPr>
                <w:sz w:val="20"/>
                <w:szCs w:val="20"/>
              </w:rPr>
            </w:pPr>
            <w:r w:rsidRPr="00DB4441">
              <w:rPr>
                <w:sz w:val="20"/>
                <w:szCs w:val="20"/>
              </w:rPr>
              <w:t>1</w:t>
            </w:r>
            <w:r>
              <w:rPr>
                <w:sz w:val="20"/>
                <w:szCs w:val="20"/>
              </w:rPr>
              <w:t xml:space="preserve"> </w:t>
            </w:r>
            <w:r w:rsidRPr="00DB4441">
              <w:rPr>
                <w:sz w:val="20"/>
                <w:szCs w:val="20"/>
              </w:rPr>
              <w:t>174</w:t>
            </w:r>
            <w:r>
              <w:rPr>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14:paraId="3C5C7A87" w14:textId="77777777" w:rsidR="006C63D9" w:rsidRPr="00DB4441" w:rsidRDefault="006C63D9" w:rsidP="00191F82">
            <w:pPr>
              <w:jc w:val="center"/>
              <w:rPr>
                <w:sz w:val="20"/>
                <w:szCs w:val="20"/>
              </w:rPr>
            </w:pPr>
            <w:r w:rsidRPr="00DB4441">
              <w:rPr>
                <w:sz w:val="20"/>
                <w:szCs w:val="20"/>
              </w:rPr>
              <w:t>1</w:t>
            </w:r>
            <w:r>
              <w:rPr>
                <w:sz w:val="20"/>
                <w:szCs w:val="20"/>
              </w:rPr>
              <w:t xml:space="preserve"> </w:t>
            </w:r>
            <w:r w:rsidRPr="00DB4441">
              <w:rPr>
                <w:sz w:val="20"/>
                <w:szCs w:val="20"/>
              </w:rPr>
              <w:t>152</w:t>
            </w:r>
            <w:r>
              <w:rPr>
                <w:sz w:val="20"/>
                <w:szCs w:val="20"/>
              </w:rPr>
              <w:t>,4</w:t>
            </w:r>
          </w:p>
        </w:tc>
        <w:tc>
          <w:tcPr>
            <w:tcW w:w="993" w:type="dxa"/>
            <w:tcBorders>
              <w:top w:val="nil"/>
              <w:left w:val="nil"/>
              <w:bottom w:val="single" w:sz="4" w:space="0" w:color="auto"/>
              <w:right w:val="single" w:sz="4" w:space="0" w:color="auto"/>
            </w:tcBorders>
            <w:shd w:val="clear" w:color="auto" w:fill="auto"/>
            <w:noWrap/>
            <w:vAlign w:val="center"/>
            <w:hideMark/>
          </w:tcPr>
          <w:p w14:paraId="42D55B91" w14:textId="77777777" w:rsidR="006C63D9" w:rsidRPr="00DB4441" w:rsidRDefault="006C63D9" w:rsidP="00191F82">
            <w:pPr>
              <w:jc w:val="center"/>
              <w:rPr>
                <w:sz w:val="20"/>
                <w:szCs w:val="20"/>
              </w:rPr>
            </w:pPr>
            <w:r w:rsidRPr="00DB4441">
              <w:rPr>
                <w:sz w:val="20"/>
                <w:szCs w:val="20"/>
              </w:rPr>
              <w:t>1</w:t>
            </w:r>
            <w:r>
              <w:rPr>
                <w:sz w:val="20"/>
                <w:szCs w:val="20"/>
              </w:rPr>
              <w:t xml:space="preserve"> </w:t>
            </w:r>
            <w:r w:rsidRPr="00DB4441">
              <w:rPr>
                <w:sz w:val="20"/>
                <w:szCs w:val="20"/>
              </w:rPr>
              <w:t>157</w:t>
            </w:r>
            <w:r>
              <w:rPr>
                <w:sz w:val="20"/>
                <w:szCs w:val="20"/>
              </w:rPr>
              <w:t>,7</w:t>
            </w:r>
          </w:p>
        </w:tc>
        <w:tc>
          <w:tcPr>
            <w:tcW w:w="1417" w:type="dxa"/>
            <w:tcBorders>
              <w:top w:val="nil"/>
              <w:left w:val="nil"/>
              <w:bottom w:val="single" w:sz="4" w:space="0" w:color="auto"/>
              <w:right w:val="single" w:sz="4" w:space="0" w:color="auto"/>
            </w:tcBorders>
            <w:vAlign w:val="center"/>
          </w:tcPr>
          <w:p w14:paraId="0E26B14E" w14:textId="77777777" w:rsidR="006C63D9" w:rsidRPr="00BA61D0" w:rsidRDefault="006C63D9" w:rsidP="00191F82">
            <w:pPr>
              <w:jc w:val="center"/>
              <w:rPr>
                <w:sz w:val="20"/>
                <w:szCs w:val="20"/>
              </w:rPr>
            </w:pPr>
            <w:r w:rsidRPr="00BA61D0">
              <w:rPr>
                <w:sz w:val="20"/>
                <w:szCs w:val="20"/>
              </w:rPr>
              <w:t>-112,9</w:t>
            </w:r>
          </w:p>
        </w:tc>
      </w:tr>
      <w:tr w:rsidR="006C63D9" w:rsidRPr="004F0A5B" w14:paraId="0E6427E4" w14:textId="77777777" w:rsidTr="004E5F60">
        <w:trPr>
          <w:trHeight w:val="408"/>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EFB7F65" w14:textId="77777777" w:rsidR="006C63D9" w:rsidRPr="00DB4441" w:rsidRDefault="006C63D9" w:rsidP="00191F82">
            <w:pPr>
              <w:rPr>
                <w:sz w:val="20"/>
                <w:szCs w:val="20"/>
              </w:rPr>
            </w:pPr>
            <w:r w:rsidRPr="00DB4441">
              <w:rPr>
                <w:sz w:val="20"/>
                <w:szCs w:val="20"/>
              </w:rPr>
              <w:t>Эффективное государство</w:t>
            </w:r>
            <w:r>
              <w:rPr>
                <w:sz w:val="20"/>
                <w:szCs w:val="20"/>
              </w:rPr>
              <w:t xml:space="preserve"> </w:t>
            </w:r>
            <w:r w:rsidRPr="00DB4441">
              <w:rPr>
                <w:sz w:val="20"/>
                <w:szCs w:val="20"/>
              </w:rPr>
              <w:t>(3 программы), без закрытой части</w:t>
            </w:r>
          </w:p>
        </w:tc>
        <w:tc>
          <w:tcPr>
            <w:tcW w:w="992" w:type="dxa"/>
            <w:tcBorders>
              <w:top w:val="nil"/>
              <w:left w:val="nil"/>
              <w:bottom w:val="single" w:sz="4" w:space="0" w:color="auto"/>
              <w:right w:val="single" w:sz="4" w:space="0" w:color="auto"/>
            </w:tcBorders>
            <w:shd w:val="clear" w:color="auto" w:fill="auto"/>
            <w:noWrap/>
            <w:vAlign w:val="center"/>
            <w:hideMark/>
          </w:tcPr>
          <w:p w14:paraId="21533290" w14:textId="77777777" w:rsidR="006C63D9" w:rsidRPr="00DB4441" w:rsidRDefault="006C63D9" w:rsidP="00191F82">
            <w:pPr>
              <w:jc w:val="center"/>
              <w:rPr>
                <w:sz w:val="20"/>
                <w:szCs w:val="20"/>
              </w:rPr>
            </w:pPr>
            <w:r w:rsidRPr="00DB4441">
              <w:rPr>
                <w:sz w:val="20"/>
                <w:szCs w:val="20"/>
              </w:rPr>
              <w:t>1896</w:t>
            </w:r>
            <w:r>
              <w:rPr>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14:paraId="0FC7953C" w14:textId="77777777" w:rsidR="006C63D9" w:rsidRPr="00DB4441" w:rsidRDefault="006C63D9" w:rsidP="00191F82">
            <w:pPr>
              <w:jc w:val="center"/>
              <w:rPr>
                <w:sz w:val="20"/>
                <w:szCs w:val="20"/>
              </w:rPr>
            </w:pPr>
            <w:r w:rsidRPr="00DB4441">
              <w:rPr>
                <w:sz w:val="20"/>
                <w:szCs w:val="20"/>
              </w:rPr>
              <w:t>1</w:t>
            </w:r>
            <w:r>
              <w:rPr>
                <w:sz w:val="20"/>
                <w:szCs w:val="20"/>
              </w:rPr>
              <w:t xml:space="preserve"> </w:t>
            </w:r>
            <w:r w:rsidRPr="00DB4441">
              <w:rPr>
                <w:sz w:val="20"/>
                <w:szCs w:val="20"/>
              </w:rPr>
              <w:t>637</w:t>
            </w:r>
            <w:r>
              <w:rPr>
                <w:sz w:val="20"/>
                <w:szCs w:val="20"/>
              </w:rPr>
              <w:t>,9</w:t>
            </w:r>
          </w:p>
        </w:tc>
        <w:tc>
          <w:tcPr>
            <w:tcW w:w="992" w:type="dxa"/>
            <w:tcBorders>
              <w:top w:val="nil"/>
              <w:left w:val="nil"/>
              <w:bottom w:val="single" w:sz="4" w:space="0" w:color="auto"/>
              <w:right w:val="single" w:sz="4" w:space="0" w:color="auto"/>
            </w:tcBorders>
            <w:shd w:val="clear" w:color="auto" w:fill="auto"/>
            <w:noWrap/>
            <w:vAlign w:val="center"/>
            <w:hideMark/>
          </w:tcPr>
          <w:p w14:paraId="76B4C6E1" w14:textId="77777777" w:rsidR="006C63D9" w:rsidRPr="00DB4441" w:rsidRDefault="006C63D9" w:rsidP="00191F82">
            <w:pPr>
              <w:jc w:val="center"/>
              <w:rPr>
                <w:sz w:val="20"/>
                <w:szCs w:val="20"/>
              </w:rPr>
            </w:pPr>
            <w:r w:rsidRPr="00DB4441">
              <w:rPr>
                <w:sz w:val="20"/>
                <w:szCs w:val="20"/>
              </w:rPr>
              <w:t>1</w:t>
            </w:r>
            <w:r>
              <w:rPr>
                <w:sz w:val="20"/>
                <w:szCs w:val="20"/>
              </w:rPr>
              <w:t xml:space="preserve"> </w:t>
            </w:r>
            <w:r w:rsidRPr="00DB4441">
              <w:rPr>
                <w:sz w:val="20"/>
                <w:szCs w:val="20"/>
              </w:rPr>
              <w:t>786</w:t>
            </w:r>
            <w:r>
              <w:rPr>
                <w:sz w:val="20"/>
                <w:szCs w:val="20"/>
              </w:rPr>
              <w:t>,8</w:t>
            </w:r>
          </w:p>
        </w:tc>
        <w:tc>
          <w:tcPr>
            <w:tcW w:w="993" w:type="dxa"/>
            <w:tcBorders>
              <w:top w:val="nil"/>
              <w:left w:val="nil"/>
              <w:bottom w:val="single" w:sz="4" w:space="0" w:color="auto"/>
              <w:right w:val="single" w:sz="4" w:space="0" w:color="auto"/>
            </w:tcBorders>
            <w:shd w:val="clear" w:color="auto" w:fill="auto"/>
            <w:noWrap/>
            <w:vAlign w:val="center"/>
            <w:hideMark/>
          </w:tcPr>
          <w:p w14:paraId="103EACC3" w14:textId="77777777" w:rsidR="006C63D9" w:rsidRPr="00DB4441" w:rsidRDefault="006C63D9" w:rsidP="00191F82">
            <w:pPr>
              <w:jc w:val="center"/>
              <w:rPr>
                <w:sz w:val="20"/>
                <w:szCs w:val="20"/>
              </w:rPr>
            </w:pPr>
            <w:r w:rsidRPr="00DB4441">
              <w:rPr>
                <w:sz w:val="20"/>
                <w:szCs w:val="20"/>
              </w:rPr>
              <w:t>1</w:t>
            </w:r>
            <w:r>
              <w:rPr>
                <w:sz w:val="20"/>
                <w:szCs w:val="20"/>
              </w:rPr>
              <w:t xml:space="preserve"> </w:t>
            </w:r>
            <w:r w:rsidRPr="00DB4441">
              <w:rPr>
                <w:sz w:val="20"/>
                <w:szCs w:val="20"/>
              </w:rPr>
              <w:t>923</w:t>
            </w:r>
            <w:r>
              <w:rPr>
                <w:sz w:val="20"/>
                <w:szCs w:val="20"/>
              </w:rPr>
              <w:t>,7</w:t>
            </w:r>
          </w:p>
        </w:tc>
        <w:tc>
          <w:tcPr>
            <w:tcW w:w="1417" w:type="dxa"/>
            <w:tcBorders>
              <w:top w:val="nil"/>
              <w:left w:val="nil"/>
              <w:bottom w:val="single" w:sz="4" w:space="0" w:color="auto"/>
              <w:right w:val="single" w:sz="4" w:space="0" w:color="auto"/>
            </w:tcBorders>
            <w:vAlign w:val="center"/>
          </w:tcPr>
          <w:p w14:paraId="4F76749A" w14:textId="77777777" w:rsidR="006C63D9" w:rsidRPr="00BA61D0" w:rsidRDefault="006C63D9" w:rsidP="00191F82">
            <w:pPr>
              <w:jc w:val="center"/>
              <w:rPr>
                <w:sz w:val="20"/>
                <w:szCs w:val="20"/>
              </w:rPr>
            </w:pPr>
            <w:r w:rsidRPr="00BA61D0">
              <w:rPr>
                <w:sz w:val="20"/>
                <w:szCs w:val="20"/>
              </w:rPr>
              <w:t>26,9</w:t>
            </w:r>
          </w:p>
        </w:tc>
      </w:tr>
      <w:tr w:rsidR="006C63D9" w:rsidRPr="004F0A5B" w14:paraId="7E32EE35" w14:textId="77777777" w:rsidTr="004E5F60">
        <w:trPr>
          <w:trHeight w:val="612"/>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B178B" w14:textId="77777777" w:rsidR="006C63D9" w:rsidRPr="00DB4441" w:rsidRDefault="006C63D9" w:rsidP="00191F82">
            <w:pPr>
              <w:rPr>
                <w:sz w:val="20"/>
                <w:szCs w:val="20"/>
              </w:rPr>
            </w:pPr>
            <w:r w:rsidRPr="00DB4441">
              <w:rPr>
                <w:sz w:val="20"/>
                <w:szCs w:val="20"/>
              </w:rPr>
              <w:t>Расходы на реализацию государственных программ (закрытая часть)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A2EE70" w14:textId="77777777" w:rsidR="006C63D9" w:rsidRPr="00DB4441" w:rsidRDefault="006C63D9" w:rsidP="00191F82">
            <w:pPr>
              <w:jc w:val="center"/>
              <w:rPr>
                <w:sz w:val="20"/>
                <w:szCs w:val="20"/>
              </w:rPr>
            </w:pPr>
            <w:r w:rsidRPr="00DB4441">
              <w:rPr>
                <w:sz w:val="20"/>
                <w:szCs w:val="20"/>
              </w:rPr>
              <w:t>2</w:t>
            </w:r>
            <w:r>
              <w:rPr>
                <w:sz w:val="20"/>
                <w:szCs w:val="20"/>
              </w:rPr>
              <w:t xml:space="preserve"> </w:t>
            </w:r>
            <w:r w:rsidRPr="00DB4441">
              <w:rPr>
                <w:sz w:val="20"/>
                <w:szCs w:val="20"/>
              </w:rPr>
              <w:t>877</w:t>
            </w:r>
            <w:r>
              <w:rPr>
                <w:sz w:val="20"/>
                <w:szCs w:val="20"/>
              </w:rPr>
              <w:t>,7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DA20858" w14:textId="77777777" w:rsidR="006C63D9" w:rsidRPr="00DB4441" w:rsidRDefault="006C63D9" w:rsidP="00191F82">
            <w:pPr>
              <w:jc w:val="center"/>
              <w:rPr>
                <w:sz w:val="20"/>
                <w:szCs w:val="20"/>
              </w:rPr>
            </w:pPr>
            <w:r w:rsidRPr="00DB4441">
              <w:rPr>
                <w:sz w:val="20"/>
                <w:szCs w:val="20"/>
              </w:rPr>
              <w:t>2</w:t>
            </w:r>
            <w:r>
              <w:rPr>
                <w:sz w:val="20"/>
                <w:szCs w:val="20"/>
              </w:rPr>
              <w:t xml:space="preserve"> </w:t>
            </w:r>
            <w:r w:rsidRPr="00DB4441">
              <w:rPr>
                <w:sz w:val="20"/>
                <w:szCs w:val="20"/>
              </w:rPr>
              <w:t>690</w:t>
            </w:r>
            <w:r>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C26E0A6" w14:textId="77777777" w:rsidR="006C63D9" w:rsidRPr="00DB4441" w:rsidRDefault="006C63D9" w:rsidP="00191F82">
            <w:pPr>
              <w:jc w:val="center"/>
              <w:rPr>
                <w:sz w:val="20"/>
                <w:szCs w:val="20"/>
              </w:rPr>
            </w:pPr>
            <w:r w:rsidRPr="00DB4441">
              <w:rPr>
                <w:sz w:val="20"/>
                <w:szCs w:val="20"/>
              </w:rPr>
              <w:t>2</w:t>
            </w:r>
            <w:r>
              <w:rPr>
                <w:sz w:val="20"/>
                <w:szCs w:val="20"/>
              </w:rPr>
              <w:t xml:space="preserve"> </w:t>
            </w:r>
            <w:r w:rsidRPr="00DB4441">
              <w:rPr>
                <w:sz w:val="20"/>
                <w:szCs w:val="20"/>
              </w:rPr>
              <w:t>796</w:t>
            </w:r>
            <w:r>
              <w:rPr>
                <w:sz w:val="20"/>
                <w:szCs w:val="20"/>
              </w:rPr>
              <w:t>,8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A85217D" w14:textId="77777777" w:rsidR="006C63D9" w:rsidRPr="00DB4441" w:rsidRDefault="006C63D9" w:rsidP="00191F82">
            <w:pPr>
              <w:jc w:val="center"/>
              <w:rPr>
                <w:sz w:val="20"/>
                <w:szCs w:val="20"/>
              </w:rPr>
            </w:pPr>
            <w:r w:rsidRPr="00DB4441">
              <w:rPr>
                <w:sz w:val="20"/>
                <w:szCs w:val="20"/>
              </w:rPr>
              <w:t>2</w:t>
            </w:r>
            <w:r>
              <w:rPr>
                <w:sz w:val="20"/>
                <w:szCs w:val="20"/>
              </w:rPr>
              <w:t xml:space="preserve"> </w:t>
            </w:r>
            <w:r w:rsidRPr="00DB4441">
              <w:rPr>
                <w:sz w:val="20"/>
                <w:szCs w:val="20"/>
              </w:rPr>
              <w:t>885</w:t>
            </w:r>
            <w:r>
              <w:rPr>
                <w:sz w:val="20"/>
                <w:szCs w:val="20"/>
              </w:rPr>
              <w:t>,3</w:t>
            </w:r>
          </w:p>
        </w:tc>
        <w:tc>
          <w:tcPr>
            <w:tcW w:w="1417" w:type="dxa"/>
            <w:tcBorders>
              <w:top w:val="single" w:sz="4" w:space="0" w:color="auto"/>
              <w:left w:val="nil"/>
              <w:bottom w:val="single" w:sz="4" w:space="0" w:color="auto"/>
              <w:right w:val="single" w:sz="4" w:space="0" w:color="auto"/>
            </w:tcBorders>
            <w:vAlign w:val="center"/>
          </w:tcPr>
          <w:p w14:paraId="20628271" w14:textId="77777777" w:rsidR="006C63D9" w:rsidRPr="00BA61D0" w:rsidRDefault="006C63D9" w:rsidP="00191F82">
            <w:pPr>
              <w:jc w:val="center"/>
              <w:rPr>
                <w:sz w:val="20"/>
                <w:szCs w:val="20"/>
              </w:rPr>
            </w:pPr>
            <w:r w:rsidRPr="00BA61D0">
              <w:rPr>
                <w:sz w:val="20"/>
                <w:szCs w:val="20"/>
              </w:rPr>
              <w:t>7,6</w:t>
            </w:r>
          </w:p>
        </w:tc>
      </w:tr>
      <w:tr w:rsidR="006C63D9" w:rsidRPr="00156669" w14:paraId="006E0B8C" w14:textId="77777777" w:rsidTr="004E5F60">
        <w:trPr>
          <w:trHeight w:val="612"/>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02E95A33" w14:textId="660A9C5B" w:rsidR="006C63D9" w:rsidRPr="004E5F60" w:rsidRDefault="006C63D9" w:rsidP="00191F82">
            <w:pPr>
              <w:rPr>
                <w:i/>
                <w:sz w:val="20"/>
                <w:szCs w:val="20"/>
              </w:rPr>
            </w:pPr>
            <w:r w:rsidRPr="004E5F60">
              <w:rPr>
                <w:i/>
                <w:sz w:val="20"/>
                <w:szCs w:val="20"/>
              </w:rPr>
              <w:t>Доля расходов (открытая и закрытая часть) на реализацию программ в общем объеме ФБ</w:t>
            </w:r>
            <w:r w:rsidR="00156669" w:rsidRPr="004E5F60">
              <w:rPr>
                <w:i/>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D35FC37" w14:textId="77777777" w:rsidR="006C63D9" w:rsidRPr="004E5F60" w:rsidRDefault="006C63D9" w:rsidP="00191F82">
            <w:pPr>
              <w:jc w:val="center"/>
              <w:rPr>
                <w:i/>
                <w:sz w:val="20"/>
                <w:szCs w:val="20"/>
              </w:rPr>
            </w:pPr>
            <w:r w:rsidRPr="004E5F60">
              <w:rPr>
                <w:i/>
                <w:sz w:val="20"/>
                <w:szCs w:val="20"/>
              </w:rPr>
              <w:t>78,0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B19B1D6" w14:textId="77777777" w:rsidR="006C63D9" w:rsidRPr="004E5F60" w:rsidRDefault="006C63D9" w:rsidP="00191F82">
            <w:pPr>
              <w:jc w:val="center"/>
              <w:rPr>
                <w:i/>
                <w:sz w:val="20"/>
                <w:szCs w:val="20"/>
              </w:rPr>
            </w:pPr>
            <w:r w:rsidRPr="004E5F60">
              <w:rPr>
                <w:i/>
                <w:sz w:val="20"/>
                <w:szCs w:val="20"/>
              </w:rPr>
              <w:t>75,1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C81FC8" w14:textId="77777777" w:rsidR="006C63D9" w:rsidRPr="004E5F60" w:rsidRDefault="006C63D9" w:rsidP="00191F82">
            <w:pPr>
              <w:jc w:val="center"/>
              <w:rPr>
                <w:i/>
                <w:sz w:val="20"/>
                <w:szCs w:val="20"/>
              </w:rPr>
            </w:pPr>
            <w:r w:rsidRPr="004E5F60">
              <w:rPr>
                <w:i/>
                <w:sz w:val="20"/>
                <w:szCs w:val="20"/>
              </w:rPr>
              <w:t>74,0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F78089B" w14:textId="77777777" w:rsidR="006C63D9" w:rsidRPr="004E5F60" w:rsidRDefault="006C63D9" w:rsidP="00191F82">
            <w:pPr>
              <w:jc w:val="center"/>
              <w:rPr>
                <w:i/>
                <w:sz w:val="20"/>
                <w:szCs w:val="20"/>
              </w:rPr>
            </w:pPr>
            <w:r w:rsidRPr="004E5F60">
              <w:rPr>
                <w:i/>
                <w:sz w:val="20"/>
                <w:szCs w:val="20"/>
              </w:rPr>
              <w:t>74,1</w:t>
            </w:r>
          </w:p>
        </w:tc>
        <w:tc>
          <w:tcPr>
            <w:tcW w:w="1417" w:type="dxa"/>
            <w:tcBorders>
              <w:top w:val="single" w:sz="4" w:space="0" w:color="auto"/>
              <w:left w:val="nil"/>
              <w:bottom w:val="single" w:sz="4" w:space="0" w:color="auto"/>
              <w:right w:val="single" w:sz="4" w:space="0" w:color="auto"/>
            </w:tcBorders>
            <w:vAlign w:val="center"/>
          </w:tcPr>
          <w:p w14:paraId="3AEF110E" w14:textId="77777777" w:rsidR="006C63D9" w:rsidRPr="004E5F60" w:rsidRDefault="006C63D9" w:rsidP="00191F82">
            <w:pPr>
              <w:jc w:val="center"/>
              <w:rPr>
                <w:i/>
                <w:sz w:val="20"/>
                <w:szCs w:val="20"/>
              </w:rPr>
            </w:pPr>
            <w:r w:rsidRPr="004E5F60">
              <w:rPr>
                <w:i/>
                <w:sz w:val="20"/>
                <w:szCs w:val="20"/>
              </w:rPr>
              <w:t>3,9</w:t>
            </w:r>
          </w:p>
        </w:tc>
      </w:tr>
    </w:tbl>
    <w:p w14:paraId="18BDBBF3" w14:textId="77777777" w:rsidR="006C63D9" w:rsidRPr="00276E68" w:rsidRDefault="006C63D9" w:rsidP="006C63D9">
      <w:pPr>
        <w:keepLines/>
        <w:spacing w:after="120"/>
        <w:ind w:firstLine="708"/>
        <w:rPr>
          <w:rFonts w:eastAsia="Calibri"/>
          <w:sz w:val="20"/>
          <w:lang w:eastAsia="en-US"/>
        </w:rPr>
      </w:pPr>
      <w:r w:rsidRPr="00276E68">
        <w:rPr>
          <w:i/>
          <w:sz w:val="20"/>
        </w:rPr>
        <w:t>Источник:</w:t>
      </w:r>
      <w:r w:rsidRPr="00276E68">
        <w:rPr>
          <w:sz w:val="20"/>
        </w:rPr>
        <w:t xml:space="preserve"> Пояснительная записка к проекту федерального закона «О федеральном бюджете на 20</w:t>
      </w:r>
      <w:r>
        <w:rPr>
          <w:sz w:val="20"/>
        </w:rPr>
        <w:t>20</w:t>
      </w:r>
      <w:r w:rsidRPr="00276E68">
        <w:rPr>
          <w:sz w:val="20"/>
        </w:rPr>
        <w:t xml:space="preserve"> год и на плановый период 202</w:t>
      </w:r>
      <w:r>
        <w:rPr>
          <w:sz w:val="20"/>
        </w:rPr>
        <w:t>1</w:t>
      </w:r>
      <w:r w:rsidRPr="00276E68">
        <w:rPr>
          <w:sz w:val="20"/>
        </w:rPr>
        <w:t xml:space="preserve"> и 20</w:t>
      </w:r>
      <w:r>
        <w:rPr>
          <w:sz w:val="20"/>
        </w:rPr>
        <w:t>22</w:t>
      </w:r>
      <w:r w:rsidRPr="00276E68">
        <w:rPr>
          <w:sz w:val="20"/>
        </w:rPr>
        <w:t xml:space="preserve"> годов», Федеральное Казначейство, расчеты авторов.</w:t>
      </w:r>
    </w:p>
    <w:p w14:paraId="41E014B2" w14:textId="33887BE6" w:rsidR="006C63D9" w:rsidRDefault="006C63D9" w:rsidP="006C63D9">
      <w:pPr>
        <w:spacing w:after="60"/>
        <w:ind w:firstLine="709"/>
        <w:jc w:val="both"/>
      </w:pPr>
      <w:r>
        <w:t xml:space="preserve">В </w:t>
      </w:r>
      <w:r w:rsidRPr="00EF3C7D">
        <w:t>общем объеме расходов федерального бюджета, доля программных расходов сокращае</w:t>
      </w:r>
      <w:r w:rsidR="00EB2D24">
        <w:t>тся с 78,0</w:t>
      </w:r>
      <w:r w:rsidRPr="00EF3C7D">
        <w:t>% в 2019 г. до 74</w:t>
      </w:r>
      <w:r w:rsidR="00156669" w:rsidRPr="00EF3C7D">
        <w:t>,</w:t>
      </w:r>
      <w:r w:rsidR="00EB2D24">
        <w:t>1</w:t>
      </w:r>
      <w:r w:rsidRPr="00EF3C7D">
        <w:t>% в 2022 г. Изменяется и структура программных расходов в разрезе</w:t>
      </w:r>
      <w:r w:rsidRPr="007B200B">
        <w:t xml:space="preserve"> направлений, в основном</w:t>
      </w:r>
      <w:r>
        <w:t>,</w:t>
      </w:r>
      <w:r w:rsidRPr="007B200B">
        <w:t xml:space="preserve"> за счет производительных расходов: доля бюджетных ассигнований на инновационное развитие и модернизация экономики в общем объеме программны</w:t>
      </w:r>
      <w:r w:rsidR="00EB2D24">
        <w:t>х расходов увеличивается с 23,7% в 2019 г. до 27,1% в 2022 г. и на новое качество жизни с 19,0% в 2019 г. до 20,1</w:t>
      </w:r>
      <w:r w:rsidRPr="007B200B">
        <w:t xml:space="preserve">% в 2022 г. </w:t>
      </w:r>
      <w:r>
        <w:t xml:space="preserve">  </w:t>
      </w:r>
    </w:p>
    <w:p w14:paraId="55A5DA81" w14:textId="77777777" w:rsidR="0098464F" w:rsidRPr="0002614E" w:rsidRDefault="0098464F" w:rsidP="00276E68">
      <w:pPr>
        <w:spacing w:after="60"/>
        <w:ind w:firstLine="709"/>
        <w:jc w:val="both"/>
      </w:pPr>
    </w:p>
    <w:p w14:paraId="551B1A61" w14:textId="5C85D5BB" w:rsidR="0071102D" w:rsidRPr="008E6B24" w:rsidRDefault="0071102D" w:rsidP="0071102D">
      <w:pPr>
        <w:keepNext/>
        <w:spacing w:before="60" w:after="60"/>
        <w:jc w:val="center"/>
        <w:outlineLvl w:val="2"/>
        <w:rPr>
          <w:b/>
          <w:szCs w:val="20"/>
        </w:rPr>
      </w:pPr>
      <w:bookmarkStart w:id="27" w:name="_Toc21436748"/>
      <w:r w:rsidRPr="006C63D9">
        <w:rPr>
          <w:b/>
          <w:szCs w:val="20"/>
        </w:rPr>
        <w:t>Расходы на общегосударственные вопросы</w:t>
      </w:r>
      <w:bookmarkEnd w:id="24"/>
      <w:bookmarkEnd w:id="27"/>
    </w:p>
    <w:p w14:paraId="1A1657E6" w14:textId="6349CC09" w:rsidR="006C63D9" w:rsidRDefault="006C63D9" w:rsidP="006C63D9">
      <w:pPr>
        <w:spacing w:after="60"/>
        <w:ind w:firstLine="709"/>
        <w:jc w:val="both"/>
      </w:pPr>
      <w:r w:rsidRPr="00B209D0">
        <w:t>Динамика расходов федерального бюджета по разделу «Общегосударственные вопросы» в 201</w:t>
      </w:r>
      <w:r>
        <w:t>8-2022</w:t>
      </w:r>
      <w:r w:rsidRPr="00B209D0">
        <w:t xml:space="preserve"> гг. представлена в </w:t>
      </w:r>
      <w:r w:rsidRPr="0008478A">
        <w:rPr>
          <w:i/>
        </w:rPr>
        <w:t>табл</w:t>
      </w:r>
      <w:r w:rsidR="00313A8F">
        <w:rPr>
          <w:i/>
        </w:rPr>
        <w:t>ице</w:t>
      </w:r>
      <w:r w:rsidR="00E168F3">
        <w:rPr>
          <w:i/>
        </w:rPr>
        <w:t xml:space="preserve"> </w:t>
      </w:r>
      <w:r w:rsidR="00C84D38">
        <w:rPr>
          <w:i/>
          <w:noProof/>
        </w:rPr>
        <w:t>15</w:t>
      </w:r>
      <w:r>
        <w:t>. В 2022</w:t>
      </w:r>
      <w:r w:rsidRPr="00B209D0">
        <w:t xml:space="preserve"> г. общий объем бюджетных ассигнований по разделу возрастает на </w:t>
      </w:r>
      <w:r>
        <w:t>328,4</w:t>
      </w:r>
      <w:r w:rsidRPr="00B209D0">
        <w:t xml:space="preserve"> млрд руб. или на </w:t>
      </w:r>
      <w:r>
        <w:t>2</w:t>
      </w:r>
      <w:r w:rsidRPr="00B209D0">
        <w:t>6,</w:t>
      </w:r>
      <w:r>
        <w:t>1</w:t>
      </w:r>
      <w:r w:rsidRPr="00B209D0">
        <w:t>% в номинальном выражении в сравнени</w:t>
      </w:r>
      <w:r>
        <w:t>и</w:t>
      </w:r>
      <w:r w:rsidRPr="00B209D0">
        <w:t xml:space="preserve"> с 2018 г.</w:t>
      </w:r>
      <w:r w:rsidRPr="00DF258E">
        <w:t xml:space="preserve"> Доля расходов по данному разделу в общем объеме запланированных бюджетных ассигнований сокращается с 7,5% в 2018 г. до 7,3% в 202</w:t>
      </w:r>
      <w:r>
        <w:t>2</w:t>
      </w:r>
      <w:r w:rsidRPr="00DF258E">
        <w:t xml:space="preserve"> г.</w:t>
      </w:r>
      <w:r w:rsidRPr="00B209D0">
        <w:t xml:space="preserve"> </w:t>
      </w:r>
      <w:r>
        <w:t>О</w:t>
      </w:r>
      <w:r w:rsidRPr="00B209D0">
        <w:t xml:space="preserve">тносительно ВВП </w:t>
      </w:r>
      <w:r>
        <w:t xml:space="preserve">расходы по данному разделу в 2020-2022 гг. запланированы </w:t>
      </w:r>
      <w:r w:rsidRPr="00B209D0">
        <w:t xml:space="preserve">в объеме </w:t>
      </w:r>
      <w:r>
        <w:t>1,2-</w:t>
      </w:r>
      <w:r w:rsidRPr="00B209D0">
        <w:t>1,3 % ВВП</w:t>
      </w:r>
      <w:r>
        <w:t xml:space="preserve">. Объем зарезервированных бюджетных ассигнований по разделу «Общегосударственные вопросы» составляет: в 2020 г. – 319,1 млрд руб., в 2021 г. – 392,1 млрд руб., в 2020 г. – </w:t>
      </w:r>
      <w:r w:rsidRPr="000C5624">
        <w:t>418</w:t>
      </w:r>
      <w:r>
        <w:t>,4</w:t>
      </w:r>
      <w:r w:rsidRPr="000C5624">
        <w:t xml:space="preserve"> мл</w:t>
      </w:r>
      <w:r>
        <w:t>рд</w:t>
      </w:r>
      <w:r w:rsidRPr="000C5624">
        <w:t xml:space="preserve"> рублей.</w:t>
      </w:r>
    </w:p>
    <w:p w14:paraId="3A900570" w14:textId="023C8DB7" w:rsidR="00DF409C" w:rsidRDefault="00DF409C" w:rsidP="006C63D9">
      <w:pPr>
        <w:spacing w:after="60"/>
        <w:ind w:firstLine="709"/>
        <w:jc w:val="both"/>
      </w:pPr>
    </w:p>
    <w:p w14:paraId="681567DD" w14:textId="2DE10F78" w:rsidR="00DF409C" w:rsidRDefault="00DF409C" w:rsidP="006C63D9">
      <w:pPr>
        <w:spacing w:after="60"/>
        <w:ind w:firstLine="709"/>
        <w:jc w:val="both"/>
      </w:pPr>
    </w:p>
    <w:p w14:paraId="2E1B2930" w14:textId="6A2E2840" w:rsidR="00DF409C" w:rsidRDefault="00DF409C" w:rsidP="006C63D9">
      <w:pPr>
        <w:spacing w:after="60"/>
        <w:ind w:firstLine="709"/>
        <w:jc w:val="both"/>
      </w:pPr>
    </w:p>
    <w:p w14:paraId="07CB1AE3" w14:textId="226540AD" w:rsidR="00DF409C" w:rsidRDefault="00DF409C" w:rsidP="006C63D9">
      <w:pPr>
        <w:spacing w:after="60"/>
        <w:ind w:firstLine="709"/>
        <w:jc w:val="both"/>
      </w:pPr>
    </w:p>
    <w:p w14:paraId="216F0198" w14:textId="77777777" w:rsidR="00DF409C" w:rsidRDefault="00DF409C" w:rsidP="006C63D9">
      <w:pPr>
        <w:spacing w:after="60"/>
        <w:ind w:firstLine="709"/>
        <w:jc w:val="both"/>
      </w:pPr>
    </w:p>
    <w:p w14:paraId="113CF1CB" w14:textId="2185F7B4" w:rsidR="004E5F60" w:rsidRPr="00600DF7" w:rsidRDefault="004E5F60" w:rsidP="004E5F60">
      <w:pPr>
        <w:spacing w:after="60"/>
        <w:jc w:val="right"/>
        <w:rPr>
          <w:i/>
        </w:rPr>
      </w:pPr>
      <w:r w:rsidRPr="00600DF7">
        <w:rPr>
          <w:i/>
        </w:rPr>
        <w:t>Таблица</w:t>
      </w:r>
      <w:r>
        <w:rPr>
          <w:i/>
        </w:rPr>
        <w:t xml:space="preserve"> </w:t>
      </w:r>
      <w:bookmarkStart w:id="28" w:name="_Ref21341810"/>
      <w:r w:rsidR="00C84D38">
        <w:rPr>
          <w:i/>
          <w:noProof/>
        </w:rPr>
        <w:t>15</w:t>
      </w:r>
      <w:bookmarkEnd w:id="28"/>
    </w:p>
    <w:p w14:paraId="5FDEE0FD" w14:textId="77777777" w:rsidR="006C63D9" w:rsidRPr="00CC5FB3" w:rsidRDefault="006C63D9" w:rsidP="006C63D9">
      <w:pPr>
        <w:spacing w:after="120"/>
        <w:jc w:val="center"/>
        <w:rPr>
          <w:b/>
        </w:rPr>
      </w:pPr>
      <w:r w:rsidRPr="00CC5FB3">
        <w:rPr>
          <w:b/>
        </w:rPr>
        <w:t>Динамика расходов федерального бюджета по разделу «Общ</w:t>
      </w:r>
      <w:r>
        <w:rPr>
          <w:b/>
        </w:rPr>
        <w:t>егосударственные вопросы» в 2018</w:t>
      </w:r>
      <w:r w:rsidRPr="00CC5FB3">
        <w:rPr>
          <w:b/>
        </w:rPr>
        <w:t>-202</w:t>
      </w:r>
      <w:r>
        <w:rPr>
          <w:b/>
        </w:rPr>
        <w:t>2</w:t>
      </w:r>
      <w:r w:rsidRPr="00CC5FB3">
        <w:rPr>
          <w:b/>
        </w:rPr>
        <w:t xml:space="preserve"> гг., млрд руб.</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4A0" w:firstRow="1" w:lastRow="0" w:firstColumn="1" w:lastColumn="0" w:noHBand="0" w:noVBand="1"/>
      </w:tblPr>
      <w:tblGrid>
        <w:gridCol w:w="2170"/>
        <w:gridCol w:w="1303"/>
        <w:gridCol w:w="1009"/>
        <w:gridCol w:w="1009"/>
        <w:gridCol w:w="1010"/>
        <w:gridCol w:w="1010"/>
        <w:gridCol w:w="868"/>
        <w:gridCol w:w="1012"/>
      </w:tblGrid>
      <w:tr w:rsidR="006C63D9" w:rsidRPr="00191F82" w14:paraId="3E252B7F" w14:textId="77777777" w:rsidTr="00191F82">
        <w:trPr>
          <w:cantSplit/>
          <w:trHeight w:val="468"/>
          <w:tblHeader/>
        </w:trPr>
        <w:tc>
          <w:tcPr>
            <w:tcW w:w="1155" w:type="pct"/>
            <w:vMerge w:val="restart"/>
            <w:vAlign w:val="center"/>
          </w:tcPr>
          <w:p w14:paraId="046A324A" w14:textId="77777777" w:rsidR="006C63D9" w:rsidRPr="00191F82" w:rsidRDefault="006C63D9" w:rsidP="00191F82">
            <w:pPr>
              <w:jc w:val="center"/>
              <w:rPr>
                <w:b/>
                <w:sz w:val="20"/>
                <w:szCs w:val="20"/>
              </w:rPr>
            </w:pPr>
          </w:p>
        </w:tc>
        <w:tc>
          <w:tcPr>
            <w:tcW w:w="694" w:type="pct"/>
            <w:vAlign w:val="center"/>
            <w:hideMark/>
          </w:tcPr>
          <w:p w14:paraId="7917F554" w14:textId="77777777" w:rsidR="006C63D9" w:rsidRPr="00191F82" w:rsidRDefault="006C63D9" w:rsidP="00191F82">
            <w:pPr>
              <w:jc w:val="center"/>
              <w:rPr>
                <w:b/>
                <w:sz w:val="20"/>
                <w:szCs w:val="20"/>
              </w:rPr>
            </w:pPr>
            <w:r w:rsidRPr="00191F82">
              <w:rPr>
                <w:b/>
                <w:sz w:val="20"/>
                <w:szCs w:val="20"/>
              </w:rPr>
              <w:t>Кассовое исполнение</w:t>
            </w:r>
          </w:p>
        </w:tc>
        <w:tc>
          <w:tcPr>
            <w:tcW w:w="537" w:type="pct"/>
            <w:vAlign w:val="center"/>
            <w:hideMark/>
          </w:tcPr>
          <w:p w14:paraId="272B9D6A" w14:textId="77777777" w:rsidR="006C63D9" w:rsidRPr="00191F82" w:rsidRDefault="006C63D9" w:rsidP="00191F82">
            <w:pPr>
              <w:jc w:val="center"/>
              <w:rPr>
                <w:b/>
                <w:sz w:val="20"/>
                <w:szCs w:val="20"/>
              </w:rPr>
            </w:pPr>
            <w:r w:rsidRPr="00191F82">
              <w:rPr>
                <w:b/>
                <w:sz w:val="20"/>
                <w:szCs w:val="20"/>
              </w:rPr>
              <w:t>Оценка</w:t>
            </w:r>
          </w:p>
        </w:tc>
        <w:tc>
          <w:tcPr>
            <w:tcW w:w="1613" w:type="pct"/>
            <w:gridSpan w:val="3"/>
            <w:vAlign w:val="center"/>
            <w:hideMark/>
          </w:tcPr>
          <w:p w14:paraId="4F42B5C3" w14:textId="77777777" w:rsidR="006C63D9" w:rsidRPr="00191F82" w:rsidRDefault="006C63D9" w:rsidP="00191F82">
            <w:pPr>
              <w:jc w:val="center"/>
              <w:rPr>
                <w:b/>
                <w:sz w:val="20"/>
                <w:szCs w:val="20"/>
              </w:rPr>
            </w:pPr>
            <w:r w:rsidRPr="00191F82">
              <w:rPr>
                <w:b/>
                <w:sz w:val="20"/>
                <w:szCs w:val="20"/>
              </w:rPr>
              <w:t xml:space="preserve">Законопроект </w:t>
            </w:r>
          </w:p>
        </w:tc>
        <w:tc>
          <w:tcPr>
            <w:tcW w:w="1001" w:type="pct"/>
            <w:gridSpan w:val="2"/>
            <w:vAlign w:val="center"/>
            <w:hideMark/>
          </w:tcPr>
          <w:p w14:paraId="4D43D3E7" w14:textId="77777777" w:rsidR="006C63D9" w:rsidRPr="00191F82" w:rsidRDefault="006C63D9" w:rsidP="00191F82">
            <w:pPr>
              <w:jc w:val="center"/>
              <w:rPr>
                <w:b/>
                <w:iCs/>
                <w:sz w:val="20"/>
                <w:szCs w:val="20"/>
              </w:rPr>
            </w:pPr>
            <w:r w:rsidRPr="00191F82">
              <w:rPr>
                <w:b/>
                <w:iCs/>
                <w:sz w:val="20"/>
                <w:szCs w:val="20"/>
              </w:rPr>
              <w:t>Отклонение 2022 г. к 2018 г.</w:t>
            </w:r>
          </w:p>
        </w:tc>
      </w:tr>
      <w:tr w:rsidR="00191F82" w:rsidRPr="00191F82" w14:paraId="6EEED911" w14:textId="77777777" w:rsidTr="00191F82">
        <w:trPr>
          <w:cantSplit/>
          <w:trHeight w:val="412"/>
          <w:tblHeader/>
        </w:trPr>
        <w:tc>
          <w:tcPr>
            <w:tcW w:w="1155" w:type="pct"/>
            <w:vMerge/>
            <w:vAlign w:val="center"/>
            <w:hideMark/>
          </w:tcPr>
          <w:p w14:paraId="3302742A" w14:textId="77777777" w:rsidR="006C63D9" w:rsidRPr="00191F82" w:rsidRDefault="006C63D9" w:rsidP="00191F82">
            <w:pPr>
              <w:jc w:val="center"/>
              <w:rPr>
                <w:b/>
                <w:sz w:val="20"/>
                <w:szCs w:val="20"/>
              </w:rPr>
            </w:pPr>
          </w:p>
        </w:tc>
        <w:tc>
          <w:tcPr>
            <w:tcW w:w="694" w:type="pct"/>
            <w:vAlign w:val="center"/>
            <w:hideMark/>
          </w:tcPr>
          <w:p w14:paraId="002F3E9C" w14:textId="77777777" w:rsidR="006C63D9" w:rsidRPr="00191F82" w:rsidRDefault="006C63D9" w:rsidP="00191F82">
            <w:pPr>
              <w:jc w:val="center"/>
              <w:rPr>
                <w:b/>
                <w:sz w:val="20"/>
                <w:szCs w:val="20"/>
              </w:rPr>
            </w:pPr>
            <w:r w:rsidRPr="00191F82">
              <w:rPr>
                <w:b/>
                <w:sz w:val="20"/>
                <w:szCs w:val="20"/>
              </w:rPr>
              <w:t>2018 г.</w:t>
            </w:r>
          </w:p>
        </w:tc>
        <w:tc>
          <w:tcPr>
            <w:tcW w:w="537" w:type="pct"/>
            <w:vAlign w:val="center"/>
            <w:hideMark/>
          </w:tcPr>
          <w:p w14:paraId="2F81A7DC" w14:textId="77777777" w:rsidR="006C63D9" w:rsidRPr="00191F82" w:rsidRDefault="006C63D9" w:rsidP="00191F82">
            <w:pPr>
              <w:jc w:val="center"/>
              <w:rPr>
                <w:b/>
                <w:sz w:val="20"/>
                <w:szCs w:val="20"/>
              </w:rPr>
            </w:pPr>
            <w:r w:rsidRPr="00191F82">
              <w:rPr>
                <w:b/>
                <w:sz w:val="20"/>
                <w:szCs w:val="20"/>
              </w:rPr>
              <w:t>2019 г.</w:t>
            </w:r>
          </w:p>
        </w:tc>
        <w:tc>
          <w:tcPr>
            <w:tcW w:w="537" w:type="pct"/>
            <w:vAlign w:val="center"/>
            <w:hideMark/>
          </w:tcPr>
          <w:p w14:paraId="1C117DD0" w14:textId="77777777" w:rsidR="006C63D9" w:rsidRPr="00191F82" w:rsidRDefault="006C63D9" w:rsidP="00191F82">
            <w:pPr>
              <w:jc w:val="center"/>
              <w:rPr>
                <w:b/>
                <w:sz w:val="20"/>
                <w:szCs w:val="20"/>
              </w:rPr>
            </w:pPr>
            <w:r w:rsidRPr="00191F82">
              <w:rPr>
                <w:b/>
                <w:sz w:val="20"/>
                <w:szCs w:val="20"/>
              </w:rPr>
              <w:t>2020 г.</w:t>
            </w:r>
          </w:p>
        </w:tc>
        <w:tc>
          <w:tcPr>
            <w:tcW w:w="538" w:type="pct"/>
            <w:vAlign w:val="center"/>
            <w:hideMark/>
          </w:tcPr>
          <w:p w14:paraId="66146316" w14:textId="77777777" w:rsidR="006C63D9" w:rsidRPr="00191F82" w:rsidRDefault="006C63D9" w:rsidP="00191F82">
            <w:pPr>
              <w:jc w:val="center"/>
              <w:rPr>
                <w:b/>
                <w:sz w:val="20"/>
                <w:szCs w:val="20"/>
              </w:rPr>
            </w:pPr>
            <w:r w:rsidRPr="00191F82">
              <w:rPr>
                <w:b/>
                <w:sz w:val="20"/>
                <w:szCs w:val="20"/>
              </w:rPr>
              <w:t>2021 г.</w:t>
            </w:r>
          </w:p>
        </w:tc>
        <w:tc>
          <w:tcPr>
            <w:tcW w:w="538" w:type="pct"/>
            <w:vAlign w:val="center"/>
            <w:hideMark/>
          </w:tcPr>
          <w:p w14:paraId="372A2A9E" w14:textId="77777777" w:rsidR="006C63D9" w:rsidRPr="00191F82" w:rsidRDefault="006C63D9" w:rsidP="00191F82">
            <w:pPr>
              <w:jc w:val="center"/>
              <w:rPr>
                <w:b/>
                <w:sz w:val="20"/>
                <w:szCs w:val="20"/>
              </w:rPr>
            </w:pPr>
            <w:r w:rsidRPr="00191F82">
              <w:rPr>
                <w:b/>
                <w:sz w:val="20"/>
                <w:szCs w:val="20"/>
              </w:rPr>
              <w:t>2022 г.</w:t>
            </w:r>
          </w:p>
        </w:tc>
        <w:tc>
          <w:tcPr>
            <w:tcW w:w="462" w:type="pct"/>
            <w:tcBorders>
              <w:bottom w:val="single" w:sz="4" w:space="0" w:color="auto"/>
            </w:tcBorders>
            <w:vAlign w:val="center"/>
            <w:hideMark/>
          </w:tcPr>
          <w:p w14:paraId="67B1D141" w14:textId="77777777" w:rsidR="006C63D9" w:rsidRPr="00733417" w:rsidRDefault="006C63D9" w:rsidP="00191F82">
            <w:pPr>
              <w:jc w:val="center"/>
              <w:rPr>
                <w:b/>
                <w:sz w:val="20"/>
                <w:szCs w:val="20"/>
              </w:rPr>
            </w:pPr>
            <w:r w:rsidRPr="00733417">
              <w:rPr>
                <w:b/>
                <w:sz w:val="20"/>
                <w:szCs w:val="20"/>
              </w:rPr>
              <w:t>млрд руб.</w:t>
            </w:r>
          </w:p>
        </w:tc>
        <w:tc>
          <w:tcPr>
            <w:tcW w:w="539" w:type="pct"/>
            <w:tcBorders>
              <w:bottom w:val="single" w:sz="4" w:space="0" w:color="auto"/>
            </w:tcBorders>
            <w:vAlign w:val="center"/>
            <w:hideMark/>
          </w:tcPr>
          <w:p w14:paraId="2BB58CFF" w14:textId="77777777" w:rsidR="006C63D9" w:rsidRPr="00733417" w:rsidRDefault="006C63D9" w:rsidP="00191F82">
            <w:pPr>
              <w:jc w:val="center"/>
              <w:rPr>
                <w:b/>
                <w:i/>
                <w:sz w:val="20"/>
                <w:szCs w:val="20"/>
              </w:rPr>
            </w:pPr>
            <w:r w:rsidRPr="00733417">
              <w:rPr>
                <w:b/>
                <w:i/>
                <w:sz w:val="20"/>
                <w:szCs w:val="20"/>
              </w:rPr>
              <w:t>прирост %</w:t>
            </w:r>
          </w:p>
        </w:tc>
      </w:tr>
      <w:tr w:rsidR="00191F82" w:rsidRPr="00191F82" w14:paraId="6E3EE168" w14:textId="77777777" w:rsidTr="00191F82">
        <w:trPr>
          <w:trHeight w:val="220"/>
        </w:trPr>
        <w:tc>
          <w:tcPr>
            <w:tcW w:w="1155" w:type="pct"/>
            <w:vAlign w:val="center"/>
            <w:hideMark/>
          </w:tcPr>
          <w:p w14:paraId="5C0A577C" w14:textId="77777777" w:rsidR="006C63D9" w:rsidRPr="00191F82" w:rsidRDefault="006C63D9" w:rsidP="00191F82">
            <w:pPr>
              <w:rPr>
                <w:b/>
                <w:sz w:val="20"/>
                <w:szCs w:val="20"/>
              </w:rPr>
            </w:pPr>
            <w:r w:rsidRPr="00191F82">
              <w:rPr>
                <w:b/>
                <w:sz w:val="20"/>
                <w:szCs w:val="20"/>
              </w:rPr>
              <w:t>Расходы, всего:</w:t>
            </w:r>
          </w:p>
        </w:tc>
        <w:tc>
          <w:tcPr>
            <w:tcW w:w="694" w:type="pct"/>
            <w:vAlign w:val="center"/>
          </w:tcPr>
          <w:p w14:paraId="13CB290F" w14:textId="77777777" w:rsidR="006C63D9" w:rsidRPr="00191F82" w:rsidRDefault="006C63D9" w:rsidP="00191F82">
            <w:pPr>
              <w:jc w:val="center"/>
              <w:rPr>
                <w:b/>
                <w:sz w:val="20"/>
                <w:szCs w:val="20"/>
              </w:rPr>
            </w:pPr>
            <w:r w:rsidRPr="00191F82">
              <w:rPr>
                <w:b/>
                <w:sz w:val="20"/>
                <w:szCs w:val="20"/>
              </w:rPr>
              <w:t>16 713,0</w:t>
            </w:r>
          </w:p>
        </w:tc>
        <w:tc>
          <w:tcPr>
            <w:tcW w:w="537" w:type="pct"/>
            <w:vAlign w:val="center"/>
          </w:tcPr>
          <w:p w14:paraId="73F2E556" w14:textId="77777777" w:rsidR="006C63D9" w:rsidRPr="00191F82" w:rsidRDefault="006C63D9" w:rsidP="00191F82">
            <w:pPr>
              <w:jc w:val="center"/>
              <w:rPr>
                <w:b/>
                <w:sz w:val="20"/>
                <w:szCs w:val="20"/>
              </w:rPr>
            </w:pPr>
            <w:r w:rsidRPr="00191F82">
              <w:rPr>
                <w:b/>
                <w:sz w:val="20"/>
                <w:szCs w:val="20"/>
              </w:rPr>
              <w:t>18 293,7</w:t>
            </w:r>
          </w:p>
        </w:tc>
        <w:tc>
          <w:tcPr>
            <w:tcW w:w="537" w:type="pct"/>
            <w:shd w:val="clear" w:color="auto" w:fill="auto"/>
            <w:vAlign w:val="center"/>
          </w:tcPr>
          <w:p w14:paraId="4854F99F" w14:textId="77777777" w:rsidR="006C63D9" w:rsidRPr="00191F82" w:rsidRDefault="006C63D9" w:rsidP="00191F82">
            <w:pPr>
              <w:jc w:val="center"/>
              <w:rPr>
                <w:b/>
                <w:sz w:val="20"/>
                <w:szCs w:val="20"/>
              </w:rPr>
            </w:pPr>
            <w:r w:rsidRPr="00191F82">
              <w:rPr>
                <w:rFonts w:eastAsiaTheme="minorEastAsia"/>
                <w:b/>
                <w:sz w:val="20"/>
                <w:szCs w:val="20"/>
                <w:lang w:eastAsia="en-US"/>
              </w:rPr>
              <w:t>19 503,3</w:t>
            </w:r>
          </w:p>
        </w:tc>
        <w:tc>
          <w:tcPr>
            <w:tcW w:w="538" w:type="pct"/>
            <w:vAlign w:val="center"/>
          </w:tcPr>
          <w:p w14:paraId="7EF91975" w14:textId="77777777" w:rsidR="006C63D9" w:rsidRPr="00191F82" w:rsidRDefault="006C63D9" w:rsidP="00191F82">
            <w:pPr>
              <w:jc w:val="center"/>
              <w:rPr>
                <w:b/>
                <w:sz w:val="20"/>
                <w:szCs w:val="20"/>
              </w:rPr>
            </w:pPr>
            <w:r w:rsidRPr="00191F82">
              <w:rPr>
                <w:rFonts w:eastAsiaTheme="minorEastAsia"/>
                <w:b/>
                <w:sz w:val="20"/>
                <w:szCs w:val="20"/>
                <w:lang w:eastAsia="en-US"/>
              </w:rPr>
              <w:t>20 634,0</w:t>
            </w:r>
          </w:p>
        </w:tc>
        <w:tc>
          <w:tcPr>
            <w:tcW w:w="538" w:type="pct"/>
            <w:tcBorders>
              <w:right w:val="single" w:sz="4" w:space="0" w:color="auto"/>
            </w:tcBorders>
            <w:shd w:val="clear" w:color="auto" w:fill="auto"/>
            <w:vAlign w:val="center"/>
          </w:tcPr>
          <w:p w14:paraId="35528F65" w14:textId="77777777" w:rsidR="006C63D9" w:rsidRPr="00191F82" w:rsidRDefault="006C63D9" w:rsidP="00191F82">
            <w:pPr>
              <w:jc w:val="center"/>
              <w:rPr>
                <w:b/>
                <w:sz w:val="20"/>
                <w:szCs w:val="20"/>
              </w:rPr>
            </w:pPr>
            <w:r w:rsidRPr="00191F82">
              <w:rPr>
                <w:rFonts w:eastAsiaTheme="minorEastAsia"/>
                <w:b/>
                <w:sz w:val="20"/>
                <w:szCs w:val="20"/>
                <w:lang w:eastAsia="en-US"/>
              </w:rPr>
              <w:t>21 763,3</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B53F321" w14:textId="77777777" w:rsidR="006C63D9" w:rsidRPr="00191F82" w:rsidRDefault="006C63D9" w:rsidP="00191F82">
            <w:pPr>
              <w:jc w:val="center"/>
              <w:rPr>
                <w:b/>
                <w:iCs/>
                <w:sz w:val="20"/>
                <w:szCs w:val="20"/>
              </w:rPr>
            </w:pPr>
            <w:r w:rsidRPr="00191F82">
              <w:rPr>
                <w:b/>
                <w:bCs/>
                <w:iCs/>
                <w:color w:val="000000"/>
                <w:sz w:val="20"/>
                <w:szCs w:val="20"/>
              </w:rPr>
              <w:t>5 050,3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EA2FFDF" w14:textId="77777777" w:rsidR="006C63D9" w:rsidRPr="00191F82" w:rsidRDefault="006C63D9" w:rsidP="00191F82">
            <w:pPr>
              <w:jc w:val="center"/>
              <w:rPr>
                <w:b/>
                <w:i/>
                <w:iCs/>
                <w:sz w:val="20"/>
                <w:szCs w:val="20"/>
              </w:rPr>
            </w:pPr>
            <w:r w:rsidRPr="00191F82">
              <w:rPr>
                <w:b/>
                <w:bCs/>
                <w:i/>
                <w:iCs/>
                <w:color w:val="000000"/>
                <w:sz w:val="20"/>
                <w:szCs w:val="20"/>
              </w:rPr>
              <w:t>30,2</w:t>
            </w:r>
          </w:p>
        </w:tc>
      </w:tr>
      <w:tr w:rsidR="00191F82" w:rsidRPr="00191F82" w14:paraId="69C9D776" w14:textId="77777777" w:rsidTr="00191F82">
        <w:trPr>
          <w:trHeight w:val="92"/>
        </w:trPr>
        <w:tc>
          <w:tcPr>
            <w:tcW w:w="1155" w:type="pct"/>
            <w:vAlign w:val="center"/>
            <w:hideMark/>
          </w:tcPr>
          <w:p w14:paraId="7D5A32FC" w14:textId="77777777" w:rsidR="006C63D9" w:rsidRPr="00191F82" w:rsidRDefault="006C63D9" w:rsidP="00191F82">
            <w:pPr>
              <w:rPr>
                <w:sz w:val="20"/>
                <w:szCs w:val="20"/>
              </w:rPr>
            </w:pPr>
            <w:r w:rsidRPr="00191F82">
              <w:rPr>
                <w:sz w:val="20"/>
                <w:szCs w:val="20"/>
              </w:rPr>
              <w:t>Общегосударственные вопросы, всего:</w:t>
            </w:r>
          </w:p>
          <w:p w14:paraId="0862F672" w14:textId="77777777" w:rsidR="006C63D9" w:rsidRPr="00191F82" w:rsidRDefault="006C63D9" w:rsidP="00191F82">
            <w:pPr>
              <w:rPr>
                <w:i/>
                <w:sz w:val="20"/>
                <w:szCs w:val="20"/>
              </w:rPr>
            </w:pPr>
            <w:r w:rsidRPr="00191F82">
              <w:rPr>
                <w:i/>
                <w:sz w:val="20"/>
                <w:szCs w:val="20"/>
              </w:rPr>
              <w:t>в том числе по открытым статьям, по подразделам</w:t>
            </w:r>
          </w:p>
        </w:tc>
        <w:tc>
          <w:tcPr>
            <w:tcW w:w="694" w:type="pct"/>
            <w:vAlign w:val="center"/>
          </w:tcPr>
          <w:p w14:paraId="5795217E" w14:textId="77777777" w:rsidR="006C63D9" w:rsidRPr="00191F82" w:rsidRDefault="006C63D9" w:rsidP="00191F82">
            <w:pPr>
              <w:jc w:val="center"/>
              <w:rPr>
                <w:sz w:val="20"/>
                <w:szCs w:val="20"/>
              </w:rPr>
            </w:pPr>
            <w:r w:rsidRPr="00191F82">
              <w:rPr>
                <w:sz w:val="20"/>
                <w:szCs w:val="20"/>
              </w:rPr>
              <w:t>1257,1</w:t>
            </w:r>
          </w:p>
        </w:tc>
        <w:tc>
          <w:tcPr>
            <w:tcW w:w="537" w:type="pct"/>
            <w:vAlign w:val="center"/>
          </w:tcPr>
          <w:p w14:paraId="0F32D3D1" w14:textId="77777777" w:rsidR="006C63D9" w:rsidRPr="00191F82" w:rsidRDefault="006C63D9" w:rsidP="00191F82">
            <w:pPr>
              <w:jc w:val="center"/>
              <w:rPr>
                <w:sz w:val="20"/>
                <w:szCs w:val="20"/>
              </w:rPr>
            </w:pPr>
            <w:r w:rsidRPr="00191F82">
              <w:rPr>
                <w:sz w:val="20"/>
                <w:szCs w:val="20"/>
              </w:rPr>
              <w:t>1673,9</w:t>
            </w:r>
          </w:p>
        </w:tc>
        <w:tc>
          <w:tcPr>
            <w:tcW w:w="537" w:type="pct"/>
            <w:vAlign w:val="center"/>
          </w:tcPr>
          <w:p w14:paraId="2BF4A1C3" w14:textId="77777777" w:rsidR="006C63D9" w:rsidRPr="00191F82" w:rsidRDefault="006C63D9" w:rsidP="00191F82">
            <w:pPr>
              <w:jc w:val="center"/>
              <w:rPr>
                <w:sz w:val="20"/>
                <w:szCs w:val="20"/>
              </w:rPr>
            </w:pPr>
            <w:r w:rsidRPr="00191F82">
              <w:rPr>
                <w:sz w:val="20"/>
                <w:szCs w:val="20"/>
              </w:rPr>
              <w:t>1455,6</w:t>
            </w:r>
          </w:p>
        </w:tc>
        <w:tc>
          <w:tcPr>
            <w:tcW w:w="538" w:type="pct"/>
            <w:vAlign w:val="center"/>
          </w:tcPr>
          <w:p w14:paraId="62EE8F74" w14:textId="77777777" w:rsidR="006C63D9" w:rsidRPr="00191F82" w:rsidRDefault="006C63D9" w:rsidP="00191F82">
            <w:pPr>
              <w:jc w:val="center"/>
              <w:rPr>
                <w:sz w:val="20"/>
                <w:szCs w:val="20"/>
              </w:rPr>
            </w:pPr>
            <w:r w:rsidRPr="00191F82">
              <w:rPr>
                <w:sz w:val="20"/>
                <w:szCs w:val="20"/>
              </w:rPr>
              <w:t>1537,3</w:t>
            </w:r>
          </w:p>
        </w:tc>
        <w:tc>
          <w:tcPr>
            <w:tcW w:w="538" w:type="pct"/>
            <w:tcBorders>
              <w:right w:val="single" w:sz="4" w:space="0" w:color="auto"/>
            </w:tcBorders>
            <w:vAlign w:val="center"/>
          </w:tcPr>
          <w:p w14:paraId="75023845" w14:textId="77777777" w:rsidR="006C63D9" w:rsidRPr="00191F82" w:rsidRDefault="006C63D9" w:rsidP="00191F82">
            <w:pPr>
              <w:jc w:val="center"/>
              <w:rPr>
                <w:sz w:val="20"/>
                <w:szCs w:val="20"/>
              </w:rPr>
            </w:pPr>
            <w:r w:rsidRPr="00191F82">
              <w:rPr>
                <w:sz w:val="20"/>
                <w:szCs w:val="20"/>
              </w:rPr>
              <w:t>1585,5</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13594D1" w14:textId="77777777" w:rsidR="006C63D9" w:rsidRPr="00191F82" w:rsidRDefault="006C63D9" w:rsidP="00191F82">
            <w:pPr>
              <w:jc w:val="center"/>
              <w:rPr>
                <w:iCs/>
                <w:sz w:val="20"/>
                <w:szCs w:val="20"/>
              </w:rPr>
            </w:pPr>
            <w:r w:rsidRPr="00191F82">
              <w:rPr>
                <w:bCs/>
                <w:iCs/>
                <w:color w:val="000000"/>
                <w:sz w:val="20"/>
                <w:szCs w:val="20"/>
              </w:rPr>
              <w:t>328,4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F9B098B" w14:textId="77777777" w:rsidR="006C63D9" w:rsidRPr="00191F82" w:rsidRDefault="006C63D9" w:rsidP="00191F82">
            <w:pPr>
              <w:jc w:val="center"/>
              <w:rPr>
                <w:i/>
                <w:iCs/>
                <w:sz w:val="20"/>
                <w:szCs w:val="20"/>
              </w:rPr>
            </w:pPr>
            <w:r w:rsidRPr="00191F82">
              <w:rPr>
                <w:bCs/>
                <w:i/>
                <w:iCs/>
                <w:color w:val="000000"/>
                <w:sz w:val="20"/>
                <w:szCs w:val="20"/>
              </w:rPr>
              <w:t>26,1</w:t>
            </w:r>
          </w:p>
        </w:tc>
      </w:tr>
      <w:tr w:rsidR="00191F82" w:rsidRPr="00191F82" w14:paraId="081DEF40" w14:textId="77777777" w:rsidTr="00191F82">
        <w:trPr>
          <w:trHeight w:val="198"/>
        </w:trPr>
        <w:tc>
          <w:tcPr>
            <w:tcW w:w="1155" w:type="pct"/>
            <w:shd w:val="clear" w:color="auto" w:fill="auto"/>
            <w:vAlign w:val="center"/>
          </w:tcPr>
          <w:p w14:paraId="7F5BAC05" w14:textId="77777777" w:rsidR="006C63D9" w:rsidRPr="00191F82" w:rsidRDefault="006C63D9" w:rsidP="00191F82">
            <w:pPr>
              <w:rPr>
                <w:sz w:val="20"/>
                <w:szCs w:val="20"/>
              </w:rPr>
            </w:pPr>
            <w:r w:rsidRPr="00191F82">
              <w:rPr>
                <w:sz w:val="20"/>
                <w:szCs w:val="20"/>
              </w:rPr>
              <w:t>- функционирование Президента РФ</w:t>
            </w:r>
          </w:p>
        </w:tc>
        <w:tc>
          <w:tcPr>
            <w:tcW w:w="694" w:type="pct"/>
            <w:vAlign w:val="center"/>
          </w:tcPr>
          <w:p w14:paraId="7AE33A11" w14:textId="77777777" w:rsidR="006C63D9" w:rsidRPr="00191F82" w:rsidRDefault="006C63D9" w:rsidP="00191F82">
            <w:pPr>
              <w:jc w:val="center"/>
              <w:rPr>
                <w:sz w:val="20"/>
                <w:szCs w:val="20"/>
              </w:rPr>
            </w:pPr>
            <w:r w:rsidRPr="00191F82">
              <w:rPr>
                <w:sz w:val="20"/>
                <w:szCs w:val="20"/>
              </w:rPr>
              <w:t>22,1</w:t>
            </w:r>
          </w:p>
        </w:tc>
        <w:tc>
          <w:tcPr>
            <w:tcW w:w="537" w:type="pct"/>
            <w:vAlign w:val="center"/>
          </w:tcPr>
          <w:p w14:paraId="7A37A0EC" w14:textId="77777777" w:rsidR="006C63D9" w:rsidRPr="00191F82" w:rsidRDefault="006C63D9" w:rsidP="00191F82">
            <w:pPr>
              <w:jc w:val="center"/>
              <w:rPr>
                <w:sz w:val="20"/>
                <w:szCs w:val="20"/>
              </w:rPr>
            </w:pPr>
            <w:r w:rsidRPr="00191F82">
              <w:rPr>
                <w:sz w:val="20"/>
                <w:szCs w:val="20"/>
              </w:rPr>
              <w:t>25,2</w:t>
            </w:r>
          </w:p>
        </w:tc>
        <w:tc>
          <w:tcPr>
            <w:tcW w:w="537" w:type="pct"/>
            <w:vAlign w:val="center"/>
          </w:tcPr>
          <w:p w14:paraId="43257C97" w14:textId="77777777" w:rsidR="006C63D9" w:rsidRPr="00191F82" w:rsidRDefault="006C63D9" w:rsidP="00191F82">
            <w:pPr>
              <w:jc w:val="center"/>
              <w:rPr>
                <w:sz w:val="20"/>
                <w:szCs w:val="20"/>
              </w:rPr>
            </w:pPr>
            <w:r w:rsidRPr="00191F82">
              <w:rPr>
                <w:sz w:val="20"/>
                <w:szCs w:val="20"/>
              </w:rPr>
              <w:t>24,2</w:t>
            </w:r>
          </w:p>
        </w:tc>
        <w:tc>
          <w:tcPr>
            <w:tcW w:w="538" w:type="pct"/>
            <w:vAlign w:val="center"/>
          </w:tcPr>
          <w:p w14:paraId="10297444" w14:textId="77777777" w:rsidR="006C63D9" w:rsidRPr="00191F82" w:rsidRDefault="006C63D9" w:rsidP="00191F82">
            <w:pPr>
              <w:jc w:val="center"/>
              <w:rPr>
                <w:sz w:val="20"/>
                <w:szCs w:val="20"/>
              </w:rPr>
            </w:pPr>
            <w:r w:rsidRPr="00191F82">
              <w:rPr>
                <w:sz w:val="20"/>
                <w:szCs w:val="20"/>
              </w:rPr>
              <w:t>24,6</w:t>
            </w:r>
          </w:p>
        </w:tc>
        <w:tc>
          <w:tcPr>
            <w:tcW w:w="538" w:type="pct"/>
            <w:tcBorders>
              <w:right w:val="single" w:sz="4" w:space="0" w:color="auto"/>
            </w:tcBorders>
            <w:vAlign w:val="center"/>
          </w:tcPr>
          <w:p w14:paraId="215E0C27" w14:textId="77777777" w:rsidR="006C63D9" w:rsidRPr="00191F82" w:rsidRDefault="006C63D9" w:rsidP="00191F82">
            <w:pPr>
              <w:jc w:val="center"/>
              <w:rPr>
                <w:sz w:val="20"/>
                <w:szCs w:val="20"/>
              </w:rPr>
            </w:pPr>
            <w:r w:rsidRPr="00191F82">
              <w:rPr>
                <w:sz w:val="20"/>
                <w:szCs w:val="20"/>
              </w:rPr>
              <w:t>25,0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004F788" w14:textId="77777777" w:rsidR="006C63D9" w:rsidRPr="00191F82" w:rsidRDefault="006C63D9" w:rsidP="00191F82">
            <w:pPr>
              <w:jc w:val="center"/>
              <w:rPr>
                <w:sz w:val="20"/>
                <w:szCs w:val="20"/>
              </w:rPr>
            </w:pPr>
            <w:r w:rsidRPr="00191F82">
              <w:rPr>
                <w:bCs/>
                <w:iCs/>
                <w:color w:val="000000"/>
                <w:sz w:val="20"/>
                <w:szCs w:val="20"/>
              </w:rPr>
              <w:t>2,9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998DB32" w14:textId="77777777" w:rsidR="006C63D9" w:rsidRPr="00191F82" w:rsidRDefault="006C63D9" w:rsidP="00191F82">
            <w:pPr>
              <w:jc w:val="center"/>
              <w:rPr>
                <w:i/>
                <w:sz w:val="20"/>
                <w:szCs w:val="20"/>
              </w:rPr>
            </w:pPr>
            <w:r w:rsidRPr="00191F82">
              <w:rPr>
                <w:bCs/>
                <w:i/>
                <w:iCs/>
                <w:color w:val="000000"/>
                <w:sz w:val="20"/>
                <w:szCs w:val="20"/>
              </w:rPr>
              <w:t>13,1</w:t>
            </w:r>
          </w:p>
        </w:tc>
      </w:tr>
      <w:tr w:rsidR="00191F82" w:rsidRPr="00191F82" w14:paraId="3035347C" w14:textId="77777777" w:rsidTr="00191F82">
        <w:trPr>
          <w:trHeight w:val="310"/>
        </w:trPr>
        <w:tc>
          <w:tcPr>
            <w:tcW w:w="1155" w:type="pct"/>
            <w:shd w:val="clear" w:color="auto" w:fill="auto"/>
            <w:vAlign w:val="center"/>
          </w:tcPr>
          <w:p w14:paraId="7F7014CE" w14:textId="77777777" w:rsidR="006C63D9" w:rsidRPr="00191F82" w:rsidRDefault="006C63D9" w:rsidP="00191F82">
            <w:pPr>
              <w:rPr>
                <w:sz w:val="20"/>
                <w:szCs w:val="20"/>
              </w:rPr>
            </w:pPr>
            <w:r w:rsidRPr="00191F82">
              <w:rPr>
                <w:sz w:val="20"/>
                <w:szCs w:val="20"/>
              </w:rPr>
              <w:t>- функционирование законодательных органов гос. власти</w:t>
            </w:r>
          </w:p>
        </w:tc>
        <w:tc>
          <w:tcPr>
            <w:tcW w:w="694" w:type="pct"/>
            <w:vAlign w:val="center"/>
          </w:tcPr>
          <w:p w14:paraId="09DB29A3" w14:textId="77777777" w:rsidR="006C63D9" w:rsidRPr="00191F82" w:rsidRDefault="006C63D9" w:rsidP="00191F82">
            <w:pPr>
              <w:jc w:val="center"/>
              <w:rPr>
                <w:sz w:val="20"/>
                <w:szCs w:val="20"/>
              </w:rPr>
            </w:pPr>
            <w:r w:rsidRPr="00191F82">
              <w:rPr>
                <w:sz w:val="20"/>
                <w:szCs w:val="20"/>
              </w:rPr>
              <w:t>14,7</w:t>
            </w:r>
          </w:p>
        </w:tc>
        <w:tc>
          <w:tcPr>
            <w:tcW w:w="537" w:type="pct"/>
            <w:vAlign w:val="center"/>
          </w:tcPr>
          <w:p w14:paraId="37D8FD00" w14:textId="77777777" w:rsidR="006C63D9" w:rsidRPr="00191F82" w:rsidRDefault="006C63D9" w:rsidP="00191F82">
            <w:pPr>
              <w:jc w:val="center"/>
              <w:rPr>
                <w:sz w:val="20"/>
                <w:szCs w:val="20"/>
              </w:rPr>
            </w:pPr>
            <w:r w:rsidRPr="00191F82">
              <w:rPr>
                <w:sz w:val="20"/>
                <w:szCs w:val="20"/>
              </w:rPr>
              <w:t>16,1</w:t>
            </w:r>
          </w:p>
        </w:tc>
        <w:tc>
          <w:tcPr>
            <w:tcW w:w="537" w:type="pct"/>
            <w:vAlign w:val="center"/>
          </w:tcPr>
          <w:p w14:paraId="1A6EB7FA" w14:textId="77777777" w:rsidR="006C63D9" w:rsidRPr="00191F82" w:rsidRDefault="006C63D9" w:rsidP="00191F82">
            <w:pPr>
              <w:jc w:val="center"/>
              <w:rPr>
                <w:sz w:val="20"/>
                <w:szCs w:val="20"/>
              </w:rPr>
            </w:pPr>
            <w:r w:rsidRPr="00191F82">
              <w:rPr>
                <w:sz w:val="20"/>
                <w:szCs w:val="20"/>
              </w:rPr>
              <w:t>17,4</w:t>
            </w:r>
          </w:p>
        </w:tc>
        <w:tc>
          <w:tcPr>
            <w:tcW w:w="538" w:type="pct"/>
            <w:vAlign w:val="center"/>
          </w:tcPr>
          <w:p w14:paraId="2494B688" w14:textId="77777777" w:rsidR="006C63D9" w:rsidRPr="00191F82" w:rsidRDefault="006C63D9" w:rsidP="00191F82">
            <w:pPr>
              <w:jc w:val="center"/>
              <w:rPr>
                <w:sz w:val="20"/>
                <w:szCs w:val="20"/>
              </w:rPr>
            </w:pPr>
            <w:r w:rsidRPr="00191F82">
              <w:rPr>
                <w:sz w:val="20"/>
                <w:szCs w:val="20"/>
              </w:rPr>
              <w:t>19,4</w:t>
            </w:r>
          </w:p>
        </w:tc>
        <w:tc>
          <w:tcPr>
            <w:tcW w:w="538" w:type="pct"/>
            <w:tcBorders>
              <w:right w:val="single" w:sz="4" w:space="0" w:color="auto"/>
            </w:tcBorders>
            <w:vAlign w:val="center"/>
          </w:tcPr>
          <w:p w14:paraId="782B4888" w14:textId="77777777" w:rsidR="006C63D9" w:rsidRPr="00191F82" w:rsidRDefault="006C63D9" w:rsidP="00191F82">
            <w:pPr>
              <w:jc w:val="center"/>
              <w:rPr>
                <w:sz w:val="20"/>
                <w:szCs w:val="20"/>
              </w:rPr>
            </w:pPr>
            <w:r w:rsidRPr="00191F82">
              <w:rPr>
                <w:sz w:val="20"/>
                <w:szCs w:val="20"/>
              </w:rPr>
              <w:t>19,1</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F8A9466" w14:textId="77777777" w:rsidR="006C63D9" w:rsidRPr="00191F82" w:rsidRDefault="006C63D9" w:rsidP="00191F82">
            <w:pPr>
              <w:jc w:val="center"/>
              <w:rPr>
                <w:sz w:val="20"/>
                <w:szCs w:val="20"/>
              </w:rPr>
            </w:pPr>
            <w:r w:rsidRPr="00191F82">
              <w:rPr>
                <w:bCs/>
                <w:iCs/>
                <w:color w:val="000000"/>
                <w:sz w:val="20"/>
                <w:szCs w:val="20"/>
              </w:rPr>
              <w:t>4,4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26BE4CB" w14:textId="77777777" w:rsidR="006C63D9" w:rsidRPr="00191F82" w:rsidRDefault="006C63D9" w:rsidP="00191F82">
            <w:pPr>
              <w:jc w:val="center"/>
              <w:rPr>
                <w:i/>
                <w:sz w:val="20"/>
                <w:szCs w:val="20"/>
              </w:rPr>
            </w:pPr>
            <w:r w:rsidRPr="00191F82">
              <w:rPr>
                <w:bCs/>
                <w:i/>
                <w:iCs/>
                <w:color w:val="000000"/>
                <w:sz w:val="20"/>
                <w:szCs w:val="20"/>
              </w:rPr>
              <w:t>29,9</w:t>
            </w:r>
          </w:p>
        </w:tc>
      </w:tr>
      <w:tr w:rsidR="00191F82" w:rsidRPr="00191F82" w14:paraId="69246D2F" w14:textId="77777777" w:rsidTr="00191F82">
        <w:trPr>
          <w:trHeight w:val="198"/>
        </w:trPr>
        <w:tc>
          <w:tcPr>
            <w:tcW w:w="1155" w:type="pct"/>
            <w:shd w:val="clear" w:color="auto" w:fill="auto"/>
            <w:vAlign w:val="center"/>
          </w:tcPr>
          <w:p w14:paraId="042B52E4" w14:textId="77777777" w:rsidR="006C63D9" w:rsidRPr="00191F82" w:rsidRDefault="006C63D9" w:rsidP="00191F82">
            <w:pPr>
              <w:rPr>
                <w:sz w:val="20"/>
                <w:szCs w:val="20"/>
              </w:rPr>
            </w:pPr>
            <w:r w:rsidRPr="00191F82">
              <w:rPr>
                <w:sz w:val="20"/>
                <w:szCs w:val="20"/>
              </w:rPr>
              <w:t>- функционирование Правительства РФ</w:t>
            </w:r>
          </w:p>
        </w:tc>
        <w:tc>
          <w:tcPr>
            <w:tcW w:w="694" w:type="pct"/>
            <w:vAlign w:val="center"/>
          </w:tcPr>
          <w:p w14:paraId="0D17A024" w14:textId="77777777" w:rsidR="006C63D9" w:rsidRPr="00191F82" w:rsidRDefault="006C63D9" w:rsidP="00191F82">
            <w:pPr>
              <w:jc w:val="center"/>
              <w:rPr>
                <w:sz w:val="20"/>
                <w:szCs w:val="20"/>
              </w:rPr>
            </w:pPr>
            <w:r w:rsidRPr="00191F82">
              <w:rPr>
                <w:sz w:val="20"/>
                <w:szCs w:val="20"/>
              </w:rPr>
              <w:t>6,7</w:t>
            </w:r>
          </w:p>
        </w:tc>
        <w:tc>
          <w:tcPr>
            <w:tcW w:w="537" w:type="pct"/>
            <w:vAlign w:val="center"/>
          </w:tcPr>
          <w:p w14:paraId="5E67381A" w14:textId="77777777" w:rsidR="006C63D9" w:rsidRPr="00191F82" w:rsidRDefault="006C63D9" w:rsidP="00191F82">
            <w:pPr>
              <w:jc w:val="center"/>
              <w:rPr>
                <w:sz w:val="20"/>
                <w:szCs w:val="20"/>
              </w:rPr>
            </w:pPr>
            <w:r w:rsidRPr="00191F82">
              <w:rPr>
                <w:sz w:val="20"/>
                <w:szCs w:val="20"/>
              </w:rPr>
              <w:t>8,4</w:t>
            </w:r>
          </w:p>
        </w:tc>
        <w:tc>
          <w:tcPr>
            <w:tcW w:w="537" w:type="pct"/>
            <w:vAlign w:val="center"/>
          </w:tcPr>
          <w:p w14:paraId="38E03209" w14:textId="77777777" w:rsidR="006C63D9" w:rsidRPr="00191F82" w:rsidRDefault="006C63D9" w:rsidP="00191F82">
            <w:pPr>
              <w:jc w:val="center"/>
              <w:rPr>
                <w:sz w:val="20"/>
                <w:szCs w:val="20"/>
              </w:rPr>
            </w:pPr>
            <w:r w:rsidRPr="00191F82">
              <w:rPr>
                <w:sz w:val="20"/>
                <w:szCs w:val="20"/>
              </w:rPr>
              <w:t>8,6</w:t>
            </w:r>
          </w:p>
        </w:tc>
        <w:tc>
          <w:tcPr>
            <w:tcW w:w="538" w:type="pct"/>
            <w:vAlign w:val="center"/>
          </w:tcPr>
          <w:p w14:paraId="0BEC4F07" w14:textId="77777777" w:rsidR="006C63D9" w:rsidRPr="00191F82" w:rsidRDefault="006C63D9" w:rsidP="00191F82">
            <w:pPr>
              <w:jc w:val="center"/>
              <w:rPr>
                <w:sz w:val="20"/>
                <w:szCs w:val="20"/>
              </w:rPr>
            </w:pPr>
            <w:r w:rsidRPr="00191F82">
              <w:rPr>
                <w:sz w:val="20"/>
                <w:szCs w:val="20"/>
              </w:rPr>
              <w:t>8,8</w:t>
            </w:r>
          </w:p>
        </w:tc>
        <w:tc>
          <w:tcPr>
            <w:tcW w:w="538" w:type="pct"/>
            <w:tcBorders>
              <w:right w:val="single" w:sz="4" w:space="0" w:color="auto"/>
            </w:tcBorders>
            <w:vAlign w:val="center"/>
          </w:tcPr>
          <w:p w14:paraId="03A06529" w14:textId="77777777" w:rsidR="006C63D9" w:rsidRPr="00191F82" w:rsidRDefault="006C63D9" w:rsidP="00191F82">
            <w:pPr>
              <w:jc w:val="center"/>
              <w:rPr>
                <w:sz w:val="20"/>
                <w:szCs w:val="20"/>
              </w:rPr>
            </w:pPr>
            <w:r w:rsidRPr="00191F82">
              <w:rPr>
                <w:sz w:val="20"/>
                <w:szCs w:val="20"/>
              </w:rPr>
              <w:t>10,8</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B55906A" w14:textId="77777777" w:rsidR="006C63D9" w:rsidRPr="00191F82" w:rsidRDefault="006C63D9" w:rsidP="00191F82">
            <w:pPr>
              <w:jc w:val="center"/>
              <w:rPr>
                <w:sz w:val="20"/>
                <w:szCs w:val="20"/>
              </w:rPr>
            </w:pPr>
            <w:r w:rsidRPr="00191F82">
              <w:rPr>
                <w:bCs/>
                <w:iCs/>
                <w:color w:val="000000"/>
                <w:sz w:val="20"/>
                <w:szCs w:val="20"/>
              </w:rPr>
              <w:t>4,1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C920707" w14:textId="77777777" w:rsidR="006C63D9" w:rsidRPr="00191F82" w:rsidRDefault="006C63D9" w:rsidP="00191F82">
            <w:pPr>
              <w:jc w:val="center"/>
              <w:rPr>
                <w:i/>
                <w:sz w:val="20"/>
                <w:szCs w:val="20"/>
              </w:rPr>
            </w:pPr>
            <w:r w:rsidRPr="00191F82">
              <w:rPr>
                <w:bCs/>
                <w:i/>
                <w:iCs/>
                <w:color w:val="000000"/>
                <w:sz w:val="20"/>
                <w:szCs w:val="20"/>
              </w:rPr>
              <w:t>61,1</w:t>
            </w:r>
          </w:p>
        </w:tc>
      </w:tr>
      <w:tr w:rsidR="00191F82" w:rsidRPr="00191F82" w14:paraId="0ADD26E8" w14:textId="77777777" w:rsidTr="00191F82">
        <w:trPr>
          <w:trHeight w:val="54"/>
        </w:trPr>
        <w:tc>
          <w:tcPr>
            <w:tcW w:w="1155" w:type="pct"/>
            <w:shd w:val="clear" w:color="auto" w:fill="auto"/>
            <w:vAlign w:val="center"/>
          </w:tcPr>
          <w:p w14:paraId="357D9584" w14:textId="77777777" w:rsidR="006C63D9" w:rsidRPr="00191F82" w:rsidRDefault="006C63D9" w:rsidP="00191F82">
            <w:pPr>
              <w:rPr>
                <w:sz w:val="20"/>
                <w:szCs w:val="20"/>
              </w:rPr>
            </w:pPr>
            <w:r w:rsidRPr="00191F82">
              <w:rPr>
                <w:sz w:val="20"/>
                <w:szCs w:val="20"/>
              </w:rPr>
              <w:t>- судебная система</w:t>
            </w:r>
          </w:p>
        </w:tc>
        <w:tc>
          <w:tcPr>
            <w:tcW w:w="694" w:type="pct"/>
            <w:vAlign w:val="center"/>
          </w:tcPr>
          <w:p w14:paraId="2DDDC2F2" w14:textId="77777777" w:rsidR="006C63D9" w:rsidRPr="00191F82" w:rsidRDefault="006C63D9" w:rsidP="00191F82">
            <w:pPr>
              <w:jc w:val="center"/>
              <w:rPr>
                <w:sz w:val="20"/>
                <w:szCs w:val="20"/>
              </w:rPr>
            </w:pPr>
            <w:r w:rsidRPr="00191F82">
              <w:rPr>
                <w:sz w:val="20"/>
                <w:szCs w:val="20"/>
              </w:rPr>
              <w:t>177,0</w:t>
            </w:r>
          </w:p>
        </w:tc>
        <w:tc>
          <w:tcPr>
            <w:tcW w:w="537" w:type="pct"/>
            <w:vAlign w:val="center"/>
          </w:tcPr>
          <w:p w14:paraId="2F8C7729" w14:textId="77777777" w:rsidR="006C63D9" w:rsidRPr="00191F82" w:rsidRDefault="006C63D9" w:rsidP="00191F82">
            <w:pPr>
              <w:jc w:val="center"/>
              <w:rPr>
                <w:sz w:val="20"/>
                <w:szCs w:val="20"/>
              </w:rPr>
            </w:pPr>
            <w:r w:rsidRPr="00191F82">
              <w:rPr>
                <w:sz w:val="20"/>
                <w:szCs w:val="20"/>
              </w:rPr>
              <w:t>199,2</w:t>
            </w:r>
          </w:p>
        </w:tc>
        <w:tc>
          <w:tcPr>
            <w:tcW w:w="537" w:type="pct"/>
            <w:vAlign w:val="center"/>
          </w:tcPr>
          <w:p w14:paraId="3AC4310B" w14:textId="77777777" w:rsidR="006C63D9" w:rsidRPr="00191F82" w:rsidRDefault="006C63D9" w:rsidP="00191F82">
            <w:pPr>
              <w:jc w:val="center"/>
              <w:rPr>
                <w:sz w:val="20"/>
                <w:szCs w:val="20"/>
              </w:rPr>
            </w:pPr>
            <w:r w:rsidRPr="00191F82">
              <w:rPr>
                <w:sz w:val="20"/>
                <w:szCs w:val="20"/>
              </w:rPr>
              <w:t>184,6</w:t>
            </w:r>
          </w:p>
        </w:tc>
        <w:tc>
          <w:tcPr>
            <w:tcW w:w="538" w:type="pct"/>
            <w:vAlign w:val="center"/>
          </w:tcPr>
          <w:p w14:paraId="139A41F9" w14:textId="77777777" w:rsidR="006C63D9" w:rsidRPr="00191F82" w:rsidRDefault="006C63D9" w:rsidP="00191F82">
            <w:pPr>
              <w:jc w:val="center"/>
              <w:rPr>
                <w:sz w:val="20"/>
                <w:szCs w:val="20"/>
              </w:rPr>
            </w:pPr>
            <w:r w:rsidRPr="00191F82">
              <w:rPr>
                <w:sz w:val="20"/>
                <w:szCs w:val="20"/>
              </w:rPr>
              <w:t>187,5</w:t>
            </w:r>
          </w:p>
        </w:tc>
        <w:tc>
          <w:tcPr>
            <w:tcW w:w="538" w:type="pct"/>
            <w:tcBorders>
              <w:right w:val="single" w:sz="4" w:space="0" w:color="auto"/>
            </w:tcBorders>
            <w:vAlign w:val="center"/>
          </w:tcPr>
          <w:p w14:paraId="1FE1B22B" w14:textId="77777777" w:rsidR="006C63D9" w:rsidRPr="00191F82" w:rsidRDefault="006C63D9" w:rsidP="00191F82">
            <w:pPr>
              <w:jc w:val="center"/>
              <w:rPr>
                <w:sz w:val="20"/>
                <w:szCs w:val="20"/>
              </w:rPr>
            </w:pPr>
            <w:r w:rsidRPr="00191F82">
              <w:rPr>
                <w:sz w:val="20"/>
                <w:szCs w:val="20"/>
              </w:rPr>
              <w:t>192,8</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07CE4C1" w14:textId="77777777" w:rsidR="006C63D9" w:rsidRPr="00191F82" w:rsidRDefault="006C63D9" w:rsidP="00191F82">
            <w:pPr>
              <w:jc w:val="center"/>
              <w:rPr>
                <w:sz w:val="20"/>
                <w:szCs w:val="20"/>
              </w:rPr>
            </w:pPr>
            <w:r w:rsidRPr="00191F82">
              <w:rPr>
                <w:bCs/>
                <w:iCs/>
                <w:color w:val="000000"/>
                <w:sz w:val="20"/>
                <w:szCs w:val="20"/>
              </w:rPr>
              <w:t>15,8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2607E61" w14:textId="77777777" w:rsidR="006C63D9" w:rsidRPr="00191F82" w:rsidRDefault="006C63D9" w:rsidP="00191F82">
            <w:pPr>
              <w:jc w:val="center"/>
              <w:rPr>
                <w:i/>
                <w:sz w:val="20"/>
                <w:szCs w:val="20"/>
              </w:rPr>
            </w:pPr>
            <w:r w:rsidRPr="00191F82">
              <w:rPr>
                <w:bCs/>
                <w:i/>
                <w:iCs/>
                <w:color w:val="000000"/>
                <w:sz w:val="20"/>
                <w:szCs w:val="20"/>
              </w:rPr>
              <w:t>8,9</w:t>
            </w:r>
          </w:p>
        </w:tc>
      </w:tr>
      <w:tr w:rsidR="00191F82" w:rsidRPr="00191F82" w14:paraId="437519A8" w14:textId="77777777" w:rsidTr="00191F82">
        <w:trPr>
          <w:trHeight w:val="198"/>
        </w:trPr>
        <w:tc>
          <w:tcPr>
            <w:tcW w:w="1155" w:type="pct"/>
            <w:shd w:val="clear" w:color="auto" w:fill="auto"/>
            <w:vAlign w:val="center"/>
          </w:tcPr>
          <w:p w14:paraId="612A59B0" w14:textId="77777777" w:rsidR="006C63D9" w:rsidRPr="00191F82" w:rsidRDefault="006C63D9" w:rsidP="00191F82">
            <w:pPr>
              <w:rPr>
                <w:sz w:val="20"/>
                <w:szCs w:val="20"/>
              </w:rPr>
            </w:pPr>
            <w:r w:rsidRPr="00191F82">
              <w:rPr>
                <w:sz w:val="20"/>
                <w:szCs w:val="20"/>
              </w:rPr>
              <w:t>-обеспечение деятельности финансовых, налоговых и таможенных органов и органов фин. надзора</w:t>
            </w:r>
          </w:p>
        </w:tc>
        <w:tc>
          <w:tcPr>
            <w:tcW w:w="694" w:type="pct"/>
            <w:vAlign w:val="center"/>
          </w:tcPr>
          <w:p w14:paraId="30BF92C0" w14:textId="77777777" w:rsidR="006C63D9" w:rsidRPr="00191F82" w:rsidRDefault="006C63D9" w:rsidP="00191F82">
            <w:pPr>
              <w:jc w:val="center"/>
              <w:rPr>
                <w:sz w:val="20"/>
                <w:szCs w:val="20"/>
              </w:rPr>
            </w:pPr>
            <w:r w:rsidRPr="00191F82">
              <w:rPr>
                <w:sz w:val="20"/>
                <w:szCs w:val="20"/>
              </w:rPr>
              <w:t>280,7</w:t>
            </w:r>
          </w:p>
        </w:tc>
        <w:tc>
          <w:tcPr>
            <w:tcW w:w="537" w:type="pct"/>
            <w:vAlign w:val="center"/>
          </w:tcPr>
          <w:p w14:paraId="406D931C" w14:textId="77777777" w:rsidR="006C63D9" w:rsidRPr="00191F82" w:rsidRDefault="006C63D9" w:rsidP="00191F82">
            <w:pPr>
              <w:jc w:val="center"/>
              <w:rPr>
                <w:sz w:val="20"/>
                <w:szCs w:val="20"/>
              </w:rPr>
            </w:pPr>
            <w:r w:rsidRPr="00191F82">
              <w:rPr>
                <w:sz w:val="20"/>
                <w:szCs w:val="20"/>
              </w:rPr>
              <w:t>320,2</w:t>
            </w:r>
          </w:p>
        </w:tc>
        <w:tc>
          <w:tcPr>
            <w:tcW w:w="537" w:type="pct"/>
            <w:vAlign w:val="center"/>
          </w:tcPr>
          <w:p w14:paraId="46B17E53" w14:textId="77777777" w:rsidR="006C63D9" w:rsidRPr="00191F82" w:rsidRDefault="006C63D9" w:rsidP="00191F82">
            <w:pPr>
              <w:jc w:val="center"/>
              <w:rPr>
                <w:sz w:val="20"/>
                <w:szCs w:val="20"/>
              </w:rPr>
            </w:pPr>
            <w:r w:rsidRPr="00191F82">
              <w:rPr>
                <w:sz w:val="20"/>
                <w:szCs w:val="20"/>
              </w:rPr>
              <w:t>271,1</w:t>
            </w:r>
          </w:p>
        </w:tc>
        <w:tc>
          <w:tcPr>
            <w:tcW w:w="538" w:type="pct"/>
            <w:vAlign w:val="center"/>
          </w:tcPr>
          <w:p w14:paraId="2248183C" w14:textId="77777777" w:rsidR="006C63D9" w:rsidRPr="00191F82" w:rsidRDefault="006C63D9" w:rsidP="00191F82">
            <w:pPr>
              <w:jc w:val="center"/>
              <w:rPr>
                <w:sz w:val="20"/>
                <w:szCs w:val="20"/>
              </w:rPr>
            </w:pPr>
            <w:r w:rsidRPr="00191F82">
              <w:rPr>
                <w:sz w:val="20"/>
                <w:szCs w:val="20"/>
              </w:rPr>
              <w:t>271,3</w:t>
            </w:r>
          </w:p>
        </w:tc>
        <w:tc>
          <w:tcPr>
            <w:tcW w:w="538" w:type="pct"/>
            <w:tcBorders>
              <w:right w:val="single" w:sz="4" w:space="0" w:color="auto"/>
            </w:tcBorders>
            <w:vAlign w:val="center"/>
          </w:tcPr>
          <w:p w14:paraId="42D686B8" w14:textId="77777777" w:rsidR="006C63D9" w:rsidRPr="00191F82" w:rsidRDefault="006C63D9" w:rsidP="00191F82">
            <w:pPr>
              <w:jc w:val="center"/>
              <w:rPr>
                <w:sz w:val="20"/>
                <w:szCs w:val="20"/>
              </w:rPr>
            </w:pPr>
            <w:r w:rsidRPr="00191F82">
              <w:rPr>
                <w:sz w:val="20"/>
                <w:szCs w:val="20"/>
              </w:rPr>
              <w:t>271,7</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AFB2147" w14:textId="77777777" w:rsidR="006C63D9" w:rsidRPr="00191F82" w:rsidRDefault="006C63D9" w:rsidP="00191F82">
            <w:pPr>
              <w:jc w:val="center"/>
              <w:rPr>
                <w:sz w:val="20"/>
                <w:szCs w:val="20"/>
              </w:rPr>
            </w:pPr>
            <w:r w:rsidRPr="00191F82">
              <w:rPr>
                <w:bCs/>
                <w:iCs/>
                <w:color w:val="000000"/>
                <w:sz w:val="20"/>
                <w:szCs w:val="20"/>
              </w:rPr>
              <w:t>-9,0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F3871DD" w14:textId="77777777" w:rsidR="006C63D9" w:rsidRPr="00191F82" w:rsidRDefault="006C63D9" w:rsidP="00191F82">
            <w:pPr>
              <w:jc w:val="center"/>
              <w:rPr>
                <w:i/>
                <w:sz w:val="20"/>
                <w:szCs w:val="20"/>
              </w:rPr>
            </w:pPr>
            <w:r w:rsidRPr="00191F82">
              <w:rPr>
                <w:bCs/>
                <w:i/>
                <w:iCs/>
                <w:color w:val="000000"/>
                <w:sz w:val="20"/>
                <w:szCs w:val="20"/>
              </w:rPr>
              <w:t>-3,2</w:t>
            </w:r>
          </w:p>
        </w:tc>
      </w:tr>
      <w:tr w:rsidR="00191F82" w:rsidRPr="00191F82" w14:paraId="26026FB8" w14:textId="77777777" w:rsidTr="00191F82">
        <w:trPr>
          <w:trHeight w:val="198"/>
        </w:trPr>
        <w:tc>
          <w:tcPr>
            <w:tcW w:w="1155" w:type="pct"/>
            <w:shd w:val="clear" w:color="auto" w:fill="auto"/>
            <w:vAlign w:val="center"/>
          </w:tcPr>
          <w:p w14:paraId="7E660ADC" w14:textId="77777777" w:rsidR="006C63D9" w:rsidRPr="00191F82" w:rsidRDefault="006C63D9" w:rsidP="00191F82">
            <w:pPr>
              <w:rPr>
                <w:sz w:val="20"/>
                <w:szCs w:val="20"/>
              </w:rPr>
            </w:pPr>
            <w:r w:rsidRPr="00191F82">
              <w:rPr>
                <w:sz w:val="20"/>
                <w:szCs w:val="20"/>
              </w:rPr>
              <w:t>- обеспечение проведения выборов и референдумов</w:t>
            </w:r>
          </w:p>
        </w:tc>
        <w:tc>
          <w:tcPr>
            <w:tcW w:w="694" w:type="pct"/>
            <w:vAlign w:val="center"/>
          </w:tcPr>
          <w:p w14:paraId="2BBB890B" w14:textId="77777777" w:rsidR="006C63D9" w:rsidRPr="00191F82" w:rsidRDefault="006C63D9" w:rsidP="00191F82">
            <w:pPr>
              <w:jc w:val="center"/>
              <w:rPr>
                <w:sz w:val="20"/>
                <w:szCs w:val="20"/>
              </w:rPr>
            </w:pPr>
            <w:r w:rsidRPr="00191F82">
              <w:rPr>
                <w:sz w:val="20"/>
                <w:szCs w:val="20"/>
              </w:rPr>
              <w:t>18,4</w:t>
            </w:r>
          </w:p>
        </w:tc>
        <w:tc>
          <w:tcPr>
            <w:tcW w:w="537" w:type="pct"/>
            <w:vAlign w:val="center"/>
          </w:tcPr>
          <w:p w14:paraId="54852CDB" w14:textId="77777777" w:rsidR="006C63D9" w:rsidRPr="00191F82" w:rsidRDefault="006C63D9" w:rsidP="00191F82">
            <w:pPr>
              <w:jc w:val="center"/>
              <w:rPr>
                <w:sz w:val="20"/>
                <w:szCs w:val="20"/>
              </w:rPr>
            </w:pPr>
            <w:r w:rsidRPr="00191F82">
              <w:rPr>
                <w:sz w:val="20"/>
                <w:szCs w:val="20"/>
              </w:rPr>
              <w:t>4,2</w:t>
            </w:r>
          </w:p>
        </w:tc>
        <w:tc>
          <w:tcPr>
            <w:tcW w:w="537" w:type="pct"/>
            <w:vAlign w:val="center"/>
          </w:tcPr>
          <w:p w14:paraId="1416C0CD" w14:textId="77777777" w:rsidR="006C63D9" w:rsidRPr="00191F82" w:rsidRDefault="006C63D9" w:rsidP="00191F82">
            <w:pPr>
              <w:jc w:val="center"/>
              <w:rPr>
                <w:sz w:val="20"/>
                <w:szCs w:val="20"/>
              </w:rPr>
            </w:pPr>
            <w:r w:rsidRPr="00191F82">
              <w:rPr>
                <w:sz w:val="20"/>
                <w:szCs w:val="20"/>
              </w:rPr>
              <w:t>0,7</w:t>
            </w:r>
          </w:p>
        </w:tc>
        <w:tc>
          <w:tcPr>
            <w:tcW w:w="538" w:type="pct"/>
            <w:vAlign w:val="center"/>
          </w:tcPr>
          <w:p w14:paraId="47EF39E3" w14:textId="77777777" w:rsidR="006C63D9" w:rsidRPr="00191F82" w:rsidRDefault="006C63D9" w:rsidP="00191F82">
            <w:pPr>
              <w:jc w:val="center"/>
              <w:rPr>
                <w:sz w:val="20"/>
                <w:szCs w:val="20"/>
              </w:rPr>
            </w:pPr>
            <w:r w:rsidRPr="00191F82">
              <w:rPr>
                <w:sz w:val="20"/>
                <w:szCs w:val="20"/>
              </w:rPr>
              <w:t>12,5</w:t>
            </w:r>
          </w:p>
        </w:tc>
        <w:tc>
          <w:tcPr>
            <w:tcW w:w="538" w:type="pct"/>
            <w:tcBorders>
              <w:right w:val="single" w:sz="4" w:space="0" w:color="auto"/>
            </w:tcBorders>
            <w:vAlign w:val="center"/>
          </w:tcPr>
          <w:p w14:paraId="3F8C82E5" w14:textId="77777777" w:rsidR="006C63D9" w:rsidRPr="00191F82" w:rsidRDefault="006C63D9" w:rsidP="00191F82">
            <w:pPr>
              <w:jc w:val="center"/>
              <w:rPr>
                <w:sz w:val="20"/>
                <w:szCs w:val="20"/>
              </w:rPr>
            </w:pPr>
            <w:r w:rsidRPr="00191F82">
              <w:rPr>
                <w:sz w:val="20"/>
                <w:szCs w:val="20"/>
              </w:rPr>
              <w:t>0,9</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0C866555" w14:textId="77777777" w:rsidR="006C63D9" w:rsidRPr="00191F82" w:rsidRDefault="006C63D9" w:rsidP="00191F82">
            <w:pPr>
              <w:jc w:val="center"/>
              <w:rPr>
                <w:sz w:val="20"/>
                <w:szCs w:val="20"/>
              </w:rPr>
            </w:pPr>
            <w:r w:rsidRPr="00191F82">
              <w:rPr>
                <w:bCs/>
                <w:iCs/>
                <w:color w:val="000000"/>
                <w:sz w:val="20"/>
                <w:szCs w:val="20"/>
              </w:rPr>
              <w:t>-17,5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AEA3510" w14:textId="77777777" w:rsidR="006C63D9" w:rsidRPr="00191F82" w:rsidRDefault="006C63D9" w:rsidP="00191F82">
            <w:pPr>
              <w:jc w:val="center"/>
              <w:rPr>
                <w:i/>
                <w:sz w:val="20"/>
                <w:szCs w:val="20"/>
              </w:rPr>
            </w:pPr>
            <w:r w:rsidRPr="00191F82">
              <w:rPr>
                <w:bCs/>
                <w:i/>
                <w:iCs/>
                <w:color w:val="000000"/>
                <w:sz w:val="20"/>
                <w:szCs w:val="20"/>
              </w:rPr>
              <w:t>(-) в 20 раз</w:t>
            </w:r>
          </w:p>
        </w:tc>
      </w:tr>
      <w:tr w:rsidR="00191F82" w:rsidRPr="00191F82" w14:paraId="5C8A27F5" w14:textId="77777777" w:rsidTr="00191F82">
        <w:trPr>
          <w:trHeight w:val="113"/>
        </w:trPr>
        <w:tc>
          <w:tcPr>
            <w:tcW w:w="1155" w:type="pct"/>
            <w:shd w:val="clear" w:color="auto" w:fill="auto"/>
            <w:vAlign w:val="center"/>
          </w:tcPr>
          <w:p w14:paraId="4684B591" w14:textId="77777777" w:rsidR="006C63D9" w:rsidRPr="00191F82" w:rsidRDefault="006C63D9" w:rsidP="00191F82">
            <w:pPr>
              <w:rPr>
                <w:sz w:val="20"/>
                <w:szCs w:val="20"/>
              </w:rPr>
            </w:pPr>
            <w:r w:rsidRPr="00191F82">
              <w:rPr>
                <w:sz w:val="20"/>
                <w:szCs w:val="20"/>
              </w:rPr>
              <w:t>- международные отношения и международное сотрудничество</w:t>
            </w:r>
          </w:p>
        </w:tc>
        <w:tc>
          <w:tcPr>
            <w:tcW w:w="694" w:type="pct"/>
            <w:vAlign w:val="center"/>
          </w:tcPr>
          <w:p w14:paraId="6C365FB4" w14:textId="77777777" w:rsidR="006C63D9" w:rsidRPr="00191F82" w:rsidRDefault="006C63D9" w:rsidP="00191F82">
            <w:pPr>
              <w:jc w:val="center"/>
              <w:rPr>
                <w:sz w:val="20"/>
                <w:szCs w:val="20"/>
              </w:rPr>
            </w:pPr>
            <w:r w:rsidRPr="00191F82">
              <w:rPr>
                <w:sz w:val="20"/>
                <w:szCs w:val="20"/>
              </w:rPr>
              <w:t>315,9</w:t>
            </w:r>
          </w:p>
        </w:tc>
        <w:tc>
          <w:tcPr>
            <w:tcW w:w="537" w:type="pct"/>
            <w:vAlign w:val="center"/>
          </w:tcPr>
          <w:p w14:paraId="7D026909" w14:textId="77777777" w:rsidR="006C63D9" w:rsidRPr="00191F82" w:rsidRDefault="006C63D9" w:rsidP="00191F82">
            <w:pPr>
              <w:jc w:val="center"/>
              <w:rPr>
                <w:sz w:val="20"/>
                <w:szCs w:val="20"/>
              </w:rPr>
            </w:pPr>
            <w:r w:rsidRPr="00191F82">
              <w:rPr>
                <w:sz w:val="20"/>
                <w:szCs w:val="20"/>
              </w:rPr>
              <w:t>294,6</w:t>
            </w:r>
          </w:p>
        </w:tc>
        <w:tc>
          <w:tcPr>
            <w:tcW w:w="537" w:type="pct"/>
            <w:vAlign w:val="center"/>
          </w:tcPr>
          <w:p w14:paraId="608466CB" w14:textId="77777777" w:rsidR="006C63D9" w:rsidRPr="00191F82" w:rsidRDefault="006C63D9" w:rsidP="00191F82">
            <w:pPr>
              <w:jc w:val="center"/>
              <w:rPr>
                <w:sz w:val="20"/>
                <w:szCs w:val="20"/>
              </w:rPr>
            </w:pPr>
            <w:r w:rsidRPr="00191F82">
              <w:rPr>
                <w:sz w:val="20"/>
                <w:szCs w:val="20"/>
              </w:rPr>
              <w:t>231,9</w:t>
            </w:r>
          </w:p>
        </w:tc>
        <w:tc>
          <w:tcPr>
            <w:tcW w:w="538" w:type="pct"/>
            <w:vAlign w:val="center"/>
          </w:tcPr>
          <w:p w14:paraId="52686292" w14:textId="77777777" w:rsidR="006C63D9" w:rsidRPr="00191F82" w:rsidRDefault="006C63D9" w:rsidP="00191F82">
            <w:pPr>
              <w:jc w:val="center"/>
              <w:rPr>
                <w:sz w:val="20"/>
                <w:szCs w:val="20"/>
              </w:rPr>
            </w:pPr>
            <w:r w:rsidRPr="00191F82">
              <w:rPr>
                <w:sz w:val="20"/>
                <w:szCs w:val="20"/>
              </w:rPr>
              <w:t>225,9</w:t>
            </w:r>
          </w:p>
        </w:tc>
        <w:tc>
          <w:tcPr>
            <w:tcW w:w="538" w:type="pct"/>
            <w:tcBorders>
              <w:right w:val="single" w:sz="4" w:space="0" w:color="auto"/>
            </w:tcBorders>
            <w:vAlign w:val="center"/>
          </w:tcPr>
          <w:p w14:paraId="099A594D" w14:textId="77777777" w:rsidR="006C63D9" w:rsidRPr="00191F82" w:rsidRDefault="006C63D9" w:rsidP="00191F82">
            <w:pPr>
              <w:jc w:val="center"/>
              <w:rPr>
                <w:sz w:val="20"/>
                <w:szCs w:val="20"/>
              </w:rPr>
            </w:pPr>
            <w:r w:rsidRPr="00191F82">
              <w:rPr>
                <w:sz w:val="20"/>
                <w:szCs w:val="20"/>
              </w:rPr>
              <w:t>228,0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0160A5C9" w14:textId="77777777" w:rsidR="006C63D9" w:rsidRPr="00191F82" w:rsidRDefault="006C63D9" w:rsidP="00191F82">
            <w:pPr>
              <w:jc w:val="center"/>
              <w:rPr>
                <w:sz w:val="20"/>
                <w:szCs w:val="20"/>
              </w:rPr>
            </w:pPr>
            <w:r w:rsidRPr="00191F82">
              <w:rPr>
                <w:bCs/>
                <w:iCs/>
                <w:color w:val="000000"/>
                <w:sz w:val="20"/>
                <w:szCs w:val="20"/>
              </w:rPr>
              <w:t>-87,9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3C4B615" w14:textId="77777777" w:rsidR="006C63D9" w:rsidRPr="00191F82" w:rsidRDefault="006C63D9" w:rsidP="00191F82">
            <w:pPr>
              <w:jc w:val="center"/>
              <w:rPr>
                <w:i/>
                <w:sz w:val="20"/>
                <w:szCs w:val="20"/>
              </w:rPr>
            </w:pPr>
            <w:r w:rsidRPr="00191F82">
              <w:rPr>
                <w:bCs/>
                <w:i/>
                <w:iCs/>
                <w:color w:val="000000"/>
                <w:sz w:val="20"/>
                <w:szCs w:val="20"/>
              </w:rPr>
              <w:t>-27,8</w:t>
            </w:r>
          </w:p>
        </w:tc>
      </w:tr>
      <w:tr w:rsidR="00191F82" w:rsidRPr="00191F82" w14:paraId="51A9047E" w14:textId="77777777" w:rsidTr="00191F82">
        <w:trPr>
          <w:trHeight w:val="198"/>
        </w:trPr>
        <w:tc>
          <w:tcPr>
            <w:tcW w:w="1155" w:type="pct"/>
            <w:shd w:val="clear" w:color="auto" w:fill="auto"/>
            <w:vAlign w:val="center"/>
          </w:tcPr>
          <w:p w14:paraId="3B2BCFC6" w14:textId="77777777" w:rsidR="006C63D9" w:rsidRPr="00191F82" w:rsidRDefault="006C63D9" w:rsidP="00191F82">
            <w:pPr>
              <w:rPr>
                <w:sz w:val="20"/>
                <w:szCs w:val="20"/>
              </w:rPr>
            </w:pPr>
            <w:r w:rsidRPr="00191F82">
              <w:rPr>
                <w:sz w:val="20"/>
                <w:szCs w:val="20"/>
              </w:rPr>
              <w:t>- государственный материальный резерв</w:t>
            </w:r>
          </w:p>
        </w:tc>
        <w:tc>
          <w:tcPr>
            <w:tcW w:w="694" w:type="pct"/>
            <w:vAlign w:val="center"/>
          </w:tcPr>
          <w:p w14:paraId="1ACEBCBE" w14:textId="77777777" w:rsidR="006C63D9" w:rsidRPr="00191F82" w:rsidRDefault="006C63D9" w:rsidP="00191F82">
            <w:pPr>
              <w:jc w:val="center"/>
              <w:rPr>
                <w:sz w:val="20"/>
                <w:szCs w:val="20"/>
              </w:rPr>
            </w:pPr>
            <w:r w:rsidRPr="00191F82">
              <w:rPr>
                <w:sz w:val="20"/>
                <w:szCs w:val="20"/>
              </w:rPr>
              <w:t>97,9</w:t>
            </w:r>
          </w:p>
        </w:tc>
        <w:tc>
          <w:tcPr>
            <w:tcW w:w="537" w:type="pct"/>
            <w:vAlign w:val="center"/>
          </w:tcPr>
          <w:p w14:paraId="082B8863" w14:textId="77777777" w:rsidR="006C63D9" w:rsidRPr="00191F82" w:rsidRDefault="006C63D9" w:rsidP="00191F82">
            <w:pPr>
              <w:jc w:val="center"/>
              <w:rPr>
                <w:sz w:val="20"/>
                <w:szCs w:val="20"/>
              </w:rPr>
            </w:pPr>
            <w:r w:rsidRPr="00191F82">
              <w:rPr>
                <w:sz w:val="20"/>
                <w:szCs w:val="20"/>
              </w:rPr>
              <w:t>96,2</w:t>
            </w:r>
          </w:p>
        </w:tc>
        <w:tc>
          <w:tcPr>
            <w:tcW w:w="537" w:type="pct"/>
            <w:vAlign w:val="center"/>
          </w:tcPr>
          <w:p w14:paraId="091BFCC2" w14:textId="77777777" w:rsidR="006C63D9" w:rsidRPr="00191F82" w:rsidRDefault="006C63D9" w:rsidP="00191F82">
            <w:pPr>
              <w:jc w:val="center"/>
              <w:rPr>
                <w:sz w:val="20"/>
                <w:szCs w:val="20"/>
              </w:rPr>
            </w:pPr>
            <w:r w:rsidRPr="00191F82">
              <w:rPr>
                <w:sz w:val="20"/>
                <w:szCs w:val="20"/>
              </w:rPr>
              <w:t>12,0</w:t>
            </w:r>
          </w:p>
        </w:tc>
        <w:tc>
          <w:tcPr>
            <w:tcW w:w="538" w:type="pct"/>
            <w:vAlign w:val="center"/>
          </w:tcPr>
          <w:p w14:paraId="11BC5A33" w14:textId="77777777" w:rsidR="006C63D9" w:rsidRPr="00191F82" w:rsidRDefault="006C63D9" w:rsidP="00191F82">
            <w:pPr>
              <w:jc w:val="center"/>
              <w:rPr>
                <w:sz w:val="20"/>
                <w:szCs w:val="20"/>
              </w:rPr>
            </w:pPr>
            <w:r w:rsidRPr="00191F82">
              <w:rPr>
                <w:sz w:val="20"/>
                <w:szCs w:val="20"/>
              </w:rPr>
              <w:t>12,0</w:t>
            </w:r>
          </w:p>
        </w:tc>
        <w:tc>
          <w:tcPr>
            <w:tcW w:w="538" w:type="pct"/>
            <w:tcBorders>
              <w:right w:val="single" w:sz="4" w:space="0" w:color="auto"/>
            </w:tcBorders>
            <w:vAlign w:val="center"/>
          </w:tcPr>
          <w:p w14:paraId="01DD0117" w14:textId="77777777" w:rsidR="006C63D9" w:rsidRPr="00191F82" w:rsidRDefault="006C63D9" w:rsidP="00191F82">
            <w:pPr>
              <w:jc w:val="center"/>
              <w:rPr>
                <w:sz w:val="20"/>
                <w:szCs w:val="20"/>
              </w:rPr>
            </w:pPr>
            <w:r w:rsidRPr="00191F82">
              <w:rPr>
                <w:sz w:val="20"/>
                <w:szCs w:val="20"/>
              </w:rPr>
              <w:t>12,3</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67F896E" w14:textId="77777777" w:rsidR="006C63D9" w:rsidRPr="00191F82" w:rsidRDefault="006C63D9" w:rsidP="00191F82">
            <w:pPr>
              <w:jc w:val="center"/>
              <w:rPr>
                <w:sz w:val="20"/>
                <w:szCs w:val="20"/>
              </w:rPr>
            </w:pPr>
            <w:r w:rsidRPr="00191F82">
              <w:rPr>
                <w:bCs/>
                <w:iCs/>
                <w:color w:val="000000"/>
                <w:sz w:val="20"/>
                <w:szCs w:val="20"/>
              </w:rPr>
              <w:t>-85,6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5C7EBAC" w14:textId="77777777" w:rsidR="006C63D9" w:rsidRPr="00191F82" w:rsidRDefault="006C63D9" w:rsidP="00191F82">
            <w:pPr>
              <w:jc w:val="center"/>
              <w:rPr>
                <w:i/>
                <w:sz w:val="20"/>
                <w:szCs w:val="20"/>
              </w:rPr>
            </w:pPr>
            <w:r w:rsidRPr="00191F82">
              <w:rPr>
                <w:bCs/>
                <w:i/>
                <w:iCs/>
                <w:color w:val="000000"/>
                <w:sz w:val="20"/>
                <w:szCs w:val="20"/>
              </w:rPr>
              <w:t>(-) в 7,9 раз</w:t>
            </w:r>
          </w:p>
        </w:tc>
      </w:tr>
      <w:tr w:rsidR="00191F82" w:rsidRPr="00191F82" w14:paraId="049D74F4" w14:textId="77777777" w:rsidTr="00191F82">
        <w:trPr>
          <w:trHeight w:val="198"/>
        </w:trPr>
        <w:tc>
          <w:tcPr>
            <w:tcW w:w="1155" w:type="pct"/>
            <w:shd w:val="clear" w:color="auto" w:fill="auto"/>
            <w:vAlign w:val="center"/>
          </w:tcPr>
          <w:p w14:paraId="5C1E3BE6" w14:textId="77777777" w:rsidR="006C63D9" w:rsidRPr="00191F82" w:rsidRDefault="006C63D9" w:rsidP="00191F82">
            <w:pPr>
              <w:rPr>
                <w:sz w:val="20"/>
                <w:szCs w:val="20"/>
              </w:rPr>
            </w:pPr>
            <w:r w:rsidRPr="00191F82">
              <w:rPr>
                <w:sz w:val="20"/>
                <w:szCs w:val="20"/>
              </w:rPr>
              <w:t>- фундаментальные исследования</w:t>
            </w:r>
          </w:p>
        </w:tc>
        <w:tc>
          <w:tcPr>
            <w:tcW w:w="694" w:type="pct"/>
            <w:vAlign w:val="center"/>
          </w:tcPr>
          <w:p w14:paraId="0EECD680" w14:textId="77777777" w:rsidR="006C63D9" w:rsidRPr="00191F82" w:rsidRDefault="006C63D9" w:rsidP="00191F82">
            <w:pPr>
              <w:jc w:val="center"/>
              <w:rPr>
                <w:sz w:val="20"/>
                <w:szCs w:val="20"/>
              </w:rPr>
            </w:pPr>
            <w:r w:rsidRPr="00191F82">
              <w:rPr>
                <w:sz w:val="20"/>
                <w:szCs w:val="20"/>
              </w:rPr>
              <w:t>149,5</w:t>
            </w:r>
          </w:p>
        </w:tc>
        <w:tc>
          <w:tcPr>
            <w:tcW w:w="537" w:type="pct"/>
            <w:vAlign w:val="center"/>
          </w:tcPr>
          <w:p w14:paraId="2EEDAE37" w14:textId="77777777" w:rsidR="006C63D9" w:rsidRPr="00191F82" w:rsidRDefault="006C63D9" w:rsidP="00191F82">
            <w:pPr>
              <w:jc w:val="center"/>
              <w:rPr>
                <w:sz w:val="20"/>
                <w:szCs w:val="20"/>
              </w:rPr>
            </w:pPr>
            <w:r w:rsidRPr="00191F82">
              <w:rPr>
                <w:sz w:val="20"/>
                <w:szCs w:val="20"/>
              </w:rPr>
              <w:t>186,5</w:t>
            </w:r>
          </w:p>
        </w:tc>
        <w:tc>
          <w:tcPr>
            <w:tcW w:w="537" w:type="pct"/>
            <w:vAlign w:val="center"/>
          </w:tcPr>
          <w:p w14:paraId="6F4132EB" w14:textId="77777777" w:rsidR="006C63D9" w:rsidRPr="00191F82" w:rsidRDefault="006C63D9" w:rsidP="00191F82">
            <w:pPr>
              <w:jc w:val="center"/>
              <w:rPr>
                <w:sz w:val="20"/>
                <w:szCs w:val="20"/>
              </w:rPr>
            </w:pPr>
            <w:r w:rsidRPr="00191F82">
              <w:rPr>
                <w:sz w:val="20"/>
                <w:szCs w:val="20"/>
              </w:rPr>
              <w:t>190,7</w:t>
            </w:r>
          </w:p>
        </w:tc>
        <w:tc>
          <w:tcPr>
            <w:tcW w:w="538" w:type="pct"/>
            <w:vAlign w:val="center"/>
          </w:tcPr>
          <w:p w14:paraId="334B5164" w14:textId="77777777" w:rsidR="006C63D9" w:rsidRPr="00191F82" w:rsidRDefault="006C63D9" w:rsidP="00191F82">
            <w:pPr>
              <w:jc w:val="center"/>
              <w:rPr>
                <w:sz w:val="20"/>
                <w:szCs w:val="20"/>
              </w:rPr>
            </w:pPr>
            <w:r w:rsidRPr="00191F82">
              <w:rPr>
                <w:sz w:val="20"/>
                <w:szCs w:val="20"/>
              </w:rPr>
              <w:t>216,3</w:t>
            </w:r>
          </w:p>
        </w:tc>
        <w:tc>
          <w:tcPr>
            <w:tcW w:w="538" w:type="pct"/>
            <w:tcBorders>
              <w:right w:val="single" w:sz="4" w:space="0" w:color="auto"/>
            </w:tcBorders>
            <w:vAlign w:val="center"/>
          </w:tcPr>
          <w:p w14:paraId="6B7E3215" w14:textId="77777777" w:rsidR="006C63D9" w:rsidRPr="00191F82" w:rsidRDefault="006C63D9" w:rsidP="00191F82">
            <w:pPr>
              <w:jc w:val="center"/>
              <w:rPr>
                <w:sz w:val="20"/>
                <w:szCs w:val="20"/>
              </w:rPr>
            </w:pPr>
            <w:r w:rsidRPr="00191F82">
              <w:rPr>
                <w:sz w:val="20"/>
                <w:szCs w:val="20"/>
              </w:rPr>
              <w:t>250,7</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35437C7" w14:textId="77777777" w:rsidR="006C63D9" w:rsidRPr="00191F82" w:rsidRDefault="006C63D9" w:rsidP="00191F82">
            <w:pPr>
              <w:jc w:val="center"/>
              <w:rPr>
                <w:sz w:val="20"/>
                <w:szCs w:val="20"/>
              </w:rPr>
            </w:pPr>
            <w:r w:rsidRPr="00191F82">
              <w:rPr>
                <w:bCs/>
                <w:iCs/>
                <w:color w:val="000000"/>
                <w:sz w:val="20"/>
                <w:szCs w:val="20"/>
              </w:rPr>
              <w:t>101,2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0ECB9B7" w14:textId="77777777" w:rsidR="006C63D9" w:rsidRPr="00191F82" w:rsidRDefault="006C63D9" w:rsidP="00191F82">
            <w:pPr>
              <w:jc w:val="center"/>
              <w:rPr>
                <w:i/>
                <w:sz w:val="20"/>
                <w:szCs w:val="20"/>
              </w:rPr>
            </w:pPr>
            <w:r w:rsidRPr="00191F82">
              <w:rPr>
                <w:bCs/>
                <w:i/>
                <w:iCs/>
                <w:color w:val="000000"/>
                <w:sz w:val="20"/>
                <w:szCs w:val="20"/>
              </w:rPr>
              <w:t>67,7</w:t>
            </w:r>
          </w:p>
        </w:tc>
      </w:tr>
      <w:tr w:rsidR="00191F82" w:rsidRPr="00191F82" w14:paraId="1447574F" w14:textId="77777777" w:rsidTr="00191F82">
        <w:trPr>
          <w:trHeight w:val="198"/>
        </w:trPr>
        <w:tc>
          <w:tcPr>
            <w:tcW w:w="1155" w:type="pct"/>
            <w:shd w:val="clear" w:color="auto" w:fill="auto"/>
            <w:vAlign w:val="center"/>
          </w:tcPr>
          <w:p w14:paraId="279C7575" w14:textId="77777777" w:rsidR="006C63D9" w:rsidRPr="00191F82" w:rsidRDefault="006C63D9" w:rsidP="00191F82">
            <w:pPr>
              <w:rPr>
                <w:sz w:val="20"/>
                <w:szCs w:val="20"/>
              </w:rPr>
            </w:pPr>
            <w:r w:rsidRPr="00191F82">
              <w:rPr>
                <w:sz w:val="20"/>
                <w:szCs w:val="20"/>
              </w:rPr>
              <w:t>- прикладные научные исследования</w:t>
            </w:r>
          </w:p>
        </w:tc>
        <w:tc>
          <w:tcPr>
            <w:tcW w:w="694" w:type="pct"/>
            <w:vAlign w:val="center"/>
          </w:tcPr>
          <w:p w14:paraId="3852C18D" w14:textId="77777777" w:rsidR="006C63D9" w:rsidRPr="00191F82" w:rsidRDefault="006C63D9" w:rsidP="00191F82">
            <w:pPr>
              <w:jc w:val="center"/>
              <w:rPr>
                <w:sz w:val="20"/>
                <w:szCs w:val="20"/>
              </w:rPr>
            </w:pPr>
            <w:r w:rsidRPr="00191F82">
              <w:rPr>
                <w:sz w:val="20"/>
                <w:szCs w:val="20"/>
              </w:rPr>
              <w:t>42,5</w:t>
            </w:r>
          </w:p>
        </w:tc>
        <w:tc>
          <w:tcPr>
            <w:tcW w:w="537" w:type="pct"/>
            <w:vAlign w:val="center"/>
          </w:tcPr>
          <w:p w14:paraId="59D812F7" w14:textId="77777777" w:rsidR="006C63D9" w:rsidRPr="00191F82" w:rsidRDefault="006C63D9" w:rsidP="00191F82">
            <w:pPr>
              <w:jc w:val="center"/>
              <w:rPr>
                <w:sz w:val="20"/>
                <w:szCs w:val="20"/>
              </w:rPr>
            </w:pPr>
            <w:r w:rsidRPr="00191F82">
              <w:rPr>
                <w:sz w:val="20"/>
                <w:szCs w:val="20"/>
              </w:rPr>
              <w:t>46,2</w:t>
            </w:r>
          </w:p>
        </w:tc>
        <w:tc>
          <w:tcPr>
            <w:tcW w:w="537" w:type="pct"/>
            <w:vAlign w:val="center"/>
          </w:tcPr>
          <w:p w14:paraId="515C7847" w14:textId="77777777" w:rsidR="006C63D9" w:rsidRPr="00191F82" w:rsidRDefault="006C63D9" w:rsidP="00191F82">
            <w:pPr>
              <w:jc w:val="center"/>
              <w:rPr>
                <w:sz w:val="20"/>
                <w:szCs w:val="20"/>
              </w:rPr>
            </w:pPr>
            <w:r w:rsidRPr="00191F82">
              <w:rPr>
                <w:sz w:val="20"/>
                <w:szCs w:val="20"/>
              </w:rPr>
              <w:t>27,6</w:t>
            </w:r>
          </w:p>
        </w:tc>
        <w:tc>
          <w:tcPr>
            <w:tcW w:w="538" w:type="pct"/>
            <w:vAlign w:val="center"/>
          </w:tcPr>
          <w:p w14:paraId="637F20DF" w14:textId="77777777" w:rsidR="006C63D9" w:rsidRPr="00191F82" w:rsidRDefault="006C63D9" w:rsidP="00191F82">
            <w:pPr>
              <w:jc w:val="center"/>
              <w:rPr>
                <w:sz w:val="20"/>
                <w:szCs w:val="20"/>
              </w:rPr>
            </w:pPr>
            <w:r w:rsidRPr="00191F82">
              <w:rPr>
                <w:sz w:val="20"/>
                <w:szCs w:val="20"/>
              </w:rPr>
              <w:t>28,1</w:t>
            </w:r>
          </w:p>
        </w:tc>
        <w:tc>
          <w:tcPr>
            <w:tcW w:w="538" w:type="pct"/>
            <w:tcBorders>
              <w:right w:val="single" w:sz="4" w:space="0" w:color="auto"/>
            </w:tcBorders>
            <w:vAlign w:val="center"/>
          </w:tcPr>
          <w:p w14:paraId="1F1CE620" w14:textId="77777777" w:rsidR="006C63D9" w:rsidRPr="00191F82" w:rsidRDefault="006C63D9" w:rsidP="00191F82">
            <w:pPr>
              <w:jc w:val="center"/>
              <w:rPr>
                <w:sz w:val="20"/>
                <w:szCs w:val="20"/>
              </w:rPr>
            </w:pPr>
            <w:r w:rsidRPr="00191F82">
              <w:rPr>
                <w:sz w:val="20"/>
                <w:szCs w:val="20"/>
              </w:rPr>
              <w:t>28,8</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2B52EAB" w14:textId="77777777" w:rsidR="006C63D9" w:rsidRPr="00191F82" w:rsidRDefault="006C63D9" w:rsidP="00191F82">
            <w:pPr>
              <w:jc w:val="center"/>
              <w:rPr>
                <w:sz w:val="20"/>
                <w:szCs w:val="20"/>
              </w:rPr>
            </w:pPr>
            <w:r w:rsidRPr="00191F82">
              <w:rPr>
                <w:bCs/>
                <w:iCs/>
                <w:color w:val="000000"/>
                <w:sz w:val="20"/>
                <w:szCs w:val="20"/>
              </w:rPr>
              <w:t>-13,7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BCC362D" w14:textId="77777777" w:rsidR="006C63D9" w:rsidRPr="00191F82" w:rsidRDefault="006C63D9" w:rsidP="00191F82">
            <w:pPr>
              <w:jc w:val="center"/>
              <w:rPr>
                <w:i/>
                <w:sz w:val="20"/>
                <w:szCs w:val="20"/>
              </w:rPr>
            </w:pPr>
            <w:r w:rsidRPr="00191F82">
              <w:rPr>
                <w:bCs/>
                <w:i/>
                <w:iCs/>
                <w:color w:val="000000"/>
                <w:sz w:val="20"/>
                <w:szCs w:val="20"/>
              </w:rPr>
              <w:t>(-) 32,2</w:t>
            </w:r>
          </w:p>
        </w:tc>
      </w:tr>
      <w:tr w:rsidR="00191F82" w:rsidRPr="00191F82" w14:paraId="06FC3A0C" w14:textId="77777777" w:rsidTr="00191F82">
        <w:trPr>
          <w:trHeight w:val="397"/>
        </w:trPr>
        <w:tc>
          <w:tcPr>
            <w:tcW w:w="1155" w:type="pct"/>
            <w:shd w:val="clear" w:color="auto" w:fill="auto"/>
            <w:vAlign w:val="center"/>
          </w:tcPr>
          <w:p w14:paraId="0FED2807" w14:textId="77777777" w:rsidR="006C63D9" w:rsidRPr="00191F82" w:rsidRDefault="006C63D9" w:rsidP="00191F82">
            <w:pPr>
              <w:rPr>
                <w:sz w:val="20"/>
                <w:szCs w:val="20"/>
              </w:rPr>
            </w:pPr>
            <w:r w:rsidRPr="00191F82">
              <w:rPr>
                <w:sz w:val="20"/>
                <w:szCs w:val="20"/>
              </w:rPr>
              <w:t>- другие общегосударственные вопросы</w:t>
            </w:r>
          </w:p>
        </w:tc>
        <w:tc>
          <w:tcPr>
            <w:tcW w:w="694" w:type="pct"/>
            <w:vAlign w:val="center"/>
          </w:tcPr>
          <w:p w14:paraId="18253C1C" w14:textId="77777777" w:rsidR="006C63D9" w:rsidRPr="00191F82" w:rsidRDefault="006C63D9" w:rsidP="00191F82">
            <w:pPr>
              <w:jc w:val="center"/>
              <w:rPr>
                <w:sz w:val="20"/>
                <w:szCs w:val="20"/>
              </w:rPr>
            </w:pPr>
            <w:r w:rsidRPr="00191F82">
              <w:rPr>
                <w:sz w:val="20"/>
                <w:szCs w:val="20"/>
              </w:rPr>
              <w:t>130,6</w:t>
            </w:r>
          </w:p>
        </w:tc>
        <w:tc>
          <w:tcPr>
            <w:tcW w:w="537" w:type="pct"/>
            <w:vAlign w:val="center"/>
          </w:tcPr>
          <w:p w14:paraId="677FAE0D" w14:textId="77777777" w:rsidR="006C63D9" w:rsidRPr="00191F82" w:rsidRDefault="006C63D9" w:rsidP="00191F82">
            <w:pPr>
              <w:jc w:val="center"/>
              <w:rPr>
                <w:sz w:val="20"/>
                <w:szCs w:val="20"/>
              </w:rPr>
            </w:pPr>
            <w:r w:rsidRPr="00191F82">
              <w:rPr>
                <w:sz w:val="20"/>
                <w:szCs w:val="20"/>
              </w:rPr>
              <w:t>210,1</w:t>
            </w:r>
          </w:p>
        </w:tc>
        <w:tc>
          <w:tcPr>
            <w:tcW w:w="537" w:type="pct"/>
            <w:vAlign w:val="center"/>
          </w:tcPr>
          <w:p w14:paraId="28450530" w14:textId="77777777" w:rsidR="006C63D9" w:rsidRPr="00191F82" w:rsidRDefault="006C63D9" w:rsidP="00191F82">
            <w:pPr>
              <w:jc w:val="center"/>
              <w:rPr>
                <w:sz w:val="20"/>
                <w:szCs w:val="20"/>
              </w:rPr>
            </w:pPr>
            <w:r w:rsidRPr="00191F82">
              <w:rPr>
                <w:sz w:val="20"/>
                <w:szCs w:val="20"/>
              </w:rPr>
              <w:t>458,5</w:t>
            </w:r>
          </w:p>
        </w:tc>
        <w:tc>
          <w:tcPr>
            <w:tcW w:w="538" w:type="pct"/>
            <w:vAlign w:val="center"/>
          </w:tcPr>
          <w:p w14:paraId="7AE4BB74" w14:textId="77777777" w:rsidR="006C63D9" w:rsidRPr="00191F82" w:rsidRDefault="006C63D9" w:rsidP="00191F82">
            <w:pPr>
              <w:jc w:val="center"/>
              <w:rPr>
                <w:sz w:val="20"/>
                <w:szCs w:val="20"/>
              </w:rPr>
            </w:pPr>
            <w:r w:rsidRPr="00191F82">
              <w:rPr>
                <w:sz w:val="20"/>
                <w:szCs w:val="20"/>
              </w:rPr>
              <w:t>502,7</w:t>
            </w:r>
          </w:p>
        </w:tc>
        <w:tc>
          <w:tcPr>
            <w:tcW w:w="538" w:type="pct"/>
            <w:tcBorders>
              <w:right w:val="single" w:sz="4" w:space="0" w:color="auto"/>
            </w:tcBorders>
            <w:vAlign w:val="center"/>
          </w:tcPr>
          <w:p w14:paraId="33F85A1C" w14:textId="77777777" w:rsidR="006C63D9" w:rsidRPr="00191F82" w:rsidRDefault="006C63D9" w:rsidP="00191F82">
            <w:pPr>
              <w:jc w:val="center"/>
              <w:rPr>
                <w:sz w:val="20"/>
                <w:szCs w:val="20"/>
              </w:rPr>
            </w:pPr>
            <w:r w:rsidRPr="00191F82">
              <w:rPr>
                <w:sz w:val="20"/>
                <w:szCs w:val="20"/>
              </w:rPr>
              <w:t>517,0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9A5BF82" w14:textId="77777777" w:rsidR="006C63D9" w:rsidRPr="00191F82" w:rsidRDefault="006C63D9" w:rsidP="00191F82">
            <w:pPr>
              <w:jc w:val="center"/>
              <w:rPr>
                <w:sz w:val="20"/>
                <w:szCs w:val="20"/>
              </w:rPr>
            </w:pPr>
            <w:r w:rsidRPr="00191F82">
              <w:rPr>
                <w:bCs/>
                <w:iCs/>
                <w:color w:val="000000"/>
                <w:sz w:val="20"/>
                <w:szCs w:val="20"/>
              </w:rPr>
              <w:t>386,4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6B0C82D" w14:textId="77777777" w:rsidR="006C63D9" w:rsidRPr="00191F82" w:rsidRDefault="006C63D9" w:rsidP="00191F82">
            <w:pPr>
              <w:jc w:val="center"/>
              <w:rPr>
                <w:i/>
                <w:sz w:val="20"/>
                <w:szCs w:val="20"/>
              </w:rPr>
            </w:pPr>
            <w:r w:rsidRPr="00191F82">
              <w:rPr>
                <w:bCs/>
                <w:i/>
                <w:iCs/>
                <w:color w:val="000000"/>
                <w:sz w:val="20"/>
                <w:szCs w:val="20"/>
              </w:rPr>
              <w:t>в 3,9 раз</w:t>
            </w:r>
          </w:p>
        </w:tc>
      </w:tr>
    </w:tbl>
    <w:p w14:paraId="154B8DB8" w14:textId="77777777" w:rsidR="006C63D9" w:rsidRPr="00B209D0" w:rsidRDefault="006C63D9" w:rsidP="006C63D9">
      <w:pPr>
        <w:keepLines/>
        <w:spacing w:after="120"/>
        <w:ind w:firstLine="708"/>
        <w:jc w:val="both"/>
        <w:rPr>
          <w:rFonts w:eastAsia="Calibri"/>
          <w:sz w:val="20"/>
          <w:lang w:eastAsia="en-US"/>
        </w:rPr>
      </w:pPr>
      <w:r w:rsidRPr="00B209D0">
        <w:rPr>
          <w:i/>
          <w:sz w:val="20"/>
        </w:rPr>
        <w:t>Источник:</w:t>
      </w:r>
      <w:r w:rsidRPr="00B209D0">
        <w:rPr>
          <w:sz w:val="20"/>
        </w:rPr>
        <w:t xml:space="preserve"> Пояснительная записка к проекту федерального закона «О федеральном бюджете на 20</w:t>
      </w:r>
      <w:r>
        <w:rPr>
          <w:sz w:val="20"/>
        </w:rPr>
        <w:t>20</w:t>
      </w:r>
      <w:r w:rsidRPr="00B209D0">
        <w:rPr>
          <w:sz w:val="20"/>
        </w:rPr>
        <w:t xml:space="preserve"> год и на плановый период 202</w:t>
      </w:r>
      <w:r>
        <w:rPr>
          <w:sz w:val="20"/>
        </w:rPr>
        <w:t>1</w:t>
      </w:r>
      <w:r w:rsidRPr="00B209D0">
        <w:rPr>
          <w:sz w:val="20"/>
        </w:rPr>
        <w:t xml:space="preserve"> и 202</w:t>
      </w:r>
      <w:r>
        <w:rPr>
          <w:sz w:val="20"/>
        </w:rPr>
        <w:t>2</w:t>
      </w:r>
      <w:r w:rsidRPr="00B209D0">
        <w:rPr>
          <w:sz w:val="20"/>
        </w:rPr>
        <w:t xml:space="preserve"> годов», Федеральное Казначейство, расчеты авторов.</w:t>
      </w:r>
    </w:p>
    <w:p w14:paraId="0E887788" w14:textId="77777777" w:rsidR="006C63D9" w:rsidRDefault="006C63D9" w:rsidP="006C63D9">
      <w:pPr>
        <w:spacing w:after="60"/>
        <w:ind w:firstLine="709"/>
        <w:jc w:val="both"/>
      </w:pPr>
      <w:r>
        <w:t>В разрезе подразделов планируется рост расходов в 2022 г. относительно 2018 г. по следующим статьям:</w:t>
      </w:r>
    </w:p>
    <w:p w14:paraId="245E4BEA" w14:textId="257787BE" w:rsidR="006C63D9" w:rsidRDefault="006C63D9" w:rsidP="001173C1">
      <w:pPr>
        <w:pStyle w:val="afc"/>
        <w:numPr>
          <w:ilvl w:val="0"/>
          <w:numId w:val="11"/>
        </w:numPr>
        <w:spacing w:before="0" w:after="60"/>
        <w:ind w:left="1066" w:hanging="357"/>
      </w:pPr>
      <w:r>
        <w:t>функционирование Президент</w:t>
      </w:r>
      <w:r w:rsidR="00B85CB8">
        <w:t>а РФ на 2,9 млрд руб. и на 13,1</w:t>
      </w:r>
      <w:r>
        <w:t>% в номинальном выражении;</w:t>
      </w:r>
    </w:p>
    <w:p w14:paraId="509309A1" w14:textId="1F4EF33D" w:rsidR="006C63D9" w:rsidRDefault="006C63D9" w:rsidP="001173C1">
      <w:pPr>
        <w:pStyle w:val="afc"/>
        <w:numPr>
          <w:ilvl w:val="0"/>
          <w:numId w:val="11"/>
        </w:numPr>
        <w:spacing w:before="0" w:after="60"/>
        <w:ind w:left="1066" w:hanging="357"/>
      </w:pPr>
      <w:r w:rsidRPr="000442F8">
        <w:t>функционирование законодательных органов гос</w:t>
      </w:r>
      <w:r>
        <w:t xml:space="preserve">ударственной </w:t>
      </w:r>
      <w:r w:rsidRPr="000442F8">
        <w:t>власти</w:t>
      </w:r>
      <w:r>
        <w:t xml:space="preserve"> на 4,4</w:t>
      </w:r>
      <w:r w:rsidRPr="000442F8">
        <w:t xml:space="preserve"> млрд руб. и на </w:t>
      </w:r>
      <w:r>
        <w:t>29,9</w:t>
      </w:r>
      <w:r w:rsidRPr="000442F8">
        <w:t>% в номинальном выражении;</w:t>
      </w:r>
    </w:p>
    <w:p w14:paraId="33E5331D" w14:textId="114084FA" w:rsidR="006C63D9" w:rsidRDefault="006C63D9" w:rsidP="001173C1">
      <w:pPr>
        <w:pStyle w:val="afc"/>
        <w:numPr>
          <w:ilvl w:val="0"/>
          <w:numId w:val="11"/>
        </w:numPr>
        <w:spacing w:before="0" w:after="60"/>
        <w:ind w:left="1066" w:hanging="357"/>
      </w:pPr>
      <w:r w:rsidRPr="000442F8">
        <w:t>функционирование Правительства РФ</w:t>
      </w:r>
      <w:r w:rsidRPr="00240C3A">
        <w:t xml:space="preserve"> </w:t>
      </w:r>
      <w:r>
        <w:t>на 4,1</w:t>
      </w:r>
      <w:r w:rsidRPr="00240C3A">
        <w:t xml:space="preserve"> млрд руб. и на </w:t>
      </w:r>
      <w:r>
        <w:t>61,1</w:t>
      </w:r>
      <w:r w:rsidRPr="00240C3A">
        <w:t>% в номинальном выражении;</w:t>
      </w:r>
    </w:p>
    <w:p w14:paraId="7AE6C044" w14:textId="0AE6FCC9" w:rsidR="006C63D9" w:rsidRDefault="006C63D9" w:rsidP="001173C1">
      <w:pPr>
        <w:pStyle w:val="afc"/>
        <w:numPr>
          <w:ilvl w:val="0"/>
          <w:numId w:val="11"/>
        </w:numPr>
        <w:spacing w:before="0" w:after="60"/>
        <w:ind w:left="1066" w:hanging="357"/>
      </w:pPr>
      <w:r w:rsidRPr="00240C3A">
        <w:t xml:space="preserve">судебная система на </w:t>
      </w:r>
      <w:r>
        <w:t>15,8</w:t>
      </w:r>
      <w:r w:rsidRPr="00240C3A">
        <w:t xml:space="preserve"> млрд руб. и на</w:t>
      </w:r>
      <w:r>
        <w:t xml:space="preserve"> 8,9</w:t>
      </w:r>
      <w:r w:rsidRPr="00240C3A">
        <w:t>% в номинальном выражении;</w:t>
      </w:r>
    </w:p>
    <w:p w14:paraId="016ADDA7" w14:textId="10F2235A" w:rsidR="006C63D9" w:rsidRDefault="006C63D9" w:rsidP="001173C1">
      <w:pPr>
        <w:pStyle w:val="afc"/>
        <w:numPr>
          <w:ilvl w:val="0"/>
          <w:numId w:val="11"/>
        </w:numPr>
        <w:spacing w:before="0" w:after="60"/>
        <w:ind w:left="1066" w:hanging="357"/>
      </w:pPr>
      <w:r w:rsidRPr="00516BCA">
        <w:t>фундаментальные исследован</w:t>
      </w:r>
      <w:r w:rsidR="00B85CB8">
        <w:t>ия на 101,2 млрд руб. и на 67,7</w:t>
      </w:r>
      <w:r w:rsidRPr="00516BCA">
        <w:t>% в номинальном выражении;</w:t>
      </w:r>
    </w:p>
    <w:p w14:paraId="7BC60756" w14:textId="214C4FE5" w:rsidR="006C63D9" w:rsidRDefault="006C63D9" w:rsidP="001173C1">
      <w:pPr>
        <w:pStyle w:val="afc"/>
        <w:numPr>
          <w:ilvl w:val="0"/>
          <w:numId w:val="11"/>
        </w:numPr>
        <w:spacing w:before="0" w:after="60"/>
        <w:ind w:left="1066" w:hanging="357"/>
      </w:pPr>
      <w:r w:rsidRPr="00903D82">
        <w:t xml:space="preserve">другие общегосударственные вопросы на </w:t>
      </w:r>
      <w:r>
        <w:t>386,4</w:t>
      </w:r>
      <w:r w:rsidRPr="00903D82">
        <w:t xml:space="preserve"> млрд руб. и </w:t>
      </w:r>
      <w:r>
        <w:t xml:space="preserve">в 3,9 раза. </w:t>
      </w:r>
    </w:p>
    <w:p w14:paraId="77146CDE" w14:textId="0BD84E32" w:rsidR="006C63D9" w:rsidRDefault="006C63D9" w:rsidP="006C63D9">
      <w:pPr>
        <w:spacing w:after="60"/>
        <w:ind w:firstLine="709"/>
        <w:jc w:val="both"/>
      </w:pPr>
      <w:r>
        <w:t>Сокращение расходов федерального бюджета в 2022 г. относительно 2018 г. планируется следующим статьям:</w:t>
      </w:r>
    </w:p>
    <w:p w14:paraId="65A18B57" w14:textId="2FE695AB" w:rsidR="006C63D9" w:rsidRDefault="006C63D9" w:rsidP="001173C1">
      <w:pPr>
        <w:pStyle w:val="afc"/>
        <w:numPr>
          <w:ilvl w:val="0"/>
          <w:numId w:val="12"/>
        </w:numPr>
        <w:spacing w:before="0" w:after="60"/>
        <w:ind w:left="1066" w:hanging="357"/>
      </w:pPr>
      <w:r w:rsidRPr="00DF258E">
        <w:t>обеспечение деятельности финансовых, налоговых и таможенных органов и органов фи</w:t>
      </w:r>
      <w:r>
        <w:t xml:space="preserve">н. </w:t>
      </w:r>
      <w:r w:rsidRPr="00DF258E">
        <w:t>надзора</w:t>
      </w:r>
      <w:r w:rsidR="00B85CB8">
        <w:t>» на 9,0 млрд руб. и на 3,2</w:t>
      </w:r>
      <w:r>
        <w:t>% в номинальном выражении;</w:t>
      </w:r>
    </w:p>
    <w:p w14:paraId="016B6AD7" w14:textId="48CB2289" w:rsidR="006C63D9" w:rsidRDefault="006C63D9" w:rsidP="001173C1">
      <w:pPr>
        <w:pStyle w:val="afc"/>
        <w:numPr>
          <w:ilvl w:val="0"/>
          <w:numId w:val="12"/>
        </w:numPr>
        <w:spacing w:before="0" w:after="60"/>
        <w:ind w:left="1066" w:hanging="357"/>
      </w:pPr>
      <w:r w:rsidRPr="00903D82">
        <w:t>прикладные научные исследования</w:t>
      </w:r>
      <w:r>
        <w:t xml:space="preserve"> на 13,7 </w:t>
      </w:r>
      <w:r w:rsidRPr="00903D82">
        <w:t>млрд руб. и на 3</w:t>
      </w:r>
      <w:r>
        <w:t>2</w:t>
      </w:r>
      <w:r w:rsidR="00B85CB8">
        <w:t>,2</w:t>
      </w:r>
      <w:r w:rsidRPr="00903D82">
        <w:t>% в номинальном выражении</w:t>
      </w:r>
      <w:r>
        <w:t xml:space="preserve">. </w:t>
      </w:r>
    </w:p>
    <w:p w14:paraId="10EE729B" w14:textId="677EAB84" w:rsidR="006C63D9" w:rsidRDefault="006C63D9" w:rsidP="006C63D9">
      <w:pPr>
        <w:spacing w:after="60"/>
        <w:ind w:firstLine="709"/>
        <w:jc w:val="both"/>
      </w:pPr>
      <w:r>
        <w:t>Запланированное сокращение расходов по статям «</w:t>
      </w:r>
      <w:r w:rsidRPr="007E7FE4">
        <w:t>международные отношения и международное сотрудничество</w:t>
      </w:r>
      <w:r>
        <w:t>»</w:t>
      </w:r>
      <w:r w:rsidRPr="007E7FE4">
        <w:t xml:space="preserve"> на 87,9</w:t>
      </w:r>
      <w:r>
        <w:t xml:space="preserve"> млрд руб. и на </w:t>
      </w:r>
      <w:r w:rsidRPr="007E7FE4">
        <w:t>2</w:t>
      </w:r>
      <w:r>
        <w:t>7,8</w:t>
      </w:r>
      <w:r w:rsidRPr="007E7FE4">
        <w:t>% в номинальном выражении</w:t>
      </w:r>
      <w:r>
        <w:t xml:space="preserve"> и «</w:t>
      </w:r>
      <w:r w:rsidRPr="007E7FE4">
        <w:t>государственный материальный резерв</w:t>
      </w:r>
      <w:r>
        <w:t>» на 85,6 млрд руб. или в 7,9 раз, учитывается только по открытым статьям расходов. На проведение референдумов и выборов запланированы расходы в 2020 г. и в 2022 г. в объеме 0,7 и 0,9 млрд руб. соответственно и увеличение объемов бюджетных ассигновани</w:t>
      </w:r>
      <w:r w:rsidR="005022EF">
        <w:t>й</w:t>
      </w:r>
      <w:r>
        <w:t xml:space="preserve"> до 12,5 млрд руб. в 2021 г. на проведение </w:t>
      </w:r>
      <w:r w:rsidR="00B85CB8">
        <w:t>выборов в Государственную Думу.</w:t>
      </w:r>
    </w:p>
    <w:p w14:paraId="26AF5624" w14:textId="77777777" w:rsidR="006C63D9" w:rsidRDefault="006C63D9" w:rsidP="006C63D9">
      <w:pPr>
        <w:spacing w:after="60"/>
        <w:ind w:firstLine="709"/>
        <w:jc w:val="both"/>
      </w:pPr>
      <w:r>
        <w:t>По разделу «Общегосударственные вопросы» планируется реализация следующих федеральных проектов с общим объемом бюджетных средств в 2020-2022 гг.:</w:t>
      </w:r>
    </w:p>
    <w:p w14:paraId="2F885A0A" w14:textId="68A3081B" w:rsidR="006C63D9" w:rsidRDefault="006C63D9" w:rsidP="001173C1">
      <w:pPr>
        <w:pStyle w:val="afc"/>
        <w:numPr>
          <w:ilvl w:val="0"/>
          <w:numId w:val="13"/>
        </w:numPr>
        <w:spacing w:before="0" w:after="60"/>
        <w:ind w:left="1066" w:hanging="357"/>
      </w:pPr>
      <w:r>
        <w:t>ФП «Цифровое государственное управление» (2,0 млрд руб.);</w:t>
      </w:r>
    </w:p>
    <w:p w14:paraId="1CF3013F" w14:textId="517AD344" w:rsidR="006C63D9" w:rsidRDefault="006C63D9" w:rsidP="001173C1">
      <w:pPr>
        <w:pStyle w:val="afc"/>
        <w:numPr>
          <w:ilvl w:val="0"/>
          <w:numId w:val="13"/>
        </w:numPr>
        <w:spacing w:before="0" w:after="60"/>
        <w:ind w:left="1066" w:hanging="357"/>
      </w:pPr>
      <w:r>
        <w:t>ФП «Цифровые технологии» (0,4 млрд руб.);</w:t>
      </w:r>
    </w:p>
    <w:p w14:paraId="31839448" w14:textId="7007C146" w:rsidR="006C63D9" w:rsidRDefault="006C63D9" w:rsidP="001173C1">
      <w:pPr>
        <w:pStyle w:val="afc"/>
        <w:numPr>
          <w:ilvl w:val="0"/>
          <w:numId w:val="13"/>
        </w:numPr>
        <w:spacing w:before="0" w:after="60"/>
        <w:ind w:left="1066" w:hanging="357"/>
      </w:pPr>
      <w:r>
        <w:t>ФП «Улучшение условий ведения предпринимательской деятельности» (1,1 млрд руб.);</w:t>
      </w:r>
    </w:p>
    <w:p w14:paraId="1FDC6DCE" w14:textId="748E9802" w:rsidR="006C63D9" w:rsidRDefault="006C63D9" w:rsidP="001173C1">
      <w:pPr>
        <w:pStyle w:val="afc"/>
        <w:numPr>
          <w:ilvl w:val="0"/>
          <w:numId w:val="13"/>
        </w:numPr>
        <w:spacing w:before="0" w:after="60"/>
        <w:ind w:left="1066" w:hanging="357"/>
      </w:pPr>
      <w:r>
        <w:t>ФП «Акселерация субъектов малого и среднего предпринимательства» (0,2 млрд руб.);</w:t>
      </w:r>
    </w:p>
    <w:p w14:paraId="666D3949" w14:textId="1D6A6F0D" w:rsidR="006C63D9" w:rsidRDefault="006C63D9" w:rsidP="001173C1">
      <w:pPr>
        <w:pStyle w:val="afc"/>
        <w:numPr>
          <w:ilvl w:val="0"/>
          <w:numId w:val="13"/>
        </w:numPr>
        <w:spacing w:before="0" w:after="60"/>
        <w:ind w:left="1066" w:hanging="357"/>
      </w:pPr>
      <w:r>
        <w:t>ФП «Развитие кадрового потенциала в сфере исследований и разработок» (61,8 млрд руб.);</w:t>
      </w:r>
    </w:p>
    <w:p w14:paraId="073B859E" w14:textId="173315F9" w:rsidR="006C63D9" w:rsidRDefault="006C63D9" w:rsidP="001173C1">
      <w:pPr>
        <w:pStyle w:val="afc"/>
        <w:numPr>
          <w:ilvl w:val="0"/>
          <w:numId w:val="13"/>
        </w:numPr>
        <w:spacing w:before="0" w:after="60"/>
        <w:ind w:left="1066" w:hanging="357"/>
      </w:pPr>
      <w:r>
        <w:t>ФП «Развитие научной и научно-производственной кооперации» (17,9 млрд руб.);</w:t>
      </w:r>
    </w:p>
    <w:p w14:paraId="1181C356" w14:textId="1DDEB98A" w:rsidR="006C63D9" w:rsidRDefault="006C63D9" w:rsidP="001173C1">
      <w:pPr>
        <w:pStyle w:val="afc"/>
        <w:numPr>
          <w:ilvl w:val="0"/>
          <w:numId w:val="13"/>
        </w:numPr>
        <w:spacing w:before="0" w:after="60"/>
        <w:ind w:left="1066" w:hanging="357"/>
      </w:pPr>
      <w:r w:rsidRPr="0039225F">
        <w:t>ФП «Информационная инфраструктура»</w:t>
      </w:r>
      <w:r>
        <w:t xml:space="preserve"> (1,3 млрд руб.);</w:t>
      </w:r>
    </w:p>
    <w:p w14:paraId="3A2F71EA" w14:textId="0480B2EF" w:rsidR="006C63D9" w:rsidRDefault="006C63D9" w:rsidP="001173C1">
      <w:pPr>
        <w:pStyle w:val="afc"/>
        <w:numPr>
          <w:ilvl w:val="0"/>
          <w:numId w:val="13"/>
        </w:numPr>
        <w:spacing w:before="0" w:after="60"/>
        <w:ind w:left="1066" w:hanging="357"/>
      </w:pPr>
      <w:r w:rsidRPr="00903D82">
        <w:t>ФП «Развитие передовой инфраструктуры для проведения исследований и разработок в Российской Федерации»</w:t>
      </w:r>
      <w:r>
        <w:t xml:space="preserve"> (12.5 млрд руб.);</w:t>
      </w:r>
    </w:p>
    <w:p w14:paraId="4931F646" w14:textId="585D3F75" w:rsidR="006C63D9" w:rsidRDefault="006C63D9" w:rsidP="001173C1">
      <w:pPr>
        <w:pStyle w:val="afc"/>
        <w:numPr>
          <w:ilvl w:val="0"/>
          <w:numId w:val="13"/>
        </w:numPr>
        <w:spacing w:before="0" w:after="60"/>
        <w:ind w:left="1066" w:hanging="357"/>
      </w:pPr>
      <w:r w:rsidRPr="00516BCA">
        <w:t>ФП «Старшее поколение»</w:t>
      </w:r>
      <w:r>
        <w:t xml:space="preserve"> (0,9 млрд руб.). </w:t>
      </w:r>
    </w:p>
    <w:p w14:paraId="1CC1B439" w14:textId="0A212246" w:rsidR="006C63D9" w:rsidRDefault="006C63D9" w:rsidP="006C63D9">
      <w:pPr>
        <w:spacing w:after="60"/>
        <w:ind w:firstLine="709"/>
        <w:jc w:val="both"/>
      </w:pPr>
      <w:r>
        <w:t>В целом, динамика и структура плановых расходов по разделу «Общегосударст</w:t>
      </w:r>
      <w:r w:rsidR="00B85CB8">
        <w:t>венные вопросы» в 2020-2022 гг. соответствую</w:t>
      </w:r>
      <w:r>
        <w:t xml:space="preserve">т задаче перераспределения бюджетных </w:t>
      </w:r>
      <w:r w:rsidR="005022EF">
        <w:t xml:space="preserve">ассигнований </w:t>
      </w:r>
      <w:r>
        <w:t xml:space="preserve">для обеспечения реализации национальных проектов в рамках налагаемых бюджетных ограничений. </w:t>
      </w:r>
    </w:p>
    <w:p w14:paraId="7C582977" w14:textId="77777777" w:rsidR="0098464F" w:rsidRPr="008E6B24" w:rsidRDefault="0098464F" w:rsidP="00040466">
      <w:pPr>
        <w:spacing w:after="60"/>
        <w:ind w:firstLine="709"/>
        <w:jc w:val="both"/>
      </w:pPr>
    </w:p>
    <w:p w14:paraId="45AA611F" w14:textId="4069012E" w:rsidR="0012375A" w:rsidRDefault="00995E45" w:rsidP="00221D6D">
      <w:pPr>
        <w:keepNext/>
        <w:spacing w:before="60" w:after="60"/>
        <w:jc w:val="center"/>
        <w:outlineLvl w:val="2"/>
        <w:rPr>
          <w:b/>
          <w:szCs w:val="20"/>
        </w:rPr>
      </w:pPr>
      <w:bookmarkStart w:id="29" w:name="_Toc465966605"/>
      <w:bookmarkStart w:id="30" w:name="_Toc21436749"/>
      <w:r w:rsidRPr="00221D6D">
        <w:rPr>
          <w:b/>
          <w:szCs w:val="20"/>
        </w:rPr>
        <w:t>Расходы на национальную оборону и правоохранительную деятельность</w:t>
      </w:r>
      <w:bookmarkEnd w:id="29"/>
      <w:bookmarkEnd w:id="30"/>
    </w:p>
    <w:p w14:paraId="2F38ACAE" w14:textId="16C89125" w:rsidR="00221D6D" w:rsidRDefault="00221D6D" w:rsidP="00221D6D">
      <w:pPr>
        <w:spacing w:after="60"/>
        <w:ind w:firstLine="709"/>
        <w:jc w:val="both"/>
        <w:rPr>
          <w:szCs w:val="20"/>
        </w:rPr>
      </w:pPr>
      <w:r w:rsidRPr="00BC09BA">
        <w:rPr>
          <w:szCs w:val="20"/>
        </w:rPr>
        <w:t>По разделу «Национальная оборона» классификации расходов по данным пояснительной записки (с. 377 и приложение № 9) на 2020 г. предложено ассигновать 3100,8 млрд</w:t>
      </w:r>
      <w:r>
        <w:rPr>
          <w:szCs w:val="20"/>
        </w:rPr>
        <w:t xml:space="preserve"> </w:t>
      </w:r>
      <w:r w:rsidRPr="00BC09BA">
        <w:rPr>
          <w:szCs w:val="20"/>
        </w:rPr>
        <w:t>руб. (15,9% расходов федерального бюджета или 2,7% ВВП), что в номинальном выражении на 174,6 млрд руб. (или 6,0%) больше ассигнований текущего года в соответствии с федеральным законом № 459-ФЗ</w:t>
      </w:r>
      <w:r w:rsidR="00B01522">
        <w:rPr>
          <w:rStyle w:val="aa"/>
          <w:szCs w:val="20"/>
        </w:rPr>
        <w:footnoteReference w:id="14"/>
      </w:r>
      <w:r w:rsidRPr="00BC09BA">
        <w:rPr>
          <w:szCs w:val="20"/>
        </w:rPr>
        <w:t xml:space="preserve"> (2 926,2 млрд руб.). В 2021 г. ассигнования по этому разделу предполагается увеличить на 145,7 млрд руб. (4,7%) до 3246,5 млрд руб. (15,7% расходов федерального бюджета и 2,7% ВВП) и в 2022 г. еще на 86,2 млрд руб. (2,7%) до 3 332,7 млрд руб. (15,3% расходов федерального бюджета и 2,6% ВВП).</w:t>
      </w:r>
    </w:p>
    <w:p w14:paraId="2C455C77" w14:textId="77777777" w:rsidR="00221D6D" w:rsidRPr="00B80661" w:rsidRDefault="00221D6D" w:rsidP="00221D6D">
      <w:pPr>
        <w:spacing w:after="60"/>
        <w:ind w:firstLine="709"/>
        <w:jc w:val="both"/>
        <w:rPr>
          <w:szCs w:val="20"/>
        </w:rPr>
      </w:pPr>
      <w:r>
        <w:rPr>
          <w:szCs w:val="20"/>
        </w:rPr>
        <w:t>Основной</w:t>
      </w:r>
      <w:r w:rsidRPr="00B80661">
        <w:rPr>
          <w:szCs w:val="20"/>
        </w:rPr>
        <w:t xml:space="preserve"> прирост ассигнований по разделу «Национальная оборона» в трехлетнем периоде приходится на подразделы «Вооруженные силы Российской Федерации» и «Прикладные научные исследования в области национальной обороны», что связано с увеличением к концу планового периода государственного оборонного заказа (ГОЗ), численности военнослужащих, проходящих военную службу по контракту, и расходов на текущее содержание Вооруженных сил.</w:t>
      </w:r>
    </w:p>
    <w:p w14:paraId="7BF8FF1E" w14:textId="4FCF5A2D" w:rsidR="00221D6D" w:rsidRPr="00381700" w:rsidRDefault="00221D6D" w:rsidP="00221D6D">
      <w:pPr>
        <w:spacing w:after="60"/>
        <w:ind w:firstLine="709"/>
        <w:jc w:val="both"/>
        <w:rPr>
          <w:szCs w:val="20"/>
        </w:rPr>
      </w:pPr>
      <w:r w:rsidRPr="00381700">
        <w:rPr>
          <w:szCs w:val="20"/>
        </w:rPr>
        <w:t>Ассигнования на ГОЗ в интересах выполнения государственной программы вооружения, оцененные по закрытой части расходов раздела «Национальная оборона» законопроекта, составят в 2020–2022 гг. 1</w:t>
      </w:r>
      <w:r w:rsidR="00A911FD">
        <w:rPr>
          <w:szCs w:val="20"/>
        </w:rPr>
        <w:t xml:space="preserve"> </w:t>
      </w:r>
      <w:r w:rsidRPr="00381700">
        <w:rPr>
          <w:szCs w:val="20"/>
        </w:rPr>
        <w:t xml:space="preserve">623,3 млрд (1,4% ВВП), 1 805,1 млрд (1,5% ВВП) и 1 931,4 млрд руб. (1,5% ВВП) соответственно, т.е. в 2020 г. на 77,5 млрд руб. (0,1 п.п. ВВП) меньше, чем планировалось федеральным законом № 459-ФЗ, что обусловлено возобновлением </w:t>
      </w:r>
      <w:r>
        <w:rPr>
          <w:szCs w:val="20"/>
        </w:rPr>
        <w:t xml:space="preserve">неконтролируемого </w:t>
      </w:r>
      <w:r w:rsidRPr="00381700">
        <w:rPr>
          <w:szCs w:val="20"/>
        </w:rPr>
        <w:t>роста дебиторской задолженности по выданным  авансам Минобороны, достигшей к началу текущего года 2 872,5 млрд руб. (85,7% от величины этого показателя по всем ГРБС). На повышение денежного довольствия военнослужащих по контракту на первичных воинских должностях в 2020–2022 гг. предусмотрено дополнительно выделить 17,0 млрд, 17,7 млрд и 0,7 млрд руб. соответственно. На содержание объектов инфраструктуры Минобороны в 2020–2022 гг. предполагается дополнительно израсходовать по 16,9 млрд руб.</w:t>
      </w:r>
    </w:p>
    <w:p w14:paraId="1A602374" w14:textId="6744B58B" w:rsidR="00221D6D" w:rsidRPr="00B215D6" w:rsidRDefault="00221D6D" w:rsidP="00221D6D">
      <w:pPr>
        <w:spacing w:after="60"/>
        <w:ind w:firstLine="709"/>
        <w:jc w:val="both"/>
        <w:rPr>
          <w:szCs w:val="20"/>
        </w:rPr>
      </w:pPr>
      <w:r w:rsidRPr="00B215D6">
        <w:rPr>
          <w:szCs w:val="20"/>
        </w:rPr>
        <w:t>Ассигнования на пенсионное обеспечение Минобороны в 2020 г. законопроектом предполагается увели</w:t>
      </w:r>
      <w:r w:rsidR="00B85CB8">
        <w:rPr>
          <w:szCs w:val="20"/>
        </w:rPr>
        <w:t>чить до 363,4 млрд руб. (на 3,4</w:t>
      </w:r>
      <w:r w:rsidRPr="00B215D6">
        <w:rPr>
          <w:szCs w:val="20"/>
        </w:rPr>
        <w:t xml:space="preserve">%), что не обеспечивает выплату пенсий военнослужащих, повышенных с октября 2019 г. на 6,3%. </w:t>
      </w:r>
    </w:p>
    <w:p w14:paraId="753CCEDC" w14:textId="24A7954E" w:rsidR="00221D6D" w:rsidRPr="00D82338" w:rsidRDefault="00221D6D" w:rsidP="00221D6D">
      <w:pPr>
        <w:spacing w:after="60"/>
        <w:ind w:firstLine="709"/>
        <w:jc w:val="both"/>
        <w:rPr>
          <w:szCs w:val="20"/>
        </w:rPr>
      </w:pPr>
      <w:r w:rsidRPr="00D82338">
        <w:rPr>
          <w:szCs w:val="20"/>
        </w:rPr>
        <w:t>Ассигнования по разделу «Национальная безопасность и правоохранительная деятельность» классификации расходов относительно ассигнований на текущий год в соответствии с федеральным законом № 459-ФЗ (2 206,8 млрд руб. или 2,1% ВВП) в 2020 г. предлагается увеличить на 251,4 млрд руб. (11,4%) до 2 458,2 млрд руб. (2,</w:t>
      </w:r>
      <w:r>
        <w:rPr>
          <w:szCs w:val="20"/>
        </w:rPr>
        <w:t>2</w:t>
      </w:r>
      <w:r w:rsidRPr="00D82338">
        <w:rPr>
          <w:szCs w:val="20"/>
        </w:rPr>
        <w:t xml:space="preserve">% ВВП), в 2021 г. сократить на 2,2 млрд руб. (0,1%) до 2 256,0 млрд руб. (2,0% ВВП), а затем их вновь увеличить на 24,0 млрд руб. (1,0%) до 2 479,9 млрд руб. (1,9% ВВП) в 2022 г. При незначительном росте ассигнований по большинству подразделов этого раздела существенная динамика наблюдается лишь в подразделе «Другие вопросы в области национальной безопасности и правоохранительной деятельности», где с 9,7 млрд руб. в 2018 г. они должны были возрасти в текущем году до 241,0 млрд (федеральный закон № 459-ФЗ) с последующим ростом согласно </w:t>
      </w:r>
      <w:r>
        <w:rPr>
          <w:szCs w:val="20"/>
        </w:rPr>
        <w:t xml:space="preserve">рассматриваемому </w:t>
      </w:r>
      <w:r w:rsidRPr="00D82338">
        <w:rPr>
          <w:szCs w:val="20"/>
        </w:rPr>
        <w:t xml:space="preserve">законопроекту в 2020 г. до 379,9 млрд руб. </w:t>
      </w:r>
      <w:r>
        <w:rPr>
          <w:szCs w:val="20"/>
        </w:rPr>
        <w:t xml:space="preserve">(+57,6%) </w:t>
      </w:r>
      <w:r w:rsidRPr="00D82338">
        <w:rPr>
          <w:szCs w:val="20"/>
        </w:rPr>
        <w:t>и затем сокращением в 2021 г. до 323,0 млрд руб. и в 2022 г. до 281,9 млрд руб. Ассигнования на пенсионное обеспечение МВД в 2020 г. по сравнению с текущим годом увеличены до 285,0 млрд руб. или на 13,3%, ФСБ – до 68,2 млрд руб. или на 3,4%, что в последнем случае не обеспечивает выплату увеличенных на 6,3% пенсий.</w:t>
      </w:r>
    </w:p>
    <w:p w14:paraId="38D8D731" w14:textId="1347F01D" w:rsidR="00221D6D" w:rsidRPr="00410A62" w:rsidRDefault="00221D6D" w:rsidP="00221D6D">
      <w:pPr>
        <w:widowControl w:val="0"/>
        <w:spacing w:after="60"/>
        <w:ind w:firstLine="709"/>
        <w:jc w:val="both"/>
        <w:rPr>
          <w:szCs w:val="20"/>
        </w:rPr>
      </w:pPr>
      <w:r w:rsidRPr="00410A62">
        <w:rPr>
          <w:szCs w:val="20"/>
        </w:rPr>
        <w:t>Расходы силового блока суммарно по дву</w:t>
      </w:r>
      <w:r w:rsidR="002C7635">
        <w:rPr>
          <w:szCs w:val="20"/>
        </w:rPr>
        <w:t>м</w:t>
      </w:r>
      <w:r w:rsidRPr="00410A62">
        <w:rPr>
          <w:szCs w:val="20"/>
        </w:rPr>
        <w:t xml:space="preserve"> указанным разделам в соответствии с проектом федерального бюджета на 2020 г. составят 5 559,0 млрд руб. или 4,9% ВВП и 28,5% расходов федерального бюджета, увеличившись по сравнению с ассигнованиями текущего года по федеральному закону № 459-ФЗ на 426,0 млрд руб. (8,3%). В плановом периоде расходы силового блока продолжат рост в номинальном выражении и составят в 2021 г. 5 702,5 млрд руб. (4,7% ВВП и 27,6% расходов федерального бюджета) и в 2022 г. – 5 812,6 млрд руб. (4,5% ВВП и 26,5% расходов федерального бюджета).</w:t>
      </w:r>
    </w:p>
    <w:p w14:paraId="214EFCA9" w14:textId="77777777" w:rsidR="0098464F" w:rsidRDefault="0098464F" w:rsidP="000830B8">
      <w:pPr>
        <w:spacing w:after="60"/>
        <w:ind w:firstLine="709"/>
        <w:jc w:val="both"/>
        <w:rPr>
          <w:b/>
          <w:i/>
        </w:rPr>
      </w:pPr>
    </w:p>
    <w:p w14:paraId="5687C2D3" w14:textId="2B43B7A2" w:rsidR="000830B8" w:rsidRPr="00221D6D" w:rsidRDefault="000830B8" w:rsidP="0098464F">
      <w:pPr>
        <w:keepNext/>
        <w:spacing w:before="60" w:after="60"/>
        <w:jc w:val="center"/>
        <w:outlineLvl w:val="2"/>
        <w:rPr>
          <w:b/>
          <w:szCs w:val="20"/>
        </w:rPr>
      </w:pPr>
      <w:bookmarkStart w:id="31" w:name="_Toc21436750"/>
      <w:r w:rsidRPr="00221D6D">
        <w:rPr>
          <w:b/>
        </w:rPr>
        <w:t>Прозрачность и открытость проекта федерального бюджета</w:t>
      </w:r>
      <w:bookmarkEnd w:id="31"/>
    </w:p>
    <w:p w14:paraId="7BA5A326" w14:textId="0A63FE31" w:rsidR="00221D6D" w:rsidRPr="00E00953" w:rsidRDefault="00221D6D" w:rsidP="00221D6D">
      <w:pPr>
        <w:spacing w:after="60"/>
        <w:ind w:firstLine="709"/>
        <w:jc w:val="both"/>
        <w:rPr>
          <w:szCs w:val="20"/>
        </w:rPr>
      </w:pPr>
      <w:r w:rsidRPr="00E00953">
        <w:rPr>
          <w:szCs w:val="20"/>
        </w:rPr>
        <w:t xml:space="preserve">Прозрачность проекта федерального бюджета на 2020 г. и плановый период 2021 и 2022 гг. </w:t>
      </w:r>
      <w:r w:rsidR="00B85CB8">
        <w:rPr>
          <w:szCs w:val="20"/>
        </w:rPr>
        <w:t xml:space="preserve">нельзя назвать </w:t>
      </w:r>
      <w:r w:rsidRPr="00E00953">
        <w:rPr>
          <w:szCs w:val="20"/>
        </w:rPr>
        <w:t>удовлетворительн</w:t>
      </w:r>
      <w:r w:rsidR="00B85CB8">
        <w:rPr>
          <w:szCs w:val="20"/>
        </w:rPr>
        <w:t>ой</w:t>
      </w:r>
      <w:r w:rsidRPr="00E00953">
        <w:rPr>
          <w:szCs w:val="20"/>
        </w:rPr>
        <w:t>. Полные расходы по разделам и подразделам классификации федерального бюджета, публиковавшиеся до 2008 г. в виде приложения к тексту законопроекта, известны лишь из пояснительной записки.</w:t>
      </w:r>
    </w:p>
    <w:p w14:paraId="1C70F048" w14:textId="46843E57" w:rsidR="00221D6D" w:rsidRPr="002121E8" w:rsidRDefault="00221D6D" w:rsidP="00221D6D">
      <w:pPr>
        <w:spacing w:after="60"/>
        <w:ind w:firstLine="709"/>
        <w:jc w:val="both"/>
        <w:rPr>
          <w:szCs w:val="20"/>
        </w:rPr>
      </w:pPr>
      <w:r w:rsidRPr="002121E8">
        <w:rPr>
          <w:szCs w:val="20"/>
        </w:rPr>
        <w:t xml:space="preserve">В составе законопроекта, сопровождающих его </w:t>
      </w:r>
      <w:r w:rsidR="002C7635" w:rsidRPr="002121E8">
        <w:rPr>
          <w:szCs w:val="20"/>
        </w:rPr>
        <w:t>документ</w:t>
      </w:r>
      <w:r w:rsidR="002C7635">
        <w:rPr>
          <w:szCs w:val="20"/>
        </w:rPr>
        <w:t>ов</w:t>
      </w:r>
      <w:r w:rsidR="002C7635" w:rsidRPr="002121E8">
        <w:rPr>
          <w:szCs w:val="20"/>
        </w:rPr>
        <w:t xml:space="preserve"> </w:t>
      </w:r>
      <w:r w:rsidRPr="002121E8">
        <w:rPr>
          <w:szCs w:val="20"/>
        </w:rPr>
        <w:t xml:space="preserve">и </w:t>
      </w:r>
      <w:r w:rsidR="002C7635" w:rsidRPr="002121E8">
        <w:rPr>
          <w:szCs w:val="20"/>
        </w:rPr>
        <w:t>материал</w:t>
      </w:r>
      <w:r w:rsidR="002C7635">
        <w:rPr>
          <w:szCs w:val="20"/>
        </w:rPr>
        <w:t>ов</w:t>
      </w:r>
      <w:r w:rsidR="002C7635" w:rsidRPr="002121E8">
        <w:rPr>
          <w:szCs w:val="20"/>
        </w:rPr>
        <w:t xml:space="preserve"> </w:t>
      </w:r>
      <w:r w:rsidRPr="002121E8">
        <w:rPr>
          <w:szCs w:val="20"/>
        </w:rPr>
        <w:t>отсутствует представление расходов бюджета в соответствии с классификацией операций сектора государственного управления (экономической классификацией расходов), что расходится с рекомендациями международных финансовых институтов по финансовому учету в государственном секторе и снижает прозрачность бюджета, затрудняя оценку его влияния на экономику.</w:t>
      </w:r>
    </w:p>
    <w:p w14:paraId="33BEADEF" w14:textId="77777777" w:rsidR="00221D6D" w:rsidRPr="002121E8" w:rsidRDefault="00221D6D" w:rsidP="00221D6D">
      <w:pPr>
        <w:spacing w:after="60"/>
        <w:ind w:firstLine="709"/>
        <w:jc w:val="both"/>
        <w:rPr>
          <w:szCs w:val="20"/>
        </w:rPr>
      </w:pPr>
      <w:r w:rsidRPr="002121E8">
        <w:rPr>
          <w:szCs w:val="20"/>
        </w:rPr>
        <w:t>Сопоставимость показателей бюджета в соответствии со статьей 36 Бюджетного кодекса в приложениях к тексту законопроекта не обеспечивается (отсутствуют показатели предыдущего и текущего бюджетов).</w:t>
      </w:r>
    </w:p>
    <w:p w14:paraId="35237102" w14:textId="3842529B" w:rsidR="00221D6D" w:rsidRPr="002D5B16" w:rsidRDefault="00221D6D" w:rsidP="00221D6D">
      <w:pPr>
        <w:spacing w:after="60"/>
        <w:ind w:firstLine="709"/>
        <w:jc w:val="both"/>
        <w:rPr>
          <w:szCs w:val="20"/>
        </w:rPr>
      </w:pPr>
      <w:r w:rsidRPr="002D5B16">
        <w:rPr>
          <w:szCs w:val="20"/>
        </w:rPr>
        <w:t>Секретные и совершенно секретные ассигнования в 2020 г. возрастут на 10,3% до 3</w:t>
      </w:r>
      <w:r w:rsidR="00FA4D9B">
        <w:rPr>
          <w:szCs w:val="20"/>
        </w:rPr>
        <w:t xml:space="preserve"> </w:t>
      </w:r>
      <w:r w:rsidRPr="002D5B16">
        <w:rPr>
          <w:szCs w:val="20"/>
        </w:rPr>
        <w:t xml:space="preserve">322,8 млрд руб. (2,9% ВВП или 17,0% расходов федерального бюджета). Оценка открытости проекта федерального бюджета посредством доли закрытых расходов (без учета нераспределенных ассигнований планового периода) представлена в </w:t>
      </w:r>
      <w:r w:rsidRPr="005C2605">
        <w:rPr>
          <w:i/>
          <w:szCs w:val="20"/>
        </w:rPr>
        <w:t>таблице</w:t>
      </w:r>
      <w:r w:rsidR="005C2605">
        <w:rPr>
          <w:i/>
          <w:szCs w:val="20"/>
        </w:rPr>
        <w:t xml:space="preserve"> </w:t>
      </w:r>
      <w:r w:rsidR="00C84D38">
        <w:rPr>
          <w:i/>
          <w:noProof/>
        </w:rPr>
        <w:t>16</w:t>
      </w:r>
      <w:r w:rsidRPr="002D5B16">
        <w:rPr>
          <w:szCs w:val="20"/>
        </w:rPr>
        <w:t>.</w:t>
      </w:r>
    </w:p>
    <w:p w14:paraId="0C2DAAEC" w14:textId="485CC895" w:rsidR="005C2605" w:rsidRPr="00600DF7" w:rsidRDefault="005C2605" w:rsidP="005C2605">
      <w:pPr>
        <w:spacing w:after="60"/>
        <w:jc w:val="right"/>
        <w:rPr>
          <w:i/>
        </w:rPr>
      </w:pPr>
      <w:r w:rsidRPr="00600DF7">
        <w:rPr>
          <w:i/>
        </w:rPr>
        <w:t>Таблица</w:t>
      </w:r>
      <w:r>
        <w:rPr>
          <w:i/>
        </w:rPr>
        <w:t xml:space="preserve"> </w:t>
      </w:r>
      <w:bookmarkStart w:id="32" w:name="_Ref21342663"/>
      <w:r w:rsidR="00C84D38">
        <w:rPr>
          <w:i/>
          <w:noProof/>
        </w:rPr>
        <w:t>16</w:t>
      </w:r>
      <w:bookmarkEnd w:id="32"/>
    </w:p>
    <w:p w14:paraId="12447094" w14:textId="77777777" w:rsidR="00221D6D" w:rsidRPr="009D5EDD" w:rsidRDefault="00221D6D" w:rsidP="00221D6D">
      <w:pPr>
        <w:spacing w:before="60" w:after="120"/>
        <w:jc w:val="center"/>
        <w:rPr>
          <w:b/>
          <w:szCs w:val="20"/>
        </w:rPr>
      </w:pPr>
      <w:r w:rsidRPr="009D5EDD">
        <w:rPr>
          <w:b/>
          <w:szCs w:val="20"/>
        </w:rPr>
        <w:t>Доля закрытых расходов федерального бюджета в 2013–2022 гг., %</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609"/>
        <w:gridCol w:w="610"/>
        <w:gridCol w:w="609"/>
        <w:gridCol w:w="610"/>
        <w:gridCol w:w="609"/>
        <w:gridCol w:w="610"/>
        <w:gridCol w:w="609"/>
        <w:gridCol w:w="610"/>
        <w:gridCol w:w="609"/>
        <w:gridCol w:w="610"/>
      </w:tblGrid>
      <w:tr w:rsidR="00221D6D" w:rsidRPr="00221D6D" w14:paraId="40B095FB" w14:textId="77777777" w:rsidTr="005C2605">
        <w:trPr>
          <w:trHeight w:val="270"/>
          <w:tblHeader/>
        </w:trPr>
        <w:tc>
          <w:tcPr>
            <w:tcW w:w="3119" w:type="dxa"/>
            <w:vAlign w:val="bottom"/>
          </w:tcPr>
          <w:p w14:paraId="669F9B6E" w14:textId="77777777" w:rsidR="00221D6D" w:rsidRPr="00221D6D" w:rsidRDefault="00221D6D" w:rsidP="00A911FD">
            <w:pPr>
              <w:jc w:val="center"/>
              <w:rPr>
                <w:rFonts w:eastAsia="Arial Unicode MS"/>
                <w:b/>
                <w:sz w:val="20"/>
                <w:szCs w:val="20"/>
              </w:rPr>
            </w:pPr>
            <w:r w:rsidRPr="00221D6D">
              <w:rPr>
                <w:b/>
                <w:sz w:val="20"/>
                <w:szCs w:val="20"/>
              </w:rPr>
              <w:t xml:space="preserve">Код и наименование </w:t>
            </w:r>
            <w:r w:rsidRPr="00221D6D">
              <w:rPr>
                <w:b/>
                <w:sz w:val="20"/>
                <w:szCs w:val="20"/>
              </w:rPr>
              <w:br/>
              <w:t>раздела (подраздела), содержащего закрытые расходы</w:t>
            </w:r>
          </w:p>
        </w:tc>
        <w:tc>
          <w:tcPr>
            <w:tcW w:w="609" w:type="dxa"/>
            <w:vAlign w:val="center"/>
          </w:tcPr>
          <w:p w14:paraId="141AB79C" w14:textId="77777777" w:rsidR="00221D6D" w:rsidRPr="00221D6D" w:rsidRDefault="00221D6D" w:rsidP="00A911FD">
            <w:pPr>
              <w:jc w:val="center"/>
              <w:rPr>
                <w:b/>
                <w:sz w:val="20"/>
                <w:szCs w:val="20"/>
              </w:rPr>
            </w:pPr>
            <w:r w:rsidRPr="00221D6D">
              <w:rPr>
                <w:b/>
                <w:sz w:val="20"/>
                <w:szCs w:val="20"/>
              </w:rPr>
              <w:t>201</w:t>
            </w:r>
            <w:r w:rsidRPr="00221D6D">
              <w:rPr>
                <w:b/>
                <w:sz w:val="20"/>
                <w:szCs w:val="20"/>
                <w:lang w:val="en-US"/>
              </w:rPr>
              <w:t>3</w:t>
            </w:r>
          </w:p>
        </w:tc>
        <w:tc>
          <w:tcPr>
            <w:tcW w:w="610" w:type="dxa"/>
            <w:vAlign w:val="center"/>
          </w:tcPr>
          <w:p w14:paraId="60029DAF" w14:textId="77777777" w:rsidR="00221D6D" w:rsidRPr="00221D6D" w:rsidRDefault="00221D6D" w:rsidP="00A911FD">
            <w:pPr>
              <w:jc w:val="center"/>
              <w:rPr>
                <w:b/>
                <w:sz w:val="20"/>
                <w:szCs w:val="20"/>
                <w:lang w:val="en-US"/>
              </w:rPr>
            </w:pPr>
            <w:r w:rsidRPr="00221D6D">
              <w:rPr>
                <w:b/>
                <w:sz w:val="20"/>
                <w:szCs w:val="20"/>
              </w:rPr>
              <w:t>201</w:t>
            </w:r>
            <w:r w:rsidRPr="00221D6D">
              <w:rPr>
                <w:b/>
                <w:sz w:val="20"/>
                <w:szCs w:val="20"/>
                <w:lang w:val="en-US"/>
              </w:rPr>
              <w:t>4</w:t>
            </w:r>
          </w:p>
        </w:tc>
        <w:tc>
          <w:tcPr>
            <w:tcW w:w="609" w:type="dxa"/>
            <w:vAlign w:val="center"/>
          </w:tcPr>
          <w:p w14:paraId="5F681D63" w14:textId="77777777" w:rsidR="00221D6D" w:rsidRPr="00221D6D" w:rsidRDefault="00221D6D" w:rsidP="00A911FD">
            <w:pPr>
              <w:jc w:val="center"/>
              <w:rPr>
                <w:rFonts w:eastAsia="Arial Unicode MS"/>
                <w:b/>
                <w:sz w:val="20"/>
                <w:szCs w:val="20"/>
              </w:rPr>
            </w:pPr>
            <w:r w:rsidRPr="00221D6D">
              <w:rPr>
                <w:b/>
                <w:sz w:val="20"/>
                <w:szCs w:val="20"/>
              </w:rPr>
              <w:t>20</w:t>
            </w:r>
            <w:r w:rsidRPr="00221D6D">
              <w:rPr>
                <w:b/>
                <w:sz w:val="20"/>
                <w:szCs w:val="20"/>
                <w:lang w:val="en-US"/>
              </w:rPr>
              <w:t>1</w:t>
            </w:r>
            <w:r w:rsidRPr="00221D6D">
              <w:rPr>
                <w:b/>
                <w:sz w:val="20"/>
                <w:szCs w:val="20"/>
              </w:rPr>
              <w:t>5</w:t>
            </w:r>
          </w:p>
        </w:tc>
        <w:tc>
          <w:tcPr>
            <w:tcW w:w="610" w:type="dxa"/>
            <w:vAlign w:val="center"/>
          </w:tcPr>
          <w:p w14:paraId="383C3E80" w14:textId="77777777" w:rsidR="00221D6D" w:rsidRPr="00221D6D" w:rsidRDefault="00221D6D" w:rsidP="00A911FD">
            <w:pPr>
              <w:jc w:val="center"/>
              <w:rPr>
                <w:b/>
                <w:sz w:val="20"/>
                <w:szCs w:val="20"/>
              </w:rPr>
            </w:pPr>
            <w:r w:rsidRPr="00221D6D">
              <w:rPr>
                <w:b/>
                <w:sz w:val="20"/>
                <w:szCs w:val="20"/>
              </w:rPr>
              <w:t>2016</w:t>
            </w:r>
          </w:p>
        </w:tc>
        <w:tc>
          <w:tcPr>
            <w:tcW w:w="609" w:type="dxa"/>
            <w:vAlign w:val="center"/>
          </w:tcPr>
          <w:p w14:paraId="7A367EAD" w14:textId="77777777" w:rsidR="00221D6D" w:rsidRPr="00221D6D" w:rsidRDefault="00221D6D" w:rsidP="00A911FD">
            <w:pPr>
              <w:jc w:val="center"/>
              <w:rPr>
                <w:rFonts w:eastAsia="Arial Unicode MS"/>
                <w:b/>
                <w:sz w:val="20"/>
                <w:szCs w:val="20"/>
              </w:rPr>
            </w:pPr>
            <w:r w:rsidRPr="00221D6D">
              <w:rPr>
                <w:b/>
                <w:sz w:val="20"/>
                <w:szCs w:val="20"/>
              </w:rPr>
              <w:t>20</w:t>
            </w:r>
            <w:r w:rsidRPr="00221D6D">
              <w:rPr>
                <w:b/>
                <w:sz w:val="20"/>
                <w:szCs w:val="20"/>
                <w:lang w:val="en-US"/>
              </w:rPr>
              <w:t>1</w:t>
            </w:r>
            <w:r w:rsidRPr="00221D6D">
              <w:rPr>
                <w:b/>
                <w:sz w:val="20"/>
                <w:szCs w:val="20"/>
              </w:rPr>
              <w:t>7</w:t>
            </w:r>
          </w:p>
        </w:tc>
        <w:tc>
          <w:tcPr>
            <w:tcW w:w="610" w:type="dxa"/>
            <w:vAlign w:val="center"/>
          </w:tcPr>
          <w:p w14:paraId="17A6AC4F" w14:textId="77777777" w:rsidR="00221D6D" w:rsidRPr="00221D6D" w:rsidRDefault="00221D6D" w:rsidP="00A911FD">
            <w:pPr>
              <w:jc w:val="center"/>
              <w:rPr>
                <w:b/>
                <w:sz w:val="20"/>
                <w:szCs w:val="20"/>
              </w:rPr>
            </w:pPr>
            <w:r w:rsidRPr="00221D6D">
              <w:rPr>
                <w:b/>
                <w:sz w:val="20"/>
                <w:szCs w:val="20"/>
              </w:rPr>
              <w:t>20</w:t>
            </w:r>
            <w:r w:rsidRPr="00221D6D">
              <w:rPr>
                <w:b/>
                <w:sz w:val="20"/>
                <w:szCs w:val="20"/>
                <w:lang w:val="en-US"/>
              </w:rPr>
              <w:t>1</w:t>
            </w:r>
            <w:r w:rsidRPr="00221D6D">
              <w:rPr>
                <w:b/>
                <w:sz w:val="20"/>
                <w:szCs w:val="20"/>
              </w:rPr>
              <w:t>8</w:t>
            </w:r>
          </w:p>
        </w:tc>
        <w:tc>
          <w:tcPr>
            <w:tcW w:w="609" w:type="dxa"/>
            <w:vAlign w:val="center"/>
          </w:tcPr>
          <w:p w14:paraId="702D171B" w14:textId="77777777" w:rsidR="00221D6D" w:rsidRPr="00221D6D" w:rsidRDefault="00221D6D" w:rsidP="00A911FD">
            <w:pPr>
              <w:jc w:val="center"/>
              <w:rPr>
                <w:b/>
                <w:sz w:val="20"/>
                <w:szCs w:val="20"/>
              </w:rPr>
            </w:pPr>
            <w:r w:rsidRPr="00221D6D">
              <w:rPr>
                <w:b/>
                <w:sz w:val="20"/>
                <w:szCs w:val="20"/>
              </w:rPr>
              <w:t>20</w:t>
            </w:r>
            <w:r w:rsidRPr="00221D6D">
              <w:rPr>
                <w:b/>
                <w:sz w:val="20"/>
                <w:szCs w:val="20"/>
                <w:lang w:val="en-US"/>
              </w:rPr>
              <w:t>1</w:t>
            </w:r>
            <w:r w:rsidRPr="00221D6D">
              <w:rPr>
                <w:b/>
                <w:sz w:val="20"/>
                <w:szCs w:val="20"/>
              </w:rPr>
              <w:t>9</w:t>
            </w:r>
          </w:p>
        </w:tc>
        <w:tc>
          <w:tcPr>
            <w:tcW w:w="610" w:type="dxa"/>
            <w:vAlign w:val="center"/>
          </w:tcPr>
          <w:p w14:paraId="0CDC60CC" w14:textId="77777777" w:rsidR="00221D6D" w:rsidRPr="00221D6D" w:rsidRDefault="00221D6D" w:rsidP="00A911FD">
            <w:pPr>
              <w:jc w:val="center"/>
              <w:rPr>
                <w:b/>
                <w:sz w:val="20"/>
                <w:szCs w:val="20"/>
              </w:rPr>
            </w:pPr>
            <w:r w:rsidRPr="00221D6D">
              <w:rPr>
                <w:b/>
                <w:sz w:val="20"/>
                <w:szCs w:val="20"/>
              </w:rPr>
              <w:t>2020</w:t>
            </w:r>
          </w:p>
        </w:tc>
        <w:tc>
          <w:tcPr>
            <w:tcW w:w="609" w:type="dxa"/>
            <w:vAlign w:val="center"/>
          </w:tcPr>
          <w:p w14:paraId="7D7A1A7E" w14:textId="77777777" w:rsidR="00221D6D" w:rsidRPr="00221D6D" w:rsidRDefault="00221D6D" w:rsidP="00A911FD">
            <w:pPr>
              <w:jc w:val="center"/>
              <w:rPr>
                <w:b/>
                <w:sz w:val="20"/>
                <w:szCs w:val="20"/>
                <w:lang w:val="en-US"/>
              </w:rPr>
            </w:pPr>
            <w:r w:rsidRPr="00221D6D">
              <w:rPr>
                <w:b/>
                <w:sz w:val="20"/>
                <w:szCs w:val="20"/>
              </w:rPr>
              <w:t>202</w:t>
            </w:r>
            <w:r w:rsidRPr="00221D6D">
              <w:rPr>
                <w:b/>
                <w:sz w:val="20"/>
                <w:szCs w:val="20"/>
                <w:lang w:val="en-US"/>
              </w:rPr>
              <w:t>1</w:t>
            </w:r>
          </w:p>
        </w:tc>
        <w:tc>
          <w:tcPr>
            <w:tcW w:w="610" w:type="dxa"/>
            <w:vAlign w:val="center"/>
          </w:tcPr>
          <w:p w14:paraId="5057504E" w14:textId="77777777" w:rsidR="00221D6D" w:rsidRPr="00221D6D" w:rsidRDefault="00221D6D" w:rsidP="00A911FD">
            <w:pPr>
              <w:jc w:val="center"/>
              <w:rPr>
                <w:b/>
                <w:sz w:val="20"/>
                <w:szCs w:val="20"/>
              </w:rPr>
            </w:pPr>
            <w:r w:rsidRPr="00221D6D">
              <w:rPr>
                <w:b/>
                <w:sz w:val="20"/>
                <w:szCs w:val="20"/>
              </w:rPr>
              <w:t>202</w:t>
            </w:r>
            <w:r w:rsidRPr="00221D6D">
              <w:rPr>
                <w:b/>
                <w:sz w:val="20"/>
                <w:szCs w:val="20"/>
                <w:lang w:val="en-US"/>
              </w:rPr>
              <w:t>2</w:t>
            </w:r>
          </w:p>
        </w:tc>
      </w:tr>
      <w:tr w:rsidR="00221D6D" w:rsidRPr="00221D6D" w14:paraId="45D2473B" w14:textId="77777777" w:rsidTr="005C2605">
        <w:trPr>
          <w:trHeight w:val="20"/>
          <w:tblHeader/>
        </w:trPr>
        <w:tc>
          <w:tcPr>
            <w:tcW w:w="3119" w:type="dxa"/>
            <w:vAlign w:val="bottom"/>
          </w:tcPr>
          <w:p w14:paraId="51768943" w14:textId="77777777" w:rsidR="00221D6D" w:rsidRPr="00221D6D" w:rsidRDefault="00221D6D" w:rsidP="00A911FD">
            <w:pPr>
              <w:jc w:val="center"/>
              <w:rPr>
                <w:sz w:val="20"/>
                <w:szCs w:val="20"/>
              </w:rPr>
            </w:pPr>
            <w:r w:rsidRPr="00221D6D">
              <w:rPr>
                <w:sz w:val="20"/>
                <w:szCs w:val="20"/>
              </w:rPr>
              <w:t>1</w:t>
            </w:r>
          </w:p>
        </w:tc>
        <w:tc>
          <w:tcPr>
            <w:tcW w:w="609" w:type="dxa"/>
          </w:tcPr>
          <w:p w14:paraId="4B7CA954" w14:textId="77777777" w:rsidR="00221D6D" w:rsidRPr="00221D6D" w:rsidRDefault="00221D6D" w:rsidP="00A911FD">
            <w:pPr>
              <w:jc w:val="center"/>
              <w:rPr>
                <w:sz w:val="20"/>
                <w:szCs w:val="20"/>
              </w:rPr>
            </w:pPr>
            <w:r w:rsidRPr="00221D6D">
              <w:rPr>
                <w:sz w:val="20"/>
                <w:szCs w:val="20"/>
              </w:rPr>
              <w:t>2</w:t>
            </w:r>
          </w:p>
        </w:tc>
        <w:tc>
          <w:tcPr>
            <w:tcW w:w="610" w:type="dxa"/>
          </w:tcPr>
          <w:p w14:paraId="0878DB21" w14:textId="77777777" w:rsidR="00221D6D" w:rsidRPr="00221D6D" w:rsidRDefault="00221D6D" w:rsidP="00A911FD">
            <w:pPr>
              <w:jc w:val="center"/>
              <w:rPr>
                <w:sz w:val="20"/>
                <w:szCs w:val="20"/>
              </w:rPr>
            </w:pPr>
            <w:r w:rsidRPr="00221D6D">
              <w:rPr>
                <w:sz w:val="20"/>
                <w:szCs w:val="20"/>
              </w:rPr>
              <w:t>3</w:t>
            </w:r>
          </w:p>
        </w:tc>
        <w:tc>
          <w:tcPr>
            <w:tcW w:w="609" w:type="dxa"/>
          </w:tcPr>
          <w:p w14:paraId="1F7B2BC6" w14:textId="77777777" w:rsidR="00221D6D" w:rsidRPr="00221D6D" w:rsidRDefault="00221D6D" w:rsidP="00A911FD">
            <w:pPr>
              <w:jc w:val="center"/>
              <w:rPr>
                <w:sz w:val="20"/>
                <w:szCs w:val="20"/>
                <w:lang w:val="en-US"/>
              </w:rPr>
            </w:pPr>
            <w:r w:rsidRPr="00221D6D">
              <w:rPr>
                <w:sz w:val="20"/>
                <w:szCs w:val="20"/>
                <w:lang w:val="en-US"/>
              </w:rPr>
              <w:t>4</w:t>
            </w:r>
          </w:p>
        </w:tc>
        <w:tc>
          <w:tcPr>
            <w:tcW w:w="610" w:type="dxa"/>
          </w:tcPr>
          <w:p w14:paraId="534B19E7" w14:textId="77777777" w:rsidR="00221D6D" w:rsidRPr="00221D6D" w:rsidRDefault="00221D6D" w:rsidP="00A911FD">
            <w:pPr>
              <w:jc w:val="center"/>
              <w:rPr>
                <w:sz w:val="20"/>
                <w:szCs w:val="20"/>
                <w:lang w:val="en-US"/>
              </w:rPr>
            </w:pPr>
            <w:r w:rsidRPr="00221D6D">
              <w:rPr>
                <w:sz w:val="20"/>
                <w:szCs w:val="20"/>
                <w:lang w:val="en-US"/>
              </w:rPr>
              <w:t>5</w:t>
            </w:r>
          </w:p>
        </w:tc>
        <w:tc>
          <w:tcPr>
            <w:tcW w:w="609" w:type="dxa"/>
          </w:tcPr>
          <w:p w14:paraId="032D9DFF" w14:textId="77777777" w:rsidR="00221D6D" w:rsidRPr="00221D6D" w:rsidRDefault="00221D6D" w:rsidP="00A911FD">
            <w:pPr>
              <w:jc w:val="center"/>
              <w:rPr>
                <w:sz w:val="20"/>
                <w:szCs w:val="20"/>
                <w:lang w:val="en-US"/>
              </w:rPr>
            </w:pPr>
            <w:r w:rsidRPr="00221D6D">
              <w:rPr>
                <w:sz w:val="20"/>
                <w:szCs w:val="20"/>
                <w:lang w:val="en-US"/>
              </w:rPr>
              <w:t>6</w:t>
            </w:r>
          </w:p>
        </w:tc>
        <w:tc>
          <w:tcPr>
            <w:tcW w:w="610" w:type="dxa"/>
          </w:tcPr>
          <w:p w14:paraId="0812E268" w14:textId="77777777" w:rsidR="00221D6D" w:rsidRPr="00221D6D" w:rsidRDefault="00221D6D" w:rsidP="00A911FD">
            <w:pPr>
              <w:jc w:val="center"/>
              <w:rPr>
                <w:sz w:val="20"/>
                <w:szCs w:val="20"/>
                <w:lang w:val="en-US"/>
              </w:rPr>
            </w:pPr>
            <w:r w:rsidRPr="00221D6D">
              <w:rPr>
                <w:sz w:val="20"/>
                <w:szCs w:val="20"/>
                <w:lang w:val="en-US"/>
              </w:rPr>
              <w:t>7</w:t>
            </w:r>
          </w:p>
        </w:tc>
        <w:tc>
          <w:tcPr>
            <w:tcW w:w="609" w:type="dxa"/>
          </w:tcPr>
          <w:p w14:paraId="57846E0C" w14:textId="77777777" w:rsidR="00221D6D" w:rsidRPr="00221D6D" w:rsidRDefault="00221D6D" w:rsidP="00A911FD">
            <w:pPr>
              <w:jc w:val="center"/>
              <w:rPr>
                <w:sz w:val="20"/>
                <w:szCs w:val="20"/>
                <w:lang w:val="en-US"/>
              </w:rPr>
            </w:pPr>
            <w:r w:rsidRPr="00221D6D">
              <w:rPr>
                <w:sz w:val="20"/>
                <w:szCs w:val="20"/>
                <w:lang w:val="en-US"/>
              </w:rPr>
              <w:t>8</w:t>
            </w:r>
          </w:p>
        </w:tc>
        <w:tc>
          <w:tcPr>
            <w:tcW w:w="610" w:type="dxa"/>
          </w:tcPr>
          <w:p w14:paraId="0E7EB106" w14:textId="77777777" w:rsidR="00221D6D" w:rsidRPr="00221D6D" w:rsidRDefault="00221D6D" w:rsidP="00A911FD">
            <w:pPr>
              <w:jc w:val="center"/>
              <w:rPr>
                <w:sz w:val="20"/>
                <w:szCs w:val="20"/>
                <w:lang w:val="en-US"/>
              </w:rPr>
            </w:pPr>
            <w:r w:rsidRPr="00221D6D">
              <w:rPr>
                <w:sz w:val="20"/>
                <w:szCs w:val="20"/>
                <w:lang w:val="en-US"/>
              </w:rPr>
              <w:t>9</w:t>
            </w:r>
          </w:p>
        </w:tc>
        <w:tc>
          <w:tcPr>
            <w:tcW w:w="609" w:type="dxa"/>
          </w:tcPr>
          <w:p w14:paraId="2D59E23C" w14:textId="77777777" w:rsidR="00221D6D" w:rsidRPr="00221D6D" w:rsidRDefault="00221D6D" w:rsidP="00A911FD">
            <w:pPr>
              <w:jc w:val="center"/>
              <w:rPr>
                <w:sz w:val="20"/>
                <w:szCs w:val="20"/>
                <w:lang w:val="en-US"/>
              </w:rPr>
            </w:pPr>
            <w:r w:rsidRPr="00221D6D">
              <w:rPr>
                <w:sz w:val="20"/>
                <w:szCs w:val="20"/>
                <w:lang w:val="en-US"/>
              </w:rPr>
              <w:t>10</w:t>
            </w:r>
          </w:p>
        </w:tc>
        <w:tc>
          <w:tcPr>
            <w:tcW w:w="610" w:type="dxa"/>
          </w:tcPr>
          <w:p w14:paraId="6C48F455" w14:textId="77777777" w:rsidR="00221D6D" w:rsidRPr="00221D6D" w:rsidRDefault="00221D6D" w:rsidP="00A911FD">
            <w:pPr>
              <w:jc w:val="center"/>
              <w:rPr>
                <w:sz w:val="20"/>
                <w:szCs w:val="20"/>
                <w:lang w:val="en-US"/>
              </w:rPr>
            </w:pPr>
            <w:r w:rsidRPr="00221D6D">
              <w:rPr>
                <w:sz w:val="20"/>
                <w:szCs w:val="20"/>
                <w:lang w:val="en-US"/>
              </w:rPr>
              <w:t>11</w:t>
            </w:r>
          </w:p>
        </w:tc>
      </w:tr>
      <w:tr w:rsidR="00221D6D" w:rsidRPr="00221D6D" w14:paraId="2C260BEC" w14:textId="77777777" w:rsidTr="005C2605">
        <w:trPr>
          <w:trHeight w:val="20"/>
        </w:trPr>
        <w:tc>
          <w:tcPr>
            <w:tcW w:w="3119" w:type="dxa"/>
            <w:vAlign w:val="bottom"/>
          </w:tcPr>
          <w:p w14:paraId="2F038112" w14:textId="77777777" w:rsidR="00221D6D" w:rsidRPr="00221D6D" w:rsidRDefault="00221D6D" w:rsidP="00A911FD">
            <w:pPr>
              <w:rPr>
                <w:rFonts w:eastAsia="Arial Unicode MS"/>
                <w:sz w:val="20"/>
                <w:szCs w:val="20"/>
              </w:rPr>
            </w:pPr>
            <w:r w:rsidRPr="00221D6D">
              <w:rPr>
                <w:sz w:val="20"/>
                <w:szCs w:val="20"/>
              </w:rPr>
              <w:t>Расходы федерального бюджета в целом</w:t>
            </w:r>
          </w:p>
        </w:tc>
        <w:tc>
          <w:tcPr>
            <w:tcW w:w="609" w:type="dxa"/>
            <w:vAlign w:val="bottom"/>
          </w:tcPr>
          <w:p w14:paraId="347B52D3" w14:textId="77777777" w:rsidR="00221D6D" w:rsidRPr="00221D6D" w:rsidRDefault="00221D6D" w:rsidP="00221D6D">
            <w:pPr>
              <w:jc w:val="center"/>
              <w:rPr>
                <w:sz w:val="20"/>
                <w:szCs w:val="20"/>
              </w:rPr>
            </w:pPr>
            <w:r w:rsidRPr="00221D6D">
              <w:rPr>
                <w:sz w:val="20"/>
                <w:szCs w:val="20"/>
              </w:rPr>
              <w:t>13,8</w:t>
            </w:r>
          </w:p>
        </w:tc>
        <w:tc>
          <w:tcPr>
            <w:tcW w:w="610" w:type="dxa"/>
            <w:vAlign w:val="bottom"/>
          </w:tcPr>
          <w:p w14:paraId="7A2546D5" w14:textId="77777777" w:rsidR="00221D6D" w:rsidRPr="00221D6D" w:rsidRDefault="00221D6D" w:rsidP="00221D6D">
            <w:pPr>
              <w:jc w:val="center"/>
              <w:rPr>
                <w:sz w:val="20"/>
                <w:szCs w:val="20"/>
              </w:rPr>
            </w:pPr>
            <w:r w:rsidRPr="00221D6D">
              <w:rPr>
                <w:sz w:val="20"/>
                <w:szCs w:val="20"/>
                <w:lang w:val="en-US"/>
              </w:rPr>
              <w:t>1</w:t>
            </w:r>
            <w:r w:rsidRPr="00221D6D">
              <w:rPr>
                <w:sz w:val="20"/>
                <w:szCs w:val="20"/>
              </w:rPr>
              <w:t>4,9</w:t>
            </w:r>
          </w:p>
        </w:tc>
        <w:tc>
          <w:tcPr>
            <w:tcW w:w="609" w:type="dxa"/>
            <w:vAlign w:val="bottom"/>
          </w:tcPr>
          <w:p w14:paraId="031B65F3" w14:textId="77777777" w:rsidR="00221D6D" w:rsidRPr="00221D6D" w:rsidRDefault="00221D6D" w:rsidP="00221D6D">
            <w:pPr>
              <w:jc w:val="center"/>
              <w:rPr>
                <w:rFonts w:eastAsia="Arial Unicode MS"/>
                <w:sz w:val="20"/>
                <w:szCs w:val="20"/>
              </w:rPr>
            </w:pPr>
            <w:r w:rsidRPr="00221D6D">
              <w:rPr>
                <w:sz w:val="20"/>
                <w:szCs w:val="20"/>
              </w:rPr>
              <w:t>19,1</w:t>
            </w:r>
          </w:p>
        </w:tc>
        <w:tc>
          <w:tcPr>
            <w:tcW w:w="610" w:type="dxa"/>
            <w:vAlign w:val="bottom"/>
          </w:tcPr>
          <w:p w14:paraId="4D22C576" w14:textId="77777777" w:rsidR="00221D6D" w:rsidRPr="00221D6D" w:rsidRDefault="00221D6D" w:rsidP="00221D6D">
            <w:pPr>
              <w:jc w:val="center"/>
              <w:rPr>
                <w:sz w:val="20"/>
                <w:szCs w:val="20"/>
              </w:rPr>
            </w:pPr>
            <w:r w:rsidRPr="00221D6D">
              <w:rPr>
                <w:sz w:val="20"/>
                <w:szCs w:val="20"/>
              </w:rPr>
              <w:t>21,7</w:t>
            </w:r>
          </w:p>
        </w:tc>
        <w:tc>
          <w:tcPr>
            <w:tcW w:w="609" w:type="dxa"/>
            <w:vAlign w:val="bottom"/>
          </w:tcPr>
          <w:p w14:paraId="49FE23D3" w14:textId="77777777" w:rsidR="00221D6D" w:rsidRPr="00221D6D" w:rsidRDefault="00221D6D" w:rsidP="00221D6D">
            <w:pPr>
              <w:jc w:val="center"/>
              <w:rPr>
                <w:rFonts w:eastAsia="Arial Unicode MS"/>
                <w:sz w:val="20"/>
                <w:szCs w:val="20"/>
                <w:lang w:val="en-US"/>
              </w:rPr>
            </w:pPr>
            <w:r w:rsidRPr="00221D6D">
              <w:rPr>
                <w:sz w:val="20"/>
                <w:szCs w:val="20"/>
                <w:lang w:val="en-US"/>
              </w:rPr>
              <w:t>17</w:t>
            </w:r>
            <w:r w:rsidRPr="00221D6D">
              <w:rPr>
                <w:sz w:val="20"/>
                <w:szCs w:val="20"/>
              </w:rPr>
              <w:t>,</w:t>
            </w:r>
            <w:r w:rsidRPr="00221D6D">
              <w:rPr>
                <w:sz w:val="20"/>
                <w:szCs w:val="20"/>
                <w:lang w:val="en-US"/>
              </w:rPr>
              <w:t>3</w:t>
            </w:r>
          </w:p>
        </w:tc>
        <w:tc>
          <w:tcPr>
            <w:tcW w:w="610" w:type="dxa"/>
            <w:vAlign w:val="bottom"/>
          </w:tcPr>
          <w:p w14:paraId="35B12BF8" w14:textId="77777777" w:rsidR="00221D6D" w:rsidRPr="00221D6D" w:rsidRDefault="00221D6D" w:rsidP="00221D6D">
            <w:pPr>
              <w:jc w:val="center"/>
              <w:rPr>
                <w:sz w:val="20"/>
                <w:szCs w:val="20"/>
                <w:lang w:val="en-US"/>
              </w:rPr>
            </w:pPr>
            <w:r w:rsidRPr="00221D6D">
              <w:rPr>
                <w:sz w:val="20"/>
                <w:szCs w:val="20"/>
                <w:lang w:val="en-US"/>
              </w:rPr>
              <w:t>16,7</w:t>
            </w:r>
          </w:p>
        </w:tc>
        <w:tc>
          <w:tcPr>
            <w:tcW w:w="609" w:type="dxa"/>
            <w:vAlign w:val="bottom"/>
          </w:tcPr>
          <w:p w14:paraId="68F0AC85" w14:textId="77777777" w:rsidR="00221D6D" w:rsidRPr="00221D6D" w:rsidRDefault="00221D6D" w:rsidP="00221D6D">
            <w:pPr>
              <w:jc w:val="center"/>
              <w:rPr>
                <w:sz w:val="20"/>
                <w:szCs w:val="20"/>
                <w:lang w:val="en-US"/>
              </w:rPr>
            </w:pPr>
            <w:r w:rsidRPr="00221D6D">
              <w:rPr>
                <w:sz w:val="20"/>
                <w:szCs w:val="20"/>
                <w:lang w:val="en-US"/>
              </w:rPr>
              <w:t>1</w:t>
            </w:r>
            <w:r w:rsidRPr="00221D6D">
              <w:rPr>
                <w:sz w:val="20"/>
                <w:szCs w:val="20"/>
              </w:rPr>
              <w:t>6</w:t>
            </w:r>
            <w:r w:rsidRPr="00221D6D">
              <w:rPr>
                <w:sz w:val="20"/>
                <w:szCs w:val="20"/>
                <w:lang w:val="en-US"/>
              </w:rPr>
              <w:t>,7</w:t>
            </w:r>
          </w:p>
        </w:tc>
        <w:tc>
          <w:tcPr>
            <w:tcW w:w="610" w:type="dxa"/>
            <w:vAlign w:val="bottom"/>
          </w:tcPr>
          <w:p w14:paraId="74176BF1" w14:textId="77777777" w:rsidR="00221D6D" w:rsidRPr="00221D6D" w:rsidRDefault="00221D6D" w:rsidP="00221D6D">
            <w:pPr>
              <w:jc w:val="center"/>
              <w:rPr>
                <w:sz w:val="20"/>
                <w:szCs w:val="20"/>
                <w:lang w:val="en-US"/>
              </w:rPr>
            </w:pPr>
            <w:r w:rsidRPr="00221D6D">
              <w:rPr>
                <w:sz w:val="20"/>
                <w:szCs w:val="20"/>
              </w:rPr>
              <w:t>1</w:t>
            </w:r>
            <w:r w:rsidRPr="00221D6D">
              <w:rPr>
                <w:sz w:val="20"/>
                <w:szCs w:val="20"/>
                <w:lang w:val="en-US"/>
              </w:rPr>
              <w:t>7,0</w:t>
            </w:r>
          </w:p>
        </w:tc>
        <w:tc>
          <w:tcPr>
            <w:tcW w:w="609" w:type="dxa"/>
            <w:vAlign w:val="bottom"/>
          </w:tcPr>
          <w:p w14:paraId="4194DF88" w14:textId="77777777" w:rsidR="00221D6D" w:rsidRPr="00221D6D" w:rsidRDefault="00221D6D" w:rsidP="00221D6D">
            <w:pPr>
              <w:jc w:val="center"/>
              <w:rPr>
                <w:sz w:val="20"/>
                <w:szCs w:val="20"/>
                <w:lang w:val="en-US"/>
              </w:rPr>
            </w:pPr>
            <w:r w:rsidRPr="00221D6D">
              <w:rPr>
                <w:sz w:val="20"/>
                <w:szCs w:val="20"/>
                <w:lang w:val="en-US"/>
              </w:rPr>
              <w:t>18,7</w:t>
            </w:r>
          </w:p>
        </w:tc>
        <w:tc>
          <w:tcPr>
            <w:tcW w:w="610" w:type="dxa"/>
            <w:vAlign w:val="bottom"/>
          </w:tcPr>
          <w:p w14:paraId="07503C4D" w14:textId="77777777" w:rsidR="00221D6D" w:rsidRPr="00221D6D" w:rsidRDefault="00221D6D" w:rsidP="00221D6D">
            <w:pPr>
              <w:jc w:val="center"/>
              <w:rPr>
                <w:sz w:val="20"/>
                <w:szCs w:val="20"/>
              </w:rPr>
            </w:pPr>
            <w:r w:rsidRPr="00221D6D">
              <w:rPr>
                <w:sz w:val="20"/>
                <w:szCs w:val="20"/>
                <w:lang w:val="en-US"/>
              </w:rPr>
              <w:t>20,6</w:t>
            </w:r>
          </w:p>
        </w:tc>
      </w:tr>
      <w:tr w:rsidR="00221D6D" w:rsidRPr="00221D6D" w14:paraId="1920DC24" w14:textId="77777777" w:rsidTr="005C2605">
        <w:trPr>
          <w:trHeight w:val="20"/>
        </w:trPr>
        <w:tc>
          <w:tcPr>
            <w:tcW w:w="3119" w:type="dxa"/>
            <w:vAlign w:val="bottom"/>
          </w:tcPr>
          <w:p w14:paraId="4AA42E2E" w14:textId="77777777" w:rsidR="00221D6D" w:rsidRPr="00221D6D" w:rsidRDefault="00221D6D" w:rsidP="00A911FD">
            <w:pPr>
              <w:ind w:left="431" w:hanging="431"/>
              <w:rPr>
                <w:sz w:val="20"/>
                <w:szCs w:val="20"/>
              </w:rPr>
            </w:pPr>
            <w:r w:rsidRPr="00221D6D">
              <w:rPr>
                <w:sz w:val="20"/>
                <w:szCs w:val="20"/>
              </w:rPr>
              <w:t>0100 ОБЩЕГОСУДАРСТВЕННЫЕ ВОПРОСЫ</w:t>
            </w:r>
          </w:p>
        </w:tc>
        <w:tc>
          <w:tcPr>
            <w:tcW w:w="609" w:type="dxa"/>
            <w:vAlign w:val="bottom"/>
          </w:tcPr>
          <w:p w14:paraId="178C8590" w14:textId="77777777" w:rsidR="00221D6D" w:rsidRPr="00221D6D" w:rsidRDefault="00221D6D" w:rsidP="00221D6D">
            <w:pPr>
              <w:jc w:val="center"/>
              <w:rPr>
                <w:sz w:val="20"/>
                <w:szCs w:val="20"/>
                <w:lang w:val="en-US"/>
              </w:rPr>
            </w:pPr>
            <w:r w:rsidRPr="00221D6D">
              <w:rPr>
                <w:sz w:val="20"/>
                <w:szCs w:val="20"/>
              </w:rPr>
              <w:t>10,1</w:t>
            </w:r>
          </w:p>
        </w:tc>
        <w:tc>
          <w:tcPr>
            <w:tcW w:w="610" w:type="dxa"/>
            <w:vAlign w:val="bottom"/>
          </w:tcPr>
          <w:p w14:paraId="04EC998B" w14:textId="77777777" w:rsidR="00221D6D" w:rsidRPr="00221D6D" w:rsidRDefault="00221D6D" w:rsidP="00221D6D">
            <w:pPr>
              <w:jc w:val="center"/>
              <w:rPr>
                <w:sz w:val="20"/>
                <w:szCs w:val="20"/>
              </w:rPr>
            </w:pPr>
            <w:r w:rsidRPr="00221D6D">
              <w:rPr>
                <w:sz w:val="20"/>
                <w:szCs w:val="20"/>
              </w:rPr>
              <w:t>10,1</w:t>
            </w:r>
          </w:p>
        </w:tc>
        <w:tc>
          <w:tcPr>
            <w:tcW w:w="609" w:type="dxa"/>
            <w:vAlign w:val="bottom"/>
          </w:tcPr>
          <w:p w14:paraId="03CB0DC4" w14:textId="77777777" w:rsidR="00221D6D" w:rsidRPr="00221D6D" w:rsidRDefault="00221D6D" w:rsidP="00221D6D">
            <w:pPr>
              <w:jc w:val="center"/>
              <w:rPr>
                <w:rFonts w:eastAsia="Arial Unicode MS"/>
                <w:sz w:val="20"/>
                <w:szCs w:val="20"/>
                <w:lang w:val="en-US"/>
              </w:rPr>
            </w:pPr>
            <w:r w:rsidRPr="00221D6D">
              <w:rPr>
                <w:sz w:val="20"/>
                <w:szCs w:val="20"/>
              </w:rPr>
              <w:t>15,</w:t>
            </w:r>
            <w:r w:rsidRPr="00221D6D">
              <w:rPr>
                <w:sz w:val="20"/>
                <w:szCs w:val="20"/>
                <w:lang w:val="en-US"/>
              </w:rPr>
              <w:t>1</w:t>
            </w:r>
          </w:p>
        </w:tc>
        <w:tc>
          <w:tcPr>
            <w:tcW w:w="610" w:type="dxa"/>
            <w:vAlign w:val="bottom"/>
          </w:tcPr>
          <w:p w14:paraId="1FDBC862" w14:textId="77777777" w:rsidR="00221D6D" w:rsidRPr="00221D6D" w:rsidRDefault="00221D6D" w:rsidP="00221D6D">
            <w:pPr>
              <w:jc w:val="center"/>
              <w:rPr>
                <w:sz w:val="20"/>
                <w:szCs w:val="20"/>
              </w:rPr>
            </w:pPr>
            <w:r w:rsidRPr="00221D6D">
              <w:rPr>
                <w:sz w:val="20"/>
                <w:szCs w:val="20"/>
              </w:rPr>
              <w:t>12,5</w:t>
            </w:r>
          </w:p>
        </w:tc>
        <w:tc>
          <w:tcPr>
            <w:tcW w:w="609" w:type="dxa"/>
            <w:vAlign w:val="bottom"/>
          </w:tcPr>
          <w:p w14:paraId="4DA32993" w14:textId="77777777" w:rsidR="00221D6D" w:rsidRPr="00221D6D" w:rsidRDefault="00221D6D" w:rsidP="00221D6D">
            <w:pPr>
              <w:jc w:val="center"/>
              <w:rPr>
                <w:rFonts w:eastAsia="Arial Unicode MS"/>
                <w:sz w:val="20"/>
                <w:szCs w:val="20"/>
                <w:lang w:val="en-US"/>
              </w:rPr>
            </w:pPr>
            <w:r w:rsidRPr="00221D6D">
              <w:rPr>
                <w:sz w:val="20"/>
                <w:szCs w:val="20"/>
                <w:lang w:val="en-US"/>
              </w:rPr>
              <w:t>14</w:t>
            </w:r>
            <w:r w:rsidRPr="00221D6D">
              <w:rPr>
                <w:sz w:val="20"/>
                <w:szCs w:val="20"/>
              </w:rPr>
              <w:t>,</w:t>
            </w:r>
            <w:r w:rsidRPr="00221D6D">
              <w:rPr>
                <w:sz w:val="20"/>
                <w:szCs w:val="20"/>
                <w:lang w:val="en-US"/>
              </w:rPr>
              <w:t>6</w:t>
            </w:r>
          </w:p>
        </w:tc>
        <w:tc>
          <w:tcPr>
            <w:tcW w:w="610" w:type="dxa"/>
            <w:vAlign w:val="bottom"/>
          </w:tcPr>
          <w:p w14:paraId="077EBB4E" w14:textId="77777777" w:rsidR="00221D6D" w:rsidRPr="00221D6D" w:rsidRDefault="00221D6D" w:rsidP="00221D6D">
            <w:pPr>
              <w:jc w:val="center"/>
              <w:rPr>
                <w:sz w:val="20"/>
                <w:szCs w:val="20"/>
                <w:lang w:val="en-US"/>
              </w:rPr>
            </w:pPr>
            <w:r w:rsidRPr="00221D6D">
              <w:rPr>
                <w:sz w:val="20"/>
                <w:szCs w:val="20"/>
                <w:lang w:val="en-US"/>
              </w:rPr>
              <w:t>15,2</w:t>
            </w:r>
          </w:p>
        </w:tc>
        <w:tc>
          <w:tcPr>
            <w:tcW w:w="609" w:type="dxa"/>
            <w:vAlign w:val="bottom"/>
          </w:tcPr>
          <w:p w14:paraId="23E45D14" w14:textId="77777777" w:rsidR="00221D6D" w:rsidRPr="00221D6D" w:rsidRDefault="00221D6D" w:rsidP="00221D6D">
            <w:pPr>
              <w:jc w:val="center"/>
              <w:rPr>
                <w:sz w:val="20"/>
                <w:szCs w:val="20"/>
              </w:rPr>
            </w:pPr>
            <w:r w:rsidRPr="00221D6D">
              <w:rPr>
                <w:sz w:val="20"/>
                <w:szCs w:val="20"/>
              </w:rPr>
              <w:t>6</w:t>
            </w:r>
            <w:r w:rsidRPr="00221D6D">
              <w:rPr>
                <w:sz w:val="20"/>
                <w:szCs w:val="20"/>
                <w:lang w:val="en-US"/>
              </w:rPr>
              <w:t>,</w:t>
            </w:r>
            <w:r w:rsidRPr="00221D6D">
              <w:rPr>
                <w:sz w:val="20"/>
                <w:szCs w:val="20"/>
              </w:rPr>
              <w:t>7</w:t>
            </w:r>
          </w:p>
        </w:tc>
        <w:tc>
          <w:tcPr>
            <w:tcW w:w="610" w:type="dxa"/>
            <w:vAlign w:val="bottom"/>
          </w:tcPr>
          <w:p w14:paraId="0AD39585" w14:textId="77777777" w:rsidR="00221D6D" w:rsidRPr="00221D6D" w:rsidRDefault="00221D6D" w:rsidP="00221D6D">
            <w:pPr>
              <w:jc w:val="center"/>
              <w:rPr>
                <w:sz w:val="20"/>
                <w:szCs w:val="20"/>
              </w:rPr>
            </w:pPr>
            <w:r w:rsidRPr="00221D6D">
              <w:rPr>
                <w:sz w:val="20"/>
                <w:szCs w:val="20"/>
              </w:rPr>
              <w:t>6</w:t>
            </w:r>
            <w:r w:rsidRPr="00221D6D">
              <w:rPr>
                <w:sz w:val="20"/>
                <w:szCs w:val="20"/>
                <w:lang w:val="en-US"/>
              </w:rPr>
              <w:t>,</w:t>
            </w:r>
            <w:r w:rsidRPr="00221D6D">
              <w:rPr>
                <w:sz w:val="20"/>
                <w:szCs w:val="20"/>
              </w:rPr>
              <w:t>4</w:t>
            </w:r>
          </w:p>
        </w:tc>
        <w:tc>
          <w:tcPr>
            <w:tcW w:w="609" w:type="dxa"/>
            <w:vAlign w:val="bottom"/>
          </w:tcPr>
          <w:p w14:paraId="721BCD34" w14:textId="77777777" w:rsidR="00221D6D" w:rsidRPr="00221D6D" w:rsidRDefault="00221D6D" w:rsidP="00221D6D">
            <w:pPr>
              <w:jc w:val="center"/>
              <w:rPr>
                <w:sz w:val="20"/>
                <w:szCs w:val="20"/>
              </w:rPr>
            </w:pPr>
            <w:r w:rsidRPr="00221D6D">
              <w:rPr>
                <w:sz w:val="20"/>
                <w:szCs w:val="20"/>
                <w:lang w:val="en-US"/>
              </w:rPr>
              <w:t>5,</w:t>
            </w:r>
            <w:r w:rsidRPr="00221D6D">
              <w:rPr>
                <w:sz w:val="20"/>
                <w:szCs w:val="20"/>
              </w:rPr>
              <w:t>0</w:t>
            </w:r>
          </w:p>
        </w:tc>
        <w:tc>
          <w:tcPr>
            <w:tcW w:w="610" w:type="dxa"/>
            <w:vAlign w:val="bottom"/>
          </w:tcPr>
          <w:p w14:paraId="2F9C4571" w14:textId="77777777" w:rsidR="00221D6D" w:rsidRPr="00221D6D" w:rsidRDefault="00221D6D" w:rsidP="00221D6D">
            <w:pPr>
              <w:jc w:val="center"/>
              <w:rPr>
                <w:sz w:val="20"/>
                <w:szCs w:val="20"/>
              </w:rPr>
            </w:pPr>
            <w:r w:rsidRPr="00221D6D">
              <w:rPr>
                <w:sz w:val="20"/>
                <w:szCs w:val="20"/>
              </w:rPr>
              <w:t>4,8</w:t>
            </w:r>
          </w:p>
        </w:tc>
      </w:tr>
      <w:tr w:rsidR="00221D6D" w:rsidRPr="00221D6D" w14:paraId="4590D543" w14:textId="77777777" w:rsidTr="005C2605">
        <w:trPr>
          <w:trHeight w:val="20"/>
        </w:trPr>
        <w:tc>
          <w:tcPr>
            <w:tcW w:w="3119" w:type="dxa"/>
            <w:vAlign w:val="bottom"/>
          </w:tcPr>
          <w:p w14:paraId="1CAA0D9F" w14:textId="77777777" w:rsidR="00221D6D" w:rsidRPr="00221D6D" w:rsidRDefault="00221D6D" w:rsidP="00A911FD">
            <w:pPr>
              <w:ind w:left="426" w:hanging="426"/>
              <w:rPr>
                <w:sz w:val="20"/>
                <w:szCs w:val="20"/>
              </w:rPr>
            </w:pPr>
            <w:r w:rsidRPr="00221D6D">
              <w:rPr>
                <w:sz w:val="20"/>
                <w:szCs w:val="20"/>
              </w:rPr>
              <w:t>0108 Международные отношения и международное сотрудничество</w:t>
            </w:r>
          </w:p>
        </w:tc>
        <w:tc>
          <w:tcPr>
            <w:tcW w:w="609" w:type="dxa"/>
            <w:vAlign w:val="bottom"/>
          </w:tcPr>
          <w:p w14:paraId="42D95D9C" w14:textId="77777777" w:rsidR="00221D6D" w:rsidRPr="00221D6D" w:rsidRDefault="00221D6D" w:rsidP="00221D6D">
            <w:pPr>
              <w:jc w:val="center"/>
              <w:rPr>
                <w:sz w:val="20"/>
                <w:szCs w:val="20"/>
              </w:rPr>
            </w:pPr>
            <w:r w:rsidRPr="00221D6D">
              <w:rPr>
                <w:rFonts w:eastAsia="Arial Unicode MS"/>
                <w:sz w:val="20"/>
                <w:szCs w:val="20"/>
                <w:lang w:val="en-US"/>
              </w:rPr>
              <w:t>&lt;0,1</w:t>
            </w:r>
          </w:p>
        </w:tc>
        <w:tc>
          <w:tcPr>
            <w:tcW w:w="610" w:type="dxa"/>
            <w:vAlign w:val="bottom"/>
          </w:tcPr>
          <w:p w14:paraId="27E90323" w14:textId="77777777" w:rsidR="00221D6D" w:rsidRPr="00221D6D" w:rsidRDefault="00221D6D" w:rsidP="00221D6D">
            <w:pPr>
              <w:jc w:val="center"/>
              <w:rPr>
                <w:sz w:val="20"/>
                <w:szCs w:val="20"/>
              </w:rPr>
            </w:pPr>
            <w:r w:rsidRPr="00221D6D">
              <w:rPr>
                <w:sz w:val="20"/>
                <w:szCs w:val="20"/>
              </w:rPr>
              <w:t>1,4</w:t>
            </w:r>
          </w:p>
        </w:tc>
        <w:tc>
          <w:tcPr>
            <w:tcW w:w="609" w:type="dxa"/>
            <w:vAlign w:val="bottom"/>
          </w:tcPr>
          <w:p w14:paraId="312A2AE9" w14:textId="77777777" w:rsidR="00221D6D" w:rsidRPr="00221D6D" w:rsidRDefault="00221D6D" w:rsidP="00221D6D">
            <w:pPr>
              <w:jc w:val="center"/>
              <w:rPr>
                <w:rFonts w:eastAsia="Arial Unicode MS"/>
                <w:sz w:val="20"/>
                <w:szCs w:val="20"/>
                <w:lang w:val="en-US"/>
              </w:rPr>
            </w:pPr>
            <w:r w:rsidRPr="00221D6D">
              <w:rPr>
                <w:sz w:val="20"/>
                <w:szCs w:val="20"/>
              </w:rPr>
              <w:t>24</w:t>
            </w:r>
            <w:r w:rsidRPr="00221D6D">
              <w:rPr>
                <w:sz w:val="20"/>
                <w:szCs w:val="20"/>
                <w:lang w:val="en-US"/>
              </w:rPr>
              <w:t>,1</w:t>
            </w:r>
          </w:p>
        </w:tc>
        <w:tc>
          <w:tcPr>
            <w:tcW w:w="610" w:type="dxa"/>
            <w:vAlign w:val="bottom"/>
          </w:tcPr>
          <w:p w14:paraId="39BCF447" w14:textId="77777777" w:rsidR="00221D6D" w:rsidRPr="00221D6D" w:rsidRDefault="00221D6D" w:rsidP="00221D6D">
            <w:pPr>
              <w:jc w:val="center"/>
              <w:rPr>
                <w:sz w:val="20"/>
                <w:szCs w:val="20"/>
              </w:rPr>
            </w:pPr>
            <w:r w:rsidRPr="00221D6D">
              <w:rPr>
                <w:rFonts w:eastAsia="Arial Unicode MS"/>
                <w:sz w:val="20"/>
                <w:szCs w:val="20"/>
              </w:rPr>
              <w:t>23</w:t>
            </w:r>
            <w:r w:rsidRPr="00221D6D">
              <w:rPr>
                <w:rFonts w:eastAsia="Arial Unicode MS"/>
                <w:sz w:val="20"/>
                <w:szCs w:val="20"/>
                <w:lang w:val="en-US"/>
              </w:rPr>
              <w:t>,1</w:t>
            </w:r>
          </w:p>
        </w:tc>
        <w:tc>
          <w:tcPr>
            <w:tcW w:w="609" w:type="dxa"/>
            <w:vAlign w:val="bottom"/>
          </w:tcPr>
          <w:p w14:paraId="20F41426" w14:textId="77777777" w:rsidR="00221D6D" w:rsidRPr="00221D6D" w:rsidRDefault="00221D6D" w:rsidP="00221D6D">
            <w:pPr>
              <w:jc w:val="center"/>
              <w:rPr>
                <w:rFonts w:eastAsia="Arial Unicode MS"/>
                <w:sz w:val="20"/>
                <w:szCs w:val="20"/>
              </w:rPr>
            </w:pPr>
            <w:r w:rsidRPr="00221D6D">
              <w:rPr>
                <w:rFonts w:eastAsia="Arial Unicode MS"/>
                <w:sz w:val="20"/>
                <w:szCs w:val="20"/>
                <w:lang w:val="en-US"/>
              </w:rPr>
              <w:t>26,5</w:t>
            </w:r>
          </w:p>
        </w:tc>
        <w:tc>
          <w:tcPr>
            <w:tcW w:w="610" w:type="dxa"/>
            <w:vAlign w:val="bottom"/>
          </w:tcPr>
          <w:p w14:paraId="4EB5ACCD"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lang w:val="en-US"/>
              </w:rPr>
              <w:t>24,9</w:t>
            </w:r>
          </w:p>
        </w:tc>
        <w:tc>
          <w:tcPr>
            <w:tcW w:w="609" w:type="dxa"/>
            <w:vAlign w:val="bottom"/>
          </w:tcPr>
          <w:p w14:paraId="2AB31AC0"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lang w:val="en-US"/>
              </w:rPr>
              <w:t>&lt;0,1</w:t>
            </w:r>
          </w:p>
        </w:tc>
        <w:tc>
          <w:tcPr>
            <w:tcW w:w="610" w:type="dxa"/>
            <w:vAlign w:val="bottom"/>
          </w:tcPr>
          <w:p w14:paraId="34160F44"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lang w:val="en-US"/>
              </w:rPr>
              <w:t>&lt;0,1</w:t>
            </w:r>
          </w:p>
        </w:tc>
        <w:tc>
          <w:tcPr>
            <w:tcW w:w="609" w:type="dxa"/>
            <w:vAlign w:val="bottom"/>
          </w:tcPr>
          <w:p w14:paraId="4D548389"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lang w:val="en-US"/>
              </w:rPr>
              <w:t>&lt;0,1</w:t>
            </w:r>
          </w:p>
        </w:tc>
        <w:tc>
          <w:tcPr>
            <w:tcW w:w="610" w:type="dxa"/>
            <w:vAlign w:val="bottom"/>
          </w:tcPr>
          <w:p w14:paraId="3E4704D3"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lang w:val="en-US"/>
              </w:rPr>
              <w:t>&lt;0,1</w:t>
            </w:r>
          </w:p>
        </w:tc>
      </w:tr>
      <w:tr w:rsidR="00221D6D" w:rsidRPr="00221D6D" w14:paraId="1A04F240" w14:textId="77777777" w:rsidTr="005C2605">
        <w:trPr>
          <w:trHeight w:val="20"/>
        </w:trPr>
        <w:tc>
          <w:tcPr>
            <w:tcW w:w="3119" w:type="dxa"/>
            <w:vAlign w:val="bottom"/>
          </w:tcPr>
          <w:p w14:paraId="60525789" w14:textId="77777777" w:rsidR="00221D6D" w:rsidRPr="00221D6D" w:rsidRDefault="00221D6D" w:rsidP="00A911FD">
            <w:pPr>
              <w:ind w:left="431" w:hanging="426"/>
              <w:rPr>
                <w:sz w:val="20"/>
                <w:szCs w:val="20"/>
              </w:rPr>
            </w:pPr>
            <w:r w:rsidRPr="00221D6D">
              <w:rPr>
                <w:sz w:val="20"/>
                <w:szCs w:val="20"/>
              </w:rPr>
              <w:t>0109 Государственный материальный резерв</w:t>
            </w:r>
          </w:p>
        </w:tc>
        <w:tc>
          <w:tcPr>
            <w:tcW w:w="609" w:type="dxa"/>
            <w:vAlign w:val="bottom"/>
          </w:tcPr>
          <w:p w14:paraId="51F507B2" w14:textId="77777777" w:rsidR="00221D6D" w:rsidRPr="00221D6D" w:rsidRDefault="00221D6D" w:rsidP="00221D6D">
            <w:pPr>
              <w:jc w:val="center"/>
              <w:rPr>
                <w:sz w:val="20"/>
                <w:szCs w:val="20"/>
              </w:rPr>
            </w:pPr>
            <w:r w:rsidRPr="00221D6D">
              <w:rPr>
                <w:sz w:val="20"/>
                <w:szCs w:val="20"/>
              </w:rPr>
              <w:t>86,1</w:t>
            </w:r>
          </w:p>
        </w:tc>
        <w:tc>
          <w:tcPr>
            <w:tcW w:w="610" w:type="dxa"/>
            <w:vAlign w:val="bottom"/>
          </w:tcPr>
          <w:p w14:paraId="40352B34" w14:textId="77777777" w:rsidR="00221D6D" w:rsidRPr="00221D6D" w:rsidRDefault="00221D6D" w:rsidP="00221D6D">
            <w:pPr>
              <w:jc w:val="center"/>
              <w:rPr>
                <w:sz w:val="20"/>
                <w:szCs w:val="20"/>
              </w:rPr>
            </w:pPr>
            <w:r w:rsidRPr="00221D6D">
              <w:rPr>
                <w:sz w:val="20"/>
                <w:szCs w:val="20"/>
              </w:rPr>
              <w:t>86,7</w:t>
            </w:r>
          </w:p>
        </w:tc>
        <w:tc>
          <w:tcPr>
            <w:tcW w:w="609" w:type="dxa"/>
            <w:vAlign w:val="bottom"/>
          </w:tcPr>
          <w:p w14:paraId="52C7472D" w14:textId="77777777" w:rsidR="00221D6D" w:rsidRPr="00221D6D" w:rsidRDefault="00221D6D" w:rsidP="00221D6D">
            <w:pPr>
              <w:jc w:val="center"/>
              <w:rPr>
                <w:rFonts w:eastAsia="Arial Unicode MS"/>
                <w:sz w:val="20"/>
                <w:szCs w:val="20"/>
              </w:rPr>
            </w:pPr>
            <w:r w:rsidRPr="00221D6D">
              <w:rPr>
                <w:sz w:val="20"/>
                <w:szCs w:val="20"/>
              </w:rPr>
              <w:t>8</w:t>
            </w:r>
            <w:r w:rsidRPr="00221D6D">
              <w:rPr>
                <w:sz w:val="20"/>
                <w:szCs w:val="20"/>
                <w:lang w:val="en-US"/>
              </w:rPr>
              <w:t>7</w:t>
            </w:r>
            <w:r w:rsidRPr="00221D6D">
              <w:rPr>
                <w:sz w:val="20"/>
                <w:szCs w:val="20"/>
              </w:rPr>
              <w:t>,2</w:t>
            </w:r>
          </w:p>
        </w:tc>
        <w:tc>
          <w:tcPr>
            <w:tcW w:w="610" w:type="dxa"/>
            <w:vAlign w:val="bottom"/>
          </w:tcPr>
          <w:p w14:paraId="420268A8" w14:textId="77777777" w:rsidR="00221D6D" w:rsidRPr="00221D6D" w:rsidRDefault="00221D6D" w:rsidP="00221D6D">
            <w:pPr>
              <w:jc w:val="center"/>
              <w:rPr>
                <w:sz w:val="20"/>
                <w:szCs w:val="20"/>
              </w:rPr>
            </w:pPr>
            <w:r w:rsidRPr="00221D6D">
              <w:rPr>
                <w:sz w:val="20"/>
                <w:szCs w:val="20"/>
              </w:rPr>
              <w:t>84,1</w:t>
            </w:r>
          </w:p>
        </w:tc>
        <w:tc>
          <w:tcPr>
            <w:tcW w:w="609" w:type="dxa"/>
            <w:vAlign w:val="bottom"/>
          </w:tcPr>
          <w:p w14:paraId="7175D0AA" w14:textId="77777777" w:rsidR="00221D6D" w:rsidRPr="00221D6D" w:rsidRDefault="00221D6D" w:rsidP="00221D6D">
            <w:pPr>
              <w:jc w:val="center"/>
              <w:rPr>
                <w:rFonts w:eastAsia="Arial Unicode MS"/>
                <w:sz w:val="20"/>
                <w:szCs w:val="20"/>
                <w:lang w:val="en-US"/>
              </w:rPr>
            </w:pPr>
            <w:r w:rsidRPr="00221D6D">
              <w:rPr>
                <w:sz w:val="20"/>
                <w:szCs w:val="20"/>
              </w:rPr>
              <w:t>8</w:t>
            </w:r>
            <w:r w:rsidRPr="00221D6D">
              <w:rPr>
                <w:sz w:val="20"/>
                <w:szCs w:val="20"/>
                <w:lang w:val="en-US"/>
              </w:rPr>
              <w:t>6</w:t>
            </w:r>
            <w:r w:rsidRPr="00221D6D">
              <w:rPr>
                <w:sz w:val="20"/>
                <w:szCs w:val="20"/>
              </w:rPr>
              <w:t>,</w:t>
            </w:r>
            <w:r w:rsidRPr="00221D6D">
              <w:rPr>
                <w:sz w:val="20"/>
                <w:szCs w:val="20"/>
                <w:lang w:val="en-US"/>
              </w:rPr>
              <w:t>6</w:t>
            </w:r>
          </w:p>
        </w:tc>
        <w:tc>
          <w:tcPr>
            <w:tcW w:w="610" w:type="dxa"/>
            <w:vAlign w:val="bottom"/>
          </w:tcPr>
          <w:p w14:paraId="4FD30F94" w14:textId="77777777" w:rsidR="00221D6D" w:rsidRPr="00221D6D" w:rsidRDefault="00221D6D" w:rsidP="00221D6D">
            <w:pPr>
              <w:jc w:val="center"/>
              <w:rPr>
                <w:sz w:val="20"/>
                <w:szCs w:val="20"/>
                <w:lang w:val="en-US"/>
              </w:rPr>
            </w:pPr>
            <w:r w:rsidRPr="00221D6D">
              <w:rPr>
                <w:sz w:val="20"/>
                <w:szCs w:val="20"/>
                <w:lang w:val="en-US"/>
              </w:rPr>
              <w:t>87,2</w:t>
            </w:r>
          </w:p>
        </w:tc>
        <w:tc>
          <w:tcPr>
            <w:tcW w:w="609" w:type="dxa"/>
            <w:vAlign w:val="bottom"/>
          </w:tcPr>
          <w:p w14:paraId="6F098A7D" w14:textId="77777777" w:rsidR="00221D6D" w:rsidRPr="00221D6D" w:rsidRDefault="00221D6D" w:rsidP="00221D6D">
            <w:pPr>
              <w:jc w:val="center"/>
              <w:rPr>
                <w:sz w:val="20"/>
                <w:szCs w:val="20"/>
              </w:rPr>
            </w:pPr>
            <w:r w:rsidRPr="00221D6D">
              <w:rPr>
                <w:sz w:val="20"/>
                <w:szCs w:val="20"/>
                <w:lang w:val="en-US"/>
              </w:rPr>
              <w:t>8</w:t>
            </w:r>
            <w:r w:rsidRPr="00221D6D">
              <w:rPr>
                <w:sz w:val="20"/>
                <w:szCs w:val="20"/>
              </w:rPr>
              <w:t>6</w:t>
            </w:r>
            <w:r w:rsidRPr="00221D6D">
              <w:rPr>
                <w:sz w:val="20"/>
                <w:szCs w:val="20"/>
                <w:lang w:val="en-US"/>
              </w:rPr>
              <w:t>,</w:t>
            </w:r>
            <w:r w:rsidRPr="00221D6D">
              <w:rPr>
                <w:sz w:val="20"/>
                <w:szCs w:val="20"/>
              </w:rPr>
              <w:t>1</w:t>
            </w:r>
          </w:p>
        </w:tc>
        <w:tc>
          <w:tcPr>
            <w:tcW w:w="610" w:type="dxa"/>
            <w:vAlign w:val="bottom"/>
          </w:tcPr>
          <w:p w14:paraId="5C12C290" w14:textId="77777777" w:rsidR="00221D6D" w:rsidRPr="00221D6D" w:rsidRDefault="00221D6D" w:rsidP="00221D6D">
            <w:pPr>
              <w:jc w:val="center"/>
              <w:rPr>
                <w:sz w:val="20"/>
                <w:szCs w:val="20"/>
              </w:rPr>
            </w:pPr>
            <w:r w:rsidRPr="00221D6D">
              <w:rPr>
                <w:sz w:val="20"/>
                <w:szCs w:val="20"/>
                <w:lang w:val="en-US"/>
              </w:rPr>
              <w:t>8</w:t>
            </w:r>
            <w:r w:rsidRPr="00221D6D">
              <w:rPr>
                <w:sz w:val="20"/>
                <w:szCs w:val="20"/>
              </w:rPr>
              <w:t>6</w:t>
            </w:r>
            <w:r w:rsidRPr="00221D6D">
              <w:rPr>
                <w:sz w:val="20"/>
                <w:szCs w:val="20"/>
                <w:lang w:val="en-US"/>
              </w:rPr>
              <w:t>,</w:t>
            </w:r>
            <w:r w:rsidRPr="00221D6D">
              <w:rPr>
                <w:sz w:val="20"/>
                <w:szCs w:val="20"/>
              </w:rPr>
              <w:t>5</w:t>
            </w:r>
          </w:p>
        </w:tc>
        <w:tc>
          <w:tcPr>
            <w:tcW w:w="609" w:type="dxa"/>
            <w:vAlign w:val="bottom"/>
          </w:tcPr>
          <w:p w14:paraId="56BEF08B" w14:textId="77777777" w:rsidR="00221D6D" w:rsidRPr="00221D6D" w:rsidRDefault="00221D6D" w:rsidP="00221D6D">
            <w:pPr>
              <w:jc w:val="center"/>
              <w:rPr>
                <w:sz w:val="20"/>
                <w:szCs w:val="20"/>
              </w:rPr>
            </w:pPr>
            <w:r w:rsidRPr="00221D6D">
              <w:rPr>
                <w:sz w:val="20"/>
                <w:szCs w:val="20"/>
                <w:lang w:val="en-US"/>
              </w:rPr>
              <w:t>8</w:t>
            </w:r>
            <w:r w:rsidRPr="00221D6D">
              <w:rPr>
                <w:sz w:val="20"/>
                <w:szCs w:val="20"/>
              </w:rPr>
              <w:t>3</w:t>
            </w:r>
            <w:r w:rsidRPr="00221D6D">
              <w:rPr>
                <w:sz w:val="20"/>
                <w:szCs w:val="20"/>
                <w:lang w:val="en-US"/>
              </w:rPr>
              <w:t>,</w:t>
            </w:r>
            <w:r w:rsidRPr="00221D6D">
              <w:rPr>
                <w:sz w:val="20"/>
                <w:szCs w:val="20"/>
              </w:rPr>
              <w:t>0</w:t>
            </w:r>
          </w:p>
        </w:tc>
        <w:tc>
          <w:tcPr>
            <w:tcW w:w="610" w:type="dxa"/>
            <w:vAlign w:val="bottom"/>
          </w:tcPr>
          <w:p w14:paraId="761EE35A" w14:textId="77777777" w:rsidR="00221D6D" w:rsidRPr="00221D6D" w:rsidRDefault="00221D6D" w:rsidP="00221D6D">
            <w:pPr>
              <w:jc w:val="center"/>
              <w:rPr>
                <w:sz w:val="20"/>
                <w:szCs w:val="20"/>
              </w:rPr>
            </w:pPr>
            <w:r w:rsidRPr="00221D6D">
              <w:rPr>
                <w:sz w:val="20"/>
                <w:szCs w:val="20"/>
              </w:rPr>
              <w:t>82,7</w:t>
            </w:r>
          </w:p>
        </w:tc>
      </w:tr>
      <w:tr w:rsidR="00221D6D" w:rsidRPr="00221D6D" w14:paraId="4D42CE49" w14:textId="77777777" w:rsidTr="005C2605">
        <w:trPr>
          <w:trHeight w:val="20"/>
        </w:trPr>
        <w:tc>
          <w:tcPr>
            <w:tcW w:w="3119" w:type="dxa"/>
            <w:vAlign w:val="bottom"/>
          </w:tcPr>
          <w:p w14:paraId="4ACE5325" w14:textId="77777777" w:rsidR="00221D6D" w:rsidRPr="00221D6D" w:rsidRDefault="00221D6D" w:rsidP="00A911FD">
            <w:pPr>
              <w:rPr>
                <w:sz w:val="20"/>
                <w:szCs w:val="20"/>
              </w:rPr>
            </w:pPr>
            <w:r w:rsidRPr="00221D6D">
              <w:rPr>
                <w:sz w:val="20"/>
                <w:szCs w:val="20"/>
              </w:rPr>
              <w:t>0110 Фундаментальные исследования</w:t>
            </w:r>
          </w:p>
        </w:tc>
        <w:tc>
          <w:tcPr>
            <w:tcW w:w="609" w:type="dxa"/>
            <w:vAlign w:val="bottom"/>
          </w:tcPr>
          <w:p w14:paraId="6858A0BC" w14:textId="77777777" w:rsidR="00221D6D" w:rsidRPr="00221D6D" w:rsidRDefault="00221D6D" w:rsidP="00221D6D">
            <w:pPr>
              <w:jc w:val="center"/>
              <w:rPr>
                <w:sz w:val="20"/>
                <w:szCs w:val="20"/>
              </w:rPr>
            </w:pPr>
            <w:r w:rsidRPr="00221D6D">
              <w:rPr>
                <w:sz w:val="20"/>
                <w:szCs w:val="20"/>
              </w:rPr>
              <w:t>0,7</w:t>
            </w:r>
          </w:p>
        </w:tc>
        <w:tc>
          <w:tcPr>
            <w:tcW w:w="610" w:type="dxa"/>
            <w:vAlign w:val="bottom"/>
          </w:tcPr>
          <w:p w14:paraId="2B1B3486"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8</w:t>
            </w:r>
          </w:p>
        </w:tc>
        <w:tc>
          <w:tcPr>
            <w:tcW w:w="609" w:type="dxa"/>
            <w:vAlign w:val="bottom"/>
          </w:tcPr>
          <w:p w14:paraId="4DBAC58E" w14:textId="77777777" w:rsidR="00221D6D" w:rsidRPr="00221D6D" w:rsidRDefault="00221D6D" w:rsidP="00221D6D">
            <w:pPr>
              <w:jc w:val="center"/>
              <w:rPr>
                <w:rFonts w:eastAsia="Arial Unicode MS"/>
                <w:sz w:val="20"/>
                <w:szCs w:val="20"/>
              </w:rPr>
            </w:pPr>
            <w:r w:rsidRPr="00221D6D">
              <w:rPr>
                <w:sz w:val="20"/>
                <w:szCs w:val="20"/>
              </w:rPr>
              <w:t>0,8</w:t>
            </w:r>
          </w:p>
        </w:tc>
        <w:tc>
          <w:tcPr>
            <w:tcW w:w="610" w:type="dxa"/>
            <w:vAlign w:val="bottom"/>
          </w:tcPr>
          <w:p w14:paraId="1139C05D"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8</w:t>
            </w:r>
          </w:p>
        </w:tc>
        <w:tc>
          <w:tcPr>
            <w:tcW w:w="609" w:type="dxa"/>
            <w:vAlign w:val="bottom"/>
          </w:tcPr>
          <w:p w14:paraId="6F957936" w14:textId="77777777" w:rsidR="00221D6D" w:rsidRPr="00221D6D" w:rsidRDefault="00221D6D" w:rsidP="00221D6D">
            <w:pPr>
              <w:jc w:val="center"/>
              <w:rPr>
                <w:rFonts w:eastAsia="Arial Unicode MS"/>
                <w:sz w:val="20"/>
                <w:szCs w:val="20"/>
                <w:lang w:val="en-US"/>
              </w:rPr>
            </w:pPr>
            <w:r w:rsidRPr="00221D6D">
              <w:rPr>
                <w:sz w:val="20"/>
                <w:szCs w:val="20"/>
              </w:rPr>
              <w:t>0,</w:t>
            </w:r>
            <w:r w:rsidRPr="00221D6D">
              <w:rPr>
                <w:sz w:val="20"/>
                <w:szCs w:val="20"/>
                <w:lang w:val="en-US"/>
              </w:rPr>
              <w:t>6</w:t>
            </w:r>
          </w:p>
        </w:tc>
        <w:tc>
          <w:tcPr>
            <w:tcW w:w="610" w:type="dxa"/>
            <w:vAlign w:val="bottom"/>
          </w:tcPr>
          <w:p w14:paraId="54580D1E"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9</w:t>
            </w:r>
          </w:p>
        </w:tc>
        <w:tc>
          <w:tcPr>
            <w:tcW w:w="609" w:type="dxa"/>
            <w:vAlign w:val="bottom"/>
          </w:tcPr>
          <w:p w14:paraId="50FC2585" w14:textId="77777777" w:rsidR="00221D6D" w:rsidRPr="00221D6D" w:rsidRDefault="00221D6D" w:rsidP="00221D6D">
            <w:pPr>
              <w:jc w:val="center"/>
              <w:rPr>
                <w:sz w:val="20"/>
                <w:szCs w:val="20"/>
                <w:lang w:val="en-US"/>
              </w:rPr>
            </w:pPr>
            <w:r w:rsidRPr="00221D6D">
              <w:rPr>
                <w:sz w:val="20"/>
                <w:szCs w:val="20"/>
                <w:lang w:val="en-US"/>
              </w:rPr>
              <w:t>0,7</w:t>
            </w:r>
          </w:p>
        </w:tc>
        <w:tc>
          <w:tcPr>
            <w:tcW w:w="610" w:type="dxa"/>
            <w:vAlign w:val="bottom"/>
          </w:tcPr>
          <w:p w14:paraId="74382F30" w14:textId="77777777" w:rsidR="00221D6D" w:rsidRPr="00221D6D" w:rsidRDefault="00221D6D" w:rsidP="00221D6D">
            <w:pPr>
              <w:jc w:val="center"/>
              <w:rPr>
                <w:sz w:val="20"/>
                <w:szCs w:val="20"/>
              </w:rPr>
            </w:pPr>
            <w:r w:rsidRPr="00221D6D">
              <w:rPr>
                <w:sz w:val="20"/>
                <w:szCs w:val="20"/>
              </w:rPr>
              <w:t>0</w:t>
            </w:r>
            <w:r w:rsidRPr="00221D6D">
              <w:rPr>
                <w:sz w:val="20"/>
                <w:szCs w:val="20"/>
                <w:lang w:val="en-US"/>
              </w:rPr>
              <w:t>,</w:t>
            </w:r>
            <w:r w:rsidRPr="00221D6D">
              <w:rPr>
                <w:sz w:val="20"/>
                <w:szCs w:val="20"/>
              </w:rPr>
              <w:t>7</w:t>
            </w:r>
          </w:p>
        </w:tc>
        <w:tc>
          <w:tcPr>
            <w:tcW w:w="609" w:type="dxa"/>
            <w:vAlign w:val="bottom"/>
          </w:tcPr>
          <w:p w14:paraId="2A773668" w14:textId="77777777" w:rsidR="00221D6D" w:rsidRPr="00221D6D" w:rsidRDefault="00221D6D" w:rsidP="00221D6D">
            <w:pPr>
              <w:jc w:val="center"/>
              <w:rPr>
                <w:sz w:val="20"/>
                <w:szCs w:val="20"/>
              </w:rPr>
            </w:pPr>
            <w:r w:rsidRPr="00221D6D">
              <w:rPr>
                <w:sz w:val="20"/>
                <w:szCs w:val="20"/>
              </w:rPr>
              <w:t>0</w:t>
            </w:r>
            <w:r w:rsidRPr="00221D6D">
              <w:rPr>
                <w:sz w:val="20"/>
                <w:szCs w:val="20"/>
                <w:lang w:val="en-US"/>
              </w:rPr>
              <w:t>,</w:t>
            </w:r>
            <w:r w:rsidRPr="00221D6D">
              <w:rPr>
                <w:sz w:val="20"/>
                <w:szCs w:val="20"/>
              </w:rPr>
              <w:t>6</w:t>
            </w:r>
          </w:p>
        </w:tc>
        <w:tc>
          <w:tcPr>
            <w:tcW w:w="610" w:type="dxa"/>
            <w:vAlign w:val="bottom"/>
          </w:tcPr>
          <w:p w14:paraId="3A6EF1E6" w14:textId="77777777" w:rsidR="00221D6D" w:rsidRPr="00221D6D" w:rsidRDefault="00221D6D" w:rsidP="00221D6D">
            <w:pPr>
              <w:jc w:val="center"/>
              <w:rPr>
                <w:sz w:val="20"/>
                <w:szCs w:val="20"/>
              </w:rPr>
            </w:pPr>
            <w:r w:rsidRPr="00221D6D">
              <w:rPr>
                <w:sz w:val="20"/>
                <w:szCs w:val="20"/>
              </w:rPr>
              <w:t>0,6</w:t>
            </w:r>
          </w:p>
        </w:tc>
      </w:tr>
      <w:tr w:rsidR="00221D6D" w:rsidRPr="00221D6D" w14:paraId="01EA2118" w14:textId="77777777" w:rsidTr="005C2605">
        <w:trPr>
          <w:trHeight w:val="20"/>
        </w:trPr>
        <w:tc>
          <w:tcPr>
            <w:tcW w:w="3119" w:type="dxa"/>
            <w:vAlign w:val="bottom"/>
          </w:tcPr>
          <w:p w14:paraId="16F0962C" w14:textId="77777777" w:rsidR="00221D6D" w:rsidRPr="00221D6D" w:rsidRDefault="00221D6D" w:rsidP="00A911FD">
            <w:pPr>
              <w:ind w:left="426" w:hanging="426"/>
              <w:rPr>
                <w:sz w:val="20"/>
                <w:szCs w:val="20"/>
              </w:rPr>
            </w:pPr>
            <w:r w:rsidRPr="00221D6D">
              <w:rPr>
                <w:sz w:val="20"/>
                <w:szCs w:val="20"/>
              </w:rPr>
              <w:t>0112 Прикладные научные исследования в области общегосударственных вопросов</w:t>
            </w:r>
          </w:p>
        </w:tc>
        <w:tc>
          <w:tcPr>
            <w:tcW w:w="609" w:type="dxa"/>
            <w:vAlign w:val="bottom"/>
          </w:tcPr>
          <w:p w14:paraId="26BDCCAF" w14:textId="77777777" w:rsidR="00221D6D" w:rsidRPr="00221D6D" w:rsidRDefault="00221D6D" w:rsidP="00221D6D">
            <w:pPr>
              <w:jc w:val="center"/>
              <w:rPr>
                <w:sz w:val="20"/>
                <w:szCs w:val="20"/>
              </w:rPr>
            </w:pPr>
            <w:r w:rsidRPr="00221D6D">
              <w:rPr>
                <w:sz w:val="20"/>
                <w:szCs w:val="20"/>
              </w:rPr>
              <w:t>0,3</w:t>
            </w:r>
          </w:p>
        </w:tc>
        <w:tc>
          <w:tcPr>
            <w:tcW w:w="610" w:type="dxa"/>
            <w:vAlign w:val="bottom"/>
          </w:tcPr>
          <w:p w14:paraId="5A621FFA" w14:textId="77777777" w:rsidR="00221D6D" w:rsidRPr="00221D6D" w:rsidRDefault="00221D6D" w:rsidP="00221D6D">
            <w:pPr>
              <w:jc w:val="center"/>
              <w:rPr>
                <w:sz w:val="20"/>
                <w:szCs w:val="20"/>
              </w:rPr>
            </w:pPr>
            <w:r w:rsidRPr="00221D6D">
              <w:rPr>
                <w:sz w:val="20"/>
                <w:szCs w:val="20"/>
              </w:rPr>
              <w:t>0,8</w:t>
            </w:r>
          </w:p>
        </w:tc>
        <w:tc>
          <w:tcPr>
            <w:tcW w:w="609" w:type="dxa"/>
            <w:vAlign w:val="bottom"/>
          </w:tcPr>
          <w:p w14:paraId="0171A1D3" w14:textId="77777777" w:rsidR="00221D6D" w:rsidRPr="00221D6D" w:rsidRDefault="00221D6D" w:rsidP="00221D6D">
            <w:pPr>
              <w:jc w:val="center"/>
              <w:rPr>
                <w:rFonts w:eastAsia="Arial Unicode MS"/>
                <w:sz w:val="20"/>
                <w:szCs w:val="20"/>
                <w:lang w:val="en-US"/>
              </w:rPr>
            </w:pPr>
            <w:r w:rsidRPr="00221D6D">
              <w:rPr>
                <w:sz w:val="20"/>
                <w:szCs w:val="20"/>
              </w:rPr>
              <w:t>0,</w:t>
            </w:r>
            <w:r w:rsidRPr="00221D6D">
              <w:rPr>
                <w:sz w:val="20"/>
                <w:szCs w:val="20"/>
                <w:lang w:val="en-US"/>
              </w:rPr>
              <w:t>7</w:t>
            </w:r>
          </w:p>
        </w:tc>
        <w:tc>
          <w:tcPr>
            <w:tcW w:w="610" w:type="dxa"/>
            <w:vAlign w:val="bottom"/>
          </w:tcPr>
          <w:p w14:paraId="7F59D39F" w14:textId="77777777" w:rsidR="00221D6D" w:rsidRPr="00221D6D" w:rsidRDefault="00221D6D" w:rsidP="00221D6D">
            <w:pPr>
              <w:jc w:val="center"/>
              <w:rPr>
                <w:sz w:val="20"/>
                <w:szCs w:val="20"/>
              </w:rPr>
            </w:pPr>
            <w:r w:rsidRPr="00221D6D">
              <w:rPr>
                <w:sz w:val="20"/>
                <w:szCs w:val="20"/>
              </w:rPr>
              <w:t>–</w:t>
            </w:r>
          </w:p>
        </w:tc>
        <w:tc>
          <w:tcPr>
            <w:tcW w:w="609" w:type="dxa"/>
            <w:vAlign w:val="bottom"/>
          </w:tcPr>
          <w:p w14:paraId="34186EE7" w14:textId="77777777" w:rsidR="00221D6D" w:rsidRPr="00221D6D" w:rsidRDefault="00221D6D" w:rsidP="00221D6D">
            <w:pPr>
              <w:jc w:val="center"/>
              <w:rPr>
                <w:rFonts w:eastAsia="Arial Unicode MS"/>
                <w:sz w:val="20"/>
                <w:szCs w:val="20"/>
                <w:lang w:val="en-US"/>
              </w:rPr>
            </w:pPr>
            <w:r w:rsidRPr="00221D6D">
              <w:rPr>
                <w:sz w:val="20"/>
                <w:szCs w:val="20"/>
              </w:rPr>
              <w:t>–</w:t>
            </w:r>
          </w:p>
        </w:tc>
        <w:tc>
          <w:tcPr>
            <w:tcW w:w="610" w:type="dxa"/>
            <w:vAlign w:val="bottom"/>
          </w:tcPr>
          <w:p w14:paraId="286367C4" w14:textId="77777777" w:rsidR="00221D6D" w:rsidRPr="00221D6D" w:rsidRDefault="00221D6D" w:rsidP="00221D6D">
            <w:pPr>
              <w:jc w:val="center"/>
              <w:rPr>
                <w:sz w:val="20"/>
                <w:szCs w:val="20"/>
              </w:rPr>
            </w:pPr>
            <w:r w:rsidRPr="00221D6D">
              <w:rPr>
                <w:sz w:val="20"/>
                <w:szCs w:val="20"/>
              </w:rPr>
              <w:t>48</w:t>
            </w:r>
            <w:r w:rsidRPr="00221D6D">
              <w:rPr>
                <w:sz w:val="20"/>
                <w:szCs w:val="20"/>
                <w:lang w:val="en-US"/>
              </w:rPr>
              <w:t>,</w:t>
            </w:r>
            <w:r w:rsidRPr="00221D6D">
              <w:rPr>
                <w:sz w:val="20"/>
                <w:szCs w:val="20"/>
              </w:rPr>
              <w:t>2</w:t>
            </w:r>
          </w:p>
        </w:tc>
        <w:tc>
          <w:tcPr>
            <w:tcW w:w="609" w:type="dxa"/>
            <w:vAlign w:val="bottom"/>
          </w:tcPr>
          <w:p w14:paraId="08908780" w14:textId="77777777" w:rsidR="00221D6D" w:rsidRPr="00221D6D" w:rsidRDefault="00221D6D" w:rsidP="00221D6D">
            <w:pPr>
              <w:jc w:val="center"/>
              <w:rPr>
                <w:sz w:val="20"/>
                <w:szCs w:val="20"/>
              </w:rPr>
            </w:pPr>
            <w:r w:rsidRPr="00221D6D">
              <w:rPr>
                <w:sz w:val="20"/>
                <w:szCs w:val="20"/>
              </w:rPr>
              <w:t>–</w:t>
            </w:r>
          </w:p>
        </w:tc>
        <w:tc>
          <w:tcPr>
            <w:tcW w:w="610" w:type="dxa"/>
            <w:vAlign w:val="bottom"/>
          </w:tcPr>
          <w:p w14:paraId="2BAADCF1" w14:textId="77777777" w:rsidR="00221D6D" w:rsidRPr="00221D6D" w:rsidRDefault="00221D6D" w:rsidP="00221D6D">
            <w:pPr>
              <w:jc w:val="center"/>
              <w:rPr>
                <w:sz w:val="20"/>
                <w:szCs w:val="20"/>
              </w:rPr>
            </w:pPr>
            <w:r w:rsidRPr="00221D6D">
              <w:rPr>
                <w:sz w:val="20"/>
                <w:szCs w:val="20"/>
              </w:rPr>
              <w:t>–</w:t>
            </w:r>
          </w:p>
        </w:tc>
        <w:tc>
          <w:tcPr>
            <w:tcW w:w="609" w:type="dxa"/>
            <w:vAlign w:val="bottom"/>
          </w:tcPr>
          <w:p w14:paraId="54EAE02B" w14:textId="77777777" w:rsidR="00221D6D" w:rsidRPr="00221D6D" w:rsidRDefault="00221D6D" w:rsidP="00221D6D">
            <w:pPr>
              <w:jc w:val="center"/>
              <w:rPr>
                <w:sz w:val="20"/>
                <w:szCs w:val="20"/>
              </w:rPr>
            </w:pPr>
            <w:r w:rsidRPr="00221D6D">
              <w:rPr>
                <w:sz w:val="20"/>
                <w:szCs w:val="20"/>
              </w:rPr>
              <w:t>–</w:t>
            </w:r>
          </w:p>
        </w:tc>
        <w:tc>
          <w:tcPr>
            <w:tcW w:w="610" w:type="dxa"/>
            <w:vAlign w:val="bottom"/>
          </w:tcPr>
          <w:p w14:paraId="51A6AA8F" w14:textId="77777777" w:rsidR="00221D6D" w:rsidRPr="00221D6D" w:rsidRDefault="00221D6D" w:rsidP="00221D6D">
            <w:pPr>
              <w:jc w:val="center"/>
              <w:rPr>
                <w:sz w:val="20"/>
                <w:szCs w:val="20"/>
              </w:rPr>
            </w:pPr>
            <w:r w:rsidRPr="00221D6D">
              <w:rPr>
                <w:sz w:val="20"/>
                <w:szCs w:val="20"/>
              </w:rPr>
              <w:t>–</w:t>
            </w:r>
          </w:p>
        </w:tc>
      </w:tr>
      <w:tr w:rsidR="00221D6D" w:rsidRPr="00221D6D" w14:paraId="6738AE73" w14:textId="77777777" w:rsidTr="005C2605">
        <w:trPr>
          <w:trHeight w:val="20"/>
        </w:trPr>
        <w:tc>
          <w:tcPr>
            <w:tcW w:w="3119" w:type="dxa"/>
            <w:vAlign w:val="bottom"/>
          </w:tcPr>
          <w:p w14:paraId="0E0453D6" w14:textId="77777777" w:rsidR="00221D6D" w:rsidRPr="00221D6D" w:rsidRDefault="00221D6D" w:rsidP="00A911FD">
            <w:pPr>
              <w:rPr>
                <w:sz w:val="20"/>
                <w:szCs w:val="20"/>
              </w:rPr>
            </w:pPr>
            <w:r w:rsidRPr="00221D6D">
              <w:rPr>
                <w:sz w:val="20"/>
                <w:szCs w:val="20"/>
              </w:rPr>
              <w:t>0114 Другие общегосударственные вопросы</w:t>
            </w:r>
          </w:p>
        </w:tc>
        <w:tc>
          <w:tcPr>
            <w:tcW w:w="609" w:type="dxa"/>
            <w:vAlign w:val="bottom"/>
          </w:tcPr>
          <w:p w14:paraId="57110279" w14:textId="77777777" w:rsidR="00221D6D" w:rsidRPr="00221D6D" w:rsidRDefault="00221D6D" w:rsidP="00221D6D">
            <w:pPr>
              <w:jc w:val="center"/>
              <w:rPr>
                <w:sz w:val="20"/>
                <w:szCs w:val="20"/>
              </w:rPr>
            </w:pPr>
            <w:r w:rsidRPr="00221D6D">
              <w:rPr>
                <w:sz w:val="20"/>
                <w:szCs w:val="20"/>
              </w:rPr>
              <w:t>3,6</w:t>
            </w:r>
          </w:p>
        </w:tc>
        <w:tc>
          <w:tcPr>
            <w:tcW w:w="610" w:type="dxa"/>
            <w:vAlign w:val="bottom"/>
          </w:tcPr>
          <w:p w14:paraId="4298C29C" w14:textId="77777777" w:rsidR="00221D6D" w:rsidRPr="00221D6D" w:rsidRDefault="00221D6D" w:rsidP="00221D6D">
            <w:pPr>
              <w:jc w:val="center"/>
              <w:rPr>
                <w:sz w:val="20"/>
                <w:szCs w:val="20"/>
              </w:rPr>
            </w:pPr>
            <w:r w:rsidRPr="00221D6D">
              <w:rPr>
                <w:sz w:val="20"/>
                <w:szCs w:val="20"/>
              </w:rPr>
              <w:t>5,1</w:t>
            </w:r>
          </w:p>
        </w:tc>
        <w:tc>
          <w:tcPr>
            <w:tcW w:w="609" w:type="dxa"/>
            <w:vAlign w:val="bottom"/>
          </w:tcPr>
          <w:p w14:paraId="796EAEAA" w14:textId="77777777" w:rsidR="00221D6D" w:rsidRPr="00221D6D" w:rsidRDefault="00221D6D" w:rsidP="00221D6D">
            <w:pPr>
              <w:jc w:val="center"/>
              <w:rPr>
                <w:rFonts w:eastAsia="Arial Unicode MS"/>
                <w:sz w:val="20"/>
                <w:szCs w:val="20"/>
              </w:rPr>
            </w:pPr>
            <w:r w:rsidRPr="00221D6D">
              <w:rPr>
                <w:sz w:val="20"/>
                <w:szCs w:val="20"/>
              </w:rPr>
              <w:t>5,3</w:t>
            </w:r>
          </w:p>
        </w:tc>
        <w:tc>
          <w:tcPr>
            <w:tcW w:w="610" w:type="dxa"/>
            <w:vAlign w:val="bottom"/>
          </w:tcPr>
          <w:p w14:paraId="262FA15A" w14:textId="77777777" w:rsidR="00221D6D" w:rsidRPr="00221D6D" w:rsidRDefault="00221D6D" w:rsidP="00221D6D">
            <w:pPr>
              <w:jc w:val="center"/>
              <w:rPr>
                <w:sz w:val="20"/>
                <w:szCs w:val="20"/>
              </w:rPr>
            </w:pPr>
            <w:r w:rsidRPr="00221D6D">
              <w:rPr>
                <w:sz w:val="20"/>
                <w:szCs w:val="20"/>
              </w:rPr>
              <w:t>3,4</w:t>
            </w:r>
          </w:p>
        </w:tc>
        <w:tc>
          <w:tcPr>
            <w:tcW w:w="609" w:type="dxa"/>
            <w:vAlign w:val="bottom"/>
          </w:tcPr>
          <w:p w14:paraId="0C4DBB43" w14:textId="77777777" w:rsidR="00221D6D" w:rsidRPr="00221D6D" w:rsidRDefault="00221D6D" w:rsidP="00221D6D">
            <w:pPr>
              <w:jc w:val="center"/>
              <w:rPr>
                <w:rFonts w:eastAsia="Arial Unicode MS"/>
                <w:sz w:val="20"/>
                <w:szCs w:val="20"/>
              </w:rPr>
            </w:pPr>
            <w:r w:rsidRPr="00221D6D">
              <w:rPr>
                <w:sz w:val="20"/>
                <w:szCs w:val="20"/>
              </w:rPr>
              <w:t>4,4</w:t>
            </w:r>
          </w:p>
        </w:tc>
        <w:tc>
          <w:tcPr>
            <w:tcW w:w="610" w:type="dxa"/>
            <w:vAlign w:val="bottom"/>
          </w:tcPr>
          <w:p w14:paraId="1D15AA58" w14:textId="77777777" w:rsidR="00221D6D" w:rsidRPr="00221D6D" w:rsidRDefault="00221D6D" w:rsidP="00221D6D">
            <w:pPr>
              <w:jc w:val="center"/>
              <w:rPr>
                <w:sz w:val="20"/>
                <w:szCs w:val="20"/>
              </w:rPr>
            </w:pPr>
            <w:r w:rsidRPr="00221D6D">
              <w:rPr>
                <w:sz w:val="20"/>
                <w:szCs w:val="20"/>
                <w:lang w:val="en-US"/>
              </w:rPr>
              <w:t>3</w:t>
            </w:r>
            <w:r w:rsidRPr="00221D6D">
              <w:rPr>
                <w:sz w:val="20"/>
                <w:szCs w:val="20"/>
              </w:rPr>
              <w:t>,9</w:t>
            </w:r>
          </w:p>
        </w:tc>
        <w:tc>
          <w:tcPr>
            <w:tcW w:w="609" w:type="dxa"/>
            <w:vAlign w:val="bottom"/>
          </w:tcPr>
          <w:p w14:paraId="6334C3DD" w14:textId="77777777" w:rsidR="00221D6D" w:rsidRPr="00221D6D" w:rsidRDefault="00221D6D" w:rsidP="00221D6D">
            <w:pPr>
              <w:jc w:val="center"/>
              <w:rPr>
                <w:sz w:val="20"/>
                <w:szCs w:val="20"/>
                <w:lang w:val="en-US"/>
              </w:rPr>
            </w:pPr>
            <w:r w:rsidRPr="00221D6D">
              <w:rPr>
                <w:sz w:val="20"/>
                <w:szCs w:val="20"/>
                <w:lang w:val="en-US"/>
              </w:rPr>
              <w:t>5</w:t>
            </w:r>
            <w:r w:rsidRPr="00221D6D">
              <w:rPr>
                <w:sz w:val="20"/>
                <w:szCs w:val="20"/>
              </w:rPr>
              <w:t>,</w:t>
            </w:r>
            <w:r w:rsidRPr="00221D6D">
              <w:rPr>
                <w:sz w:val="20"/>
                <w:szCs w:val="20"/>
                <w:lang w:val="en-US"/>
              </w:rPr>
              <w:t>9</w:t>
            </w:r>
          </w:p>
        </w:tc>
        <w:tc>
          <w:tcPr>
            <w:tcW w:w="610" w:type="dxa"/>
            <w:vAlign w:val="bottom"/>
          </w:tcPr>
          <w:p w14:paraId="7A4AE394" w14:textId="77777777" w:rsidR="00221D6D" w:rsidRPr="00221D6D" w:rsidRDefault="00221D6D" w:rsidP="00221D6D">
            <w:pPr>
              <w:jc w:val="center"/>
              <w:rPr>
                <w:sz w:val="20"/>
                <w:szCs w:val="20"/>
              </w:rPr>
            </w:pPr>
            <w:r w:rsidRPr="00221D6D">
              <w:rPr>
                <w:sz w:val="20"/>
                <w:szCs w:val="20"/>
              </w:rPr>
              <w:t>4,5</w:t>
            </w:r>
          </w:p>
        </w:tc>
        <w:tc>
          <w:tcPr>
            <w:tcW w:w="609" w:type="dxa"/>
            <w:vAlign w:val="bottom"/>
          </w:tcPr>
          <w:p w14:paraId="26098CFE" w14:textId="77777777" w:rsidR="00221D6D" w:rsidRPr="00221D6D" w:rsidRDefault="00221D6D" w:rsidP="00221D6D">
            <w:pPr>
              <w:jc w:val="center"/>
              <w:rPr>
                <w:sz w:val="20"/>
                <w:szCs w:val="20"/>
              </w:rPr>
            </w:pPr>
            <w:r w:rsidRPr="00221D6D">
              <w:rPr>
                <w:sz w:val="20"/>
                <w:szCs w:val="20"/>
              </w:rPr>
              <w:t>4,1</w:t>
            </w:r>
          </w:p>
        </w:tc>
        <w:tc>
          <w:tcPr>
            <w:tcW w:w="610" w:type="dxa"/>
            <w:vAlign w:val="bottom"/>
          </w:tcPr>
          <w:p w14:paraId="5772B939" w14:textId="77777777" w:rsidR="00221D6D" w:rsidRPr="00221D6D" w:rsidRDefault="00221D6D" w:rsidP="00221D6D">
            <w:pPr>
              <w:jc w:val="center"/>
              <w:rPr>
                <w:sz w:val="20"/>
                <w:szCs w:val="20"/>
              </w:rPr>
            </w:pPr>
            <w:r w:rsidRPr="00221D6D">
              <w:rPr>
                <w:sz w:val="20"/>
                <w:szCs w:val="20"/>
              </w:rPr>
              <w:t>3,6</w:t>
            </w:r>
          </w:p>
        </w:tc>
      </w:tr>
      <w:tr w:rsidR="00221D6D" w:rsidRPr="00221D6D" w14:paraId="78B048C7" w14:textId="77777777" w:rsidTr="005C2605">
        <w:trPr>
          <w:trHeight w:val="20"/>
        </w:trPr>
        <w:tc>
          <w:tcPr>
            <w:tcW w:w="3119" w:type="dxa"/>
            <w:vAlign w:val="bottom"/>
          </w:tcPr>
          <w:p w14:paraId="04895D74" w14:textId="77777777" w:rsidR="00221D6D" w:rsidRPr="00221D6D" w:rsidRDefault="00221D6D" w:rsidP="00A911FD">
            <w:pPr>
              <w:rPr>
                <w:sz w:val="20"/>
                <w:szCs w:val="20"/>
              </w:rPr>
            </w:pPr>
            <w:r w:rsidRPr="00221D6D">
              <w:rPr>
                <w:sz w:val="20"/>
                <w:szCs w:val="20"/>
              </w:rPr>
              <w:t>0200 НАЦИОНАЛЬНАЯ ОБОРОНА</w:t>
            </w:r>
          </w:p>
        </w:tc>
        <w:tc>
          <w:tcPr>
            <w:tcW w:w="609" w:type="dxa"/>
            <w:vAlign w:val="bottom"/>
          </w:tcPr>
          <w:p w14:paraId="24D2DF4B" w14:textId="77777777" w:rsidR="00221D6D" w:rsidRPr="00221D6D" w:rsidRDefault="00221D6D" w:rsidP="00221D6D">
            <w:pPr>
              <w:jc w:val="center"/>
              <w:rPr>
                <w:sz w:val="20"/>
                <w:szCs w:val="20"/>
              </w:rPr>
            </w:pPr>
            <w:r w:rsidRPr="00221D6D">
              <w:rPr>
                <w:sz w:val="20"/>
                <w:szCs w:val="20"/>
              </w:rPr>
              <w:t>50,4</w:t>
            </w:r>
          </w:p>
        </w:tc>
        <w:tc>
          <w:tcPr>
            <w:tcW w:w="610" w:type="dxa"/>
            <w:vAlign w:val="bottom"/>
          </w:tcPr>
          <w:p w14:paraId="48CD03E8" w14:textId="77777777" w:rsidR="00221D6D" w:rsidRPr="00221D6D" w:rsidRDefault="00221D6D" w:rsidP="00221D6D">
            <w:pPr>
              <w:jc w:val="center"/>
              <w:rPr>
                <w:sz w:val="20"/>
                <w:szCs w:val="20"/>
              </w:rPr>
            </w:pPr>
            <w:r w:rsidRPr="00221D6D">
              <w:rPr>
                <w:sz w:val="20"/>
                <w:szCs w:val="20"/>
              </w:rPr>
              <w:t>56,0</w:t>
            </w:r>
          </w:p>
        </w:tc>
        <w:tc>
          <w:tcPr>
            <w:tcW w:w="609" w:type="dxa"/>
            <w:vAlign w:val="bottom"/>
          </w:tcPr>
          <w:p w14:paraId="7C1BB5F1" w14:textId="77777777" w:rsidR="00221D6D" w:rsidRPr="00221D6D" w:rsidRDefault="00221D6D" w:rsidP="00221D6D">
            <w:pPr>
              <w:jc w:val="center"/>
              <w:rPr>
                <w:rFonts w:eastAsia="Arial Unicode MS"/>
                <w:sz w:val="20"/>
                <w:szCs w:val="20"/>
              </w:rPr>
            </w:pPr>
            <w:r w:rsidRPr="00221D6D">
              <w:rPr>
                <w:sz w:val="20"/>
                <w:szCs w:val="20"/>
              </w:rPr>
              <w:t>65,4</w:t>
            </w:r>
          </w:p>
        </w:tc>
        <w:tc>
          <w:tcPr>
            <w:tcW w:w="610" w:type="dxa"/>
            <w:vAlign w:val="bottom"/>
          </w:tcPr>
          <w:p w14:paraId="4E1FD683" w14:textId="77777777" w:rsidR="00221D6D" w:rsidRPr="00221D6D" w:rsidRDefault="00221D6D" w:rsidP="00221D6D">
            <w:pPr>
              <w:jc w:val="center"/>
              <w:rPr>
                <w:sz w:val="20"/>
                <w:szCs w:val="20"/>
              </w:rPr>
            </w:pPr>
            <w:r w:rsidRPr="00221D6D">
              <w:rPr>
                <w:sz w:val="20"/>
                <w:szCs w:val="20"/>
              </w:rPr>
              <w:t>70</w:t>
            </w:r>
            <w:r w:rsidRPr="00221D6D">
              <w:rPr>
                <w:sz w:val="20"/>
                <w:szCs w:val="20"/>
                <w:lang w:val="en-US"/>
              </w:rPr>
              <w:t>,</w:t>
            </w:r>
            <w:r w:rsidRPr="00221D6D">
              <w:rPr>
                <w:sz w:val="20"/>
                <w:szCs w:val="20"/>
              </w:rPr>
              <w:t>5</w:t>
            </w:r>
          </w:p>
        </w:tc>
        <w:tc>
          <w:tcPr>
            <w:tcW w:w="609" w:type="dxa"/>
            <w:vAlign w:val="bottom"/>
          </w:tcPr>
          <w:p w14:paraId="36753216" w14:textId="77777777" w:rsidR="00221D6D" w:rsidRPr="00221D6D" w:rsidRDefault="00221D6D" w:rsidP="00221D6D">
            <w:pPr>
              <w:jc w:val="center"/>
              <w:rPr>
                <w:rFonts w:eastAsia="Arial Unicode MS"/>
                <w:sz w:val="20"/>
                <w:szCs w:val="20"/>
                <w:lang w:val="en-US"/>
              </w:rPr>
            </w:pPr>
            <w:r w:rsidRPr="00221D6D">
              <w:rPr>
                <w:sz w:val="20"/>
                <w:szCs w:val="20"/>
              </w:rPr>
              <w:t>6</w:t>
            </w:r>
            <w:r w:rsidRPr="00221D6D">
              <w:rPr>
                <w:sz w:val="20"/>
                <w:szCs w:val="20"/>
                <w:lang w:val="en-US"/>
              </w:rPr>
              <w:t>3</w:t>
            </w:r>
            <w:r w:rsidRPr="00221D6D">
              <w:rPr>
                <w:sz w:val="20"/>
                <w:szCs w:val="20"/>
              </w:rPr>
              <w:t>,</w:t>
            </w:r>
            <w:r w:rsidRPr="00221D6D">
              <w:rPr>
                <w:sz w:val="20"/>
                <w:szCs w:val="20"/>
                <w:lang w:val="en-US"/>
              </w:rPr>
              <w:t>9</w:t>
            </w:r>
          </w:p>
        </w:tc>
        <w:tc>
          <w:tcPr>
            <w:tcW w:w="610" w:type="dxa"/>
            <w:vAlign w:val="bottom"/>
          </w:tcPr>
          <w:p w14:paraId="490F4F4E" w14:textId="77777777" w:rsidR="00221D6D" w:rsidRPr="00221D6D" w:rsidRDefault="00221D6D" w:rsidP="00221D6D">
            <w:pPr>
              <w:jc w:val="center"/>
              <w:rPr>
                <w:sz w:val="20"/>
                <w:szCs w:val="20"/>
                <w:lang w:val="en-US"/>
              </w:rPr>
            </w:pPr>
            <w:r w:rsidRPr="00221D6D">
              <w:rPr>
                <w:sz w:val="20"/>
                <w:szCs w:val="20"/>
                <w:lang w:val="en-US"/>
              </w:rPr>
              <w:t>65,1</w:t>
            </w:r>
          </w:p>
        </w:tc>
        <w:tc>
          <w:tcPr>
            <w:tcW w:w="609" w:type="dxa"/>
            <w:vAlign w:val="bottom"/>
          </w:tcPr>
          <w:p w14:paraId="6B6250F4" w14:textId="77777777" w:rsidR="00221D6D" w:rsidRPr="00221D6D" w:rsidRDefault="00221D6D" w:rsidP="00221D6D">
            <w:pPr>
              <w:jc w:val="center"/>
              <w:rPr>
                <w:sz w:val="20"/>
                <w:szCs w:val="20"/>
                <w:lang w:val="en-US"/>
              </w:rPr>
            </w:pPr>
            <w:r w:rsidRPr="00221D6D">
              <w:rPr>
                <w:sz w:val="20"/>
                <w:szCs w:val="20"/>
                <w:lang w:val="en-US"/>
              </w:rPr>
              <w:t>66,2</w:t>
            </w:r>
          </w:p>
        </w:tc>
        <w:tc>
          <w:tcPr>
            <w:tcW w:w="610" w:type="dxa"/>
            <w:vAlign w:val="bottom"/>
          </w:tcPr>
          <w:p w14:paraId="35C896E1" w14:textId="77777777" w:rsidR="00221D6D" w:rsidRPr="00221D6D" w:rsidRDefault="00221D6D" w:rsidP="00221D6D">
            <w:pPr>
              <w:jc w:val="center"/>
              <w:rPr>
                <w:sz w:val="20"/>
                <w:szCs w:val="20"/>
              </w:rPr>
            </w:pPr>
            <w:r w:rsidRPr="00221D6D">
              <w:rPr>
                <w:sz w:val="20"/>
                <w:szCs w:val="20"/>
                <w:lang w:val="en-US"/>
              </w:rPr>
              <w:t>6</w:t>
            </w:r>
            <w:r w:rsidRPr="00221D6D">
              <w:rPr>
                <w:sz w:val="20"/>
                <w:szCs w:val="20"/>
              </w:rPr>
              <w:t>5</w:t>
            </w:r>
            <w:r w:rsidRPr="00221D6D">
              <w:rPr>
                <w:sz w:val="20"/>
                <w:szCs w:val="20"/>
                <w:lang w:val="en-US"/>
              </w:rPr>
              <w:t>,</w:t>
            </w:r>
            <w:r w:rsidRPr="00221D6D">
              <w:rPr>
                <w:sz w:val="20"/>
                <w:szCs w:val="20"/>
              </w:rPr>
              <w:t>5</w:t>
            </w:r>
          </w:p>
        </w:tc>
        <w:tc>
          <w:tcPr>
            <w:tcW w:w="609" w:type="dxa"/>
            <w:vAlign w:val="bottom"/>
          </w:tcPr>
          <w:p w14:paraId="6B51017D" w14:textId="77777777" w:rsidR="00221D6D" w:rsidRPr="00221D6D" w:rsidRDefault="00221D6D" w:rsidP="00221D6D">
            <w:pPr>
              <w:jc w:val="center"/>
              <w:rPr>
                <w:sz w:val="20"/>
                <w:szCs w:val="20"/>
              </w:rPr>
            </w:pPr>
            <w:r w:rsidRPr="00221D6D">
              <w:rPr>
                <w:sz w:val="20"/>
                <w:szCs w:val="20"/>
                <w:lang w:val="en-US"/>
              </w:rPr>
              <w:t>6</w:t>
            </w:r>
            <w:r w:rsidRPr="00221D6D">
              <w:rPr>
                <w:sz w:val="20"/>
                <w:szCs w:val="20"/>
              </w:rPr>
              <w:t>6</w:t>
            </w:r>
            <w:r w:rsidRPr="00221D6D">
              <w:rPr>
                <w:sz w:val="20"/>
                <w:szCs w:val="20"/>
                <w:lang w:val="en-US"/>
              </w:rPr>
              <w:t>,</w:t>
            </w:r>
            <w:r w:rsidRPr="00221D6D">
              <w:rPr>
                <w:sz w:val="20"/>
                <w:szCs w:val="20"/>
              </w:rPr>
              <w:t>4</w:t>
            </w:r>
          </w:p>
        </w:tc>
        <w:tc>
          <w:tcPr>
            <w:tcW w:w="610" w:type="dxa"/>
            <w:vAlign w:val="bottom"/>
          </w:tcPr>
          <w:p w14:paraId="1DB30AC1" w14:textId="77777777" w:rsidR="00221D6D" w:rsidRPr="00221D6D" w:rsidRDefault="00221D6D" w:rsidP="00221D6D">
            <w:pPr>
              <w:jc w:val="center"/>
              <w:rPr>
                <w:sz w:val="20"/>
                <w:szCs w:val="20"/>
              </w:rPr>
            </w:pPr>
            <w:r w:rsidRPr="00221D6D">
              <w:rPr>
                <w:sz w:val="20"/>
                <w:szCs w:val="20"/>
              </w:rPr>
              <w:t>66,6</w:t>
            </w:r>
          </w:p>
        </w:tc>
      </w:tr>
      <w:tr w:rsidR="00221D6D" w:rsidRPr="00221D6D" w14:paraId="7D7C29AB" w14:textId="77777777" w:rsidTr="005C2605">
        <w:trPr>
          <w:trHeight w:val="20"/>
        </w:trPr>
        <w:tc>
          <w:tcPr>
            <w:tcW w:w="3119" w:type="dxa"/>
            <w:vAlign w:val="bottom"/>
          </w:tcPr>
          <w:p w14:paraId="1DE5031D" w14:textId="77777777" w:rsidR="00221D6D" w:rsidRPr="00221D6D" w:rsidRDefault="00221D6D" w:rsidP="00A911FD">
            <w:pPr>
              <w:ind w:left="431" w:hanging="426"/>
              <w:rPr>
                <w:sz w:val="20"/>
                <w:szCs w:val="20"/>
              </w:rPr>
            </w:pPr>
            <w:r w:rsidRPr="00221D6D">
              <w:rPr>
                <w:sz w:val="20"/>
                <w:szCs w:val="20"/>
              </w:rPr>
              <w:t>0201 Вооруженные Силы Российской Федерации</w:t>
            </w:r>
          </w:p>
        </w:tc>
        <w:tc>
          <w:tcPr>
            <w:tcW w:w="609" w:type="dxa"/>
            <w:vAlign w:val="bottom"/>
          </w:tcPr>
          <w:p w14:paraId="75B53D15" w14:textId="77777777" w:rsidR="00221D6D" w:rsidRPr="00221D6D" w:rsidRDefault="00221D6D" w:rsidP="00221D6D">
            <w:pPr>
              <w:jc w:val="center"/>
              <w:rPr>
                <w:sz w:val="20"/>
                <w:szCs w:val="20"/>
              </w:rPr>
            </w:pPr>
            <w:r w:rsidRPr="00221D6D">
              <w:rPr>
                <w:sz w:val="20"/>
                <w:szCs w:val="20"/>
              </w:rPr>
              <w:t>46,7</w:t>
            </w:r>
          </w:p>
        </w:tc>
        <w:tc>
          <w:tcPr>
            <w:tcW w:w="610" w:type="dxa"/>
            <w:vAlign w:val="bottom"/>
          </w:tcPr>
          <w:p w14:paraId="44F54EC2" w14:textId="77777777" w:rsidR="00221D6D" w:rsidRPr="00221D6D" w:rsidRDefault="00221D6D" w:rsidP="00221D6D">
            <w:pPr>
              <w:jc w:val="center"/>
              <w:rPr>
                <w:sz w:val="20"/>
                <w:szCs w:val="20"/>
              </w:rPr>
            </w:pPr>
            <w:r w:rsidRPr="00221D6D">
              <w:rPr>
                <w:sz w:val="20"/>
                <w:szCs w:val="20"/>
                <w:lang w:val="en-US"/>
              </w:rPr>
              <w:t>5</w:t>
            </w:r>
            <w:r w:rsidRPr="00221D6D">
              <w:rPr>
                <w:sz w:val="20"/>
                <w:szCs w:val="20"/>
              </w:rPr>
              <w:t>2</w:t>
            </w:r>
            <w:r w:rsidRPr="00221D6D">
              <w:rPr>
                <w:sz w:val="20"/>
                <w:szCs w:val="20"/>
                <w:lang w:val="en-US"/>
              </w:rPr>
              <w:t>,</w:t>
            </w:r>
            <w:r w:rsidRPr="00221D6D">
              <w:rPr>
                <w:sz w:val="20"/>
                <w:szCs w:val="20"/>
              </w:rPr>
              <w:t>0</w:t>
            </w:r>
          </w:p>
        </w:tc>
        <w:tc>
          <w:tcPr>
            <w:tcW w:w="609" w:type="dxa"/>
            <w:vAlign w:val="bottom"/>
          </w:tcPr>
          <w:p w14:paraId="11DB3355" w14:textId="77777777" w:rsidR="00221D6D" w:rsidRPr="00221D6D" w:rsidRDefault="00221D6D" w:rsidP="00221D6D">
            <w:pPr>
              <w:jc w:val="center"/>
              <w:rPr>
                <w:rFonts w:eastAsia="Arial Unicode MS"/>
                <w:sz w:val="20"/>
                <w:szCs w:val="20"/>
              </w:rPr>
            </w:pPr>
            <w:r w:rsidRPr="00221D6D">
              <w:rPr>
                <w:sz w:val="20"/>
                <w:szCs w:val="20"/>
              </w:rPr>
              <w:t>65,3</w:t>
            </w:r>
          </w:p>
        </w:tc>
        <w:tc>
          <w:tcPr>
            <w:tcW w:w="610" w:type="dxa"/>
            <w:vAlign w:val="bottom"/>
          </w:tcPr>
          <w:p w14:paraId="214D08F7" w14:textId="77777777" w:rsidR="00221D6D" w:rsidRPr="00221D6D" w:rsidRDefault="00221D6D" w:rsidP="00221D6D">
            <w:pPr>
              <w:jc w:val="center"/>
              <w:rPr>
                <w:sz w:val="20"/>
                <w:szCs w:val="20"/>
              </w:rPr>
            </w:pPr>
            <w:r w:rsidRPr="00221D6D">
              <w:rPr>
                <w:sz w:val="20"/>
                <w:szCs w:val="20"/>
              </w:rPr>
              <w:t>69</w:t>
            </w:r>
            <w:r w:rsidRPr="00221D6D">
              <w:rPr>
                <w:sz w:val="20"/>
                <w:szCs w:val="20"/>
                <w:lang w:val="en-US"/>
              </w:rPr>
              <w:t>,</w:t>
            </w:r>
            <w:r w:rsidRPr="00221D6D">
              <w:rPr>
                <w:sz w:val="20"/>
                <w:szCs w:val="20"/>
              </w:rPr>
              <w:t>0</w:t>
            </w:r>
          </w:p>
        </w:tc>
        <w:tc>
          <w:tcPr>
            <w:tcW w:w="609" w:type="dxa"/>
            <w:vAlign w:val="bottom"/>
          </w:tcPr>
          <w:p w14:paraId="235DB157" w14:textId="77777777" w:rsidR="00221D6D" w:rsidRPr="00221D6D" w:rsidRDefault="00221D6D" w:rsidP="00221D6D">
            <w:pPr>
              <w:jc w:val="center"/>
              <w:rPr>
                <w:rFonts w:eastAsia="Arial Unicode MS"/>
                <w:sz w:val="20"/>
                <w:szCs w:val="20"/>
                <w:lang w:val="en-US"/>
              </w:rPr>
            </w:pPr>
            <w:r w:rsidRPr="00221D6D">
              <w:rPr>
                <w:sz w:val="20"/>
                <w:szCs w:val="20"/>
              </w:rPr>
              <w:t>6</w:t>
            </w:r>
            <w:r w:rsidRPr="00221D6D">
              <w:rPr>
                <w:sz w:val="20"/>
                <w:szCs w:val="20"/>
                <w:lang w:val="en-US"/>
              </w:rPr>
              <w:t>0</w:t>
            </w:r>
            <w:r w:rsidRPr="00221D6D">
              <w:rPr>
                <w:sz w:val="20"/>
                <w:szCs w:val="20"/>
              </w:rPr>
              <w:t>,</w:t>
            </w:r>
            <w:r w:rsidRPr="00221D6D">
              <w:rPr>
                <w:sz w:val="20"/>
                <w:szCs w:val="20"/>
                <w:lang w:val="en-US"/>
              </w:rPr>
              <w:t>5</w:t>
            </w:r>
          </w:p>
        </w:tc>
        <w:tc>
          <w:tcPr>
            <w:tcW w:w="610" w:type="dxa"/>
            <w:vAlign w:val="bottom"/>
          </w:tcPr>
          <w:p w14:paraId="5C6926A1" w14:textId="77777777" w:rsidR="00221D6D" w:rsidRPr="00221D6D" w:rsidRDefault="00221D6D" w:rsidP="00221D6D">
            <w:pPr>
              <w:jc w:val="center"/>
              <w:rPr>
                <w:sz w:val="20"/>
                <w:szCs w:val="20"/>
                <w:lang w:val="en-US"/>
              </w:rPr>
            </w:pPr>
            <w:r w:rsidRPr="00221D6D">
              <w:rPr>
                <w:sz w:val="20"/>
                <w:szCs w:val="20"/>
                <w:lang w:val="en-US"/>
              </w:rPr>
              <w:t>59,9</w:t>
            </w:r>
          </w:p>
        </w:tc>
        <w:tc>
          <w:tcPr>
            <w:tcW w:w="609" w:type="dxa"/>
            <w:vAlign w:val="bottom"/>
          </w:tcPr>
          <w:p w14:paraId="48FBC807" w14:textId="77777777" w:rsidR="00221D6D" w:rsidRPr="00221D6D" w:rsidRDefault="00221D6D" w:rsidP="00221D6D">
            <w:pPr>
              <w:jc w:val="center"/>
              <w:rPr>
                <w:sz w:val="20"/>
                <w:szCs w:val="20"/>
                <w:lang w:val="en-US"/>
              </w:rPr>
            </w:pPr>
            <w:r w:rsidRPr="00221D6D">
              <w:rPr>
                <w:sz w:val="20"/>
                <w:szCs w:val="20"/>
              </w:rPr>
              <w:t>5</w:t>
            </w:r>
            <w:r w:rsidRPr="00221D6D">
              <w:rPr>
                <w:sz w:val="20"/>
                <w:szCs w:val="20"/>
                <w:lang w:val="en-US"/>
              </w:rPr>
              <w:t>8,8</w:t>
            </w:r>
          </w:p>
        </w:tc>
        <w:tc>
          <w:tcPr>
            <w:tcW w:w="610" w:type="dxa"/>
            <w:vAlign w:val="bottom"/>
          </w:tcPr>
          <w:p w14:paraId="7E3590B4" w14:textId="77777777" w:rsidR="00221D6D" w:rsidRPr="00221D6D" w:rsidRDefault="00221D6D" w:rsidP="00221D6D">
            <w:pPr>
              <w:jc w:val="center"/>
              <w:rPr>
                <w:sz w:val="20"/>
                <w:szCs w:val="20"/>
              </w:rPr>
            </w:pPr>
            <w:r w:rsidRPr="00221D6D">
              <w:rPr>
                <w:sz w:val="20"/>
                <w:szCs w:val="20"/>
              </w:rPr>
              <w:t>57</w:t>
            </w:r>
            <w:r w:rsidRPr="00221D6D">
              <w:rPr>
                <w:sz w:val="20"/>
                <w:szCs w:val="20"/>
                <w:lang w:val="en-US"/>
              </w:rPr>
              <w:t>,</w:t>
            </w:r>
            <w:r w:rsidRPr="00221D6D">
              <w:rPr>
                <w:sz w:val="20"/>
                <w:szCs w:val="20"/>
              </w:rPr>
              <w:t>7</w:t>
            </w:r>
          </w:p>
        </w:tc>
        <w:tc>
          <w:tcPr>
            <w:tcW w:w="609" w:type="dxa"/>
            <w:vAlign w:val="bottom"/>
          </w:tcPr>
          <w:p w14:paraId="67FD3343" w14:textId="77777777" w:rsidR="00221D6D" w:rsidRPr="00221D6D" w:rsidRDefault="00221D6D" w:rsidP="00221D6D">
            <w:pPr>
              <w:jc w:val="center"/>
              <w:rPr>
                <w:sz w:val="20"/>
                <w:szCs w:val="20"/>
              </w:rPr>
            </w:pPr>
            <w:r w:rsidRPr="00221D6D">
              <w:rPr>
                <w:sz w:val="20"/>
                <w:szCs w:val="20"/>
              </w:rPr>
              <w:t>59</w:t>
            </w:r>
            <w:r w:rsidRPr="00221D6D">
              <w:rPr>
                <w:sz w:val="20"/>
                <w:szCs w:val="20"/>
                <w:lang w:val="en-US"/>
              </w:rPr>
              <w:t>,</w:t>
            </w:r>
            <w:r w:rsidRPr="00221D6D">
              <w:rPr>
                <w:sz w:val="20"/>
                <w:szCs w:val="20"/>
              </w:rPr>
              <w:t>4</w:t>
            </w:r>
          </w:p>
        </w:tc>
        <w:tc>
          <w:tcPr>
            <w:tcW w:w="610" w:type="dxa"/>
            <w:vAlign w:val="bottom"/>
          </w:tcPr>
          <w:p w14:paraId="77A48480" w14:textId="77777777" w:rsidR="00221D6D" w:rsidRPr="00221D6D" w:rsidRDefault="00221D6D" w:rsidP="00221D6D">
            <w:pPr>
              <w:jc w:val="center"/>
              <w:rPr>
                <w:sz w:val="20"/>
                <w:szCs w:val="20"/>
              </w:rPr>
            </w:pPr>
            <w:r w:rsidRPr="00221D6D">
              <w:rPr>
                <w:sz w:val="20"/>
                <w:szCs w:val="20"/>
              </w:rPr>
              <w:t>60,6</w:t>
            </w:r>
          </w:p>
        </w:tc>
      </w:tr>
      <w:tr w:rsidR="00221D6D" w:rsidRPr="00221D6D" w14:paraId="45CCC5C9" w14:textId="77777777" w:rsidTr="005C2605">
        <w:trPr>
          <w:trHeight w:val="20"/>
        </w:trPr>
        <w:tc>
          <w:tcPr>
            <w:tcW w:w="3119" w:type="dxa"/>
            <w:vAlign w:val="bottom"/>
          </w:tcPr>
          <w:p w14:paraId="1F57790A" w14:textId="77777777" w:rsidR="00221D6D" w:rsidRPr="00221D6D" w:rsidRDefault="00221D6D" w:rsidP="00A911FD">
            <w:pPr>
              <w:ind w:left="431" w:hanging="426"/>
              <w:rPr>
                <w:sz w:val="20"/>
                <w:szCs w:val="20"/>
              </w:rPr>
            </w:pPr>
            <w:r w:rsidRPr="00221D6D">
              <w:rPr>
                <w:sz w:val="20"/>
                <w:szCs w:val="20"/>
              </w:rPr>
              <w:t>0204 Мобилизационная подготовка экономики</w:t>
            </w:r>
          </w:p>
        </w:tc>
        <w:tc>
          <w:tcPr>
            <w:tcW w:w="609" w:type="dxa"/>
            <w:vAlign w:val="bottom"/>
          </w:tcPr>
          <w:p w14:paraId="79CB281B" w14:textId="77777777" w:rsidR="00221D6D" w:rsidRPr="00221D6D" w:rsidRDefault="00221D6D" w:rsidP="00221D6D">
            <w:pPr>
              <w:jc w:val="center"/>
              <w:rPr>
                <w:sz w:val="20"/>
                <w:szCs w:val="20"/>
              </w:rPr>
            </w:pPr>
            <w:r w:rsidRPr="00221D6D">
              <w:rPr>
                <w:sz w:val="20"/>
                <w:szCs w:val="20"/>
              </w:rPr>
              <w:t>100</w:t>
            </w:r>
          </w:p>
        </w:tc>
        <w:tc>
          <w:tcPr>
            <w:tcW w:w="610" w:type="dxa"/>
            <w:vAlign w:val="bottom"/>
          </w:tcPr>
          <w:p w14:paraId="01CE8BD9" w14:textId="77777777" w:rsidR="00221D6D" w:rsidRPr="00221D6D" w:rsidRDefault="00221D6D" w:rsidP="00221D6D">
            <w:pPr>
              <w:jc w:val="center"/>
              <w:rPr>
                <w:sz w:val="20"/>
                <w:szCs w:val="20"/>
                <w:lang w:val="en-US"/>
              </w:rPr>
            </w:pPr>
            <w:r w:rsidRPr="00221D6D">
              <w:rPr>
                <w:sz w:val="20"/>
                <w:szCs w:val="20"/>
                <w:lang w:val="en-US"/>
              </w:rPr>
              <w:t>100</w:t>
            </w:r>
          </w:p>
        </w:tc>
        <w:tc>
          <w:tcPr>
            <w:tcW w:w="609" w:type="dxa"/>
            <w:vAlign w:val="bottom"/>
          </w:tcPr>
          <w:p w14:paraId="6BD7B701" w14:textId="77777777" w:rsidR="00221D6D" w:rsidRPr="00221D6D" w:rsidRDefault="00221D6D" w:rsidP="00221D6D">
            <w:pPr>
              <w:jc w:val="center"/>
              <w:rPr>
                <w:rFonts w:eastAsia="Arial Unicode MS"/>
                <w:sz w:val="20"/>
                <w:szCs w:val="20"/>
              </w:rPr>
            </w:pPr>
            <w:r w:rsidRPr="00221D6D">
              <w:rPr>
                <w:sz w:val="20"/>
                <w:szCs w:val="20"/>
              </w:rPr>
              <w:t>100</w:t>
            </w:r>
          </w:p>
        </w:tc>
        <w:tc>
          <w:tcPr>
            <w:tcW w:w="610" w:type="dxa"/>
            <w:vAlign w:val="bottom"/>
          </w:tcPr>
          <w:p w14:paraId="4D94A3E4" w14:textId="77777777" w:rsidR="00221D6D" w:rsidRPr="00221D6D" w:rsidRDefault="00221D6D" w:rsidP="00221D6D">
            <w:pPr>
              <w:jc w:val="center"/>
              <w:rPr>
                <w:sz w:val="20"/>
                <w:szCs w:val="20"/>
                <w:lang w:val="en-US"/>
              </w:rPr>
            </w:pPr>
            <w:r w:rsidRPr="00221D6D">
              <w:rPr>
                <w:sz w:val="20"/>
                <w:szCs w:val="20"/>
                <w:lang w:val="en-US"/>
              </w:rPr>
              <w:t>100</w:t>
            </w:r>
          </w:p>
        </w:tc>
        <w:tc>
          <w:tcPr>
            <w:tcW w:w="609" w:type="dxa"/>
            <w:vAlign w:val="bottom"/>
          </w:tcPr>
          <w:p w14:paraId="5A603C6A" w14:textId="77777777" w:rsidR="00221D6D" w:rsidRPr="00221D6D" w:rsidRDefault="00221D6D" w:rsidP="00221D6D">
            <w:pPr>
              <w:jc w:val="center"/>
              <w:rPr>
                <w:rFonts w:eastAsia="Arial Unicode MS"/>
                <w:sz w:val="20"/>
                <w:szCs w:val="20"/>
              </w:rPr>
            </w:pPr>
            <w:r w:rsidRPr="00221D6D">
              <w:rPr>
                <w:sz w:val="20"/>
                <w:szCs w:val="20"/>
              </w:rPr>
              <w:t>100</w:t>
            </w:r>
          </w:p>
        </w:tc>
        <w:tc>
          <w:tcPr>
            <w:tcW w:w="610" w:type="dxa"/>
            <w:vAlign w:val="bottom"/>
          </w:tcPr>
          <w:p w14:paraId="38FA9F80" w14:textId="77777777" w:rsidR="00221D6D" w:rsidRPr="00221D6D" w:rsidRDefault="00221D6D" w:rsidP="00221D6D">
            <w:pPr>
              <w:jc w:val="center"/>
              <w:rPr>
                <w:sz w:val="20"/>
                <w:szCs w:val="20"/>
                <w:lang w:val="en-US"/>
              </w:rPr>
            </w:pPr>
            <w:r w:rsidRPr="00221D6D">
              <w:rPr>
                <w:sz w:val="20"/>
                <w:szCs w:val="20"/>
                <w:lang w:val="en-US"/>
              </w:rPr>
              <w:t>100</w:t>
            </w:r>
          </w:p>
        </w:tc>
        <w:tc>
          <w:tcPr>
            <w:tcW w:w="609" w:type="dxa"/>
            <w:vAlign w:val="bottom"/>
          </w:tcPr>
          <w:p w14:paraId="01C5C80C" w14:textId="77777777" w:rsidR="00221D6D" w:rsidRPr="00221D6D" w:rsidRDefault="00221D6D" w:rsidP="00221D6D">
            <w:pPr>
              <w:jc w:val="center"/>
              <w:rPr>
                <w:sz w:val="20"/>
                <w:szCs w:val="20"/>
                <w:lang w:val="en-US"/>
              </w:rPr>
            </w:pPr>
            <w:r w:rsidRPr="00221D6D">
              <w:rPr>
                <w:sz w:val="20"/>
                <w:szCs w:val="20"/>
                <w:lang w:val="en-US"/>
              </w:rPr>
              <w:t>100</w:t>
            </w:r>
          </w:p>
        </w:tc>
        <w:tc>
          <w:tcPr>
            <w:tcW w:w="610" w:type="dxa"/>
            <w:vAlign w:val="bottom"/>
          </w:tcPr>
          <w:p w14:paraId="1B981FF8" w14:textId="77777777" w:rsidR="00221D6D" w:rsidRPr="00221D6D" w:rsidRDefault="00221D6D" w:rsidP="00221D6D">
            <w:pPr>
              <w:jc w:val="center"/>
              <w:rPr>
                <w:sz w:val="20"/>
                <w:szCs w:val="20"/>
                <w:lang w:val="en-US"/>
              </w:rPr>
            </w:pPr>
            <w:r w:rsidRPr="00221D6D">
              <w:rPr>
                <w:sz w:val="20"/>
                <w:szCs w:val="20"/>
                <w:lang w:val="en-US"/>
              </w:rPr>
              <w:t>100</w:t>
            </w:r>
          </w:p>
        </w:tc>
        <w:tc>
          <w:tcPr>
            <w:tcW w:w="609" w:type="dxa"/>
            <w:vAlign w:val="bottom"/>
          </w:tcPr>
          <w:p w14:paraId="360F3BFF" w14:textId="77777777" w:rsidR="00221D6D" w:rsidRPr="00221D6D" w:rsidRDefault="00221D6D" w:rsidP="00221D6D">
            <w:pPr>
              <w:jc w:val="center"/>
              <w:rPr>
                <w:sz w:val="20"/>
                <w:szCs w:val="20"/>
                <w:lang w:val="en-US"/>
              </w:rPr>
            </w:pPr>
            <w:r w:rsidRPr="00221D6D">
              <w:rPr>
                <w:sz w:val="20"/>
                <w:szCs w:val="20"/>
                <w:lang w:val="en-US"/>
              </w:rPr>
              <w:t>100</w:t>
            </w:r>
          </w:p>
        </w:tc>
        <w:tc>
          <w:tcPr>
            <w:tcW w:w="610" w:type="dxa"/>
            <w:vAlign w:val="bottom"/>
          </w:tcPr>
          <w:p w14:paraId="017D7A62" w14:textId="77777777" w:rsidR="00221D6D" w:rsidRPr="00221D6D" w:rsidRDefault="00221D6D" w:rsidP="00221D6D">
            <w:pPr>
              <w:jc w:val="center"/>
              <w:rPr>
                <w:sz w:val="20"/>
                <w:szCs w:val="20"/>
              </w:rPr>
            </w:pPr>
            <w:r w:rsidRPr="00221D6D">
              <w:rPr>
                <w:sz w:val="20"/>
                <w:szCs w:val="20"/>
              </w:rPr>
              <w:t>100</w:t>
            </w:r>
          </w:p>
        </w:tc>
      </w:tr>
      <w:tr w:rsidR="00221D6D" w:rsidRPr="00221D6D" w14:paraId="53BFCE24" w14:textId="77777777" w:rsidTr="005C2605">
        <w:trPr>
          <w:trHeight w:val="20"/>
        </w:trPr>
        <w:tc>
          <w:tcPr>
            <w:tcW w:w="3119" w:type="dxa"/>
            <w:vAlign w:val="bottom"/>
          </w:tcPr>
          <w:p w14:paraId="5BCC9519" w14:textId="77777777" w:rsidR="00221D6D" w:rsidRPr="00221D6D" w:rsidRDefault="00221D6D" w:rsidP="00A911FD">
            <w:pPr>
              <w:rPr>
                <w:sz w:val="20"/>
                <w:szCs w:val="20"/>
              </w:rPr>
            </w:pPr>
            <w:r w:rsidRPr="00221D6D">
              <w:rPr>
                <w:sz w:val="20"/>
                <w:szCs w:val="20"/>
              </w:rPr>
              <w:t>0206 Ядерно-оружейный комплекс</w:t>
            </w:r>
          </w:p>
        </w:tc>
        <w:tc>
          <w:tcPr>
            <w:tcW w:w="609" w:type="dxa"/>
            <w:vAlign w:val="bottom"/>
          </w:tcPr>
          <w:p w14:paraId="5280C6A8" w14:textId="77777777" w:rsidR="00221D6D" w:rsidRPr="00221D6D" w:rsidRDefault="00221D6D" w:rsidP="00221D6D">
            <w:pPr>
              <w:jc w:val="center"/>
              <w:rPr>
                <w:sz w:val="20"/>
                <w:szCs w:val="20"/>
              </w:rPr>
            </w:pPr>
            <w:r w:rsidRPr="00221D6D">
              <w:rPr>
                <w:sz w:val="20"/>
                <w:szCs w:val="20"/>
              </w:rPr>
              <w:t>100</w:t>
            </w:r>
          </w:p>
        </w:tc>
        <w:tc>
          <w:tcPr>
            <w:tcW w:w="610" w:type="dxa"/>
            <w:vAlign w:val="bottom"/>
          </w:tcPr>
          <w:p w14:paraId="31520E6C" w14:textId="77777777" w:rsidR="00221D6D" w:rsidRPr="00221D6D" w:rsidRDefault="00221D6D" w:rsidP="00221D6D">
            <w:pPr>
              <w:jc w:val="center"/>
              <w:rPr>
                <w:sz w:val="20"/>
                <w:szCs w:val="20"/>
                <w:lang w:val="en-US"/>
              </w:rPr>
            </w:pPr>
            <w:r w:rsidRPr="00221D6D">
              <w:rPr>
                <w:sz w:val="20"/>
                <w:szCs w:val="20"/>
                <w:lang w:val="en-US"/>
              </w:rPr>
              <w:t>100</w:t>
            </w:r>
          </w:p>
        </w:tc>
        <w:tc>
          <w:tcPr>
            <w:tcW w:w="609" w:type="dxa"/>
            <w:vAlign w:val="bottom"/>
          </w:tcPr>
          <w:p w14:paraId="34001496" w14:textId="77777777" w:rsidR="00221D6D" w:rsidRPr="00221D6D" w:rsidRDefault="00221D6D" w:rsidP="00221D6D">
            <w:pPr>
              <w:jc w:val="center"/>
              <w:rPr>
                <w:rFonts w:eastAsia="Arial Unicode MS"/>
                <w:sz w:val="20"/>
                <w:szCs w:val="20"/>
                <w:lang w:val="en-US"/>
              </w:rPr>
            </w:pPr>
            <w:r w:rsidRPr="00221D6D">
              <w:rPr>
                <w:sz w:val="20"/>
                <w:szCs w:val="20"/>
              </w:rPr>
              <w:t>100</w:t>
            </w:r>
          </w:p>
        </w:tc>
        <w:tc>
          <w:tcPr>
            <w:tcW w:w="610" w:type="dxa"/>
            <w:vAlign w:val="bottom"/>
          </w:tcPr>
          <w:p w14:paraId="02227FAF" w14:textId="77777777" w:rsidR="00221D6D" w:rsidRPr="00221D6D" w:rsidRDefault="00221D6D" w:rsidP="00221D6D">
            <w:pPr>
              <w:jc w:val="center"/>
              <w:rPr>
                <w:sz w:val="20"/>
                <w:szCs w:val="20"/>
                <w:lang w:val="en-US"/>
              </w:rPr>
            </w:pPr>
            <w:r w:rsidRPr="00221D6D">
              <w:rPr>
                <w:sz w:val="20"/>
                <w:szCs w:val="20"/>
                <w:lang w:val="en-US"/>
              </w:rPr>
              <w:t>100</w:t>
            </w:r>
          </w:p>
        </w:tc>
        <w:tc>
          <w:tcPr>
            <w:tcW w:w="609" w:type="dxa"/>
            <w:vAlign w:val="bottom"/>
          </w:tcPr>
          <w:p w14:paraId="0089111A" w14:textId="77777777" w:rsidR="00221D6D" w:rsidRPr="00221D6D" w:rsidRDefault="00221D6D" w:rsidP="00221D6D">
            <w:pPr>
              <w:jc w:val="center"/>
              <w:rPr>
                <w:rFonts w:eastAsia="Arial Unicode MS"/>
                <w:sz w:val="20"/>
                <w:szCs w:val="20"/>
                <w:lang w:val="en-US"/>
              </w:rPr>
            </w:pPr>
            <w:r w:rsidRPr="00221D6D">
              <w:rPr>
                <w:sz w:val="20"/>
                <w:szCs w:val="20"/>
              </w:rPr>
              <w:t>100</w:t>
            </w:r>
          </w:p>
        </w:tc>
        <w:tc>
          <w:tcPr>
            <w:tcW w:w="610" w:type="dxa"/>
            <w:vAlign w:val="bottom"/>
          </w:tcPr>
          <w:p w14:paraId="2561D297" w14:textId="77777777" w:rsidR="00221D6D" w:rsidRPr="00221D6D" w:rsidRDefault="00221D6D" w:rsidP="00221D6D">
            <w:pPr>
              <w:jc w:val="center"/>
              <w:rPr>
                <w:sz w:val="20"/>
                <w:szCs w:val="20"/>
                <w:lang w:val="en-US"/>
              </w:rPr>
            </w:pPr>
            <w:r w:rsidRPr="00221D6D">
              <w:rPr>
                <w:sz w:val="20"/>
                <w:szCs w:val="20"/>
                <w:lang w:val="en-US"/>
              </w:rPr>
              <w:t>100</w:t>
            </w:r>
          </w:p>
        </w:tc>
        <w:tc>
          <w:tcPr>
            <w:tcW w:w="609" w:type="dxa"/>
            <w:vAlign w:val="bottom"/>
          </w:tcPr>
          <w:p w14:paraId="34D8A18C" w14:textId="77777777" w:rsidR="00221D6D" w:rsidRPr="00221D6D" w:rsidRDefault="00221D6D" w:rsidP="00221D6D">
            <w:pPr>
              <w:jc w:val="center"/>
              <w:rPr>
                <w:sz w:val="20"/>
                <w:szCs w:val="20"/>
                <w:lang w:val="en-US"/>
              </w:rPr>
            </w:pPr>
            <w:r w:rsidRPr="00221D6D">
              <w:rPr>
                <w:sz w:val="20"/>
                <w:szCs w:val="20"/>
                <w:lang w:val="en-US"/>
              </w:rPr>
              <w:t>100</w:t>
            </w:r>
          </w:p>
        </w:tc>
        <w:tc>
          <w:tcPr>
            <w:tcW w:w="610" w:type="dxa"/>
            <w:vAlign w:val="bottom"/>
          </w:tcPr>
          <w:p w14:paraId="75BA557B" w14:textId="77777777" w:rsidR="00221D6D" w:rsidRPr="00221D6D" w:rsidRDefault="00221D6D" w:rsidP="00221D6D">
            <w:pPr>
              <w:jc w:val="center"/>
              <w:rPr>
                <w:sz w:val="20"/>
                <w:szCs w:val="20"/>
                <w:lang w:val="en-US"/>
              </w:rPr>
            </w:pPr>
            <w:r w:rsidRPr="00221D6D">
              <w:rPr>
                <w:sz w:val="20"/>
                <w:szCs w:val="20"/>
                <w:lang w:val="en-US"/>
              </w:rPr>
              <w:t>100</w:t>
            </w:r>
          </w:p>
        </w:tc>
        <w:tc>
          <w:tcPr>
            <w:tcW w:w="609" w:type="dxa"/>
            <w:vAlign w:val="bottom"/>
          </w:tcPr>
          <w:p w14:paraId="086E3B2C" w14:textId="77777777" w:rsidR="00221D6D" w:rsidRPr="00221D6D" w:rsidRDefault="00221D6D" w:rsidP="00221D6D">
            <w:pPr>
              <w:jc w:val="center"/>
              <w:rPr>
                <w:sz w:val="20"/>
                <w:szCs w:val="20"/>
                <w:lang w:val="en-US"/>
              </w:rPr>
            </w:pPr>
            <w:r w:rsidRPr="00221D6D">
              <w:rPr>
                <w:sz w:val="20"/>
                <w:szCs w:val="20"/>
                <w:lang w:val="en-US"/>
              </w:rPr>
              <w:t>100</w:t>
            </w:r>
          </w:p>
        </w:tc>
        <w:tc>
          <w:tcPr>
            <w:tcW w:w="610" w:type="dxa"/>
            <w:vAlign w:val="bottom"/>
          </w:tcPr>
          <w:p w14:paraId="07E0BD03" w14:textId="77777777" w:rsidR="00221D6D" w:rsidRPr="00221D6D" w:rsidRDefault="00221D6D" w:rsidP="00221D6D">
            <w:pPr>
              <w:jc w:val="center"/>
              <w:rPr>
                <w:sz w:val="20"/>
                <w:szCs w:val="20"/>
              </w:rPr>
            </w:pPr>
            <w:r w:rsidRPr="00221D6D">
              <w:rPr>
                <w:sz w:val="20"/>
                <w:szCs w:val="20"/>
              </w:rPr>
              <w:t>100</w:t>
            </w:r>
          </w:p>
        </w:tc>
      </w:tr>
      <w:tr w:rsidR="00221D6D" w:rsidRPr="00221D6D" w14:paraId="24EE92C2" w14:textId="77777777" w:rsidTr="005C2605">
        <w:trPr>
          <w:trHeight w:val="20"/>
        </w:trPr>
        <w:tc>
          <w:tcPr>
            <w:tcW w:w="3119" w:type="dxa"/>
          </w:tcPr>
          <w:p w14:paraId="005421CF" w14:textId="77777777" w:rsidR="00221D6D" w:rsidRPr="00221D6D" w:rsidRDefault="00221D6D" w:rsidP="00A911FD">
            <w:pPr>
              <w:ind w:left="426" w:hanging="426"/>
              <w:rPr>
                <w:sz w:val="20"/>
                <w:szCs w:val="20"/>
              </w:rPr>
            </w:pPr>
            <w:r w:rsidRPr="00221D6D">
              <w:rPr>
                <w:sz w:val="20"/>
                <w:szCs w:val="20"/>
              </w:rPr>
              <w:t>0207 Реализация международных обязательств в сфере военно-технического сотрудничества</w:t>
            </w:r>
          </w:p>
        </w:tc>
        <w:tc>
          <w:tcPr>
            <w:tcW w:w="609" w:type="dxa"/>
            <w:vAlign w:val="bottom"/>
          </w:tcPr>
          <w:p w14:paraId="36A1B6CD" w14:textId="77777777" w:rsidR="00221D6D" w:rsidRPr="00221D6D" w:rsidRDefault="00221D6D" w:rsidP="00221D6D">
            <w:pPr>
              <w:jc w:val="center"/>
              <w:rPr>
                <w:sz w:val="20"/>
                <w:szCs w:val="20"/>
              </w:rPr>
            </w:pPr>
            <w:r w:rsidRPr="00221D6D">
              <w:rPr>
                <w:sz w:val="20"/>
                <w:szCs w:val="20"/>
              </w:rPr>
              <w:t>80,6</w:t>
            </w:r>
          </w:p>
        </w:tc>
        <w:tc>
          <w:tcPr>
            <w:tcW w:w="610" w:type="dxa"/>
            <w:vAlign w:val="bottom"/>
          </w:tcPr>
          <w:p w14:paraId="74EE9D94" w14:textId="77777777" w:rsidR="00221D6D" w:rsidRPr="00221D6D" w:rsidRDefault="00221D6D" w:rsidP="00221D6D">
            <w:pPr>
              <w:jc w:val="center"/>
              <w:rPr>
                <w:sz w:val="20"/>
                <w:szCs w:val="20"/>
              </w:rPr>
            </w:pPr>
            <w:r w:rsidRPr="00221D6D">
              <w:rPr>
                <w:sz w:val="20"/>
                <w:szCs w:val="20"/>
                <w:lang w:val="en-US"/>
              </w:rPr>
              <w:t>7</w:t>
            </w:r>
            <w:r w:rsidRPr="00221D6D">
              <w:rPr>
                <w:sz w:val="20"/>
                <w:szCs w:val="20"/>
              </w:rPr>
              <w:t>6</w:t>
            </w:r>
            <w:r w:rsidRPr="00221D6D">
              <w:rPr>
                <w:sz w:val="20"/>
                <w:szCs w:val="20"/>
                <w:lang w:val="en-US"/>
              </w:rPr>
              <w:t>,</w:t>
            </w:r>
            <w:r w:rsidRPr="00221D6D">
              <w:rPr>
                <w:sz w:val="20"/>
                <w:szCs w:val="20"/>
              </w:rPr>
              <w:t>7</w:t>
            </w:r>
          </w:p>
        </w:tc>
        <w:tc>
          <w:tcPr>
            <w:tcW w:w="609" w:type="dxa"/>
            <w:vAlign w:val="bottom"/>
          </w:tcPr>
          <w:p w14:paraId="01202D75" w14:textId="77777777" w:rsidR="00221D6D" w:rsidRPr="00221D6D" w:rsidRDefault="00221D6D" w:rsidP="00221D6D">
            <w:pPr>
              <w:jc w:val="center"/>
              <w:rPr>
                <w:rFonts w:eastAsia="Arial Unicode MS"/>
                <w:sz w:val="20"/>
                <w:szCs w:val="20"/>
              </w:rPr>
            </w:pPr>
            <w:r w:rsidRPr="00221D6D">
              <w:rPr>
                <w:sz w:val="20"/>
                <w:szCs w:val="20"/>
              </w:rPr>
              <w:t>80,8</w:t>
            </w:r>
          </w:p>
        </w:tc>
        <w:tc>
          <w:tcPr>
            <w:tcW w:w="610" w:type="dxa"/>
            <w:vAlign w:val="bottom"/>
          </w:tcPr>
          <w:p w14:paraId="4A7C8A31" w14:textId="77777777" w:rsidR="00221D6D" w:rsidRPr="00221D6D" w:rsidRDefault="00221D6D" w:rsidP="00221D6D">
            <w:pPr>
              <w:jc w:val="center"/>
              <w:rPr>
                <w:sz w:val="20"/>
                <w:szCs w:val="20"/>
              </w:rPr>
            </w:pPr>
            <w:r w:rsidRPr="00221D6D">
              <w:rPr>
                <w:sz w:val="20"/>
                <w:szCs w:val="20"/>
              </w:rPr>
              <w:t>77</w:t>
            </w:r>
            <w:r w:rsidRPr="00221D6D">
              <w:rPr>
                <w:sz w:val="20"/>
                <w:szCs w:val="20"/>
                <w:lang w:val="en-US"/>
              </w:rPr>
              <w:t>,</w:t>
            </w:r>
            <w:r w:rsidRPr="00221D6D">
              <w:rPr>
                <w:sz w:val="20"/>
                <w:szCs w:val="20"/>
              </w:rPr>
              <w:t>6</w:t>
            </w:r>
          </w:p>
        </w:tc>
        <w:tc>
          <w:tcPr>
            <w:tcW w:w="609" w:type="dxa"/>
            <w:vAlign w:val="bottom"/>
          </w:tcPr>
          <w:p w14:paraId="26CE457B" w14:textId="77777777" w:rsidR="00221D6D" w:rsidRPr="00221D6D" w:rsidRDefault="00221D6D" w:rsidP="00221D6D">
            <w:pPr>
              <w:jc w:val="center"/>
              <w:rPr>
                <w:rFonts w:eastAsia="Arial Unicode MS"/>
                <w:sz w:val="20"/>
                <w:szCs w:val="20"/>
              </w:rPr>
            </w:pPr>
            <w:r w:rsidRPr="00221D6D">
              <w:rPr>
                <w:sz w:val="20"/>
                <w:szCs w:val="20"/>
                <w:lang w:val="en-US"/>
              </w:rPr>
              <w:t>76</w:t>
            </w:r>
            <w:r w:rsidRPr="00221D6D">
              <w:rPr>
                <w:sz w:val="20"/>
                <w:szCs w:val="20"/>
              </w:rPr>
              <w:t>,9</w:t>
            </w:r>
          </w:p>
        </w:tc>
        <w:tc>
          <w:tcPr>
            <w:tcW w:w="610" w:type="dxa"/>
            <w:vAlign w:val="bottom"/>
          </w:tcPr>
          <w:p w14:paraId="524C5028" w14:textId="77777777" w:rsidR="00221D6D" w:rsidRPr="00221D6D" w:rsidRDefault="00221D6D" w:rsidP="00221D6D">
            <w:pPr>
              <w:jc w:val="center"/>
              <w:rPr>
                <w:sz w:val="20"/>
                <w:szCs w:val="20"/>
                <w:lang w:val="en-US"/>
              </w:rPr>
            </w:pPr>
            <w:r w:rsidRPr="00221D6D">
              <w:rPr>
                <w:sz w:val="20"/>
                <w:szCs w:val="20"/>
                <w:lang w:val="en-US"/>
              </w:rPr>
              <w:t>83,6</w:t>
            </w:r>
          </w:p>
        </w:tc>
        <w:tc>
          <w:tcPr>
            <w:tcW w:w="609" w:type="dxa"/>
            <w:vAlign w:val="bottom"/>
          </w:tcPr>
          <w:p w14:paraId="54ABEB84" w14:textId="77777777" w:rsidR="00221D6D" w:rsidRPr="00221D6D" w:rsidRDefault="00221D6D" w:rsidP="00221D6D">
            <w:pPr>
              <w:jc w:val="center"/>
              <w:rPr>
                <w:sz w:val="20"/>
                <w:szCs w:val="20"/>
              </w:rPr>
            </w:pPr>
            <w:r w:rsidRPr="00221D6D">
              <w:rPr>
                <w:sz w:val="20"/>
                <w:szCs w:val="20"/>
                <w:lang w:val="en-US"/>
              </w:rPr>
              <w:t>83,</w:t>
            </w:r>
            <w:r w:rsidRPr="00221D6D">
              <w:rPr>
                <w:sz w:val="20"/>
                <w:szCs w:val="20"/>
              </w:rPr>
              <w:t>5</w:t>
            </w:r>
          </w:p>
        </w:tc>
        <w:tc>
          <w:tcPr>
            <w:tcW w:w="610" w:type="dxa"/>
            <w:vAlign w:val="bottom"/>
          </w:tcPr>
          <w:p w14:paraId="627710C0" w14:textId="77777777" w:rsidR="00221D6D" w:rsidRPr="00221D6D" w:rsidRDefault="00221D6D" w:rsidP="00221D6D">
            <w:pPr>
              <w:jc w:val="center"/>
              <w:rPr>
                <w:sz w:val="20"/>
                <w:szCs w:val="20"/>
              </w:rPr>
            </w:pPr>
            <w:r w:rsidRPr="00221D6D">
              <w:rPr>
                <w:sz w:val="20"/>
                <w:szCs w:val="20"/>
                <w:lang w:val="en-US"/>
              </w:rPr>
              <w:t>8</w:t>
            </w:r>
            <w:r w:rsidRPr="00221D6D">
              <w:rPr>
                <w:sz w:val="20"/>
                <w:szCs w:val="20"/>
              </w:rPr>
              <w:t>4</w:t>
            </w:r>
            <w:r w:rsidRPr="00221D6D">
              <w:rPr>
                <w:sz w:val="20"/>
                <w:szCs w:val="20"/>
                <w:lang w:val="en-US"/>
              </w:rPr>
              <w:t>,</w:t>
            </w:r>
            <w:r w:rsidRPr="00221D6D">
              <w:rPr>
                <w:sz w:val="20"/>
                <w:szCs w:val="20"/>
              </w:rPr>
              <w:t>0</w:t>
            </w:r>
          </w:p>
        </w:tc>
        <w:tc>
          <w:tcPr>
            <w:tcW w:w="609" w:type="dxa"/>
            <w:vAlign w:val="bottom"/>
          </w:tcPr>
          <w:p w14:paraId="0CCA81E0" w14:textId="77777777" w:rsidR="00221D6D" w:rsidRPr="00221D6D" w:rsidRDefault="00221D6D" w:rsidP="00221D6D">
            <w:pPr>
              <w:jc w:val="center"/>
              <w:rPr>
                <w:sz w:val="20"/>
                <w:szCs w:val="20"/>
              </w:rPr>
            </w:pPr>
            <w:r w:rsidRPr="00221D6D">
              <w:rPr>
                <w:sz w:val="20"/>
                <w:szCs w:val="20"/>
                <w:lang w:val="en-US"/>
              </w:rPr>
              <w:t>83,</w:t>
            </w:r>
            <w:r w:rsidRPr="00221D6D">
              <w:rPr>
                <w:sz w:val="20"/>
                <w:szCs w:val="20"/>
              </w:rPr>
              <w:t>7</w:t>
            </w:r>
          </w:p>
        </w:tc>
        <w:tc>
          <w:tcPr>
            <w:tcW w:w="610" w:type="dxa"/>
            <w:vAlign w:val="bottom"/>
          </w:tcPr>
          <w:p w14:paraId="4FE525F9" w14:textId="77777777" w:rsidR="00221D6D" w:rsidRPr="00221D6D" w:rsidRDefault="00221D6D" w:rsidP="00221D6D">
            <w:pPr>
              <w:jc w:val="center"/>
              <w:rPr>
                <w:sz w:val="20"/>
                <w:szCs w:val="20"/>
              </w:rPr>
            </w:pPr>
            <w:r w:rsidRPr="00221D6D">
              <w:rPr>
                <w:sz w:val="20"/>
                <w:szCs w:val="20"/>
              </w:rPr>
              <w:t>83,8</w:t>
            </w:r>
          </w:p>
        </w:tc>
      </w:tr>
      <w:tr w:rsidR="00221D6D" w:rsidRPr="00221D6D" w14:paraId="7927303E" w14:textId="77777777" w:rsidTr="005C2605">
        <w:trPr>
          <w:trHeight w:val="20"/>
        </w:trPr>
        <w:tc>
          <w:tcPr>
            <w:tcW w:w="3119" w:type="dxa"/>
          </w:tcPr>
          <w:p w14:paraId="6F80D306" w14:textId="77777777" w:rsidR="00221D6D" w:rsidRPr="00221D6D" w:rsidRDefault="00221D6D" w:rsidP="00A911FD">
            <w:pPr>
              <w:ind w:left="426" w:hanging="426"/>
              <w:rPr>
                <w:sz w:val="20"/>
                <w:szCs w:val="20"/>
              </w:rPr>
            </w:pPr>
            <w:r w:rsidRPr="00221D6D">
              <w:rPr>
                <w:sz w:val="20"/>
                <w:szCs w:val="20"/>
              </w:rPr>
              <w:t>0208 Прикладные научные исследования в области национальной обороны</w:t>
            </w:r>
          </w:p>
        </w:tc>
        <w:tc>
          <w:tcPr>
            <w:tcW w:w="609" w:type="dxa"/>
            <w:vAlign w:val="bottom"/>
          </w:tcPr>
          <w:p w14:paraId="3C2C7003" w14:textId="77777777" w:rsidR="00221D6D" w:rsidRPr="00221D6D" w:rsidRDefault="00221D6D" w:rsidP="00221D6D">
            <w:pPr>
              <w:jc w:val="center"/>
              <w:rPr>
                <w:sz w:val="20"/>
                <w:szCs w:val="20"/>
              </w:rPr>
            </w:pPr>
            <w:r w:rsidRPr="00221D6D">
              <w:rPr>
                <w:sz w:val="20"/>
                <w:szCs w:val="20"/>
              </w:rPr>
              <w:t>94,3</w:t>
            </w:r>
          </w:p>
        </w:tc>
        <w:tc>
          <w:tcPr>
            <w:tcW w:w="610" w:type="dxa"/>
            <w:vAlign w:val="bottom"/>
          </w:tcPr>
          <w:p w14:paraId="0FD1ED0C" w14:textId="77777777" w:rsidR="00221D6D" w:rsidRPr="00221D6D" w:rsidRDefault="00221D6D" w:rsidP="00221D6D">
            <w:pPr>
              <w:jc w:val="center"/>
              <w:rPr>
                <w:sz w:val="20"/>
                <w:szCs w:val="20"/>
              </w:rPr>
            </w:pPr>
            <w:r w:rsidRPr="00221D6D">
              <w:rPr>
                <w:sz w:val="20"/>
                <w:szCs w:val="20"/>
                <w:lang w:val="en-US"/>
              </w:rPr>
              <w:t>9</w:t>
            </w:r>
            <w:r w:rsidRPr="00221D6D">
              <w:rPr>
                <w:sz w:val="20"/>
                <w:szCs w:val="20"/>
              </w:rPr>
              <w:t>2</w:t>
            </w:r>
            <w:r w:rsidRPr="00221D6D">
              <w:rPr>
                <w:sz w:val="20"/>
                <w:szCs w:val="20"/>
                <w:lang w:val="en-US"/>
              </w:rPr>
              <w:t>,</w:t>
            </w:r>
            <w:r w:rsidRPr="00221D6D">
              <w:rPr>
                <w:sz w:val="20"/>
                <w:szCs w:val="20"/>
              </w:rPr>
              <w:t>1</w:t>
            </w:r>
          </w:p>
        </w:tc>
        <w:tc>
          <w:tcPr>
            <w:tcW w:w="609" w:type="dxa"/>
            <w:vAlign w:val="bottom"/>
          </w:tcPr>
          <w:p w14:paraId="037FA38E" w14:textId="77777777" w:rsidR="00221D6D" w:rsidRPr="00221D6D" w:rsidRDefault="00221D6D" w:rsidP="00221D6D">
            <w:pPr>
              <w:jc w:val="center"/>
              <w:rPr>
                <w:rFonts w:eastAsia="Arial Unicode MS"/>
                <w:sz w:val="20"/>
                <w:szCs w:val="20"/>
              </w:rPr>
            </w:pPr>
            <w:r w:rsidRPr="00221D6D">
              <w:rPr>
                <w:sz w:val="20"/>
                <w:szCs w:val="20"/>
              </w:rPr>
              <w:t>9</w:t>
            </w:r>
            <w:r w:rsidRPr="00221D6D">
              <w:rPr>
                <w:sz w:val="20"/>
                <w:szCs w:val="20"/>
                <w:lang w:val="en-US"/>
              </w:rPr>
              <w:t>1</w:t>
            </w:r>
            <w:r w:rsidRPr="00221D6D">
              <w:rPr>
                <w:sz w:val="20"/>
                <w:szCs w:val="20"/>
              </w:rPr>
              <w:t>,7</w:t>
            </w:r>
          </w:p>
        </w:tc>
        <w:tc>
          <w:tcPr>
            <w:tcW w:w="610" w:type="dxa"/>
            <w:vAlign w:val="bottom"/>
          </w:tcPr>
          <w:p w14:paraId="52B228EB" w14:textId="77777777" w:rsidR="00221D6D" w:rsidRPr="00221D6D" w:rsidRDefault="00221D6D" w:rsidP="00221D6D">
            <w:pPr>
              <w:jc w:val="center"/>
              <w:rPr>
                <w:sz w:val="20"/>
                <w:szCs w:val="20"/>
              </w:rPr>
            </w:pPr>
            <w:r w:rsidRPr="00221D6D">
              <w:rPr>
                <w:sz w:val="20"/>
                <w:szCs w:val="20"/>
                <w:lang w:val="en-US"/>
              </w:rPr>
              <w:t>9</w:t>
            </w:r>
            <w:r w:rsidRPr="00221D6D">
              <w:rPr>
                <w:sz w:val="20"/>
                <w:szCs w:val="20"/>
              </w:rPr>
              <w:t>6</w:t>
            </w:r>
            <w:r w:rsidRPr="00221D6D">
              <w:rPr>
                <w:sz w:val="20"/>
                <w:szCs w:val="20"/>
                <w:lang w:val="en-US"/>
              </w:rPr>
              <w:t>,</w:t>
            </w:r>
            <w:r w:rsidRPr="00221D6D">
              <w:rPr>
                <w:sz w:val="20"/>
                <w:szCs w:val="20"/>
              </w:rPr>
              <w:t>3</w:t>
            </w:r>
          </w:p>
        </w:tc>
        <w:tc>
          <w:tcPr>
            <w:tcW w:w="609" w:type="dxa"/>
            <w:vAlign w:val="bottom"/>
          </w:tcPr>
          <w:p w14:paraId="17D8B144" w14:textId="77777777" w:rsidR="00221D6D" w:rsidRPr="00221D6D" w:rsidRDefault="00221D6D" w:rsidP="00221D6D">
            <w:pPr>
              <w:jc w:val="center"/>
              <w:rPr>
                <w:rFonts w:eastAsia="Arial Unicode MS"/>
                <w:sz w:val="20"/>
                <w:szCs w:val="20"/>
                <w:lang w:val="en-US"/>
              </w:rPr>
            </w:pPr>
            <w:r w:rsidRPr="00221D6D">
              <w:rPr>
                <w:sz w:val="20"/>
                <w:szCs w:val="20"/>
              </w:rPr>
              <w:t>9</w:t>
            </w:r>
            <w:r w:rsidRPr="00221D6D">
              <w:rPr>
                <w:sz w:val="20"/>
                <w:szCs w:val="20"/>
                <w:lang w:val="en-US"/>
              </w:rPr>
              <w:t>5</w:t>
            </w:r>
            <w:r w:rsidRPr="00221D6D">
              <w:rPr>
                <w:sz w:val="20"/>
                <w:szCs w:val="20"/>
              </w:rPr>
              <w:t>,</w:t>
            </w:r>
            <w:r w:rsidRPr="00221D6D">
              <w:rPr>
                <w:sz w:val="20"/>
                <w:szCs w:val="20"/>
                <w:lang w:val="en-US"/>
              </w:rPr>
              <w:t>7</w:t>
            </w:r>
          </w:p>
        </w:tc>
        <w:tc>
          <w:tcPr>
            <w:tcW w:w="610" w:type="dxa"/>
            <w:vAlign w:val="bottom"/>
          </w:tcPr>
          <w:p w14:paraId="6F1534C6" w14:textId="77777777" w:rsidR="00221D6D" w:rsidRPr="00221D6D" w:rsidRDefault="00221D6D" w:rsidP="00221D6D">
            <w:pPr>
              <w:jc w:val="center"/>
              <w:rPr>
                <w:sz w:val="20"/>
                <w:szCs w:val="20"/>
                <w:lang w:val="en-US"/>
              </w:rPr>
            </w:pPr>
            <w:r w:rsidRPr="00221D6D">
              <w:rPr>
                <w:sz w:val="20"/>
                <w:szCs w:val="20"/>
                <w:lang w:val="en-US"/>
              </w:rPr>
              <w:t>95,1</w:t>
            </w:r>
          </w:p>
        </w:tc>
        <w:tc>
          <w:tcPr>
            <w:tcW w:w="609" w:type="dxa"/>
            <w:vAlign w:val="bottom"/>
          </w:tcPr>
          <w:p w14:paraId="1B967D2D" w14:textId="77777777" w:rsidR="00221D6D" w:rsidRPr="00221D6D" w:rsidRDefault="00221D6D" w:rsidP="00221D6D">
            <w:pPr>
              <w:jc w:val="center"/>
              <w:rPr>
                <w:sz w:val="20"/>
                <w:szCs w:val="20"/>
              </w:rPr>
            </w:pPr>
            <w:r w:rsidRPr="00221D6D">
              <w:rPr>
                <w:sz w:val="20"/>
                <w:szCs w:val="20"/>
                <w:lang w:val="en-US"/>
              </w:rPr>
              <w:t>95,</w:t>
            </w:r>
            <w:r w:rsidRPr="00221D6D">
              <w:rPr>
                <w:sz w:val="20"/>
                <w:szCs w:val="20"/>
              </w:rPr>
              <w:t>2</w:t>
            </w:r>
          </w:p>
        </w:tc>
        <w:tc>
          <w:tcPr>
            <w:tcW w:w="610" w:type="dxa"/>
            <w:vAlign w:val="bottom"/>
          </w:tcPr>
          <w:p w14:paraId="774CFAE4" w14:textId="77777777" w:rsidR="00221D6D" w:rsidRPr="00221D6D" w:rsidRDefault="00221D6D" w:rsidP="00221D6D">
            <w:pPr>
              <w:jc w:val="center"/>
              <w:rPr>
                <w:sz w:val="20"/>
                <w:szCs w:val="20"/>
              </w:rPr>
            </w:pPr>
            <w:r w:rsidRPr="00221D6D">
              <w:rPr>
                <w:sz w:val="20"/>
                <w:szCs w:val="20"/>
                <w:lang w:val="en-US"/>
              </w:rPr>
              <w:t>95,</w:t>
            </w:r>
            <w:r w:rsidRPr="00221D6D">
              <w:rPr>
                <w:sz w:val="20"/>
                <w:szCs w:val="20"/>
              </w:rPr>
              <w:t>5</w:t>
            </w:r>
          </w:p>
        </w:tc>
        <w:tc>
          <w:tcPr>
            <w:tcW w:w="609" w:type="dxa"/>
            <w:vAlign w:val="bottom"/>
          </w:tcPr>
          <w:p w14:paraId="5F41EAF9" w14:textId="77777777" w:rsidR="00221D6D" w:rsidRPr="00221D6D" w:rsidRDefault="00221D6D" w:rsidP="00221D6D">
            <w:pPr>
              <w:jc w:val="center"/>
              <w:rPr>
                <w:sz w:val="20"/>
                <w:szCs w:val="20"/>
              </w:rPr>
            </w:pPr>
            <w:r w:rsidRPr="00221D6D">
              <w:rPr>
                <w:sz w:val="20"/>
                <w:szCs w:val="20"/>
                <w:lang w:val="en-US"/>
              </w:rPr>
              <w:t>9</w:t>
            </w:r>
            <w:r w:rsidRPr="00221D6D">
              <w:rPr>
                <w:sz w:val="20"/>
                <w:szCs w:val="20"/>
              </w:rPr>
              <w:t>6</w:t>
            </w:r>
            <w:r w:rsidRPr="00221D6D">
              <w:rPr>
                <w:sz w:val="20"/>
                <w:szCs w:val="20"/>
                <w:lang w:val="en-US"/>
              </w:rPr>
              <w:t>,</w:t>
            </w:r>
            <w:r w:rsidRPr="00221D6D">
              <w:rPr>
                <w:sz w:val="20"/>
                <w:szCs w:val="20"/>
              </w:rPr>
              <w:t>4</w:t>
            </w:r>
          </w:p>
        </w:tc>
        <w:tc>
          <w:tcPr>
            <w:tcW w:w="610" w:type="dxa"/>
            <w:vAlign w:val="bottom"/>
          </w:tcPr>
          <w:p w14:paraId="7EE02CE4" w14:textId="77777777" w:rsidR="00221D6D" w:rsidRPr="00221D6D" w:rsidRDefault="00221D6D" w:rsidP="00221D6D">
            <w:pPr>
              <w:jc w:val="center"/>
              <w:rPr>
                <w:sz w:val="20"/>
                <w:szCs w:val="20"/>
              </w:rPr>
            </w:pPr>
            <w:r w:rsidRPr="00221D6D">
              <w:rPr>
                <w:sz w:val="20"/>
                <w:szCs w:val="20"/>
              </w:rPr>
              <w:t>96,4</w:t>
            </w:r>
          </w:p>
        </w:tc>
      </w:tr>
      <w:tr w:rsidR="00221D6D" w:rsidRPr="00221D6D" w14:paraId="42931D90" w14:textId="77777777" w:rsidTr="005C2605">
        <w:trPr>
          <w:trHeight w:val="20"/>
        </w:trPr>
        <w:tc>
          <w:tcPr>
            <w:tcW w:w="3119" w:type="dxa"/>
          </w:tcPr>
          <w:p w14:paraId="6F72BFD1" w14:textId="77777777" w:rsidR="00221D6D" w:rsidRPr="00221D6D" w:rsidRDefault="00221D6D" w:rsidP="00A911FD">
            <w:pPr>
              <w:ind w:left="426" w:hanging="426"/>
              <w:rPr>
                <w:sz w:val="20"/>
                <w:szCs w:val="20"/>
              </w:rPr>
            </w:pPr>
            <w:r w:rsidRPr="00221D6D">
              <w:rPr>
                <w:sz w:val="20"/>
                <w:szCs w:val="20"/>
              </w:rPr>
              <w:t>0209 Другие вопросы в области национальной обороны</w:t>
            </w:r>
          </w:p>
        </w:tc>
        <w:tc>
          <w:tcPr>
            <w:tcW w:w="609" w:type="dxa"/>
            <w:vAlign w:val="bottom"/>
          </w:tcPr>
          <w:p w14:paraId="2035BA86" w14:textId="77777777" w:rsidR="00221D6D" w:rsidRPr="00221D6D" w:rsidRDefault="00221D6D" w:rsidP="00221D6D">
            <w:pPr>
              <w:jc w:val="center"/>
              <w:rPr>
                <w:sz w:val="20"/>
                <w:szCs w:val="20"/>
              </w:rPr>
            </w:pPr>
            <w:r w:rsidRPr="00221D6D">
              <w:rPr>
                <w:sz w:val="20"/>
                <w:szCs w:val="20"/>
              </w:rPr>
              <w:t>34,6</w:t>
            </w:r>
          </w:p>
        </w:tc>
        <w:tc>
          <w:tcPr>
            <w:tcW w:w="610" w:type="dxa"/>
            <w:vAlign w:val="bottom"/>
          </w:tcPr>
          <w:p w14:paraId="48417B6C" w14:textId="77777777" w:rsidR="00221D6D" w:rsidRPr="00221D6D" w:rsidRDefault="00221D6D" w:rsidP="00221D6D">
            <w:pPr>
              <w:jc w:val="center"/>
              <w:rPr>
                <w:sz w:val="20"/>
                <w:szCs w:val="20"/>
              </w:rPr>
            </w:pPr>
            <w:r w:rsidRPr="00221D6D">
              <w:rPr>
                <w:sz w:val="20"/>
                <w:szCs w:val="20"/>
              </w:rPr>
              <w:t>46</w:t>
            </w:r>
            <w:r w:rsidRPr="00221D6D">
              <w:rPr>
                <w:sz w:val="20"/>
                <w:szCs w:val="20"/>
                <w:lang w:val="en-US"/>
              </w:rPr>
              <w:t>,</w:t>
            </w:r>
            <w:r w:rsidRPr="00221D6D">
              <w:rPr>
                <w:sz w:val="20"/>
                <w:szCs w:val="20"/>
              </w:rPr>
              <w:t>9</w:t>
            </w:r>
          </w:p>
        </w:tc>
        <w:tc>
          <w:tcPr>
            <w:tcW w:w="609" w:type="dxa"/>
            <w:vAlign w:val="bottom"/>
          </w:tcPr>
          <w:p w14:paraId="1328C8C9" w14:textId="77777777" w:rsidR="00221D6D" w:rsidRPr="00221D6D" w:rsidRDefault="00221D6D" w:rsidP="00221D6D">
            <w:pPr>
              <w:jc w:val="center"/>
              <w:rPr>
                <w:rFonts w:eastAsia="Arial Unicode MS"/>
                <w:sz w:val="20"/>
                <w:szCs w:val="20"/>
              </w:rPr>
            </w:pPr>
            <w:r w:rsidRPr="00221D6D">
              <w:rPr>
                <w:sz w:val="20"/>
                <w:szCs w:val="20"/>
              </w:rPr>
              <w:t>38,8</w:t>
            </w:r>
          </w:p>
        </w:tc>
        <w:tc>
          <w:tcPr>
            <w:tcW w:w="610" w:type="dxa"/>
            <w:vAlign w:val="bottom"/>
          </w:tcPr>
          <w:p w14:paraId="1EAB85BD" w14:textId="77777777" w:rsidR="00221D6D" w:rsidRPr="00221D6D" w:rsidRDefault="00221D6D" w:rsidP="00221D6D">
            <w:pPr>
              <w:jc w:val="center"/>
              <w:rPr>
                <w:sz w:val="20"/>
                <w:szCs w:val="20"/>
              </w:rPr>
            </w:pPr>
            <w:r w:rsidRPr="00221D6D">
              <w:rPr>
                <w:sz w:val="20"/>
                <w:szCs w:val="20"/>
              </w:rPr>
              <w:t>41</w:t>
            </w:r>
            <w:r w:rsidRPr="00221D6D">
              <w:rPr>
                <w:sz w:val="20"/>
                <w:szCs w:val="20"/>
                <w:lang w:val="en-US"/>
              </w:rPr>
              <w:t>,</w:t>
            </w:r>
            <w:r w:rsidRPr="00221D6D">
              <w:rPr>
                <w:sz w:val="20"/>
                <w:szCs w:val="20"/>
              </w:rPr>
              <w:t>8</w:t>
            </w:r>
          </w:p>
        </w:tc>
        <w:tc>
          <w:tcPr>
            <w:tcW w:w="609" w:type="dxa"/>
            <w:vAlign w:val="bottom"/>
          </w:tcPr>
          <w:p w14:paraId="35365869" w14:textId="77777777" w:rsidR="00221D6D" w:rsidRPr="00221D6D" w:rsidRDefault="00221D6D" w:rsidP="00221D6D">
            <w:pPr>
              <w:jc w:val="center"/>
              <w:rPr>
                <w:rFonts w:eastAsia="Arial Unicode MS"/>
                <w:sz w:val="20"/>
                <w:szCs w:val="20"/>
                <w:lang w:val="en-US"/>
              </w:rPr>
            </w:pPr>
            <w:r w:rsidRPr="00221D6D">
              <w:rPr>
                <w:sz w:val="20"/>
                <w:szCs w:val="20"/>
                <w:lang w:val="en-US"/>
              </w:rPr>
              <w:t>55</w:t>
            </w:r>
            <w:r w:rsidRPr="00221D6D">
              <w:rPr>
                <w:sz w:val="20"/>
                <w:szCs w:val="20"/>
              </w:rPr>
              <w:t>,</w:t>
            </w:r>
            <w:r w:rsidRPr="00221D6D">
              <w:rPr>
                <w:sz w:val="20"/>
                <w:szCs w:val="20"/>
                <w:lang w:val="en-US"/>
              </w:rPr>
              <w:t>6</w:t>
            </w:r>
          </w:p>
        </w:tc>
        <w:tc>
          <w:tcPr>
            <w:tcW w:w="610" w:type="dxa"/>
            <w:vAlign w:val="bottom"/>
          </w:tcPr>
          <w:p w14:paraId="00EA8931" w14:textId="77777777" w:rsidR="00221D6D" w:rsidRPr="00221D6D" w:rsidRDefault="00221D6D" w:rsidP="00221D6D">
            <w:pPr>
              <w:jc w:val="center"/>
              <w:rPr>
                <w:sz w:val="20"/>
                <w:szCs w:val="20"/>
                <w:lang w:val="en-US"/>
              </w:rPr>
            </w:pPr>
            <w:r w:rsidRPr="00221D6D">
              <w:rPr>
                <w:sz w:val="20"/>
                <w:szCs w:val="20"/>
                <w:lang w:val="en-US"/>
              </w:rPr>
              <w:t>65,8</w:t>
            </w:r>
          </w:p>
        </w:tc>
        <w:tc>
          <w:tcPr>
            <w:tcW w:w="609" w:type="dxa"/>
            <w:vAlign w:val="bottom"/>
          </w:tcPr>
          <w:p w14:paraId="409DD67F" w14:textId="77777777" w:rsidR="00221D6D" w:rsidRPr="00221D6D" w:rsidRDefault="00221D6D" w:rsidP="00221D6D">
            <w:pPr>
              <w:jc w:val="center"/>
              <w:rPr>
                <w:sz w:val="20"/>
                <w:szCs w:val="20"/>
                <w:lang w:val="en-US"/>
              </w:rPr>
            </w:pPr>
            <w:r w:rsidRPr="00221D6D">
              <w:rPr>
                <w:sz w:val="20"/>
                <w:szCs w:val="20"/>
                <w:lang w:val="en-US"/>
              </w:rPr>
              <w:t>81,8</w:t>
            </w:r>
          </w:p>
        </w:tc>
        <w:tc>
          <w:tcPr>
            <w:tcW w:w="610" w:type="dxa"/>
            <w:vAlign w:val="bottom"/>
          </w:tcPr>
          <w:p w14:paraId="023A9ABC" w14:textId="77777777" w:rsidR="00221D6D" w:rsidRPr="00221D6D" w:rsidRDefault="00221D6D" w:rsidP="00221D6D">
            <w:pPr>
              <w:jc w:val="center"/>
              <w:rPr>
                <w:sz w:val="20"/>
                <w:szCs w:val="20"/>
              </w:rPr>
            </w:pPr>
            <w:r w:rsidRPr="00221D6D">
              <w:rPr>
                <w:sz w:val="20"/>
                <w:szCs w:val="20"/>
              </w:rPr>
              <w:t>82</w:t>
            </w:r>
            <w:r w:rsidRPr="00221D6D">
              <w:rPr>
                <w:sz w:val="20"/>
                <w:szCs w:val="20"/>
                <w:lang w:val="en-US"/>
              </w:rPr>
              <w:t>,</w:t>
            </w:r>
            <w:r w:rsidRPr="00221D6D">
              <w:rPr>
                <w:sz w:val="20"/>
                <w:szCs w:val="20"/>
              </w:rPr>
              <w:t>9</w:t>
            </w:r>
          </w:p>
        </w:tc>
        <w:tc>
          <w:tcPr>
            <w:tcW w:w="609" w:type="dxa"/>
            <w:vAlign w:val="bottom"/>
          </w:tcPr>
          <w:p w14:paraId="1D4EE003" w14:textId="77777777" w:rsidR="00221D6D" w:rsidRPr="00221D6D" w:rsidRDefault="00221D6D" w:rsidP="00221D6D">
            <w:pPr>
              <w:jc w:val="center"/>
              <w:rPr>
                <w:sz w:val="20"/>
                <w:szCs w:val="20"/>
              </w:rPr>
            </w:pPr>
            <w:r w:rsidRPr="00221D6D">
              <w:rPr>
                <w:sz w:val="20"/>
                <w:szCs w:val="20"/>
              </w:rPr>
              <w:t>80</w:t>
            </w:r>
            <w:r w:rsidRPr="00221D6D">
              <w:rPr>
                <w:sz w:val="20"/>
                <w:szCs w:val="20"/>
                <w:lang w:val="en-US"/>
              </w:rPr>
              <w:t>,</w:t>
            </w:r>
            <w:r w:rsidRPr="00221D6D">
              <w:rPr>
                <w:sz w:val="20"/>
                <w:szCs w:val="20"/>
              </w:rPr>
              <w:t>3</w:t>
            </w:r>
          </w:p>
        </w:tc>
        <w:tc>
          <w:tcPr>
            <w:tcW w:w="610" w:type="dxa"/>
            <w:vAlign w:val="bottom"/>
          </w:tcPr>
          <w:p w14:paraId="75F49207" w14:textId="77777777" w:rsidR="00221D6D" w:rsidRPr="00221D6D" w:rsidRDefault="00221D6D" w:rsidP="00221D6D">
            <w:pPr>
              <w:jc w:val="center"/>
              <w:rPr>
                <w:sz w:val="20"/>
                <w:szCs w:val="20"/>
              </w:rPr>
            </w:pPr>
            <w:r w:rsidRPr="00221D6D">
              <w:rPr>
                <w:sz w:val="20"/>
                <w:szCs w:val="20"/>
              </w:rPr>
              <w:t>78,2</w:t>
            </w:r>
          </w:p>
        </w:tc>
      </w:tr>
      <w:tr w:rsidR="00221D6D" w:rsidRPr="00221D6D" w14:paraId="47181905" w14:textId="77777777" w:rsidTr="005C2605">
        <w:trPr>
          <w:trHeight w:val="20"/>
        </w:trPr>
        <w:tc>
          <w:tcPr>
            <w:tcW w:w="3119" w:type="dxa"/>
          </w:tcPr>
          <w:p w14:paraId="20E20371" w14:textId="77777777" w:rsidR="00221D6D" w:rsidRPr="00221D6D" w:rsidRDefault="00221D6D" w:rsidP="00A911FD">
            <w:pPr>
              <w:ind w:left="426" w:hanging="426"/>
              <w:rPr>
                <w:sz w:val="20"/>
                <w:szCs w:val="20"/>
              </w:rPr>
            </w:pPr>
            <w:r w:rsidRPr="00221D6D">
              <w:rPr>
                <w:sz w:val="20"/>
                <w:szCs w:val="20"/>
              </w:rPr>
              <w:t>0300 НАЦИОНАЛЬНАЯ БЕЗОПАСНОСТЬ И ПРАВООХРАНИТЕЛЬНАЯ ДЕЯТЕЛЬНОСТЬ</w:t>
            </w:r>
          </w:p>
        </w:tc>
        <w:tc>
          <w:tcPr>
            <w:tcW w:w="609" w:type="dxa"/>
            <w:vAlign w:val="bottom"/>
          </w:tcPr>
          <w:p w14:paraId="19AACFA2" w14:textId="77777777" w:rsidR="00221D6D" w:rsidRPr="00221D6D" w:rsidRDefault="00221D6D" w:rsidP="00221D6D">
            <w:pPr>
              <w:jc w:val="center"/>
              <w:rPr>
                <w:sz w:val="20"/>
                <w:szCs w:val="20"/>
              </w:rPr>
            </w:pPr>
            <w:r w:rsidRPr="00221D6D">
              <w:rPr>
                <w:sz w:val="20"/>
                <w:szCs w:val="20"/>
              </w:rPr>
              <w:t>26,6</w:t>
            </w:r>
          </w:p>
        </w:tc>
        <w:tc>
          <w:tcPr>
            <w:tcW w:w="610" w:type="dxa"/>
            <w:vAlign w:val="bottom"/>
          </w:tcPr>
          <w:p w14:paraId="48EC3B90" w14:textId="77777777" w:rsidR="00221D6D" w:rsidRPr="00221D6D" w:rsidRDefault="00221D6D" w:rsidP="00221D6D">
            <w:pPr>
              <w:jc w:val="center"/>
              <w:rPr>
                <w:sz w:val="20"/>
                <w:szCs w:val="20"/>
              </w:rPr>
            </w:pPr>
            <w:r w:rsidRPr="00221D6D">
              <w:rPr>
                <w:sz w:val="20"/>
                <w:szCs w:val="20"/>
                <w:lang w:val="en-US"/>
              </w:rPr>
              <w:t>2</w:t>
            </w:r>
            <w:r w:rsidRPr="00221D6D">
              <w:rPr>
                <w:sz w:val="20"/>
                <w:szCs w:val="20"/>
              </w:rPr>
              <w:t>7</w:t>
            </w:r>
            <w:r w:rsidRPr="00221D6D">
              <w:rPr>
                <w:sz w:val="20"/>
                <w:szCs w:val="20"/>
                <w:lang w:val="en-US"/>
              </w:rPr>
              <w:t>,</w:t>
            </w:r>
            <w:r w:rsidRPr="00221D6D">
              <w:rPr>
                <w:sz w:val="20"/>
                <w:szCs w:val="20"/>
              </w:rPr>
              <w:t>1</w:t>
            </w:r>
          </w:p>
        </w:tc>
        <w:tc>
          <w:tcPr>
            <w:tcW w:w="609" w:type="dxa"/>
            <w:vAlign w:val="bottom"/>
          </w:tcPr>
          <w:p w14:paraId="29B5E89E" w14:textId="77777777" w:rsidR="00221D6D" w:rsidRPr="00221D6D" w:rsidRDefault="00221D6D" w:rsidP="00221D6D">
            <w:pPr>
              <w:jc w:val="center"/>
              <w:rPr>
                <w:rFonts w:eastAsia="Arial Unicode MS"/>
                <w:sz w:val="20"/>
                <w:szCs w:val="20"/>
                <w:lang w:val="en-US"/>
              </w:rPr>
            </w:pPr>
            <w:r w:rsidRPr="00221D6D">
              <w:rPr>
                <w:sz w:val="20"/>
                <w:szCs w:val="20"/>
              </w:rPr>
              <w:t>28,4</w:t>
            </w:r>
          </w:p>
        </w:tc>
        <w:tc>
          <w:tcPr>
            <w:tcW w:w="610" w:type="dxa"/>
            <w:vAlign w:val="bottom"/>
          </w:tcPr>
          <w:p w14:paraId="42A9BF0E" w14:textId="77777777" w:rsidR="00221D6D" w:rsidRPr="00221D6D" w:rsidRDefault="00221D6D" w:rsidP="00221D6D">
            <w:pPr>
              <w:jc w:val="center"/>
              <w:rPr>
                <w:sz w:val="20"/>
                <w:szCs w:val="20"/>
              </w:rPr>
            </w:pPr>
            <w:r w:rsidRPr="00221D6D">
              <w:rPr>
                <w:sz w:val="20"/>
                <w:szCs w:val="20"/>
              </w:rPr>
              <w:t>29</w:t>
            </w:r>
            <w:r w:rsidRPr="00221D6D">
              <w:rPr>
                <w:sz w:val="20"/>
                <w:szCs w:val="20"/>
                <w:lang w:val="en-US"/>
              </w:rPr>
              <w:t>,</w:t>
            </w:r>
            <w:r w:rsidRPr="00221D6D">
              <w:rPr>
                <w:sz w:val="20"/>
                <w:szCs w:val="20"/>
              </w:rPr>
              <w:t>1</w:t>
            </w:r>
          </w:p>
        </w:tc>
        <w:tc>
          <w:tcPr>
            <w:tcW w:w="609" w:type="dxa"/>
            <w:vAlign w:val="bottom"/>
          </w:tcPr>
          <w:p w14:paraId="051344C5" w14:textId="77777777" w:rsidR="00221D6D" w:rsidRPr="00221D6D" w:rsidRDefault="00221D6D" w:rsidP="00221D6D">
            <w:pPr>
              <w:jc w:val="center"/>
              <w:rPr>
                <w:rFonts w:eastAsia="Arial Unicode MS"/>
                <w:sz w:val="20"/>
                <w:szCs w:val="20"/>
              </w:rPr>
            </w:pPr>
            <w:r w:rsidRPr="00221D6D">
              <w:rPr>
                <w:sz w:val="20"/>
                <w:szCs w:val="20"/>
                <w:lang w:val="en-US"/>
              </w:rPr>
              <w:t>29</w:t>
            </w:r>
            <w:r w:rsidRPr="00221D6D">
              <w:rPr>
                <w:sz w:val="20"/>
                <w:szCs w:val="20"/>
              </w:rPr>
              <w:t>,4</w:t>
            </w:r>
          </w:p>
        </w:tc>
        <w:tc>
          <w:tcPr>
            <w:tcW w:w="610" w:type="dxa"/>
            <w:vAlign w:val="bottom"/>
          </w:tcPr>
          <w:p w14:paraId="4F41F462" w14:textId="77777777" w:rsidR="00221D6D" w:rsidRPr="00221D6D" w:rsidRDefault="00221D6D" w:rsidP="00221D6D">
            <w:pPr>
              <w:jc w:val="center"/>
              <w:rPr>
                <w:sz w:val="20"/>
                <w:szCs w:val="20"/>
                <w:lang w:val="en-US"/>
              </w:rPr>
            </w:pPr>
            <w:r w:rsidRPr="00221D6D">
              <w:rPr>
                <w:sz w:val="20"/>
                <w:szCs w:val="20"/>
                <w:lang w:val="en-US"/>
              </w:rPr>
              <w:t>28,2</w:t>
            </w:r>
          </w:p>
        </w:tc>
        <w:tc>
          <w:tcPr>
            <w:tcW w:w="609" w:type="dxa"/>
            <w:vAlign w:val="bottom"/>
          </w:tcPr>
          <w:p w14:paraId="304943FF" w14:textId="77777777" w:rsidR="00221D6D" w:rsidRPr="00221D6D" w:rsidRDefault="00221D6D" w:rsidP="00221D6D">
            <w:pPr>
              <w:jc w:val="center"/>
              <w:rPr>
                <w:sz w:val="20"/>
                <w:szCs w:val="20"/>
              </w:rPr>
            </w:pPr>
            <w:r w:rsidRPr="00221D6D">
              <w:rPr>
                <w:sz w:val="20"/>
                <w:szCs w:val="20"/>
                <w:lang w:val="en-US"/>
              </w:rPr>
              <w:t>36,</w:t>
            </w:r>
            <w:r w:rsidRPr="00221D6D">
              <w:rPr>
                <w:sz w:val="20"/>
                <w:szCs w:val="20"/>
              </w:rPr>
              <w:t>8</w:t>
            </w:r>
          </w:p>
        </w:tc>
        <w:tc>
          <w:tcPr>
            <w:tcW w:w="610" w:type="dxa"/>
            <w:vAlign w:val="bottom"/>
          </w:tcPr>
          <w:p w14:paraId="05C252CD" w14:textId="77777777" w:rsidR="00221D6D" w:rsidRPr="00221D6D" w:rsidRDefault="00221D6D" w:rsidP="00221D6D">
            <w:pPr>
              <w:jc w:val="center"/>
              <w:rPr>
                <w:sz w:val="20"/>
                <w:szCs w:val="20"/>
              </w:rPr>
            </w:pPr>
            <w:r w:rsidRPr="00221D6D">
              <w:rPr>
                <w:sz w:val="20"/>
                <w:szCs w:val="20"/>
              </w:rPr>
              <w:t>40</w:t>
            </w:r>
            <w:r w:rsidRPr="00221D6D">
              <w:rPr>
                <w:sz w:val="20"/>
                <w:szCs w:val="20"/>
                <w:lang w:val="en-US"/>
              </w:rPr>
              <w:t>,</w:t>
            </w:r>
            <w:r w:rsidRPr="00221D6D">
              <w:rPr>
                <w:sz w:val="20"/>
                <w:szCs w:val="20"/>
              </w:rPr>
              <w:t>8</w:t>
            </w:r>
          </w:p>
        </w:tc>
        <w:tc>
          <w:tcPr>
            <w:tcW w:w="609" w:type="dxa"/>
            <w:vAlign w:val="bottom"/>
          </w:tcPr>
          <w:p w14:paraId="0AEF28B1" w14:textId="77777777" w:rsidR="00221D6D" w:rsidRPr="00221D6D" w:rsidRDefault="00221D6D" w:rsidP="00221D6D">
            <w:pPr>
              <w:jc w:val="center"/>
              <w:rPr>
                <w:sz w:val="20"/>
                <w:szCs w:val="20"/>
              </w:rPr>
            </w:pPr>
            <w:r w:rsidRPr="00221D6D">
              <w:rPr>
                <w:sz w:val="20"/>
                <w:szCs w:val="20"/>
                <w:lang w:val="en-US"/>
              </w:rPr>
              <w:t>3</w:t>
            </w:r>
            <w:r w:rsidRPr="00221D6D">
              <w:rPr>
                <w:sz w:val="20"/>
                <w:szCs w:val="20"/>
              </w:rPr>
              <w:t>9</w:t>
            </w:r>
            <w:r w:rsidRPr="00221D6D">
              <w:rPr>
                <w:sz w:val="20"/>
                <w:szCs w:val="20"/>
                <w:lang w:val="en-US"/>
              </w:rPr>
              <w:t>,</w:t>
            </w:r>
            <w:r w:rsidRPr="00221D6D">
              <w:rPr>
                <w:sz w:val="20"/>
                <w:szCs w:val="20"/>
              </w:rPr>
              <w:t>0</w:t>
            </w:r>
          </w:p>
        </w:tc>
        <w:tc>
          <w:tcPr>
            <w:tcW w:w="610" w:type="dxa"/>
            <w:vAlign w:val="bottom"/>
          </w:tcPr>
          <w:p w14:paraId="13F8B3D8" w14:textId="77777777" w:rsidR="00221D6D" w:rsidRPr="00221D6D" w:rsidRDefault="00221D6D" w:rsidP="00221D6D">
            <w:pPr>
              <w:jc w:val="center"/>
              <w:rPr>
                <w:sz w:val="20"/>
                <w:szCs w:val="20"/>
              </w:rPr>
            </w:pPr>
            <w:r w:rsidRPr="00221D6D">
              <w:rPr>
                <w:sz w:val="20"/>
                <w:szCs w:val="20"/>
              </w:rPr>
              <w:t>37,7</w:t>
            </w:r>
          </w:p>
        </w:tc>
      </w:tr>
      <w:tr w:rsidR="00221D6D" w:rsidRPr="00221D6D" w14:paraId="0394ADB7" w14:textId="77777777" w:rsidTr="005C2605">
        <w:trPr>
          <w:trHeight w:val="20"/>
        </w:trPr>
        <w:tc>
          <w:tcPr>
            <w:tcW w:w="3119" w:type="dxa"/>
          </w:tcPr>
          <w:p w14:paraId="0284AD76" w14:textId="77777777" w:rsidR="00221D6D" w:rsidRPr="00221D6D" w:rsidRDefault="00221D6D" w:rsidP="00A911FD">
            <w:pPr>
              <w:rPr>
                <w:sz w:val="20"/>
                <w:szCs w:val="20"/>
              </w:rPr>
            </w:pPr>
            <w:r w:rsidRPr="00221D6D">
              <w:rPr>
                <w:sz w:val="20"/>
                <w:szCs w:val="20"/>
              </w:rPr>
              <w:t>0302 Органы внутренних дел</w:t>
            </w:r>
          </w:p>
        </w:tc>
        <w:tc>
          <w:tcPr>
            <w:tcW w:w="609" w:type="dxa"/>
            <w:vAlign w:val="bottom"/>
          </w:tcPr>
          <w:p w14:paraId="36FF36C6" w14:textId="77777777" w:rsidR="00221D6D" w:rsidRPr="00221D6D" w:rsidRDefault="00221D6D" w:rsidP="00221D6D">
            <w:pPr>
              <w:jc w:val="center"/>
              <w:rPr>
                <w:sz w:val="20"/>
                <w:szCs w:val="20"/>
              </w:rPr>
            </w:pPr>
            <w:r w:rsidRPr="00221D6D">
              <w:rPr>
                <w:sz w:val="20"/>
                <w:szCs w:val="20"/>
              </w:rPr>
              <w:t>3,8</w:t>
            </w:r>
          </w:p>
        </w:tc>
        <w:tc>
          <w:tcPr>
            <w:tcW w:w="610" w:type="dxa"/>
            <w:vAlign w:val="bottom"/>
          </w:tcPr>
          <w:p w14:paraId="77E51887" w14:textId="77777777" w:rsidR="00221D6D" w:rsidRPr="00221D6D" w:rsidRDefault="00221D6D" w:rsidP="00221D6D">
            <w:pPr>
              <w:jc w:val="center"/>
              <w:rPr>
                <w:sz w:val="20"/>
                <w:szCs w:val="20"/>
              </w:rPr>
            </w:pPr>
            <w:r w:rsidRPr="00221D6D">
              <w:rPr>
                <w:sz w:val="20"/>
                <w:szCs w:val="20"/>
              </w:rPr>
              <w:t>3</w:t>
            </w:r>
            <w:r w:rsidRPr="00221D6D">
              <w:rPr>
                <w:sz w:val="20"/>
                <w:szCs w:val="20"/>
                <w:lang w:val="en-US"/>
              </w:rPr>
              <w:t>,</w:t>
            </w:r>
            <w:r w:rsidRPr="00221D6D">
              <w:rPr>
                <w:sz w:val="20"/>
                <w:szCs w:val="20"/>
              </w:rPr>
              <w:t>9</w:t>
            </w:r>
          </w:p>
        </w:tc>
        <w:tc>
          <w:tcPr>
            <w:tcW w:w="609" w:type="dxa"/>
            <w:vAlign w:val="bottom"/>
          </w:tcPr>
          <w:p w14:paraId="2AEAF8A4" w14:textId="77777777" w:rsidR="00221D6D" w:rsidRPr="00221D6D" w:rsidRDefault="00221D6D" w:rsidP="00221D6D">
            <w:pPr>
              <w:jc w:val="center"/>
              <w:rPr>
                <w:rFonts w:eastAsia="Arial Unicode MS"/>
                <w:sz w:val="20"/>
                <w:szCs w:val="20"/>
                <w:lang w:val="en-US"/>
              </w:rPr>
            </w:pPr>
            <w:r w:rsidRPr="00221D6D">
              <w:rPr>
                <w:sz w:val="20"/>
                <w:szCs w:val="20"/>
              </w:rPr>
              <w:t>4,</w:t>
            </w:r>
            <w:r w:rsidRPr="00221D6D">
              <w:rPr>
                <w:sz w:val="20"/>
                <w:szCs w:val="20"/>
                <w:lang w:val="en-US"/>
              </w:rPr>
              <w:t>9</w:t>
            </w:r>
          </w:p>
        </w:tc>
        <w:tc>
          <w:tcPr>
            <w:tcW w:w="610" w:type="dxa"/>
            <w:vAlign w:val="bottom"/>
          </w:tcPr>
          <w:p w14:paraId="13518053" w14:textId="77777777" w:rsidR="00221D6D" w:rsidRPr="00221D6D" w:rsidRDefault="00221D6D" w:rsidP="00221D6D">
            <w:pPr>
              <w:jc w:val="center"/>
              <w:rPr>
                <w:sz w:val="20"/>
                <w:szCs w:val="20"/>
              </w:rPr>
            </w:pPr>
            <w:r w:rsidRPr="00221D6D">
              <w:rPr>
                <w:sz w:val="20"/>
                <w:szCs w:val="20"/>
              </w:rPr>
              <w:t>5</w:t>
            </w:r>
            <w:r w:rsidRPr="00221D6D">
              <w:rPr>
                <w:sz w:val="20"/>
                <w:szCs w:val="20"/>
                <w:lang w:val="en-US"/>
              </w:rPr>
              <w:t>,</w:t>
            </w:r>
            <w:r w:rsidRPr="00221D6D">
              <w:rPr>
                <w:sz w:val="20"/>
                <w:szCs w:val="20"/>
              </w:rPr>
              <w:t>8</w:t>
            </w:r>
          </w:p>
        </w:tc>
        <w:tc>
          <w:tcPr>
            <w:tcW w:w="609" w:type="dxa"/>
            <w:vAlign w:val="bottom"/>
          </w:tcPr>
          <w:p w14:paraId="38B4B456" w14:textId="77777777" w:rsidR="00221D6D" w:rsidRPr="00221D6D" w:rsidRDefault="00221D6D" w:rsidP="00221D6D">
            <w:pPr>
              <w:jc w:val="center"/>
              <w:rPr>
                <w:rFonts w:eastAsia="Arial Unicode MS"/>
                <w:sz w:val="20"/>
                <w:szCs w:val="20"/>
                <w:lang w:val="en-US"/>
              </w:rPr>
            </w:pPr>
            <w:r w:rsidRPr="00221D6D">
              <w:rPr>
                <w:sz w:val="20"/>
                <w:szCs w:val="20"/>
                <w:lang w:val="en-US"/>
              </w:rPr>
              <w:t>5</w:t>
            </w:r>
            <w:r w:rsidRPr="00221D6D">
              <w:rPr>
                <w:sz w:val="20"/>
                <w:szCs w:val="20"/>
              </w:rPr>
              <w:t>,</w:t>
            </w:r>
            <w:r w:rsidRPr="00221D6D">
              <w:rPr>
                <w:sz w:val="20"/>
                <w:szCs w:val="20"/>
                <w:lang w:val="en-US"/>
              </w:rPr>
              <w:t>8</w:t>
            </w:r>
          </w:p>
        </w:tc>
        <w:tc>
          <w:tcPr>
            <w:tcW w:w="610" w:type="dxa"/>
            <w:vAlign w:val="bottom"/>
          </w:tcPr>
          <w:p w14:paraId="07772C53" w14:textId="77777777" w:rsidR="00221D6D" w:rsidRPr="00221D6D" w:rsidRDefault="00221D6D" w:rsidP="00221D6D">
            <w:pPr>
              <w:jc w:val="center"/>
              <w:rPr>
                <w:sz w:val="20"/>
                <w:szCs w:val="20"/>
                <w:lang w:val="en-US"/>
              </w:rPr>
            </w:pPr>
            <w:r w:rsidRPr="00221D6D">
              <w:rPr>
                <w:sz w:val="20"/>
                <w:szCs w:val="20"/>
                <w:lang w:val="en-US"/>
              </w:rPr>
              <w:t>5,6</w:t>
            </w:r>
          </w:p>
        </w:tc>
        <w:tc>
          <w:tcPr>
            <w:tcW w:w="609" w:type="dxa"/>
            <w:vAlign w:val="bottom"/>
          </w:tcPr>
          <w:p w14:paraId="01EC20E8" w14:textId="77777777" w:rsidR="00221D6D" w:rsidRPr="00221D6D" w:rsidRDefault="00221D6D" w:rsidP="00221D6D">
            <w:pPr>
              <w:jc w:val="center"/>
              <w:rPr>
                <w:sz w:val="20"/>
                <w:szCs w:val="20"/>
                <w:lang w:val="en-US"/>
              </w:rPr>
            </w:pPr>
            <w:r w:rsidRPr="00221D6D">
              <w:rPr>
                <w:sz w:val="20"/>
                <w:szCs w:val="20"/>
              </w:rPr>
              <w:t>5</w:t>
            </w:r>
            <w:r w:rsidRPr="00221D6D">
              <w:rPr>
                <w:sz w:val="20"/>
                <w:szCs w:val="20"/>
                <w:lang w:val="en-US"/>
              </w:rPr>
              <w:t>,7</w:t>
            </w:r>
          </w:p>
        </w:tc>
        <w:tc>
          <w:tcPr>
            <w:tcW w:w="610" w:type="dxa"/>
            <w:vAlign w:val="bottom"/>
          </w:tcPr>
          <w:p w14:paraId="5AB712F6" w14:textId="77777777" w:rsidR="00221D6D" w:rsidRPr="00221D6D" w:rsidRDefault="00221D6D" w:rsidP="00221D6D">
            <w:pPr>
              <w:jc w:val="center"/>
              <w:rPr>
                <w:sz w:val="20"/>
                <w:szCs w:val="20"/>
              </w:rPr>
            </w:pPr>
            <w:r w:rsidRPr="00221D6D">
              <w:rPr>
                <w:sz w:val="20"/>
                <w:szCs w:val="20"/>
              </w:rPr>
              <w:t>5</w:t>
            </w:r>
            <w:r w:rsidRPr="00221D6D">
              <w:rPr>
                <w:sz w:val="20"/>
                <w:szCs w:val="20"/>
                <w:lang w:val="en-US"/>
              </w:rPr>
              <w:t>,</w:t>
            </w:r>
            <w:r w:rsidRPr="00221D6D">
              <w:rPr>
                <w:sz w:val="20"/>
                <w:szCs w:val="20"/>
              </w:rPr>
              <w:t>7</w:t>
            </w:r>
          </w:p>
        </w:tc>
        <w:tc>
          <w:tcPr>
            <w:tcW w:w="609" w:type="dxa"/>
            <w:vAlign w:val="bottom"/>
          </w:tcPr>
          <w:p w14:paraId="3C5F476E" w14:textId="77777777" w:rsidR="00221D6D" w:rsidRPr="00221D6D" w:rsidRDefault="00221D6D" w:rsidP="00221D6D">
            <w:pPr>
              <w:jc w:val="center"/>
              <w:rPr>
                <w:sz w:val="20"/>
                <w:szCs w:val="20"/>
              </w:rPr>
            </w:pPr>
            <w:r w:rsidRPr="00221D6D">
              <w:rPr>
                <w:sz w:val="20"/>
                <w:szCs w:val="20"/>
              </w:rPr>
              <w:t>5</w:t>
            </w:r>
            <w:r w:rsidRPr="00221D6D">
              <w:rPr>
                <w:sz w:val="20"/>
                <w:szCs w:val="20"/>
                <w:lang w:val="en-US"/>
              </w:rPr>
              <w:t>,</w:t>
            </w:r>
            <w:r w:rsidRPr="00221D6D">
              <w:rPr>
                <w:sz w:val="20"/>
                <w:szCs w:val="20"/>
              </w:rPr>
              <w:t>9</w:t>
            </w:r>
          </w:p>
        </w:tc>
        <w:tc>
          <w:tcPr>
            <w:tcW w:w="610" w:type="dxa"/>
            <w:vAlign w:val="bottom"/>
          </w:tcPr>
          <w:p w14:paraId="2E440C32" w14:textId="77777777" w:rsidR="00221D6D" w:rsidRPr="00221D6D" w:rsidRDefault="00221D6D" w:rsidP="00221D6D">
            <w:pPr>
              <w:jc w:val="center"/>
              <w:rPr>
                <w:sz w:val="20"/>
                <w:szCs w:val="20"/>
              </w:rPr>
            </w:pPr>
            <w:r w:rsidRPr="00221D6D">
              <w:rPr>
                <w:sz w:val="20"/>
                <w:szCs w:val="20"/>
              </w:rPr>
              <w:t>6,0</w:t>
            </w:r>
          </w:p>
        </w:tc>
      </w:tr>
      <w:tr w:rsidR="00221D6D" w:rsidRPr="00221D6D" w14:paraId="1661ACC7" w14:textId="77777777" w:rsidTr="005C2605">
        <w:trPr>
          <w:trHeight w:val="20"/>
        </w:trPr>
        <w:tc>
          <w:tcPr>
            <w:tcW w:w="3119" w:type="dxa"/>
          </w:tcPr>
          <w:p w14:paraId="79D8E6E5" w14:textId="77777777" w:rsidR="00221D6D" w:rsidRPr="00221D6D" w:rsidRDefault="00221D6D" w:rsidP="00A911FD">
            <w:pPr>
              <w:rPr>
                <w:i/>
                <w:sz w:val="20"/>
                <w:szCs w:val="20"/>
              </w:rPr>
            </w:pPr>
            <w:r w:rsidRPr="00221D6D">
              <w:rPr>
                <w:i/>
                <w:sz w:val="20"/>
                <w:szCs w:val="20"/>
              </w:rPr>
              <w:t>0303 Внутренние войска</w:t>
            </w:r>
          </w:p>
        </w:tc>
        <w:tc>
          <w:tcPr>
            <w:tcW w:w="609" w:type="dxa"/>
            <w:vAlign w:val="bottom"/>
          </w:tcPr>
          <w:p w14:paraId="111EDFD9" w14:textId="77777777" w:rsidR="00221D6D" w:rsidRPr="00221D6D" w:rsidRDefault="00221D6D" w:rsidP="00221D6D">
            <w:pPr>
              <w:jc w:val="center"/>
              <w:rPr>
                <w:i/>
                <w:sz w:val="20"/>
                <w:szCs w:val="20"/>
              </w:rPr>
            </w:pPr>
            <w:r w:rsidRPr="00221D6D">
              <w:rPr>
                <w:i/>
                <w:sz w:val="20"/>
                <w:szCs w:val="20"/>
              </w:rPr>
              <w:t>4,4</w:t>
            </w:r>
          </w:p>
        </w:tc>
        <w:tc>
          <w:tcPr>
            <w:tcW w:w="610" w:type="dxa"/>
            <w:vAlign w:val="bottom"/>
          </w:tcPr>
          <w:p w14:paraId="687E36A9" w14:textId="77777777" w:rsidR="00221D6D" w:rsidRPr="00221D6D" w:rsidRDefault="00221D6D" w:rsidP="00221D6D">
            <w:pPr>
              <w:jc w:val="center"/>
              <w:rPr>
                <w:i/>
                <w:sz w:val="20"/>
                <w:szCs w:val="20"/>
              </w:rPr>
            </w:pPr>
            <w:r w:rsidRPr="00221D6D">
              <w:rPr>
                <w:i/>
                <w:sz w:val="20"/>
                <w:szCs w:val="20"/>
                <w:lang w:val="en-US"/>
              </w:rPr>
              <w:t>5,</w:t>
            </w:r>
            <w:r w:rsidRPr="00221D6D">
              <w:rPr>
                <w:i/>
                <w:sz w:val="20"/>
                <w:szCs w:val="20"/>
              </w:rPr>
              <w:t>3</w:t>
            </w:r>
          </w:p>
        </w:tc>
        <w:tc>
          <w:tcPr>
            <w:tcW w:w="609" w:type="dxa"/>
            <w:vAlign w:val="bottom"/>
          </w:tcPr>
          <w:p w14:paraId="4D03DF64" w14:textId="77777777" w:rsidR="00221D6D" w:rsidRPr="00221D6D" w:rsidRDefault="00221D6D" w:rsidP="00221D6D">
            <w:pPr>
              <w:jc w:val="center"/>
              <w:rPr>
                <w:rFonts w:eastAsia="Arial Unicode MS"/>
                <w:i/>
                <w:sz w:val="20"/>
                <w:szCs w:val="20"/>
              </w:rPr>
            </w:pPr>
            <w:r w:rsidRPr="00221D6D">
              <w:rPr>
                <w:i/>
                <w:sz w:val="20"/>
                <w:szCs w:val="20"/>
              </w:rPr>
              <w:t>6,9</w:t>
            </w:r>
          </w:p>
        </w:tc>
        <w:tc>
          <w:tcPr>
            <w:tcW w:w="610" w:type="dxa"/>
            <w:vAlign w:val="bottom"/>
          </w:tcPr>
          <w:p w14:paraId="289DCBAF" w14:textId="77777777" w:rsidR="00221D6D" w:rsidRPr="00221D6D" w:rsidRDefault="00221D6D" w:rsidP="00221D6D">
            <w:pPr>
              <w:jc w:val="center"/>
              <w:rPr>
                <w:sz w:val="20"/>
                <w:szCs w:val="20"/>
              </w:rPr>
            </w:pPr>
            <w:r w:rsidRPr="00221D6D">
              <w:rPr>
                <w:sz w:val="20"/>
                <w:szCs w:val="20"/>
              </w:rPr>
              <w:t>–</w:t>
            </w:r>
          </w:p>
        </w:tc>
        <w:tc>
          <w:tcPr>
            <w:tcW w:w="609" w:type="dxa"/>
            <w:vAlign w:val="bottom"/>
          </w:tcPr>
          <w:p w14:paraId="489BAF92" w14:textId="77777777" w:rsidR="00221D6D" w:rsidRPr="00221D6D" w:rsidRDefault="00221D6D" w:rsidP="00221D6D">
            <w:pPr>
              <w:jc w:val="center"/>
              <w:rPr>
                <w:rFonts w:eastAsia="Arial Unicode MS"/>
                <w:sz w:val="20"/>
                <w:szCs w:val="20"/>
              </w:rPr>
            </w:pPr>
            <w:r w:rsidRPr="00221D6D">
              <w:rPr>
                <w:sz w:val="20"/>
                <w:szCs w:val="20"/>
              </w:rPr>
              <w:t>–</w:t>
            </w:r>
          </w:p>
        </w:tc>
        <w:tc>
          <w:tcPr>
            <w:tcW w:w="610" w:type="dxa"/>
            <w:vAlign w:val="bottom"/>
          </w:tcPr>
          <w:p w14:paraId="17AB5A52" w14:textId="77777777" w:rsidR="00221D6D" w:rsidRPr="00221D6D" w:rsidRDefault="00221D6D" w:rsidP="00221D6D">
            <w:pPr>
              <w:jc w:val="center"/>
              <w:rPr>
                <w:sz w:val="20"/>
                <w:szCs w:val="20"/>
              </w:rPr>
            </w:pPr>
            <w:r w:rsidRPr="00221D6D">
              <w:rPr>
                <w:sz w:val="20"/>
                <w:szCs w:val="20"/>
              </w:rPr>
              <w:t>–</w:t>
            </w:r>
          </w:p>
        </w:tc>
        <w:tc>
          <w:tcPr>
            <w:tcW w:w="609" w:type="dxa"/>
            <w:vAlign w:val="bottom"/>
          </w:tcPr>
          <w:p w14:paraId="23B4ACF2" w14:textId="77777777" w:rsidR="00221D6D" w:rsidRPr="00221D6D" w:rsidRDefault="00221D6D" w:rsidP="00221D6D">
            <w:pPr>
              <w:jc w:val="center"/>
              <w:rPr>
                <w:sz w:val="20"/>
                <w:szCs w:val="20"/>
              </w:rPr>
            </w:pPr>
            <w:r w:rsidRPr="00221D6D">
              <w:rPr>
                <w:sz w:val="20"/>
                <w:szCs w:val="20"/>
              </w:rPr>
              <w:t>–</w:t>
            </w:r>
          </w:p>
        </w:tc>
        <w:tc>
          <w:tcPr>
            <w:tcW w:w="610" w:type="dxa"/>
            <w:vAlign w:val="bottom"/>
          </w:tcPr>
          <w:p w14:paraId="655B7962" w14:textId="77777777" w:rsidR="00221D6D" w:rsidRPr="00221D6D" w:rsidRDefault="00221D6D" w:rsidP="00221D6D">
            <w:pPr>
              <w:jc w:val="center"/>
              <w:rPr>
                <w:sz w:val="20"/>
                <w:szCs w:val="20"/>
              </w:rPr>
            </w:pPr>
            <w:r w:rsidRPr="00221D6D">
              <w:rPr>
                <w:sz w:val="20"/>
                <w:szCs w:val="20"/>
              </w:rPr>
              <w:t>–</w:t>
            </w:r>
          </w:p>
        </w:tc>
        <w:tc>
          <w:tcPr>
            <w:tcW w:w="609" w:type="dxa"/>
            <w:vAlign w:val="bottom"/>
          </w:tcPr>
          <w:p w14:paraId="014C8AA8" w14:textId="77777777" w:rsidR="00221D6D" w:rsidRPr="00221D6D" w:rsidRDefault="00221D6D" w:rsidP="00221D6D">
            <w:pPr>
              <w:jc w:val="center"/>
              <w:rPr>
                <w:sz w:val="20"/>
                <w:szCs w:val="20"/>
              </w:rPr>
            </w:pPr>
            <w:r w:rsidRPr="00221D6D">
              <w:rPr>
                <w:sz w:val="20"/>
                <w:szCs w:val="20"/>
              </w:rPr>
              <w:t>–</w:t>
            </w:r>
          </w:p>
        </w:tc>
        <w:tc>
          <w:tcPr>
            <w:tcW w:w="610" w:type="dxa"/>
            <w:vAlign w:val="bottom"/>
          </w:tcPr>
          <w:p w14:paraId="707011A4" w14:textId="77777777" w:rsidR="00221D6D" w:rsidRPr="00221D6D" w:rsidRDefault="00221D6D" w:rsidP="00221D6D">
            <w:pPr>
              <w:jc w:val="center"/>
              <w:rPr>
                <w:sz w:val="20"/>
                <w:szCs w:val="20"/>
              </w:rPr>
            </w:pPr>
            <w:r w:rsidRPr="00221D6D">
              <w:rPr>
                <w:sz w:val="20"/>
                <w:szCs w:val="20"/>
              </w:rPr>
              <w:t>–</w:t>
            </w:r>
          </w:p>
        </w:tc>
      </w:tr>
      <w:tr w:rsidR="00221D6D" w:rsidRPr="00221D6D" w14:paraId="65AF7CC9" w14:textId="77777777" w:rsidTr="005C2605">
        <w:trPr>
          <w:trHeight w:val="20"/>
        </w:trPr>
        <w:tc>
          <w:tcPr>
            <w:tcW w:w="3119" w:type="dxa"/>
          </w:tcPr>
          <w:p w14:paraId="3C2E1866" w14:textId="77777777" w:rsidR="00221D6D" w:rsidRPr="00221D6D" w:rsidRDefault="00221D6D" w:rsidP="00A911FD">
            <w:pPr>
              <w:ind w:left="426" w:hanging="426"/>
              <w:rPr>
                <w:sz w:val="20"/>
                <w:szCs w:val="20"/>
              </w:rPr>
            </w:pPr>
            <w:r w:rsidRPr="00221D6D">
              <w:rPr>
                <w:sz w:val="20"/>
                <w:szCs w:val="20"/>
              </w:rPr>
              <w:t>03</w:t>
            </w:r>
            <w:r w:rsidRPr="00221D6D">
              <w:rPr>
                <w:sz w:val="20"/>
                <w:szCs w:val="20"/>
                <w:lang w:val="en-US"/>
              </w:rPr>
              <w:t>0</w:t>
            </w:r>
            <w:r w:rsidRPr="00221D6D">
              <w:rPr>
                <w:sz w:val="20"/>
                <w:szCs w:val="20"/>
              </w:rPr>
              <w:t>3 Войска национальной гвардии</w:t>
            </w:r>
          </w:p>
        </w:tc>
        <w:tc>
          <w:tcPr>
            <w:tcW w:w="609" w:type="dxa"/>
            <w:vAlign w:val="bottom"/>
          </w:tcPr>
          <w:p w14:paraId="4F6ACD2E" w14:textId="77777777" w:rsidR="00221D6D" w:rsidRPr="00221D6D" w:rsidRDefault="00221D6D" w:rsidP="00221D6D">
            <w:pPr>
              <w:jc w:val="center"/>
              <w:rPr>
                <w:sz w:val="20"/>
                <w:szCs w:val="20"/>
              </w:rPr>
            </w:pPr>
            <w:r w:rsidRPr="00221D6D">
              <w:rPr>
                <w:sz w:val="20"/>
                <w:szCs w:val="20"/>
              </w:rPr>
              <w:t>–</w:t>
            </w:r>
          </w:p>
        </w:tc>
        <w:tc>
          <w:tcPr>
            <w:tcW w:w="610" w:type="dxa"/>
            <w:vAlign w:val="bottom"/>
          </w:tcPr>
          <w:p w14:paraId="4F4E4C87" w14:textId="77777777" w:rsidR="00221D6D" w:rsidRPr="00221D6D" w:rsidRDefault="00221D6D" w:rsidP="00221D6D">
            <w:pPr>
              <w:jc w:val="center"/>
              <w:rPr>
                <w:sz w:val="20"/>
                <w:szCs w:val="20"/>
                <w:lang w:val="en-US"/>
              </w:rPr>
            </w:pPr>
            <w:r w:rsidRPr="00221D6D">
              <w:rPr>
                <w:sz w:val="20"/>
                <w:szCs w:val="20"/>
              </w:rPr>
              <w:t>–</w:t>
            </w:r>
          </w:p>
        </w:tc>
        <w:tc>
          <w:tcPr>
            <w:tcW w:w="609" w:type="dxa"/>
            <w:vAlign w:val="bottom"/>
          </w:tcPr>
          <w:p w14:paraId="09DAC9B0" w14:textId="77777777" w:rsidR="00221D6D" w:rsidRPr="00221D6D" w:rsidRDefault="00221D6D" w:rsidP="00221D6D">
            <w:pPr>
              <w:jc w:val="center"/>
              <w:rPr>
                <w:rFonts w:eastAsia="Arial Unicode MS"/>
                <w:sz w:val="20"/>
                <w:szCs w:val="20"/>
                <w:lang w:val="en-US"/>
              </w:rPr>
            </w:pPr>
            <w:r w:rsidRPr="00221D6D">
              <w:rPr>
                <w:sz w:val="20"/>
                <w:szCs w:val="20"/>
              </w:rPr>
              <w:t>–</w:t>
            </w:r>
          </w:p>
        </w:tc>
        <w:tc>
          <w:tcPr>
            <w:tcW w:w="610" w:type="dxa"/>
            <w:vAlign w:val="bottom"/>
          </w:tcPr>
          <w:p w14:paraId="297814F8" w14:textId="77777777" w:rsidR="00221D6D" w:rsidRPr="00221D6D" w:rsidRDefault="00221D6D" w:rsidP="00221D6D">
            <w:pPr>
              <w:jc w:val="center"/>
              <w:rPr>
                <w:sz w:val="20"/>
                <w:szCs w:val="20"/>
                <w:lang w:val="en-US"/>
              </w:rPr>
            </w:pPr>
            <w:r w:rsidRPr="00221D6D">
              <w:rPr>
                <w:sz w:val="20"/>
                <w:szCs w:val="20"/>
              </w:rPr>
              <w:t>7,7</w:t>
            </w:r>
          </w:p>
        </w:tc>
        <w:tc>
          <w:tcPr>
            <w:tcW w:w="609" w:type="dxa"/>
            <w:vAlign w:val="bottom"/>
          </w:tcPr>
          <w:p w14:paraId="7EC93220" w14:textId="77777777" w:rsidR="00221D6D" w:rsidRPr="00221D6D" w:rsidRDefault="00221D6D" w:rsidP="00221D6D">
            <w:pPr>
              <w:jc w:val="center"/>
              <w:rPr>
                <w:rFonts w:eastAsia="Arial Unicode MS"/>
                <w:sz w:val="20"/>
                <w:szCs w:val="20"/>
                <w:lang w:val="en-US"/>
              </w:rPr>
            </w:pPr>
            <w:r w:rsidRPr="00221D6D">
              <w:rPr>
                <w:sz w:val="20"/>
                <w:szCs w:val="20"/>
              </w:rPr>
              <w:t>7,0</w:t>
            </w:r>
          </w:p>
        </w:tc>
        <w:tc>
          <w:tcPr>
            <w:tcW w:w="610" w:type="dxa"/>
            <w:vAlign w:val="bottom"/>
          </w:tcPr>
          <w:p w14:paraId="0794F322" w14:textId="77777777" w:rsidR="00221D6D" w:rsidRPr="00221D6D" w:rsidRDefault="00221D6D" w:rsidP="00221D6D">
            <w:pPr>
              <w:jc w:val="center"/>
              <w:rPr>
                <w:sz w:val="20"/>
                <w:szCs w:val="20"/>
                <w:lang w:val="en-US"/>
              </w:rPr>
            </w:pPr>
            <w:r w:rsidRPr="00221D6D">
              <w:rPr>
                <w:sz w:val="20"/>
                <w:szCs w:val="20"/>
                <w:lang w:val="en-US"/>
              </w:rPr>
              <w:t>5,6</w:t>
            </w:r>
          </w:p>
        </w:tc>
        <w:tc>
          <w:tcPr>
            <w:tcW w:w="609" w:type="dxa"/>
            <w:vAlign w:val="bottom"/>
          </w:tcPr>
          <w:p w14:paraId="78401C6A" w14:textId="77777777" w:rsidR="00221D6D" w:rsidRPr="00221D6D" w:rsidRDefault="00221D6D" w:rsidP="00221D6D">
            <w:pPr>
              <w:jc w:val="center"/>
              <w:rPr>
                <w:sz w:val="20"/>
                <w:szCs w:val="20"/>
              </w:rPr>
            </w:pPr>
            <w:r w:rsidRPr="00221D6D">
              <w:rPr>
                <w:sz w:val="20"/>
                <w:szCs w:val="20"/>
              </w:rPr>
              <w:t>7</w:t>
            </w:r>
            <w:r w:rsidRPr="00221D6D">
              <w:rPr>
                <w:sz w:val="20"/>
                <w:szCs w:val="20"/>
                <w:lang w:val="en-US"/>
              </w:rPr>
              <w:t>,</w:t>
            </w:r>
            <w:r w:rsidRPr="00221D6D">
              <w:rPr>
                <w:sz w:val="20"/>
                <w:szCs w:val="20"/>
              </w:rPr>
              <w:t>0</w:t>
            </w:r>
          </w:p>
        </w:tc>
        <w:tc>
          <w:tcPr>
            <w:tcW w:w="610" w:type="dxa"/>
            <w:vAlign w:val="bottom"/>
          </w:tcPr>
          <w:p w14:paraId="4E8F1022" w14:textId="77777777" w:rsidR="00221D6D" w:rsidRPr="00221D6D" w:rsidRDefault="00221D6D" w:rsidP="00221D6D">
            <w:pPr>
              <w:jc w:val="center"/>
              <w:rPr>
                <w:sz w:val="20"/>
                <w:szCs w:val="20"/>
              </w:rPr>
            </w:pPr>
            <w:r w:rsidRPr="00221D6D">
              <w:rPr>
                <w:sz w:val="20"/>
                <w:szCs w:val="20"/>
                <w:lang w:val="en-US"/>
              </w:rPr>
              <w:t>6,</w:t>
            </w:r>
            <w:r w:rsidRPr="00221D6D">
              <w:rPr>
                <w:sz w:val="20"/>
                <w:szCs w:val="20"/>
              </w:rPr>
              <w:t>4</w:t>
            </w:r>
          </w:p>
        </w:tc>
        <w:tc>
          <w:tcPr>
            <w:tcW w:w="609" w:type="dxa"/>
            <w:vAlign w:val="bottom"/>
          </w:tcPr>
          <w:p w14:paraId="616ACB7B" w14:textId="77777777" w:rsidR="00221D6D" w:rsidRPr="00221D6D" w:rsidRDefault="00221D6D" w:rsidP="00221D6D">
            <w:pPr>
              <w:jc w:val="center"/>
              <w:rPr>
                <w:sz w:val="20"/>
                <w:szCs w:val="20"/>
              </w:rPr>
            </w:pPr>
            <w:r w:rsidRPr="00221D6D">
              <w:rPr>
                <w:sz w:val="20"/>
                <w:szCs w:val="20"/>
                <w:lang w:val="en-US"/>
              </w:rPr>
              <w:t>6,</w:t>
            </w:r>
            <w:r w:rsidRPr="00221D6D">
              <w:rPr>
                <w:sz w:val="20"/>
                <w:szCs w:val="20"/>
              </w:rPr>
              <w:t>1</w:t>
            </w:r>
          </w:p>
        </w:tc>
        <w:tc>
          <w:tcPr>
            <w:tcW w:w="610" w:type="dxa"/>
            <w:vAlign w:val="bottom"/>
          </w:tcPr>
          <w:p w14:paraId="590D136F" w14:textId="77777777" w:rsidR="00221D6D" w:rsidRPr="00221D6D" w:rsidRDefault="00221D6D" w:rsidP="00221D6D">
            <w:pPr>
              <w:jc w:val="center"/>
              <w:rPr>
                <w:sz w:val="20"/>
                <w:szCs w:val="20"/>
              </w:rPr>
            </w:pPr>
            <w:r w:rsidRPr="00221D6D">
              <w:rPr>
                <w:sz w:val="20"/>
                <w:szCs w:val="20"/>
              </w:rPr>
              <w:t>5,9</w:t>
            </w:r>
          </w:p>
        </w:tc>
      </w:tr>
      <w:tr w:rsidR="00221D6D" w:rsidRPr="00221D6D" w14:paraId="7A1A7CC0" w14:textId="77777777" w:rsidTr="005C2605">
        <w:trPr>
          <w:trHeight w:val="20"/>
        </w:trPr>
        <w:tc>
          <w:tcPr>
            <w:tcW w:w="3119" w:type="dxa"/>
          </w:tcPr>
          <w:p w14:paraId="185327B4" w14:textId="77777777" w:rsidR="00221D6D" w:rsidRPr="00221D6D" w:rsidRDefault="00221D6D" w:rsidP="00A911FD">
            <w:pPr>
              <w:ind w:left="426" w:hanging="426"/>
              <w:rPr>
                <w:sz w:val="20"/>
                <w:szCs w:val="20"/>
              </w:rPr>
            </w:pPr>
            <w:r w:rsidRPr="00221D6D">
              <w:rPr>
                <w:sz w:val="20"/>
                <w:szCs w:val="20"/>
              </w:rPr>
              <w:t>03</w:t>
            </w:r>
            <w:r w:rsidRPr="00221D6D">
              <w:rPr>
                <w:sz w:val="20"/>
                <w:szCs w:val="20"/>
                <w:lang w:val="en-US"/>
              </w:rPr>
              <w:t>0</w:t>
            </w:r>
            <w:r w:rsidRPr="00221D6D">
              <w:rPr>
                <w:sz w:val="20"/>
                <w:szCs w:val="20"/>
              </w:rPr>
              <w:t>4 Органы юстиции</w:t>
            </w:r>
          </w:p>
        </w:tc>
        <w:tc>
          <w:tcPr>
            <w:tcW w:w="609" w:type="dxa"/>
            <w:vAlign w:val="bottom"/>
          </w:tcPr>
          <w:p w14:paraId="4926E175" w14:textId="77777777" w:rsidR="00221D6D" w:rsidRPr="00221D6D" w:rsidRDefault="00221D6D" w:rsidP="00221D6D">
            <w:pPr>
              <w:jc w:val="center"/>
              <w:rPr>
                <w:sz w:val="20"/>
                <w:szCs w:val="20"/>
              </w:rPr>
            </w:pPr>
            <w:r w:rsidRPr="00221D6D">
              <w:rPr>
                <w:sz w:val="20"/>
                <w:szCs w:val="20"/>
              </w:rPr>
              <w:t>–</w:t>
            </w:r>
          </w:p>
        </w:tc>
        <w:tc>
          <w:tcPr>
            <w:tcW w:w="610" w:type="dxa"/>
            <w:vAlign w:val="bottom"/>
          </w:tcPr>
          <w:p w14:paraId="73A420C4" w14:textId="77777777" w:rsidR="00221D6D" w:rsidRPr="00221D6D" w:rsidRDefault="00221D6D" w:rsidP="00221D6D">
            <w:pPr>
              <w:jc w:val="center"/>
              <w:rPr>
                <w:sz w:val="20"/>
                <w:szCs w:val="20"/>
                <w:lang w:val="en-US"/>
              </w:rPr>
            </w:pPr>
            <w:r w:rsidRPr="00221D6D">
              <w:rPr>
                <w:sz w:val="20"/>
                <w:szCs w:val="20"/>
              </w:rPr>
              <w:t>–</w:t>
            </w:r>
          </w:p>
        </w:tc>
        <w:tc>
          <w:tcPr>
            <w:tcW w:w="609" w:type="dxa"/>
            <w:vAlign w:val="bottom"/>
          </w:tcPr>
          <w:p w14:paraId="7A89E22E" w14:textId="77777777" w:rsidR="00221D6D" w:rsidRPr="00221D6D" w:rsidRDefault="00221D6D" w:rsidP="00221D6D">
            <w:pPr>
              <w:jc w:val="center"/>
              <w:rPr>
                <w:rFonts w:eastAsia="Arial Unicode MS"/>
                <w:sz w:val="20"/>
                <w:szCs w:val="20"/>
                <w:lang w:val="en-US"/>
              </w:rPr>
            </w:pPr>
            <w:r w:rsidRPr="00221D6D">
              <w:rPr>
                <w:sz w:val="20"/>
                <w:szCs w:val="20"/>
              </w:rPr>
              <w:t>–</w:t>
            </w:r>
          </w:p>
        </w:tc>
        <w:tc>
          <w:tcPr>
            <w:tcW w:w="610" w:type="dxa"/>
            <w:vAlign w:val="bottom"/>
          </w:tcPr>
          <w:p w14:paraId="16B6FCF8" w14:textId="77777777" w:rsidR="00221D6D" w:rsidRPr="00221D6D" w:rsidRDefault="00221D6D" w:rsidP="00221D6D">
            <w:pPr>
              <w:jc w:val="center"/>
              <w:rPr>
                <w:sz w:val="20"/>
                <w:szCs w:val="20"/>
                <w:lang w:val="en-US"/>
              </w:rPr>
            </w:pPr>
            <w:r w:rsidRPr="00221D6D">
              <w:rPr>
                <w:sz w:val="20"/>
                <w:szCs w:val="20"/>
              </w:rPr>
              <w:t>3,2</w:t>
            </w:r>
          </w:p>
        </w:tc>
        <w:tc>
          <w:tcPr>
            <w:tcW w:w="609" w:type="dxa"/>
            <w:vAlign w:val="bottom"/>
          </w:tcPr>
          <w:p w14:paraId="05136C1F" w14:textId="77777777" w:rsidR="00221D6D" w:rsidRPr="00221D6D" w:rsidRDefault="00221D6D" w:rsidP="00221D6D">
            <w:pPr>
              <w:jc w:val="center"/>
              <w:rPr>
                <w:rFonts w:eastAsia="Arial Unicode MS"/>
                <w:sz w:val="20"/>
                <w:szCs w:val="20"/>
              </w:rPr>
            </w:pPr>
            <w:r w:rsidRPr="00221D6D">
              <w:rPr>
                <w:sz w:val="20"/>
                <w:szCs w:val="20"/>
              </w:rPr>
              <w:t>3</w:t>
            </w:r>
            <w:r w:rsidRPr="00221D6D">
              <w:rPr>
                <w:sz w:val="20"/>
                <w:szCs w:val="20"/>
                <w:lang w:val="en-US"/>
              </w:rPr>
              <w:t>,</w:t>
            </w:r>
            <w:r w:rsidRPr="00221D6D">
              <w:rPr>
                <w:sz w:val="20"/>
                <w:szCs w:val="20"/>
              </w:rPr>
              <w:t>4</w:t>
            </w:r>
          </w:p>
        </w:tc>
        <w:tc>
          <w:tcPr>
            <w:tcW w:w="610" w:type="dxa"/>
            <w:vAlign w:val="bottom"/>
          </w:tcPr>
          <w:p w14:paraId="55279350" w14:textId="77777777" w:rsidR="00221D6D" w:rsidRPr="00221D6D" w:rsidRDefault="00221D6D" w:rsidP="00221D6D">
            <w:pPr>
              <w:jc w:val="center"/>
              <w:rPr>
                <w:sz w:val="20"/>
                <w:szCs w:val="20"/>
                <w:lang w:val="en-US"/>
              </w:rPr>
            </w:pPr>
            <w:r w:rsidRPr="00221D6D">
              <w:rPr>
                <w:sz w:val="20"/>
                <w:szCs w:val="20"/>
                <w:lang w:val="en-US"/>
              </w:rPr>
              <w:t>3,9</w:t>
            </w:r>
          </w:p>
        </w:tc>
        <w:tc>
          <w:tcPr>
            <w:tcW w:w="609" w:type="dxa"/>
            <w:vAlign w:val="bottom"/>
          </w:tcPr>
          <w:p w14:paraId="6A4B4AC9" w14:textId="77777777" w:rsidR="00221D6D" w:rsidRPr="00221D6D" w:rsidRDefault="00221D6D" w:rsidP="00221D6D">
            <w:pPr>
              <w:jc w:val="center"/>
              <w:rPr>
                <w:sz w:val="20"/>
                <w:szCs w:val="20"/>
                <w:lang w:val="en-US"/>
              </w:rPr>
            </w:pPr>
            <w:r w:rsidRPr="00221D6D">
              <w:rPr>
                <w:sz w:val="20"/>
                <w:szCs w:val="20"/>
              </w:rPr>
              <w:t>5,</w:t>
            </w:r>
            <w:r w:rsidRPr="00221D6D">
              <w:rPr>
                <w:sz w:val="20"/>
                <w:szCs w:val="20"/>
                <w:lang w:val="en-US"/>
              </w:rPr>
              <w:t>3</w:t>
            </w:r>
          </w:p>
        </w:tc>
        <w:tc>
          <w:tcPr>
            <w:tcW w:w="610" w:type="dxa"/>
            <w:vAlign w:val="bottom"/>
          </w:tcPr>
          <w:p w14:paraId="65810258" w14:textId="77777777" w:rsidR="00221D6D" w:rsidRPr="00221D6D" w:rsidRDefault="00221D6D" w:rsidP="00221D6D">
            <w:pPr>
              <w:jc w:val="center"/>
              <w:rPr>
                <w:sz w:val="20"/>
                <w:szCs w:val="20"/>
              </w:rPr>
            </w:pPr>
            <w:r w:rsidRPr="00221D6D">
              <w:rPr>
                <w:sz w:val="20"/>
                <w:szCs w:val="20"/>
              </w:rPr>
              <w:t>4,7</w:t>
            </w:r>
          </w:p>
        </w:tc>
        <w:tc>
          <w:tcPr>
            <w:tcW w:w="609" w:type="dxa"/>
            <w:vAlign w:val="bottom"/>
          </w:tcPr>
          <w:p w14:paraId="2143D771" w14:textId="77777777" w:rsidR="00221D6D" w:rsidRPr="00221D6D" w:rsidRDefault="00221D6D" w:rsidP="00221D6D">
            <w:pPr>
              <w:jc w:val="center"/>
              <w:rPr>
                <w:sz w:val="20"/>
                <w:szCs w:val="20"/>
              </w:rPr>
            </w:pPr>
            <w:r w:rsidRPr="00221D6D">
              <w:rPr>
                <w:sz w:val="20"/>
                <w:szCs w:val="20"/>
              </w:rPr>
              <w:t>4,6</w:t>
            </w:r>
          </w:p>
        </w:tc>
        <w:tc>
          <w:tcPr>
            <w:tcW w:w="610" w:type="dxa"/>
            <w:vAlign w:val="bottom"/>
          </w:tcPr>
          <w:p w14:paraId="42ACCBFD" w14:textId="77777777" w:rsidR="00221D6D" w:rsidRPr="00221D6D" w:rsidRDefault="00221D6D" w:rsidP="00221D6D">
            <w:pPr>
              <w:jc w:val="center"/>
              <w:rPr>
                <w:sz w:val="20"/>
                <w:szCs w:val="20"/>
              </w:rPr>
            </w:pPr>
            <w:r w:rsidRPr="00221D6D">
              <w:rPr>
                <w:sz w:val="20"/>
                <w:szCs w:val="20"/>
              </w:rPr>
              <w:t>4,5</w:t>
            </w:r>
          </w:p>
        </w:tc>
      </w:tr>
      <w:tr w:rsidR="00221D6D" w:rsidRPr="00221D6D" w14:paraId="396F1657" w14:textId="77777777" w:rsidTr="005C2605">
        <w:trPr>
          <w:trHeight w:val="20"/>
        </w:trPr>
        <w:tc>
          <w:tcPr>
            <w:tcW w:w="3119" w:type="dxa"/>
          </w:tcPr>
          <w:p w14:paraId="6530DBC4" w14:textId="77777777" w:rsidR="00221D6D" w:rsidRPr="00221D6D" w:rsidRDefault="00221D6D" w:rsidP="00A911FD">
            <w:pPr>
              <w:rPr>
                <w:sz w:val="20"/>
                <w:szCs w:val="20"/>
              </w:rPr>
            </w:pPr>
            <w:r w:rsidRPr="00221D6D">
              <w:rPr>
                <w:sz w:val="20"/>
                <w:szCs w:val="20"/>
              </w:rPr>
              <w:t>0306 Органы безопасности</w:t>
            </w:r>
          </w:p>
        </w:tc>
        <w:tc>
          <w:tcPr>
            <w:tcW w:w="609" w:type="dxa"/>
            <w:vAlign w:val="bottom"/>
          </w:tcPr>
          <w:p w14:paraId="1E6BDE86" w14:textId="77777777" w:rsidR="00221D6D" w:rsidRPr="00221D6D" w:rsidRDefault="00221D6D" w:rsidP="00221D6D">
            <w:pPr>
              <w:jc w:val="center"/>
              <w:rPr>
                <w:sz w:val="20"/>
                <w:szCs w:val="20"/>
              </w:rPr>
            </w:pPr>
            <w:r w:rsidRPr="00221D6D">
              <w:rPr>
                <w:sz w:val="20"/>
                <w:szCs w:val="20"/>
              </w:rPr>
              <w:t>99,8</w:t>
            </w:r>
          </w:p>
        </w:tc>
        <w:tc>
          <w:tcPr>
            <w:tcW w:w="610" w:type="dxa"/>
            <w:vAlign w:val="bottom"/>
          </w:tcPr>
          <w:p w14:paraId="2B4478DF" w14:textId="77777777" w:rsidR="00221D6D" w:rsidRPr="00221D6D" w:rsidRDefault="00221D6D" w:rsidP="00221D6D">
            <w:pPr>
              <w:jc w:val="center"/>
              <w:rPr>
                <w:sz w:val="20"/>
                <w:szCs w:val="20"/>
              </w:rPr>
            </w:pPr>
            <w:r w:rsidRPr="00221D6D">
              <w:rPr>
                <w:sz w:val="20"/>
                <w:szCs w:val="20"/>
              </w:rPr>
              <w:t>99,8</w:t>
            </w:r>
          </w:p>
        </w:tc>
        <w:tc>
          <w:tcPr>
            <w:tcW w:w="609" w:type="dxa"/>
            <w:vAlign w:val="bottom"/>
          </w:tcPr>
          <w:p w14:paraId="7CDDD3B5" w14:textId="77777777" w:rsidR="00221D6D" w:rsidRPr="00221D6D" w:rsidRDefault="00221D6D" w:rsidP="00221D6D">
            <w:pPr>
              <w:jc w:val="center"/>
              <w:rPr>
                <w:rFonts w:eastAsia="Arial Unicode MS"/>
                <w:sz w:val="20"/>
                <w:szCs w:val="20"/>
              </w:rPr>
            </w:pPr>
            <w:r w:rsidRPr="00221D6D">
              <w:rPr>
                <w:sz w:val="20"/>
                <w:szCs w:val="20"/>
              </w:rPr>
              <w:t>99,8</w:t>
            </w:r>
          </w:p>
        </w:tc>
        <w:tc>
          <w:tcPr>
            <w:tcW w:w="610" w:type="dxa"/>
            <w:vAlign w:val="bottom"/>
          </w:tcPr>
          <w:p w14:paraId="650FB8A5" w14:textId="77777777" w:rsidR="00221D6D" w:rsidRPr="00221D6D" w:rsidRDefault="00221D6D" w:rsidP="00221D6D">
            <w:pPr>
              <w:jc w:val="center"/>
              <w:rPr>
                <w:sz w:val="20"/>
                <w:szCs w:val="20"/>
              </w:rPr>
            </w:pPr>
            <w:r w:rsidRPr="00221D6D">
              <w:rPr>
                <w:sz w:val="20"/>
                <w:szCs w:val="20"/>
              </w:rPr>
              <w:t>99,8</w:t>
            </w:r>
          </w:p>
        </w:tc>
        <w:tc>
          <w:tcPr>
            <w:tcW w:w="609" w:type="dxa"/>
            <w:vAlign w:val="bottom"/>
          </w:tcPr>
          <w:p w14:paraId="272B6F61" w14:textId="77777777" w:rsidR="00221D6D" w:rsidRPr="00221D6D" w:rsidRDefault="00221D6D" w:rsidP="00221D6D">
            <w:pPr>
              <w:jc w:val="center"/>
              <w:rPr>
                <w:rFonts w:eastAsia="Arial Unicode MS"/>
                <w:sz w:val="20"/>
                <w:szCs w:val="20"/>
              </w:rPr>
            </w:pPr>
            <w:r w:rsidRPr="00221D6D">
              <w:rPr>
                <w:sz w:val="20"/>
                <w:szCs w:val="20"/>
              </w:rPr>
              <w:t>99,8</w:t>
            </w:r>
          </w:p>
        </w:tc>
        <w:tc>
          <w:tcPr>
            <w:tcW w:w="610" w:type="dxa"/>
            <w:vAlign w:val="bottom"/>
          </w:tcPr>
          <w:p w14:paraId="485CA31F" w14:textId="77777777" w:rsidR="00221D6D" w:rsidRPr="00221D6D" w:rsidRDefault="00221D6D" w:rsidP="00221D6D">
            <w:pPr>
              <w:jc w:val="center"/>
              <w:rPr>
                <w:sz w:val="20"/>
                <w:szCs w:val="20"/>
              </w:rPr>
            </w:pPr>
            <w:r w:rsidRPr="00221D6D">
              <w:rPr>
                <w:sz w:val="20"/>
                <w:szCs w:val="20"/>
              </w:rPr>
              <w:t>99,8</w:t>
            </w:r>
          </w:p>
        </w:tc>
        <w:tc>
          <w:tcPr>
            <w:tcW w:w="609" w:type="dxa"/>
            <w:vAlign w:val="bottom"/>
          </w:tcPr>
          <w:p w14:paraId="24EAAFA9" w14:textId="77777777" w:rsidR="00221D6D" w:rsidRPr="00221D6D" w:rsidRDefault="00221D6D" w:rsidP="00221D6D">
            <w:pPr>
              <w:jc w:val="center"/>
              <w:rPr>
                <w:sz w:val="20"/>
                <w:szCs w:val="20"/>
                <w:lang w:val="en-US"/>
              </w:rPr>
            </w:pPr>
            <w:r w:rsidRPr="00221D6D">
              <w:rPr>
                <w:sz w:val="20"/>
                <w:szCs w:val="20"/>
              </w:rPr>
              <w:t>99,</w:t>
            </w:r>
            <w:r w:rsidRPr="00221D6D">
              <w:rPr>
                <w:sz w:val="20"/>
                <w:szCs w:val="20"/>
                <w:lang w:val="en-US"/>
              </w:rPr>
              <w:t>3</w:t>
            </w:r>
          </w:p>
        </w:tc>
        <w:tc>
          <w:tcPr>
            <w:tcW w:w="610" w:type="dxa"/>
            <w:vAlign w:val="bottom"/>
          </w:tcPr>
          <w:p w14:paraId="5A61A03D" w14:textId="77777777" w:rsidR="00221D6D" w:rsidRPr="00221D6D" w:rsidRDefault="00221D6D" w:rsidP="00221D6D">
            <w:pPr>
              <w:jc w:val="center"/>
              <w:rPr>
                <w:sz w:val="20"/>
                <w:szCs w:val="20"/>
              </w:rPr>
            </w:pPr>
            <w:r w:rsidRPr="00221D6D">
              <w:rPr>
                <w:sz w:val="20"/>
                <w:szCs w:val="20"/>
              </w:rPr>
              <w:t>99,4</w:t>
            </w:r>
          </w:p>
        </w:tc>
        <w:tc>
          <w:tcPr>
            <w:tcW w:w="609" w:type="dxa"/>
            <w:vAlign w:val="bottom"/>
          </w:tcPr>
          <w:p w14:paraId="6E4D26B0" w14:textId="77777777" w:rsidR="00221D6D" w:rsidRPr="00221D6D" w:rsidRDefault="00221D6D" w:rsidP="00221D6D">
            <w:pPr>
              <w:jc w:val="center"/>
              <w:rPr>
                <w:sz w:val="20"/>
                <w:szCs w:val="20"/>
              </w:rPr>
            </w:pPr>
            <w:r w:rsidRPr="00221D6D">
              <w:rPr>
                <w:sz w:val="20"/>
                <w:szCs w:val="20"/>
              </w:rPr>
              <w:t>99,4</w:t>
            </w:r>
          </w:p>
        </w:tc>
        <w:tc>
          <w:tcPr>
            <w:tcW w:w="610" w:type="dxa"/>
            <w:vAlign w:val="bottom"/>
          </w:tcPr>
          <w:p w14:paraId="20D228AC" w14:textId="77777777" w:rsidR="00221D6D" w:rsidRPr="00221D6D" w:rsidRDefault="00221D6D" w:rsidP="00221D6D">
            <w:pPr>
              <w:jc w:val="center"/>
              <w:rPr>
                <w:sz w:val="20"/>
                <w:szCs w:val="20"/>
              </w:rPr>
            </w:pPr>
            <w:r w:rsidRPr="00221D6D">
              <w:rPr>
                <w:sz w:val="20"/>
                <w:szCs w:val="20"/>
              </w:rPr>
              <w:t>99,3</w:t>
            </w:r>
          </w:p>
        </w:tc>
      </w:tr>
      <w:tr w:rsidR="00221D6D" w:rsidRPr="00221D6D" w14:paraId="3E954A31" w14:textId="77777777" w:rsidTr="005C2605">
        <w:trPr>
          <w:trHeight w:val="20"/>
        </w:trPr>
        <w:tc>
          <w:tcPr>
            <w:tcW w:w="3119" w:type="dxa"/>
          </w:tcPr>
          <w:p w14:paraId="75B8E8DC" w14:textId="77777777" w:rsidR="00221D6D" w:rsidRPr="00221D6D" w:rsidRDefault="00221D6D" w:rsidP="00A911FD">
            <w:pPr>
              <w:rPr>
                <w:sz w:val="20"/>
                <w:szCs w:val="20"/>
              </w:rPr>
            </w:pPr>
            <w:r w:rsidRPr="00221D6D">
              <w:rPr>
                <w:sz w:val="20"/>
                <w:szCs w:val="20"/>
              </w:rPr>
              <w:t>0307 Органы пограничной службы</w:t>
            </w:r>
          </w:p>
        </w:tc>
        <w:tc>
          <w:tcPr>
            <w:tcW w:w="609" w:type="dxa"/>
            <w:vAlign w:val="bottom"/>
          </w:tcPr>
          <w:p w14:paraId="51CA3748" w14:textId="77777777" w:rsidR="00221D6D" w:rsidRPr="00221D6D" w:rsidRDefault="00221D6D" w:rsidP="00221D6D">
            <w:pPr>
              <w:jc w:val="center"/>
              <w:rPr>
                <w:sz w:val="20"/>
                <w:szCs w:val="20"/>
              </w:rPr>
            </w:pPr>
            <w:r w:rsidRPr="00221D6D">
              <w:rPr>
                <w:sz w:val="20"/>
                <w:szCs w:val="20"/>
              </w:rPr>
              <w:t>99,6</w:t>
            </w:r>
          </w:p>
        </w:tc>
        <w:tc>
          <w:tcPr>
            <w:tcW w:w="610" w:type="dxa"/>
            <w:vAlign w:val="bottom"/>
          </w:tcPr>
          <w:p w14:paraId="55B7ACA2" w14:textId="77777777" w:rsidR="00221D6D" w:rsidRPr="00221D6D" w:rsidRDefault="00221D6D" w:rsidP="00221D6D">
            <w:pPr>
              <w:jc w:val="center"/>
              <w:rPr>
                <w:sz w:val="20"/>
                <w:szCs w:val="20"/>
                <w:lang w:val="en-US"/>
              </w:rPr>
            </w:pPr>
            <w:r w:rsidRPr="00221D6D">
              <w:rPr>
                <w:sz w:val="20"/>
                <w:szCs w:val="20"/>
                <w:lang w:val="en-US"/>
              </w:rPr>
              <w:t>99,9</w:t>
            </w:r>
          </w:p>
        </w:tc>
        <w:tc>
          <w:tcPr>
            <w:tcW w:w="609" w:type="dxa"/>
            <w:vAlign w:val="bottom"/>
          </w:tcPr>
          <w:p w14:paraId="026696C6" w14:textId="77777777" w:rsidR="00221D6D" w:rsidRPr="00221D6D" w:rsidRDefault="00221D6D" w:rsidP="00221D6D">
            <w:pPr>
              <w:jc w:val="center"/>
              <w:rPr>
                <w:rFonts w:eastAsia="Arial Unicode MS"/>
                <w:sz w:val="20"/>
                <w:szCs w:val="20"/>
                <w:lang w:val="en-US"/>
              </w:rPr>
            </w:pPr>
            <w:r w:rsidRPr="00221D6D">
              <w:rPr>
                <w:sz w:val="20"/>
                <w:szCs w:val="20"/>
              </w:rPr>
              <w:t>100</w:t>
            </w:r>
          </w:p>
        </w:tc>
        <w:tc>
          <w:tcPr>
            <w:tcW w:w="610" w:type="dxa"/>
            <w:vAlign w:val="bottom"/>
          </w:tcPr>
          <w:p w14:paraId="34B2EE31" w14:textId="77777777" w:rsidR="00221D6D" w:rsidRPr="00221D6D" w:rsidRDefault="00221D6D" w:rsidP="00221D6D">
            <w:pPr>
              <w:jc w:val="center"/>
              <w:rPr>
                <w:sz w:val="20"/>
                <w:szCs w:val="20"/>
              </w:rPr>
            </w:pPr>
            <w:r w:rsidRPr="00221D6D">
              <w:rPr>
                <w:sz w:val="20"/>
                <w:szCs w:val="20"/>
              </w:rPr>
              <w:t>100</w:t>
            </w:r>
          </w:p>
        </w:tc>
        <w:tc>
          <w:tcPr>
            <w:tcW w:w="609" w:type="dxa"/>
            <w:vAlign w:val="bottom"/>
          </w:tcPr>
          <w:p w14:paraId="4F68937C" w14:textId="77777777" w:rsidR="00221D6D" w:rsidRPr="00221D6D" w:rsidRDefault="00221D6D" w:rsidP="00221D6D">
            <w:pPr>
              <w:jc w:val="center"/>
              <w:rPr>
                <w:rFonts w:eastAsia="Arial Unicode MS"/>
                <w:sz w:val="20"/>
                <w:szCs w:val="20"/>
                <w:lang w:val="en-US"/>
              </w:rPr>
            </w:pPr>
            <w:r w:rsidRPr="00221D6D">
              <w:rPr>
                <w:sz w:val="20"/>
                <w:szCs w:val="20"/>
              </w:rPr>
              <w:t>100</w:t>
            </w:r>
          </w:p>
        </w:tc>
        <w:tc>
          <w:tcPr>
            <w:tcW w:w="610" w:type="dxa"/>
            <w:vAlign w:val="bottom"/>
          </w:tcPr>
          <w:p w14:paraId="79EEEA0A" w14:textId="77777777" w:rsidR="00221D6D" w:rsidRPr="00221D6D" w:rsidRDefault="00221D6D" w:rsidP="00221D6D">
            <w:pPr>
              <w:jc w:val="center"/>
              <w:rPr>
                <w:sz w:val="20"/>
                <w:szCs w:val="20"/>
                <w:lang w:val="en-US"/>
              </w:rPr>
            </w:pPr>
            <w:r w:rsidRPr="00221D6D">
              <w:rPr>
                <w:sz w:val="20"/>
                <w:szCs w:val="20"/>
                <w:lang w:val="en-US"/>
              </w:rPr>
              <w:t>100</w:t>
            </w:r>
          </w:p>
        </w:tc>
        <w:tc>
          <w:tcPr>
            <w:tcW w:w="609" w:type="dxa"/>
            <w:vAlign w:val="bottom"/>
          </w:tcPr>
          <w:p w14:paraId="5D957459" w14:textId="77777777" w:rsidR="00221D6D" w:rsidRPr="00221D6D" w:rsidRDefault="00221D6D" w:rsidP="00221D6D">
            <w:pPr>
              <w:jc w:val="center"/>
              <w:rPr>
                <w:sz w:val="20"/>
                <w:szCs w:val="20"/>
                <w:lang w:val="en-US"/>
              </w:rPr>
            </w:pPr>
            <w:r w:rsidRPr="00221D6D">
              <w:rPr>
                <w:sz w:val="20"/>
                <w:szCs w:val="20"/>
                <w:lang w:val="en-US"/>
              </w:rPr>
              <w:t>100</w:t>
            </w:r>
          </w:p>
        </w:tc>
        <w:tc>
          <w:tcPr>
            <w:tcW w:w="610" w:type="dxa"/>
            <w:vAlign w:val="bottom"/>
          </w:tcPr>
          <w:p w14:paraId="499D57C4" w14:textId="77777777" w:rsidR="00221D6D" w:rsidRPr="00221D6D" w:rsidRDefault="00221D6D" w:rsidP="00221D6D">
            <w:pPr>
              <w:jc w:val="center"/>
              <w:rPr>
                <w:sz w:val="20"/>
                <w:szCs w:val="20"/>
                <w:lang w:val="en-US"/>
              </w:rPr>
            </w:pPr>
            <w:r w:rsidRPr="00221D6D">
              <w:rPr>
                <w:sz w:val="20"/>
                <w:szCs w:val="20"/>
                <w:lang w:val="en-US"/>
              </w:rPr>
              <w:t>100</w:t>
            </w:r>
          </w:p>
        </w:tc>
        <w:tc>
          <w:tcPr>
            <w:tcW w:w="609" w:type="dxa"/>
            <w:vAlign w:val="bottom"/>
          </w:tcPr>
          <w:p w14:paraId="343CE773" w14:textId="77777777" w:rsidR="00221D6D" w:rsidRPr="00221D6D" w:rsidRDefault="00221D6D" w:rsidP="00221D6D">
            <w:pPr>
              <w:jc w:val="center"/>
              <w:rPr>
                <w:sz w:val="20"/>
                <w:szCs w:val="20"/>
                <w:lang w:val="en-US"/>
              </w:rPr>
            </w:pPr>
            <w:r w:rsidRPr="00221D6D">
              <w:rPr>
                <w:sz w:val="20"/>
                <w:szCs w:val="20"/>
                <w:lang w:val="en-US"/>
              </w:rPr>
              <w:t>100</w:t>
            </w:r>
          </w:p>
        </w:tc>
        <w:tc>
          <w:tcPr>
            <w:tcW w:w="610" w:type="dxa"/>
            <w:vAlign w:val="bottom"/>
          </w:tcPr>
          <w:p w14:paraId="1F87FA2D" w14:textId="77777777" w:rsidR="00221D6D" w:rsidRPr="00221D6D" w:rsidRDefault="00221D6D" w:rsidP="00221D6D">
            <w:pPr>
              <w:jc w:val="center"/>
              <w:rPr>
                <w:sz w:val="20"/>
                <w:szCs w:val="20"/>
              </w:rPr>
            </w:pPr>
            <w:r w:rsidRPr="00221D6D">
              <w:rPr>
                <w:sz w:val="20"/>
                <w:szCs w:val="20"/>
              </w:rPr>
              <w:t>100</w:t>
            </w:r>
          </w:p>
        </w:tc>
      </w:tr>
      <w:tr w:rsidR="00221D6D" w:rsidRPr="00221D6D" w14:paraId="254A0498" w14:textId="77777777" w:rsidTr="005C2605">
        <w:trPr>
          <w:trHeight w:val="20"/>
        </w:trPr>
        <w:tc>
          <w:tcPr>
            <w:tcW w:w="3119" w:type="dxa"/>
          </w:tcPr>
          <w:p w14:paraId="004C1C56" w14:textId="77777777" w:rsidR="00221D6D" w:rsidRPr="00221D6D" w:rsidRDefault="00221D6D" w:rsidP="00A911FD">
            <w:pPr>
              <w:ind w:left="426" w:hanging="426"/>
              <w:rPr>
                <w:sz w:val="20"/>
                <w:szCs w:val="20"/>
              </w:rPr>
            </w:pPr>
            <w:r w:rsidRPr="00221D6D">
              <w:rPr>
                <w:sz w:val="20"/>
                <w:szCs w:val="20"/>
              </w:rPr>
              <w:t>0309 Защита населения и территории от чрезвычайных ситуаций природного и техногенного характера, гражданская оборона</w:t>
            </w:r>
          </w:p>
        </w:tc>
        <w:tc>
          <w:tcPr>
            <w:tcW w:w="609" w:type="dxa"/>
            <w:vAlign w:val="bottom"/>
          </w:tcPr>
          <w:p w14:paraId="02E7BD41" w14:textId="77777777" w:rsidR="00221D6D" w:rsidRPr="00221D6D" w:rsidRDefault="00221D6D" w:rsidP="00221D6D">
            <w:pPr>
              <w:jc w:val="center"/>
              <w:rPr>
                <w:sz w:val="20"/>
                <w:szCs w:val="20"/>
              </w:rPr>
            </w:pPr>
            <w:r w:rsidRPr="00221D6D">
              <w:rPr>
                <w:sz w:val="20"/>
                <w:szCs w:val="20"/>
              </w:rPr>
              <w:t>38,5</w:t>
            </w:r>
          </w:p>
        </w:tc>
        <w:tc>
          <w:tcPr>
            <w:tcW w:w="610" w:type="dxa"/>
            <w:vAlign w:val="bottom"/>
          </w:tcPr>
          <w:p w14:paraId="0F5407F6" w14:textId="77777777" w:rsidR="00221D6D" w:rsidRPr="00221D6D" w:rsidRDefault="00221D6D" w:rsidP="00221D6D">
            <w:pPr>
              <w:jc w:val="center"/>
              <w:rPr>
                <w:sz w:val="20"/>
                <w:szCs w:val="20"/>
                <w:lang w:val="en-US"/>
              </w:rPr>
            </w:pPr>
            <w:r w:rsidRPr="00221D6D">
              <w:rPr>
                <w:sz w:val="20"/>
                <w:szCs w:val="20"/>
                <w:lang w:val="en-US"/>
              </w:rPr>
              <w:t>3</w:t>
            </w:r>
            <w:r w:rsidRPr="00221D6D">
              <w:rPr>
                <w:sz w:val="20"/>
                <w:szCs w:val="20"/>
              </w:rPr>
              <w:t>9</w:t>
            </w:r>
            <w:r w:rsidRPr="00221D6D">
              <w:rPr>
                <w:sz w:val="20"/>
                <w:szCs w:val="20"/>
                <w:lang w:val="en-US"/>
              </w:rPr>
              <w:t>,</w:t>
            </w:r>
            <w:r w:rsidRPr="00221D6D">
              <w:rPr>
                <w:sz w:val="20"/>
                <w:szCs w:val="20"/>
              </w:rPr>
              <w:t>1</w:t>
            </w:r>
          </w:p>
        </w:tc>
        <w:tc>
          <w:tcPr>
            <w:tcW w:w="609" w:type="dxa"/>
            <w:vAlign w:val="bottom"/>
          </w:tcPr>
          <w:p w14:paraId="25C223B3" w14:textId="77777777" w:rsidR="00221D6D" w:rsidRPr="00221D6D" w:rsidRDefault="00221D6D" w:rsidP="00221D6D">
            <w:pPr>
              <w:jc w:val="center"/>
              <w:rPr>
                <w:rFonts w:eastAsia="Arial Unicode MS"/>
                <w:sz w:val="20"/>
                <w:szCs w:val="20"/>
              </w:rPr>
            </w:pPr>
            <w:r w:rsidRPr="00221D6D">
              <w:rPr>
                <w:sz w:val="20"/>
                <w:szCs w:val="20"/>
              </w:rPr>
              <w:t>39,7</w:t>
            </w:r>
          </w:p>
        </w:tc>
        <w:tc>
          <w:tcPr>
            <w:tcW w:w="610" w:type="dxa"/>
            <w:vAlign w:val="bottom"/>
          </w:tcPr>
          <w:p w14:paraId="23E05E96" w14:textId="77777777" w:rsidR="00221D6D" w:rsidRPr="00221D6D" w:rsidRDefault="00221D6D" w:rsidP="00221D6D">
            <w:pPr>
              <w:jc w:val="center"/>
              <w:rPr>
                <w:sz w:val="20"/>
                <w:szCs w:val="20"/>
                <w:lang w:val="en-US"/>
              </w:rPr>
            </w:pPr>
            <w:r w:rsidRPr="00221D6D">
              <w:rPr>
                <w:sz w:val="20"/>
                <w:szCs w:val="20"/>
              </w:rPr>
              <w:t>45</w:t>
            </w:r>
            <w:r w:rsidRPr="00221D6D">
              <w:rPr>
                <w:sz w:val="20"/>
                <w:szCs w:val="20"/>
                <w:lang w:val="en-US"/>
              </w:rPr>
              <w:t>,</w:t>
            </w:r>
            <w:r w:rsidRPr="00221D6D">
              <w:rPr>
                <w:sz w:val="20"/>
                <w:szCs w:val="20"/>
              </w:rPr>
              <w:t>7</w:t>
            </w:r>
          </w:p>
        </w:tc>
        <w:tc>
          <w:tcPr>
            <w:tcW w:w="609" w:type="dxa"/>
            <w:vAlign w:val="bottom"/>
          </w:tcPr>
          <w:p w14:paraId="7199666F" w14:textId="77777777" w:rsidR="00221D6D" w:rsidRPr="00221D6D" w:rsidRDefault="00221D6D" w:rsidP="00221D6D">
            <w:pPr>
              <w:jc w:val="center"/>
              <w:rPr>
                <w:rFonts w:eastAsia="Arial Unicode MS"/>
                <w:sz w:val="20"/>
                <w:szCs w:val="20"/>
              </w:rPr>
            </w:pPr>
            <w:r w:rsidRPr="00221D6D">
              <w:rPr>
                <w:sz w:val="20"/>
                <w:szCs w:val="20"/>
                <w:lang w:val="en-US"/>
              </w:rPr>
              <w:t>4</w:t>
            </w:r>
            <w:r w:rsidRPr="00221D6D">
              <w:rPr>
                <w:sz w:val="20"/>
                <w:szCs w:val="20"/>
              </w:rPr>
              <w:t>9,1</w:t>
            </w:r>
          </w:p>
        </w:tc>
        <w:tc>
          <w:tcPr>
            <w:tcW w:w="610" w:type="dxa"/>
            <w:vAlign w:val="bottom"/>
          </w:tcPr>
          <w:p w14:paraId="24FBB2E4" w14:textId="77777777" w:rsidR="00221D6D" w:rsidRPr="00221D6D" w:rsidRDefault="00221D6D" w:rsidP="00221D6D">
            <w:pPr>
              <w:jc w:val="center"/>
              <w:rPr>
                <w:sz w:val="20"/>
                <w:szCs w:val="20"/>
                <w:lang w:val="en-US"/>
              </w:rPr>
            </w:pPr>
            <w:r w:rsidRPr="00221D6D">
              <w:rPr>
                <w:sz w:val="20"/>
                <w:szCs w:val="20"/>
                <w:lang w:val="en-US"/>
              </w:rPr>
              <w:t>30,6</w:t>
            </w:r>
          </w:p>
        </w:tc>
        <w:tc>
          <w:tcPr>
            <w:tcW w:w="609" w:type="dxa"/>
            <w:vAlign w:val="bottom"/>
          </w:tcPr>
          <w:p w14:paraId="670A88C0" w14:textId="77777777" w:rsidR="00221D6D" w:rsidRPr="00221D6D" w:rsidRDefault="00221D6D" w:rsidP="00221D6D">
            <w:pPr>
              <w:jc w:val="center"/>
              <w:rPr>
                <w:sz w:val="20"/>
                <w:szCs w:val="20"/>
              </w:rPr>
            </w:pPr>
            <w:r w:rsidRPr="00221D6D">
              <w:rPr>
                <w:sz w:val="20"/>
                <w:szCs w:val="20"/>
              </w:rPr>
              <w:t>30</w:t>
            </w:r>
            <w:r w:rsidRPr="00221D6D">
              <w:rPr>
                <w:sz w:val="20"/>
                <w:szCs w:val="20"/>
                <w:lang w:val="en-US"/>
              </w:rPr>
              <w:t>,</w:t>
            </w:r>
            <w:r w:rsidRPr="00221D6D">
              <w:rPr>
                <w:sz w:val="20"/>
                <w:szCs w:val="20"/>
              </w:rPr>
              <w:t>1</w:t>
            </w:r>
          </w:p>
        </w:tc>
        <w:tc>
          <w:tcPr>
            <w:tcW w:w="610" w:type="dxa"/>
            <w:vAlign w:val="bottom"/>
          </w:tcPr>
          <w:p w14:paraId="1A2D293C" w14:textId="77777777" w:rsidR="00221D6D" w:rsidRPr="00221D6D" w:rsidRDefault="00221D6D" w:rsidP="00221D6D">
            <w:pPr>
              <w:jc w:val="center"/>
              <w:rPr>
                <w:sz w:val="20"/>
                <w:szCs w:val="20"/>
              </w:rPr>
            </w:pPr>
            <w:r w:rsidRPr="00221D6D">
              <w:rPr>
                <w:sz w:val="20"/>
                <w:szCs w:val="20"/>
              </w:rPr>
              <w:t>34</w:t>
            </w:r>
            <w:r w:rsidRPr="00221D6D">
              <w:rPr>
                <w:sz w:val="20"/>
                <w:szCs w:val="20"/>
                <w:lang w:val="en-US"/>
              </w:rPr>
              <w:t>,</w:t>
            </w:r>
            <w:r w:rsidRPr="00221D6D">
              <w:rPr>
                <w:sz w:val="20"/>
                <w:szCs w:val="20"/>
              </w:rPr>
              <w:t>1</w:t>
            </w:r>
          </w:p>
        </w:tc>
        <w:tc>
          <w:tcPr>
            <w:tcW w:w="609" w:type="dxa"/>
            <w:vAlign w:val="bottom"/>
          </w:tcPr>
          <w:p w14:paraId="5193A376" w14:textId="77777777" w:rsidR="00221D6D" w:rsidRPr="00221D6D" w:rsidRDefault="00221D6D" w:rsidP="00221D6D">
            <w:pPr>
              <w:jc w:val="center"/>
              <w:rPr>
                <w:sz w:val="20"/>
                <w:szCs w:val="20"/>
              </w:rPr>
            </w:pPr>
            <w:r w:rsidRPr="00221D6D">
              <w:rPr>
                <w:sz w:val="20"/>
                <w:szCs w:val="20"/>
              </w:rPr>
              <w:t>35</w:t>
            </w:r>
            <w:r w:rsidRPr="00221D6D">
              <w:rPr>
                <w:sz w:val="20"/>
                <w:szCs w:val="20"/>
                <w:lang w:val="en-US"/>
              </w:rPr>
              <w:t>,</w:t>
            </w:r>
            <w:r w:rsidRPr="00221D6D">
              <w:rPr>
                <w:sz w:val="20"/>
                <w:szCs w:val="20"/>
              </w:rPr>
              <w:t>8</w:t>
            </w:r>
          </w:p>
        </w:tc>
        <w:tc>
          <w:tcPr>
            <w:tcW w:w="610" w:type="dxa"/>
            <w:vAlign w:val="bottom"/>
          </w:tcPr>
          <w:p w14:paraId="27F2B658" w14:textId="77777777" w:rsidR="00221D6D" w:rsidRPr="00221D6D" w:rsidRDefault="00221D6D" w:rsidP="00221D6D">
            <w:pPr>
              <w:jc w:val="center"/>
              <w:rPr>
                <w:sz w:val="20"/>
                <w:szCs w:val="20"/>
              </w:rPr>
            </w:pPr>
            <w:r w:rsidRPr="00221D6D">
              <w:rPr>
                <w:sz w:val="20"/>
                <w:szCs w:val="20"/>
              </w:rPr>
              <w:t>39,1</w:t>
            </w:r>
          </w:p>
        </w:tc>
      </w:tr>
      <w:tr w:rsidR="00221D6D" w:rsidRPr="00221D6D" w14:paraId="7C059F0E" w14:textId="77777777" w:rsidTr="005C2605">
        <w:trPr>
          <w:trHeight w:val="20"/>
        </w:trPr>
        <w:tc>
          <w:tcPr>
            <w:tcW w:w="3119" w:type="dxa"/>
          </w:tcPr>
          <w:p w14:paraId="239EFEA8" w14:textId="77777777" w:rsidR="00221D6D" w:rsidRPr="00221D6D" w:rsidRDefault="00221D6D" w:rsidP="00A911FD">
            <w:pPr>
              <w:ind w:left="426" w:hanging="426"/>
              <w:rPr>
                <w:sz w:val="20"/>
                <w:szCs w:val="20"/>
              </w:rPr>
            </w:pPr>
            <w:r w:rsidRPr="00221D6D">
              <w:rPr>
                <w:sz w:val="20"/>
                <w:szCs w:val="20"/>
              </w:rPr>
              <w:t>0311 Миграционная политика</w:t>
            </w:r>
          </w:p>
        </w:tc>
        <w:tc>
          <w:tcPr>
            <w:tcW w:w="609" w:type="dxa"/>
            <w:vAlign w:val="bottom"/>
          </w:tcPr>
          <w:p w14:paraId="259C38CB" w14:textId="77777777" w:rsidR="00221D6D" w:rsidRPr="00221D6D" w:rsidRDefault="00221D6D" w:rsidP="00221D6D">
            <w:pPr>
              <w:jc w:val="center"/>
              <w:rPr>
                <w:sz w:val="20"/>
                <w:szCs w:val="20"/>
              </w:rPr>
            </w:pPr>
            <w:r w:rsidRPr="00221D6D">
              <w:rPr>
                <w:sz w:val="20"/>
                <w:szCs w:val="20"/>
              </w:rPr>
              <w:t>–</w:t>
            </w:r>
          </w:p>
        </w:tc>
        <w:tc>
          <w:tcPr>
            <w:tcW w:w="610" w:type="dxa"/>
            <w:vAlign w:val="bottom"/>
          </w:tcPr>
          <w:p w14:paraId="753B7B57" w14:textId="77777777" w:rsidR="00221D6D" w:rsidRPr="00221D6D" w:rsidRDefault="00221D6D" w:rsidP="00221D6D">
            <w:pPr>
              <w:jc w:val="center"/>
              <w:rPr>
                <w:sz w:val="20"/>
                <w:szCs w:val="20"/>
                <w:lang w:val="en-US"/>
              </w:rPr>
            </w:pPr>
            <w:r w:rsidRPr="00221D6D">
              <w:rPr>
                <w:sz w:val="20"/>
                <w:szCs w:val="20"/>
              </w:rPr>
              <w:t>–</w:t>
            </w:r>
          </w:p>
        </w:tc>
        <w:tc>
          <w:tcPr>
            <w:tcW w:w="609" w:type="dxa"/>
            <w:vAlign w:val="bottom"/>
          </w:tcPr>
          <w:p w14:paraId="05F7B045" w14:textId="77777777" w:rsidR="00221D6D" w:rsidRPr="00221D6D" w:rsidRDefault="00221D6D" w:rsidP="00221D6D">
            <w:pPr>
              <w:jc w:val="center"/>
              <w:rPr>
                <w:rFonts w:eastAsia="Arial Unicode MS"/>
                <w:sz w:val="20"/>
                <w:szCs w:val="20"/>
                <w:lang w:val="en-US"/>
              </w:rPr>
            </w:pPr>
            <w:r w:rsidRPr="00221D6D">
              <w:rPr>
                <w:sz w:val="20"/>
                <w:szCs w:val="20"/>
              </w:rPr>
              <w:t>–</w:t>
            </w:r>
          </w:p>
        </w:tc>
        <w:tc>
          <w:tcPr>
            <w:tcW w:w="610" w:type="dxa"/>
            <w:vAlign w:val="bottom"/>
          </w:tcPr>
          <w:p w14:paraId="0A31FDB1" w14:textId="77777777" w:rsidR="00221D6D" w:rsidRPr="00221D6D" w:rsidRDefault="00221D6D" w:rsidP="00221D6D">
            <w:pPr>
              <w:jc w:val="center"/>
              <w:rPr>
                <w:sz w:val="20"/>
                <w:szCs w:val="20"/>
                <w:lang w:val="en-US"/>
              </w:rPr>
            </w:pPr>
            <w:r w:rsidRPr="00221D6D">
              <w:rPr>
                <w:sz w:val="20"/>
                <w:szCs w:val="20"/>
              </w:rPr>
              <w:t>–</w:t>
            </w:r>
          </w:p>
        </w:tc>
        <w:tc>
          <w:tcPr>
            <w:tcW w:w="609" w:type="dxa"/>
            <w:vAlign w:val="bottom"/>
          </w:tcPr>
          <w:p w14:paraId="3ADE32BD" w14:textId="77777777" w:rsidR="00221D6D" w:rsidRPr="00221D6D" w:rsidRDefault="00221D6D" w:rsidP="00221D6D">
            <w:pPr>
              <w:jc w:val="center"/>
              <w:rPr>
                <w:rFonts w:eastAsia="Arial Unicode MS"/>
                <w:sz w:val="20"/>
                <w:szCs w:val="20"/>
              </w:rPr>
            </w:pPr>
            <w:r w:rsidRPr="00221D6D">
              <w:rPr>
                <w:sz w:val="20"/>
                <w:szCs w:val="20"/>
              </w:rPr>
              <w:t>0</w:t>
            </w:r>
            <w:r w:rsidRPr="00221D6D">
              <w:rPr>
                <w:sz w:val="20"/>
                <w:szCs w:val="20"/>
                <w:lang w:val="en-US"/>
              </w:rPr>
              <w:t>,</w:t>
            </w:r>
            <w:r w:rsidRPr="00221D6D">
              <w:rPr>
                <w:sz w:val="20"/>
                <w:szCs w:val="20"/>
              </w:rPr>
              <w:t>1</w:t>
            </w:r>
          </w:p>
        </w:tc>
        <w:tc>
          <w:tcPr>
            <w:tcW w:w="610" w:type="dxa"/>
            <w:vAlign w:val="bottom"/>
          </w:tcPr>
          <w:p w14:paraId="794D426A" w14:textId="77777777" w:rsidR="00221D6D" w:rsidRPr="00221D6D" w:rsidRDefault="00221D6D" w:rsidP="00221D6D">
            <w:pPr>
              <w:jc w:val="center"/>
              <w:rPr>
                <w:sz w:val="20"/>
                <w:szCs w:val="20"/>
              </w:rPr>
            </w:pPr>
            <w:r w:rsidRPr="00221D6D">
              <w:rPr>
                <w:sz w:val="20"/>
                <w:szCs w:val="20"/>
              </w:rPr>
              <w:t>–</w:t>
            </w:r>
          </w:p>
        </w:tc>
        <w:tc>
          <w:tcPr>
            <w:tcW w:w="609" w:type="dxa"/>
            <w:vAlign w:val="bottom"/>
          </w:tcPr>
          <w:p w14:paraId="23F9E0D5" w14:textId="77777777" w:rsidR="00221D6D" w:rsidRPr="00221D6D" w:rsidRDefault="00221D6D" w:rsidP="00221D6D">
            <w:pPr>
              <w:jc w:val="center"/>
              <w:rPr>
                <w:sz w:val="20"/>
                <w:szCs w:val="20"/>
              </w:rPr>
            </w:pPr>
            <w:r w:rsidRPr="00221D6D">
              <w:rPr>
                <w:sz w:val="20"/>
                <w:szCs w:val="20"/>
              </w:rPr>
              <w:t>–</w:t>
            </w:r>
          </w:p>
        </w:tc>
        <w:tc>
          <w:tcPr>
            <w:tcW w:w="610" w:type="dxa"/>
            <w:vAlign w:val="bottom"/>
          </w:tcPr>
          <w:p w14:paraId="44331CD3" w14:textId="77777777" w:rsidR="00221D6D" w:rsidRPr="00221D6D" w:rsidRDefault="00221D6D" w:rsidP="00221D6D">
            <w:pPr>
              <w:jc w:val="center"/>
              <w:rPr>
                <w:sz w:val="20"/>
                <w:szCs w:val="20"/>
              </w:rPr>
            </w:pPr>
            <w:r w:rsidRPr="00221D6D">
              <w:rPr>
                <w:sz w:val="20"/>
                <w:szCs w:val="20"/>
              </w:rPr>
              <w:t>–</w:t>
            </w:r>
          </w:p>
        </w:tc>
        <w:tc>
          <w:tcPr>
            <w:tcW w:w="609" w:type="dxa"/>
            <w:vAlign w:val="bottom"/>
          </w:tcPr>
          <w:p w14:paraId="77E5B57F" w14:textId="77777777" w:rsidR="00221D6D" w:rsidRPr="00221D6D" w:rsidRDefault="00221D6D" w:rsidP="00221D6D">
            <w:pPr>
              <w:jc w:val="center"/>
              <w:rPr>
                <w:sz w:val="20"/>
                <w:szCs w:val="20"/>
              </w:rPr>
            </w:pPr>
            <w:r w:rsidRPr="00221D6D">
              <w:rPr>
                <w:sz w:val="20"/>
                <w:szCs w:val="20"/>
              </w:rPr>
              <w:t>–</w:t>
            </w:r>
          </w:p>
        </w:tc>
        <w:tc>
          <w:tcPr>
            <w:tcW w:w="610" w:type="dxa"/>
            <w:vAlign w:val="bottom"/>
          </w:tcPr>
          <w:p w14:paraId="4270CA17" w14:textId="77777777" w:rsidR="00221D6D" w:rsidRPr="00221D6D" w:rsidRDefault="00221D6D" w:rsidP="00221D6D">
            <w:pPr>
              <w:jc w:val="center"/>
              <w:rPr>
                <w:sz w:val="20"/>
                <w:szCs w:val="20"/>
              </w:rPr>
            </w:pPr>
            <w:r w:rsidRPr="00221D6D">
              <w:rPr>
                <w:sz w:val="20"/>
                <w:szCs w:val="20"/>
              </w:rPr>
              <w:t>–</w:t>
            </w:r>
          </w:p>
        </w:tc>
      </w:tr>
      <w:tr w:rsidR="00221D6D" w:rsidRPr="00221D6D" w14:paraId="77DBE538" w14:textId="77777777" w:rsidTr="005C2605">
        <w:trPr>
          <w:trHeight w:val="20"/>
        </w:trPr>
        <w:tc>
          <w:tcPr>
            <w:tcW w:w="3119" w:type="dxa"/>
          </w:tcPr>
          <w:p w14:paraId="7EB3DFF5" w14:textId="77777777" w:rsidR="00221D6D" w:rsidRPr="00221D6D" w:rsidRDefault="00221D6D" w:rsidP="00A911FD">
            <w:pPr>
              <w:ind w:left="426" w:hanging="426"/>
              <w:rPr>
                <w:sz w:val="20"/>
                <w:szCs w:val="20"/>
              </w:rPr>
            </w:pPr>
            <w:r w:rsidRPr="00221D6D">
              <w:rPr>
                <w:sz w:val="20"/>
                <w:szCs w:val="20"/>
              </w:rPr>
              <w:t>0313 Прикладные научные исследования в области национальной безопасности и правоохранительной деятельности</w:t>
            </w:r>
          </w:p>
        </w:tc>
        <w:tc>
          <w:tcPr>
            <w:tcW w:w="609" w:type="dxa"/>
            <w:vAlign w:val="bottom"/>
          </w:tcPr>
          <w:p w14:paraId="55A3AE37" w14:textId="77777777" w:rsidR="00221D6D" w:rsidRPr="00221D6D" w:rsidRDefault="00221D6D" w:rsidP="00221D6D">
            <w:pPr>
              <w:jc w:val="center"/>
              <w:rPr>
                <w:sz w:val="20"/>
                <w:szCs w:val="20"/>
              </w:rPr>
            </w:pPr>
            <w:r w:rsidRPr="00221D6D">
              <w:rPr>
                <w:sz w:val="20"/>
                <w:szCs w:val="20"/>
              </w:rPr>
              <w:t>82,5</w:t>
            </w:r>
          </w:p>
        </w:tc>
        <w:tc>
          <w:tcPr>
            <w:tcW w:w="610" w:type="dxa"/>
            <w:vAlign w:val="bottom"/>
          </w:tcPr>
          <w:p w14:paraId="035F69B2" w14:textId="77777777" w:rsidR="00221D6D" w:rsidRPr="00221D6D" w:rsidRDefault="00221D6D" w:rsidP="00221D6D">
            <w:pPr>
              <w:jc w:val="center"/>
              <w:rPr>
                <w:sz w:val="20"/>
                <w:szCs w:val="20"/>
              </w:rPr>
            </w:pPr>
            <w:r w:rsidRPr="00221D6D">
              <w:rPr>
                <w:sz w:val="20"/>
                <w:szCs w:val="20"/>
                <w:lang w:val="en-US"/>
              </w:rPr>
              <w:t>82,</w:t>
            </w:r>
            <w:r w:rsidRPr="00221D6D">
              <w:rPr>
                <w:sz w:val="20"/>
                <w:szCs w:val="20"/>
              </w:rPr>
              <w:t>7</w:t>
            </w:r>
          </w:p>
        </w:tc>
        <w:tc>
          <w:tcPr>
            <w:tcW w:w="609" w:type="dxa"/>
            <w:vAlign w:val="bottom"/>
          </w:tcPr>
          <w:p w14:paraId="7E6692D9" w14:textId="77777777" w:rsidR="00221D6D" w:rsidRPr="00221D6D" w:rsidRDefault="00221D6D" w:rsidP="00221D6D">
            <w:pPr>
              <w:jc w:val="center"/>
              <w:rPr>
                <w:rFonts w:eastAsia="Arial Unicode MS"/>
                <w:sz w:val="20"/>
                <w:szCs w:val="20"/>
              </w:rPr>
            </w:pPr>
            <w:r w:rsidRPr="00221D6D">
              <w:rPr>
                <w:sz w:val="20"/>
                <w:szCs w:val="20"/>
              </w:rPr>
              <w:t>91,2</w:t>
            </w:r>
          </w:p>
        </w:tc>
        <w:tc>
          <w:tcPr>
            <w:tcW w:w="610" w:type="dxa"/>
            <w:vAlign w:val="bottom"/>
          </w:tcPr>
          <w:p w14:paraId="401C9015" w14:textId="77777777" w:rsidR="00221D6D" w:rsidRPr="00221D6D" w:rsidRDefault="00221D6D" w:rsidP="00221D6D">
            <w:pPr>
              <w:jc w:val="center"/>
              <w:rPr>
                <w:sz w:val="20"/>
                <w:szCs w:val="20"/>
              </w:rPr>
            </w:pPr>
            <w:r w:rsidRPr="00221D6D">
              <w:rPr>
                <w:sz w:val="20"/>
                <w:szCs w:val="20"/>
              </w:rPr>
              <w:t>90</w:t>
            </w:r>
            <w:r w:rsidRPr="00221D6D">
              <w:rPr>
                <w:sz w:val="20"/>
                <w:szCs w:val="20"/>
                <w:lang w:val="en-US"/>
              </w:rPr>
              <w:t>,</w:t>
            </w:r>
            <w:r w:rsidRPr="00221D6D">
              <w:rPr>
                <w:sz w:val="20"/>
                <w:szCs w:val="20"/>
              </w:rPr>
              <w:t>5</w:t>
            </w:r>
          </w:p>
        </w:tc>
        <w:tc>
          <w:tcPr>
            <w:tcW w:w="609" w:type="dxa"/>
            <w:vAlign w:val="bottom"/>
          </w:tcPr>
          <w:p w14:paraId="22D05C35" w14:textId="77777777" w:rsidR="00221D6D" w:rsidRPr="00221D6D" w:rsidRDefault="00221D6D" w:rsidP="00221D6D">
            <w:pPr>
              <w:jc w:val="center"/>
              <w:rPr>
                <w:rFonts w:eastAsia="Arial Unicode MS"/>
                <w:sz w:val="20"/>
                <w:szCs w:val="20"/>
              </w:rPr>
            </w:pPr>
            <w:r w:rsidRPr="00221D6D">
              <w:rPr>
                <w:sz w:val="20"/>
                <w:szCs w:val="20"/>
              </w:rPr>
              <w:t>92,4</w:t>
            </w:r>
          </w:p>
        </w:tc>
        <w:tc>
          <w:tcPr>
            <w:tcW w:w="610" w:type="dxa"/>
            <w:vAlign w:val="bottom"/>
          </w:tcPr>
          <w:p w14:paraId="2E6E2A48" w14:textId="77777777" w:rsidR="00221D6D" w:rsidRPr="00221D6D" w:rsidRDefault="00221D6D" w:rsidP="00221D6D">
            <w:pPr>
              <w:jc w:val="center"/>
              <w:rPr>
                <w:sz w:val="20"/>
                <w:szCs w:val="20"/>
                <w:lang w:val="en-US"/>
              </w:rPr>
            </w:pPr>
            <w:r w:rsidRPr="00221D6D">
              <w:rPr>
                <w:sz w:val="20"/>
                <w:szCs w:val="20"/>
                <w:lang w:val="en-US"/>
              </w:rPr>
              <w:t>91,0</w:t>
            </w:r>
          </w:p>
        </w:tc>
        <w:tc>
          <w:tcPr>
            <w:tcW w:w="609" w:type="dxa"/>
            <w:vAlign w:val="bottom"/>
          </w:tcPr>
          <w:p w14:paraId="5358DB81" w14:textId="77777777" w:rsidR="00221D6D" w:rsidRPr="00221D6D" w:rsidRDefault="00221D6D" w:rsidP="00221D6D">
            <w:pPr>
              <w:jc w:val="center"/>
              <w:rPr>
                <w:sz w:val="20"/>
                <w:szCs w:val="20"/>
                <w:lang w:val="en-US"/>
              </w:rPr>
            </w:pPr>
            <w:r w:rsidRPr="00221D6D">
              <w:rPr>
                <w:sz w:val="20"/>
                <w:szCs w:val="20"/>
                <w:lang w:val="en-US"/>
              </w:rPr>
              <w:t>9</w:t>
            </w:r>
            <w:r w:rsidRPr="00221D6D">
              <w:rPr>
                <w:sz w:val="20"/>
                <w:szCs w:val="20"/>
              </w:rPr>
              <w:t>0</w:t>
            </w:r>
            <w:r w:rsidRPr="00221D6D">
              <w:rPr>
                <w:sz w:val="20"/>
                <w:szCs w:val="20"/>
                <w:lang w:val="en-US"/>
              </w:rPr>
              <w:t>,0</w:t>
            </w:r>
          </w:p>
        </w:tc>
        <w:tc>
          <w:tcPr>
            <w:tcW w:w="610" w:type="dxa"/>
            <w:vAlign w:val="bottom"/>
          </w:tcPr>
          <w:p w14:paraId="12E9CB6B" w14:textId="77777777" w:rsidR="00221D6D" w:rsidRPr="00221D6D" w:rsidRDefault="00221D6D" w:rsidP="00221D6D">
            <w:pPr>
              <w:jc w:val="center"/>
              <w:rPr>
                <w:sz w:val="20"/>
                <w:szCs w:val="20"/>
                <w:lang w:val="en-US"/>
              </w:rPr>
            </w:pPr>
            <w:r w:rsidRPr="00221D6D">
              <w:rPr>
                <w:sz w:val="20"/>
                <w:szCs w:val="20"/>
              </w:rPr>
              <w:t>90,0</w:t>
            </w:r>
          </w:p>
        </w:tc>
        <w:tc>
          <w:tcPr>
            <w:tcW w:w="609" w:type="dxa"/>
            <w:vAlign w:val="bottom"/>
          </w:tcPr>
          <w:p w14:paraId="2E2D7C66" w14:textId="77777777" w:rsidR="00221D6D" w:rsidRPr="00221D6D" w:rsidRDefault="00221D6D" w:rsidP="00221D6D">
            <w:pPr>
              <w:jc w:val="center"/>
              <w:rPr>
                <w:sz w:val="20"/>
                <w:szCs w:val="20"/>
              </w:rPr>
            </w:pPr>
            <w:r w:rsidRPr="00221D6D">
              <w:rPr>
                <w:sz w:val="20"/>
                <w:szCs w:val="20"/>
                <w:lang w:val="en-US"/>
              </w:rPr>
              <w:t>89,</w:t>
            </w:r>
            <w:r w:rsidRPr="00221D6D">
              <w:rPr>
                <w:sz w:val="20"/>
                <w:szCs w:val="20"/>
              </w:rPr>
              <w:t>4</w:t>
            </w:r>
          </w:p>
        </w:tc>
        <w:tc>
          <w:tcPr>
            <w:tcW w:w="610" w:type="dxa"/>
            <w:vAlign w:val="bottom"/>
          </w:tcPr>
          <w:p w14:paraId="220A1532" w14:textId="77777777" w:rsidR="00221D6D" w:rsidRPr="00221D6D" w:rsidRDefault="00221D6D" w:rsidP="00221D6D">
            <w:pPr>
              <w:jc w:val="center"/>
              <w:rPr>
                <w:sz w:val="20"/>
                <w:szCs w:val="20"/>
              </w:rPr>
            </w:pPr>
            <w:r w:rsidRPr="00221D6D">
              <w:rPr>
                <w:sz w:val="20"/>
                <w:szCs w:val="20"/>
              </w:rPr>
              <w:t>90,6</w:t>
            </w:r>
          </w:p>
        </w:tc>
      </w:tr>
      <w:tr w:rsidR="00221D6D" w:rsidRPr="00221D6D" w14:paraId="5A2E2601" w14:textId="77777777" w:rsidTr="005C2605">
        <w:trPr>
          <w:trHeight w:val="20"/>
        </w:trPr>
        <w:tc>
          <w:tcPr>
            <w:tcW w:w="3119" w:type="dxa"/>
          </w:tcPr>
          <w:p w14:paraId="49F58F2D" w14:textId="77777777" w:rsidR="00221D6D" w:rsidRPr="00221D6D" w:rsidRDefault="00221D6D" w:rsidP="00A911FD">
            <w:pPr>
              <w:ind w:left="426" w:hanging="426"/>
              <w:rPr>
                <w:sz w:val="20"/>
                <w:szCs w:val="20"/>
              </w:rPr>
            </w:pPr>
            <w:r w:rsidRPr="00221D6D">
              <w:rPr>
                <w:sz w:val="20"/>
                <w:szCs w:val="20"/>
              </w:rPr>
              <w:t>0314 Другие вопросы в области национальной безопасности и правоохранительной деятельности</w:t>
            </w:r>
          </w:p>
        </w:tc>
        <w:tc>
          <w:tcPr>
            <w:tcW w:w="609" w:type="dxa"/>
            <w:vAlign w:val="bottom"/>
          </w:tcPr>
          <w:p w14:paraId="6C8298AC" w14:textId="77777777" w:rsidR="00221D6D" w:rsidRPr="00221D6D" w:rsidRDefault="00221D6D" w:rsidP="00221D6D">
            <w:pPr>
              <w:jc w:val="center"/>
              <w:rPr>
                <w:sz w:val="20"/>
                <w:szCs w:val="20"/>
              </w:rPr>
            </w:pPr>
            <w:r w:rsidRPr="00221D6D">
              <w:rPr>
                <w:sz w:val="20"/>
                <w:szCs w:val="20"/>
                <w:lang w:val="en-US"/>
              </w:rPr>
              <w:t>1</w:t>
            </w:r>
            <w:r w:rsidRPr="00221D6D">
              <w:rPr>
                <w:sz w:val="20"/>
                <w:szCs w:val="20"/>
              </w:rPr>
              <w:t>1,8</w:t>
            </w:r>
          </w:p>
        </w:tc>
        <w:tc>
          <w:tcPr>
            <w:tcW w:w="610" w:type="dxa"/>
            <w:vAlign w:val="bottom"/>
          </w:tcPr>
          <w:p w14:paraId="6927EAD4" w14:textId="77777777" w:rsidR="00221D6D" w:rsidRPr="00221D6D" w:rsidRDefault="00221D6D" w:rsidP="00221D6D">
            <w:pPr>
              <w:jc w:val="center"/>
              <w:rPr>
                <w:sz w:val="20"/>
                <w:szCs w:val="20"/>
              </w:rPr>
            </w:pPr>
            <w:r w:rsidRPr="00221D6D">
              <w:rPr>
                <w:sz w:val="20"/>
                <w:szCs w:val="20"/>
              </w:rPr>
              <w:t>44</w:t>
            </w:r>
            <w:r w:rsidRPr="00221D6D">
              <w:rPr>
                <w:sz w:val="20"/>
                <w:szCs w:val="20"/>
                <w:lang w:val="en-US"/>
              </w:rPr>
              <w:t>,</w:t>
            </w:r>
            <w:r w:rsidRPr="00221D6D">
              <w:rPr>
                <w:sz w:val="20"/>
                <w:szCs w:val="20"/>
              </w:rPr>
              <w:t>8</w:t>
            </w:r>
          </w:p>
        </w:tc>
        <w:tc>
          <w:tcPr>
            <w:tcW w:w="609" w:type="dxa"/>
            <w:vAlign w:val="bottom"/>
          </w:tcPr>
          <w:p w14:paraId="3B68BA08" w14:textId="77777777" w:rsidR="00221D6D" w:rsidRPr="00221D6D" w:rsidRDefault="00221D6D" w:rsidP="00221D6D">
            <w:pPr>
              <w:jc w:val="center"/>
              <w:rPr>
                <w:rFonts w:eastAsia="Arial Unicode MS"/>
                <w:sz w:val="20"/>
                <w:szCs w:val="20"/>
              </w:rPr>
            </w:pPr>
            <w:r w:rsidRPr="00221D6D">
              <w:rPr>
                <w:sz w:val="20"/>
                <w:szCs w:val="20"/>
              </w:rPr>
              <w:t>60,7</w:t>
            </w:r>
          </w:p>
        </w:tc>
        <w:tc>
          <w:tcPr>
            <w:tcW w:w="610" w:type="dxa"/>
            <w:vAlign w:val="bottom"/>
          </w:tcPr>
          <w:p w14:paraId="3BB597C7" w14:textId="77777777" w:rsidR="00221D6D" w:rsidRPr="00221D6D" w:rsidRDefault="00221D6D" w:rsidP="00221D6D">
            <w:pPr>
              <w:jc w:val="center"/>
              <w:rPr>
                <w:sz w:val="20"/>
                <w:szCs w:val="20"/>
              </w:rPr>
            </w:pPr>
            <w:r w:rsidRPr="00221D6D">
              <w:rPr>
                <w:sz w:val="20"/>
                <w:szCs w:val="20"/>
              </w:rPr>
              <w:t>59</w:t>
            </w:r>
            <w:r w:rsidRPr="00221D6D">
              <w:rPr>
                <w:sz w:val="20"/>
                <w:szCs w:val="20"/>
                <w:lang w:val="en-US"/>
              </w:rPr>
              <w:t>,</w:t>
            </w:r>
            <w:r w:rsidRPr="00221D6D">
              <w:rPr>
                <w:sz w:val="20"/>
                <w:szCs w:val="20"/>
              </w:rPr>
              <w:t>3</w:t>
            </w:r>
          </w:p>
        </w:tc>
        <w:tc>
          <w:tcPr>
            <w:tcW w:w="609" w:type="dxa"/>
            <w:vAlign w:val="bottom"/>
          </w:tcPr>
          <w:p w14:paraId="408C8316" w14:textId="77777777" w:rsidR="00221D6D" w:rsidRPr="00221D6D" w:rsidRDefault="00221D6D" w:rsidP="00221D6D">
            <w:pPr>
              <w:jc w:val="center"/>
              <w:rPr>
                <w:rFonts w:eastAsia="Arial Unicode MS"/>
                <w:sz w:val="20"/>
                <w:szCs w:val="20"/>
              </w:rPr>
            </w:pPr>
            <w:r w:rsidRPr="00221D6D">
              <w:rPr>
                <w:sz w:val="20"/>
                <w:szCs w:val="20"/>
              </w:rPr>
              <w:t>58,4</w:t>
            </w:r>
          </w:p>
        </w:tc>
        <w:tc>
          <w:tcPr>
            <w:tcW w:w="610" w:type="dxa"/>
            <w:vAlign w:val="bottom"/>
          </w:tcPr>
          <w:p w14:paraId="698DBC01" w14:textId="77777777" w:rsidR="00221D6D" w:rsidRPr="00221D6D" w:rsidRDefault="00221D6D" w:rsidP="00221D6D">
            <w:pPr>
              <w:jc w:val="center"/>
              <w:rPr>
                <w:sz w:val="20"/>
                <w:szCs w:val="20"/>
                <w:lang w:val="en-US"/>
              </w:rPr>
            </w:pPr>
            <w:r w:rsidRPr="00221D6D">
              <w:rPr>
                <w:sz w:val="20"/>
                <w:szCs w:val="20"/>
                <w:lang w:val="en-US"/>
              </w:rPr>
              <w:t>60,9</w:t>
            </w:r>
          </w:p>
        </w:tc>
        <w:tc>
          <w:tcPr>
            <w:tcW w:w="609" w:type="dxa"/>
            <w:vAlign w:val="bottom"/>
          </w:tcPr>
          <w:p w14:paraId="7D726A78" w14:textId="77777777" w:rsidR="00221D6D" w:rsidRPr="00221D6D" w:rsidRDefault="00221D6D" w:rsidP="00221D6D">
            <w:pPr>
              <w:jc w:val="center"/>
              <w:rPr>
                <w:sz w:val="20"/>
                <w:szCs w:val="20"/>
                <w:lang w:val="en-US"/>
              </w:rPr>
            </w:pPr>
            <w:r w:rsidRPr="00221D6D">
              <w:rPr>
                <w:sz w:val="20"/>
                <w:szCs w:val="20"/>
                <w:lang w:val="en-US"/>
              </w:rPr>
              <w:t>98,3</w:t>
            </w:r>
          </w:p>
        </w:tc>
        <w:tc>
          <w:tcPr>
            <w:tcW w:w="610" w:type="dxa"/>
            <w:vAlign w:val="bottom"/>
          </w:tcPr>
          <w:p w14:paraId="296B8451" w14:textId="77777777" w:rsidR="00221D6D" w:rsidRPr="00221D6D" w:rsidRDefault="00221D6D" w:rsidP="00221D6D">
            <w:pPr>
              <w:jc w:val="center"/>
              <w:rPr>
                <w:sz w:val="20"/>
                <w:szCs w:val="20"/>
              </w:rPr>
            </w:pPr>
            <w:r w:rsidRPr="00221D6D">
              <w:rPr>
                <w:sz w:val="20"/>
                <w:szCs w:val="20"/>
                <w:lang w:val="en-US"/>
              </w:rPr>
              <w:t>98,</w:t>
            </w:r>
            <w:r w:rsidRPr="00221D6D">
              <w:rPr>
                <w:sz w:val="20"/>
                <w:szCs w:val="20"/>
              </w:rPr>
              <w:t>9</w:t>
            </w:r>
          </w:p>
        </w:tc>
        <w:tc>
          <w:tcPr>
            <w:tcW w:w="609" w:type="dxa"/>
            <w:vAlign w:val="bottom"/>
          </w:tcPr>
          <w:p w14:paraId="1CBFE1AF" w14:textId="77777777" w:rsidR="00221D6D" w:rsidRPr="00221D6D" w:rsidRDefault="00221D6D" w:rsidP="00221D6D">
            <w:pPr>
              <w:jc w:val="center"/>
              <w:rPr>
                <w:sz w:val="20"/>
                <w:szCs w:val="20"/>
              </w:rPr>
            </w:pPr>
            <w:r w:rsidRPr="00221D6D">
              <w:rPr>
                <w:sz w:val="20"/>
                <w:szCs w:val="20"/>
                <w:lang w:val="en-US"/>
              </w:rPr>
              <w:t>98,</w:t>
            </w:r>
            <w:r w:rsidRPr="00221D6D">
              <w:rPr>
                <w:sz w:val="20"/>
                <w:szCs w:val="20"/>
              </w:rPr>
              <w:t>7</w:t>
            </w:r>
          </w:p>
        </w:tc>
        <w:tc>
          <w:tcPr>
            <w:tcW w:w="610" w:type="dxa"/>
            <w:vAlign w:val="bottom"/>
          </w:tcPr>
          <w:p w14:paraId="0841AA47" w14:textId="77777777" w:rsidR="00221D6D" w:rsidRPr="00221D6D" w:rsidRDefault="00221D6D" w:rsidP="00221D6D">
            <w:pPr>
              <w:jc w:val="center"/>
              <w:rPr>
                <w:sz w:val="20"/>
                <w:szCs w:val="20"/>
              </w:rPr>
            </w:pPr>
            <w:r w:rsidRPr="00221D6D">
              <w:rPr>
                <w:sz w:val="20"/>
                <w:szCs w:val="20"/>
              </w:rPr>
              <w:t>98,5</w:t>
            </w:r>
          </w:p>
        </w:tc>
      </w:tr>
      <w:tr w:rsidR="00221D6D" w:rsidRPr="00221D6D" w14:paraId="5D8D5A3B" w14:textId="77777777" w:rsidTr="005C2605">
        <w:trPr>
          <w:trHeight w:val="20"/>
        </w:trPr>
        <w:tc>
          <w:tcPr>
            <w:tcW w:w="3119" w:type="dxa"/>
          </w:tcPr>
          <w:p w14:paraId="3774E7C1" w14:textId="77777777" w:rsidR="00221D6D" w:rsidRPr="00221D6D" w:rsidRDefault="00221D6D" w:rsidP="00A911FD">
            <w:pPr>
              <w:rPr>
                <w:sz w:val="20"/>
                <w:szCs w:val="20"/>
              </w:rPr>
            </w:pPr>
            <w:r w:rsidRPr="00221D6D">
              <w:rPr>
                <w:sz w:val="20"/>
                <w:szCs w:val="20"/>
              </w:rPr>
              <w:t>0400 НАЦИОНАЛЬНАЯ ЭКОНОМИКА</w:t>
            </w:r>
          </w:p>
        </w:tc>
        <w:tc>
          <w:tcPr>
            <w:tcW w:w="609" w:type="dxa"/>
            <w:vAlign w:val="bottom"/>
          </w:tcPr>
          <w:p w14:paraId="1AEBA677" w14:textId="77777777" w:rsidR="00221D6D" w:rsidRPr="00221D6D" w:rsidRDefault="00221D6D" w:rsidP="00221D6D">
            <w:pPr>
              <w:jc w:val="center"/>
              <w:rPr>
                <w:sz w:val="20"/>
                <w:szCs w:val="20"/>
              </w:rPr>
            </w:pPr>
            <w:r w:rsidRPr="00221D6D">
              <w:rPr>
                <w:sz w:val="20"/>
                <w:szCs w:val="20"/>
                <w:lang w:val="en-US"/>
              </w:rPr>
              <w:t>4</w:t>
            </w:r>
            <w:r w:rsidRPr="00221D6D">
              <w:rPr>
                <w:sz w:val="20"/>
                <w:szCs w:val="20"/>
              </w:rPr>
              <w:t>,7</w:t>
            </w:r>
          </w:p>
        </w:tc>
        <w:tc>
          <w:tcPr>
            <w:tcW w:w="610" w:type="dxa"/>
            <w:vAlign w:val="bottom"/>
          </w:tcPr>
          <w:p w14:paraId="5D5DE46B" w14:textId="77777777" w:rsidR="00221D6D" w:rsidRPr="00221D6D" w:rsidRDefault="00221D6D" w:rsidP="00221D6D">
            <w:pPr>
              <w:jc w:val="center"/>
              <w:rPr>
                <w:sz w:val="20"/>
                <w:szCs w:val="20"/>
              </w:rPr>
            </w:pPr>
            <w:r w:rsidRPr="00221D6D">
              <w:rPr>
                <w:sz w:val="20"/>
                <w:szCs w:val="20"/>
              </w:rPr>
              <w:t>3</w:t>
            </w:r>
            <w:r w:rsidRPr="00221D6D">
              <w:rPr>
                <w:sz w:val="20"/>
                <w:szCs w:val="20"/>
                <w:lang w:val="en-US"/>
              </w:rPr>
              <w:t>,</w:t>
            </w:r>
            <w:r w:rsidRPr="00221D6D">
              <w:rPr>
                <w:sz w:val="20"/>
                <w:szCs w:val="20"/>
              </w:rPr>
              <w:t>6</w:t>
            </w:r>
          </w:p>
        </w:tc>
        <w:tc>
          <w:tcPr>
            <w:tcW w:w="609" w:type="dxa"/>
            <w:vAlign w:val="bottom"/>
          </w:tcPr>
          <w:p w14:paraId="7610B7C2" w14:textId="77777777" w:rsidR="00221D6D" w:rsidRPr="00221D6D" w:rsidRDefault="00221D6D" w:rsidP="00221D6D">
            <w:pPr>
              <w:jc w:val="center"/>
              <w:rPr>
                <w:rFonts w:eastAsia="Arial Unicode MS"/>
                <w:sz w:val="20"/>
                <w:szCs w:val="20"/>
              </w:rPr>
            </w:pPr>
            <w:r w:rsidRPr="00221D6D">
              <w:rPr>
                <w:sz w:val="20"/>
                <w:szCs w:val="20"/>
              </w:rPr>
              <w:t>5,5</w:t>
            </w:r>
          </w:p>
        </w:tc>
        <w:tc>
          <w:tcPr>
            <w:tcW w:w="610" w:type="dxa"/>
            <w:vAlign w:val="bottom"/>
          </w:tcPr>
          <w:p w14:paraId="7A6673FA" w14:textId="77777777" w:rsidR="00221D6D" w:rsidRPr="00221D6D" w:rsidRDefault="00221D6D" w:rsidP="00221D6D">
            <w:pPr>
              <w:jc w:val="center"/>
              <w:rPr>
                <w:sz w:val="20"/>
                <w:szCs w:val="20"/>
              </w:rPr>
            </w:pPr>
            <w:r w:rsidRPr="00221D6D">
              <w:rPr>
                <w:sz w:val="20"/>
                <w:szCs w:val="20"/>
              </w:rPr>
              <w:t>7</w:t>
            </w:r>
            <w:r w:rsidRPr="00221D6D">
              <w:rPr>
                <w:sz w:val="20"/>
                <w:szCs w:val="20"/>
                <w:lang w:val="en-US"/>
              </w:rPr>
              <w:t>,</w:t>
            </w:r>
            <w:r w:rsidRPr="00221D6D">
              <w:rPr>
                <w:sz w:val="20"/>
                <w:szCs w:val="20"/>
              </w:rPr>
              <w:t>0</w:t>
            </w:r>
          </w:p>
        </w:tc>
        <w:tc>
          <w:tcPr>
            <w:tcW w:w="609" w:type="dxa"/>
            <w:vAlign w:val="bottom"/>
          </w:tcPr>
          <w:p w14:paraId="477C2A3E" w14:textId="77777777" w:rsidR="00221D6D" w:rsidRPr="00221D6D" w:rsidRDefault="00221D6D" w:rsidP="00221D6D">
            <w:pPr>
              <w:jc w:val="center"/>
              <w:rPr>
                <w:rFonts w:eastAsia="Arial Unicode MS"/>
                <w:sz w:val="20"/>
                <w:szCs w:val="20"/>
              </w:rPr>
            </w:pPr>
            <w:r w:rsidRPr="00221D6D">
              <w:rPr>
                <w:sz w:val="20"/>
                <w:szCs w:val="20"/>
              </w:rPr>
              <w:t>9,5</w:t>
            </w:r>
          </w:p>
        </w:tc>
        <w:tc>
          <w:tcPr>
            <w:tcW w:w="610" w:type="dxa"/>
            <w:vAlign w:val="bottom"/>
          </w:tcPr>
          <w:p w14:paraId="016D6013" w14:textId="77777777" w:rsidR="00221D6D" w:rsidRPr="00221D6D" w:rsidRDefault="00221D6D" w:rsidP="00221D6D">
            <w:pPr>
              <w:jc w:val="center"/>
              <w:rPr>
                <w:sz w:val="20"/>
                <w:szCs w:val="20"/>
                <w:lang w:val="en-US"/>
              </w:rPr>
            </w:pPr>
            <w:r w:rsidRPr="00221D6D">
              <w:rPr>
                <w:sz w:val="20"/>
                <w:szCs w:val="20"/>
                <w:lang w:val="en-US"/>
              </w:rPr>
              <w:t>6,7</w:t>
            </w:r>
          </w:p>
        </w:tc>
        <w:tc>
          <w:tcPr>
            <w:tcW w:w="609" w:type="dxa"/>
            <w:vAlign w:val="bottom"/>
          </w:tcPr>
          <w:p w14:paraId="5C0B5A52" w14:textId="77777777" w:rsidR="00221D6D" w:rsidRPr="00221D6D" w:rsidRDefault="00221D6D" w:rsidP="00221D6D">
            <w:pPr>
              <w:jc w:val="center"/>
              <w:rPr>
                <w:sz w:val="20"/>
                <w:szCs w:val="20"/>
                <w:lang w:val="en-US"/>
              </w:rPr>
            </w:pPr>
            <w:r w:rsidRPr="00221D6D">
              <w:rPr>
                <w:sz w:val="20"/>
                <w:szCs w:val="20"/>
                <w:lang w:val="en-US"/>
              </w:rPr>
              <w:t>4,1</w:t>
            </w:r>
          </w:p>
        </w:tc>
        <w:tc>
          <w:tcPr>
            <w:tcW w:w="610" w:type="dxa"/>
            <w:vAlign w:val="bottom"/>
          </w:tcPr>
          <w:p w14:paraId="3A94D614" w14:textId="77777777" w:rsidR="00221D6D" w:rsidRPr="00221D6D" w:rsidRDefault="00221D6D" w:rsidP="00221D6D">
            <w:pPr>
              <w:jc w:val="center"/>
              <w:rPr>
                <w:sz w:val="20"/>
                <w:szCs w:val="20"/>
              </w:rPr>
            </w:pPr>
            <w:r w:rsidRPr="00221D6D">
              <w:rPr>
                <w:sz w:val="20"/>
                <w:szCs w:val="20"/>
              </w:rPr>
              <w:t>4</w:t>
            </w:r>
            <w:r w:rsidRPr="00221D6D">
              <w:rPr>
                <w:sz w:val="20"/>
                <w:szCs w:val="20"/>
                <w:lang w:val="en-US"/>
              </w:rPr>
              <w:t>,</w:t>
            </w:r>
            <w:r w:rsidRPr="00221D6D">
              <w:rPr>
                <w:sz w:val="20"/>
                <w:szCs w:val="20"/>
              </w:rPr>
              <w:t>4</w:t>
            </w:r>
          </w:p>
        </w:tc>
        <w:tc>
          <w:tcPr>
            <w:tcW w:w="609" w:type="dxa"/>
            <w:vAlign w:val="bottom"/>
          </w:tcPr>
          <w:p w14:paraId="7AE59DD8" w14:textId="77777777" w:rsidR="00221D6D" w:rsidRPr="00221D6D" w:rsidRDefault="00221D6D" w:rsidP="00221D6D">
            <w:pPr>
              <w:jc w:val="center"/>
              <w:rPr>
                <w:sz w:val="20"/>
                <w:szCs w:val="20"/>
              </w:rPr>
            </w:pPr>
            <w:r w:rsidRPr="00221D6D">
              <w:rPr>
                <w:sz w:val="20"/>
                <w:szCs w:val="20"/>
              </w:rPr>
              <w:t>3</w:t>
            </w:r>
            <w:r w:rsidRPr="00221D6D">
              <w:rPr>
                <w:sz w:val="20"/>
                <w:szCs w:val="20"/>
                <w:lang w:val="en-US"/>
              </w:rPr>
              <w:t>,</w:t>
            </w:r>
            <w:r w:rsidRPr="00221D6D">
              <w:rPr>
                <w:sz w:val="20"/>
                <w:szCs w:val="20"/>
              </w:rPr>
              <w:t>1</w:t>
            </w:r>
          </w:p>
        </w:tc>
        <w:tc>
          <w:tcPr>
            <w:tcW w:w="610" w:type="dxa"/>
            <w:vAlign w:val="bottom"/>
          </w:tcPr>
          <w:p w14:paraId="55E56CD7" w14:textId="77777777" w:rsidR="00221D6D" w:rsidRPr="00221D6D" w:rsidRDefault="00221D6D" w:rsidP="00221D6D">
            <w:pPr>
              <w:jc w:val="center"/>
              <w:rPr>
                <w:sz w:val="20"/>
                <w:szCs w:val="20"/>
              </w:rPr>
            </w:pPr>
            <w:r w:rsidRPr="00221D6D">
              <w:rPr>
                <w:sz w:val="20"/>
                <w:szCs w:val="20"/>
              </w:rPr>
              <w:t>2,9</w:t>
            </w:r>
          </w:p>
        </w:tc>
      </w:tr>
      <w:tr w:rsidR="00221D6D" w:rsidRPr="00221D6D" w14:paraId="7713E234" w14:textId="77777777" w:rsidTr="005C2605">
        <w:trPr>
          <w:trHeight w:val="20"/>
        </w:trPr>
        <w:tc>
          <w:tcPr>
            <w:tcW w:w="3119" w:type="dxa"/>
          </w:tcPr>
          <w:p w14:paraId="12CB7961" w14:textId="77777777" w:rsidR="00221D6D" w:rsidRPr="00221D6D" w:rsidRDefault="00221D6D" w:rsidP="00A911FD">
            <w:pPr>
              <w:ind w:left="426" w:hanging="426"/>
              <w:rPr>
                <w:sz w:val="20"/>
                <w:szCs w:val="20"/>
              </w:rPr>
            </w:pPr>
            <w:r w:rsidRPr="00221D6D">
              <w:rPr>
                <w:sz w:val="20"/>
                <w:szCs w:val="20"/>
              </w:rPr>
              <w:t>0403Исследование и использование космического пространства</w:t>
            </w:r>
          </w:p>
        </w:tc>
        <w:tc>
          <w:tcPr>
            <w:tcW w:w="609" w:type="dxa"/>
            <w:vAlign w:val="bottom"/>
          </w:tcPr>
          <w:p w14:paraId="22FC3FF4" w14:textId="77777777" w:rsidR="00221D6D" w:rsidRPr="00221D6D" w:rsidRDefault="00221D6D" w:rsidP="00221D6D">
            <w:pPr>
              <w:jc w:val="center"/>
              <w:rPr>
                <w:sz w:val="20"/>
                <w:szCs w:val="20"/>
              </w:rPr>
            </w:pPr>
            <w:r w:rsidRPr="00221D6D">
              <w:rPr>
                <w:sz w:val="20"/>
                <w:szCs w:val="20"/>
              </w:rPr>
              <w:t>–</w:t>
            </w:r>
          </w:p>
        </w:tc>
        <w:tc>
          <w:tcPr>
            <w:tcW w:w="610" w:type="dxa"/>
            <w:vAlign w:val="bottom"/>
          </w:tcPr>
          <w:p w14:paraId="422E3295" w14:textId="77777777" w:rsidR="00221D6D" w:rsidRPr="00221D6D" w:rsidRDefault="00221D6D" w:rsidP="00221D6D">
            <w:pPr>
              <w:jc w:val="center"/>
              <w:rPr>
                <w:sz w:val="20"/>
                <w:szCs w:val="20"/>
                <w:lang w:val="en-US"/>
              </w:rPr>
            </w:pPr>
            <w:r w:rsidRPr="00221D6D">
              <w:rPr>
                <w:sz w:val="20"/>
                <w:szCs w:val="20"/>
              </w:rPr>
              <w:t>–</w:t>
            </w:r>
          </w:p>
        </w:tc>
        <w:tc>
          <w:tcPr>
            <w:tcW w:w="609" w:type="dxa"/>
            <w:vAlign w:val="bottom"/>
          </w:tcPr>
          <w:p w14:paraId="015747CA" w14:textId="77777777" w:rsidR="00221D6D" w:rsidRPr="00221D6D" w:rsidRDefault="00221D6D" w:rsidP="00221D6D">
            <w:pPr>
              <w:jc w:val="center"/>
              <w:rPr>
                <w:rFonts w:eastAsia="Arial Unicode MS"/>
                <w:sz w:val="20"/>
                <w:szCs w:val="20"/>
                <w:lang w:val="en-US"/>
              </w:rPr>
            </w:pPr>
            <w:r w:rsidRPr="00221D6D">
              <w:rPr>
                <w:sz w:val="20"/>
                <w:szCs w:val="20"/>
              </w:rPr>
              <w:t>–</w:t>
            </w:r>
          </w:p>
        </w:tc>
        <w:tc>
          <w:tcPr>
            <w:tcW w:w="610" w:type="dxa"/>
            <w:vAlign w:val="bottom"/>
          </w:tcPr>
          <w:p w14:paraId="0C69B2B4" w14:textId="77777777" w:rsidR="00221D6D" w:rsidRPr="00221D6D" w:rsidRDefault="00221D6D" w:rsidP="00221D6D">
            <w:pPr>
              <w:jc w:val="center"/>
              <w:rPr>
                <w:sz w:val="20"/>
                <w:szCs w:val="20"/>
                <w:lang w:val="en-US"/>
              </w:rPr>
            </w:pPr>
            <w:r w:rsidRPr="00221D6D">
              <w:rPr>
                <w:sz w:val="20"/>
                <w:szCs w:val="20"/>
              </w:rPr>
              <w:t>–</w:t>
            </w:r>
          </w:p>
        </w:tc>
        <w:tc>
          <w:tcPr>
            <w:tcW w:w="609" w:type="dxa"/>
            <w:vAlign w:val="bottom"/>
          </w:tcPr>
          <w:p w14:paraId="4DF95E36" w14:textId="77777777" w:rsidR="00221D6D" w:rsidRPr="00221D6D" w:rsidRDefault="00221D6D" w:rsidP="00221D6D">
            <w:pPr>
              <w:jc w:val="center"/>
              <w:rPr>
                <w:rFonts w:eastAsia="Arial Unicode MS"/>
                <w:sz w:val="20"/>
                <w:szCs w:val="20"/>
                <w:lang w:val="en-US"/>
              </w:rPr>
            </w:pPr>
            <w:r w:rsidRPr="00221D6D">
              <w:rPr>
                <w:sz w:val="20"/>
                <w:szCs w:val="20"/>
              </w:rPr>
              <w:t>56,3</w:t>
            </w:r>
          </w:p>
        </w:tc>
        <w:tc>
          <w:tcPr>
            <w:tcW w:w="610" w:type="dxa"/>
            <w:vAlign w:val="bottom"/>
          </w:tcPr>
          <w:p w14:paraId="72A01325" w14:textId="77777777" w:rsidR="00221D6D" w:rsidRPr="00221D6D" w:rsidRDefault="00221D6D" w:rsidP="00221D6D">
            <w:pPr>
              <w:jc w:val="center"/>
              <w:rPr>
                <w:sz w:val="20"/>
                <w:szCs w:val="20"/>
              </w:rPr>
            </w:pPr>
            <w:r w:rsidRPr="00221D6D">
              <w:rPr>
                <w:sz w:val="20"/>
                <w:szCs w:val="20"/>
              </w:rPr>
              <w:t>–</w:t>
            </w:r>
          </w:p>
        </w:tc>
        <w:tc>
          <w:tcPr>
            <w:tcW w:w="609" w:type="dxa"/>
            <w:vAlign w:val="bottom"/>
          </w:tcPr>
          <w:p w14:paraId="020B6C94" w14:textId="77777777" w:rsidR="00221D6D" w:rsidRPr="00221D6D" w:rsidRDefault="00221D6D" w:rsidP="00221D6D">
            <w:pPr>
              <w:jc w:val="center"/>
              <w:rPr>
                <w:sz w:val="20"/>
                <w:szCs w:val="20"/>
              </w:rPr>
            </w:pPr>
            <w:r w:rsidRPr="00221D6D">
              <w:rPr>
                <w:sz w:val="20"/>
                <w:szCs w:val="20"/>
              </w:rPr>
              <w:t>–</w:t>
            </w:r>
          </w:p>
        </w:tc>
        <w:tc>
          <w:tcPr>
            <w:tcW w:w="610" w:type="dxa"/>
            <w:vAlign w:val="bottom"/>
          </w:tcPr>
          <w:p w14:paraId="0B51203E" w14:textId="77777777" w:rsidR="00221D6D" w:rsidRPr="00221D6D" w:rsidRDefault="00221D6D" w:rsidP="00221D6D">
            <w:pPr>
              <w:jc w:val="center"/>
              <w:rPr>
                <w:sz w:val="20"/>
                <w:szCs w:val="20"/>
              </w:rPr>
            </w:pPr>
            <w:r w:rsidRPr="00221D6D">
              <w:rPr>
                <w:sz w:val="20"/>
                <w:szCs w:val="20"/>
              </w:rPr>
              <w:t>–</w:t>
            </w:r>
          </w:p>
        </w:tc>
        <w:tc>
          <w:tcPr>
            <w:tcW w:w="609" w:type="dxa"/>
            <w:vAlign w:val="bottom"/>
          </w:tcPr>
          <w:p w14:paraId="424EA006" w14:textId="77777777" w:rsidR="00221D6D" w:rsidRPr="00221D6D" w:rsidRDefault="00221D6D" w:rsidP="00221D6D">
            <w:pPr>
              <w:jc w:val="center"/>
              <w:rPr>
                <w:sz w:val="20"/>
                <w:szCs w:val="20"/>
              </w:rPr>
            </w:pPr>
            <w:r w:rsidRPr="00221D6D">
              <w:rPr>
                <w:sz w:val="20"/>
                <w:szCs w:val="20"/>
              </w:rPr>
              <w:t>–</w:t>
            </w:r>
          </w:p>
        </w:tc>
        <w:tc>
          <w:tcPr>
            <w:tcW w:w="610" w:type="dxa"/>
            <w:vAlign w:val="bottom"/>
          </w:tcPr>
          <w:p w14:paraId="5D5DEB2C" w14:textId="77777777" w:rsidR="00221D6D" w:rsidRPr="00221D6D" w:rsidRDefault="00221D6D" w:rsidP="00221D6D">
            <w:pPr>
              <w:jc w:val="center"/>
              <w:rPr>
                <w:sz w:val="20"/>
                <w:szCs w:val="20"/>
              </w:rPr>
            </w:pPr>
            <w:r w:rsidRPr="00221D6D">
              <w:rPr>
                <w:sz w:val="20"/>
                <w:szCs w:val="20"/>
              </w:rPr>
              <w:t>–</w:t>
            </w:r>
          </w:p>
        </w:tc>
      </w:tr>
      <w:tr w:rsidR="00221D6D" w:rsidRPr="00221D6D" w14:paraId="79B8E917" w14:textId="77777777" w:rsidTr="005C2605">
        <w:trPr>
          <w:trHeight w:val="20"/>
        </w:trPr>
        <w:tc>
          <w:tcPr>
            <w:tcW w:w="3119" w:type="dxa"/>
          </w:tcPr>
          <w:p w14:paraId="50D9E252" w14:textId="77777777" w:rsidR="00221D6D" w:rsidRPr="00221D6D" w:rsidRDefault="00221D6D" w:rsidP="00A911FD">
            <w:pPr>
              <w:ind w:left="426" w:hanging="426"/>
              <w:rPr>
                <w:sz w:val="20"/>
                <w:szCs w:val="20"/>
              </w:rPr>
            </w:pPr>
            <w:r w:rsidRPr="00221D6D">
              <w:rPr>
                <w:sz w:val="20"/>
                <w:szCs w:val="20"/>
              </w:rPr>
              <w:t>04</w:t>
            </w:r>
            <w:r w:rsidRPr="00221D6D">
              <w:rPr>
                <w:sz w:val="20"/>
                <w:szCs w:val="20"/>
                <w:lang w:val="en-US"/>
              </w:rPr>
              <w:t>0</w:t>
            </w:r>
            <w:r w:rsidRPr="00221D6D">
              <w:rPr>
                <w:sz w:val="20"/>
                <w:szCs w:val="20"/>
              </w:rPr>
              <w:t>7Лесное хозяйство</w:t>
            </w:r>
          </w:p>
        </w:tc>
        <w:tc>
          <w:tcPr>
            <w:tcW w:w="609" w:type="dxa"/>
            <w:vAlign w:val="bottom"/>
          </w:tcPr>
          <w:p w14:paraId="51CC4053" w14:textId="77777777" w:rsidR="00221D6D" w:rsidRPr="00221D6D" w:rsidRDefault="00221D6D" w:rsidP="00221D6D">
            <w:pPr>
              <w:jc w:val="center"/>
              <w:rPr>
                <w:sz w:val="20"/>
                <w:szCs w:val="20"/>
              </w:rPr>
            </w:pPr>
            <w:r w:rsidRPr="00221D6D">
              <w:rPr>
                <w:sz w:val="20"/>
                <w:szCs w:val="20"/>
              </w:rPr>
              <w:t>–</w:t>
            </w:r>
          </w:p>
        </w:tc>
        <w:tc>
          <w:tcPr>
            <w:tcW w:w="610" w:type="dxa"/>
            <w:vAlign w:val="bottom"/>
          </w:tcPr>
          <w:p w14:paraId="23CC9682" w14:textId="77777777" w:rsidR="00221D6D" w:rsidRPr="00221D6D" w:rsidRDefault="00221D6D" w:rsidP="00221D6D">
            <w:pPr>
              <w:jc w:val="center"/>
              <w:rPr>
                <w:sz w:val="20"/>
                <w:szCs w:val="20"/>
                <w:lang w:val="en-US"/>
              </w:rPr>
            </w:pPr>
            <w:r w:rsidRPr="00221D6D">
              <w:rPr>
                <w:sz w:val="20"/>
                <w:szCs w:val="20"/>
              </w:rPr>
              <w:t>–</w:t>
            </w:r>
          </w:p>
        </w:tc>
        <w:tc>
          <w:tcPr>
            <w:tcW w:w="609" w:type="dxa"/>
            <w:vAlign w:val="bottom"/>
          </w:tcPr>
          <w:p w14:paraId="7AB6B158" w14:textId="77777777" w:rsidR="00221D6D" w:rsidRPr="00221D6D" w:rsidRDefault="00221D6D" w:rsidP="00221D6D">
            <w:pPr>
              <w:jc w:val="center"/>
              <w:rPr>
                <w:rFonts w:eastAsia="Arial Unicode MS"/>
                <w:sz w:val="20"/>
                <w:szCs w:val="20"/>
                <w:lang w:val="en-US"/>
              </w:rPr>
            </w:pPr>
            <w:r w:rsidRPr="00221D6D">
              <w:rPr>
                <w:sz w:val="20"/>
                <w:szCs w:val="20"/>
              </w:rPr>
              <w:t>–</w:t>
            </w:r>
          </w:p>
        </w:tc>
        <w:tc>
          <w:tcPr>
            <w:tcW w:w="610" w:type="dxa"/>
            <w:vAlign w:val="bottom"/>
          </w:tcPr>
          <w:p w14:paraId="4DBE7F0B" w14:textId="77777777" w:rsidR="00221D6D" w:rsidRPr="00221D6D" w:rsidRDefault="00221D6D" w:rsidP="00221D6D">
            <w:pPr>
              <w:jc w:val="center"/>
              <w:rPr>
                <w:sz w:val="20"/>
                <w:szCs w:val="20"/>
                <w:lang w:val="en-US"/>
              </w:rPr>
            </w:pPr>
            <w:r w:rsidRPr="00221D6D">
              <w:rPr>
                <w:sz w:val="20"/>
                <w:szCs w:val="20"/>
              </w:rPr>
              <w:t>–</w:t>
            </w:r>
          </w:p>
        </w:tc>
        <w:tc>
          <w:tcPr>
            <w:tcW w:w="609" w:type="dxa"/>
            <w:vAlign w:val="bottom"/>
          </w:tcPr>
          <w:p w14:paraId="201CAF6D" w14:textId="77777777" w:rsidR="00221D6D" w:rsidRPr="00221D6D" w:rsidRDefault="00221D6D" w:rsidP="00221D6D">
            <w:pPr>
              <w:jc w:val="center"/>
              <w:rPr>
                <w:rFonts w:eastAsia="Arial Unicode MS"/>
                <w:sz w:val="20"/>
                <w:szCs w:val="20"/>
                <w:lang w:val="en-US"/>
              </w:rPr>
            </w:pPr>
            <w:r w:rsidRPr="00221D6D">
              <w:rPr>
                <w:sz w:val="20"/>
                <w:szCs w:val="20"/>
              </w:rPr>
              <w:t>–</w:t>
            </w:r>
          </w:p>
        </w:tc>
        <w:tc>
          <w:tcPr>
            <w:tcW w:w="610" w:type="dxa"/>
            <w:vAlign w:val="bottom"/>
          </w:tcPr>
          <w:p w14:paraId="0782A7B1" w14:textId="77777777" w:rsidR="00221D6D" w:rsidRPr="00221D6D" w:rsidRDefault="00221D6D" w:rsidP="00221D6D">
            <w:pPr>
              <w:jc w:val="center"/>
              <w:rPr>
                <w:sz w:val="20"/>
                <w:szCs w:val="20"/>
              </w:rPr>
            </w:pPr>
            <w:r w:rsidRPr="00221D6D">
              <w:rPr>
                <w:sz w:val="20"/>
                <w:szCs w:val="20"/>
              </w:rPr>
              <w:t>–</w:t>
            </w:r>
          </w:p>
        </w:tc>
        <w:tc>
          <w:tcPr>
            <w:tcW w:w="609" w:type="dxa"/>
            <w:vAlign w:val="bottom"/>
          </w:tcPr>
          <w:p w14:paraId="3A67E288" w14:textId="77777777" w:rsidR="00221D6D" w:rsidRPr="00221D6D" w:rsidRDefault="00221D6D" w:rsidP="00221D6D">
            <w:pPr>
              <w:jc w:val="center"/>
              <w:rPr>
                <w:sz w:val="20"/>
                <w:szCs w:val="20"/>
                <w:lang w:val="en-US"/>
              </w:rPr>
            </w:pPr>
            <w:r w:rsidRPr="00221D6D">
              <w:rPr>
                <w:rFonts w:eastAsia="Arial Unicode MS"/>
                <w:sz w:val="20"/>
                <w:szCs w:val="20"/>
                <w:lang w:val="en-US"/>
              </w:rPr>
              <w:t>0,2</w:t>
            </w:r>
          </w:p>
        </w:tc>
        <w:tc>
          <w:tcPr>
            <w:tcW w:w="610" w:type="dxa"/>
            <w:vAlign w:val="bottom"/>
          </w:tcPr>
          <w:p w14:paraId="3E6A3BD8" w14:textId="77777777" w:rsidR="00221D6D" w:rsidRPr="00221D6D" w:rsidRDefault="00221D6D" w:rsidP="00221D6D">
            <w:pPr>
              <w:jc w:val="center"/>
              <w:rPr>
                <w:sz w:val="20"/>
                <w:szCs w:val="20"/>
              </w:rPr>
            </w:pPr>
            <w:r w:rsidRPr="00221D6D">
              <w:rPr>
                <w:rFonts w:eastAsia="Arial Unicode MS"/>
                <w:sz w:val="20"/>
                <w:szCs w:val="20"/>
                <w:lang w:val="en-US"/>
              </w:rPr>
              <w:t>0,</w:t>
            </w:r>
            <w:r w:rsidRPr="00221D6D">
              <w:rPr>
                <w:rFonts w:eastAsia="Arial Unicode MS"/>
                <w:sz w:val="20"/>
                <w:szCs w:val="20"/>
              </w:rPr>
              <w:t>3</w:t>
            </w:r>
          </w:p>
        </w:tc>
        <w:tc>
          <w:tcPr>
            <w:tcW w:w="609" w:type="dxa"/>
            <w:vAlign w:val="bottom"/>
          </w:tcPr>
          <w:p w14:paraId="0C86AF67" w14:textId="77777777" w:rsidR="00221D6D" w:rsidRPr="00221D6D" w:rsidRDefault="00221D6D" w:rsidP="00221D6D">
            <w:pPr>
              <w:jc w:val="center"/>
              <w:rPr>
                <w:sz w:val="20"/>
                <w:szCs w:val="20"/>
              </w:rPr>
            </w:pPr>
            <w:r w:rsidRPr="00221D6D">
              <w:rPr>
                <w:rFonts w:eastAsia="Arial Unicode MS"/>
                <w:sz w:val="20"/>
                <w:szCs w:val="20"/>
                <w:lang w:val="en-US"/>
              </w:rPr>
              <w:t>0,</w:t>
            </w:r>
            <w:r w:rsidRPr="00221D6D">
              <w:rPr>
                <w:rFonts w:eastAsia="Arial Unicode MS"/>
                <w:sz w:val="20"/>
                <w:szCs w:val="20"/>
              </w:rPr>
              <w:t>4</w:t>
            </w:r>
          </w:p>
        </w:tc>
        <w:tc>
          <w:tcPr>
            <w:tcW w:w="610" w:type="dxa"/>
            <w:vAlign w:val="bottom"/>
          </w:tcPr>
          <w:p w14:paraId="2603C568" w14:textId="77777777" w:rsidR="00221D6D" w:rsidRPr="00221D6D" w:rsidRDefault="00221D6D" w:rsidP="00221D6D">
            <w:pPr>
              <w:jc w:val="center"/>
              <w:rPr>
                <w:rFonts w:eastAsia="Arial Unicode MS"/>
                <w:sz w:val="20"/>
                <w:szCs w:val="20"/>
              </w:rPr>
            </w:pPr>
            <w:r w:rsidRPr="00221D6D">
              <w:rPr>
                <w:rFonts w:eastAsia="Arial Unicode MS"/>
                <w:sz w:val="20"/>
                <w:szCs w:val="20"/>
              </w:rPr>
              <w:t>0,3</w:t>
            </w:r>
          </w:p>
        </w:tc>
      </w:tr>
      <w:tr w:rsidR="00221D6D" w:rsidRPr="00221D6D" w14:paraId="67087F76" w14:textId="77777777" w:rsidTr="005C2605">
        <w:trPr>
          <w:trHeight w:val="20"/>
        </w:trPr>
        <w:tc>
          <w:tcPr>
            <w:tcW w:w="3119" w:type="dxa"/>
          </w:tcPr>
          <w:p w14:paraId="45D30E0B" w14:textId="77777777" w:rsidR="00221D6D" w:rsidRPr="00221D6D" w:rsidRDefault="00221D6D" w:rsidP="00A911FD">
            <w:pPr>
              <w:ind w:left="426" w:hanging="426"/>
              <w:rPr>
                <w:sz w:val="20"/>
                <w:szCs w:val="20"/>
              </w:rPr>
            </w:pPr>
            <w:r w:rsidRPr="00221D6D">
              <w:rPr>
                <w:sz w:val="20"/>
                <w:szCs w:val="20"/>
              </w:rPr>
              <w:t>04</w:t>
            </w:r>
            <w:r w:rsidRPr="00221D6D">
              <w:rPr>
                <w:sz w:val="20"/>
                <w:szCs w:val="20"/>
                <w:lang w:val="en-US"/>
              </w:rPr>
              <w:t>0</w:t>
            </w:r>
            <w:r w:rsidRPr="00221D6D">
              <w:rPr>
                <w:sz w:val="20"/>
                <w:szCs w:val="20"/>
              </w:rPr>
              <w:t>8Транспорт</w:t>
            </w:r>
          </w:p>
        </w:tc>
        <w:tc>
          <w:tcPr>
            <w:tcW w:w="609" w:type="dxa"/>
            <w:vAlign w:val="bottom"/>
          </w:tcPr>
          <w:p w14:paraId="4CCE8B0C" w14:textId="77777777" w:rsidR="00221D6D" w:rsidRPr="00221D6D" w:rsidRDefault="00221D6D" w:rsidP="00221D6D">
            <w:pPr>
              <w:jc w:val="center"/>
              <w:rPr>
                <w:sz w:val="20"/>
                <w:szCs w:val="20"/>
              </w:rPr>
            </w:pPr>
            <w:r w:rsidRPr="00221D6D">
              <w:rPr>
                <w:sz w:val="20"/>
                <w:szCs w:val="20"/>
              </w:rPr>
              <w:t>0,1</w:t>
            </w:r>
          </w:p>
        </w:tc>
        <w:tc>
          <w:tcPr>
            <w:tcW w:w="610" w:type="dxa"/>
            <w:vAlign w:val="bottom"/>
          </w:tcPr>
          <w:p w14:paraId="2AB9170A" w14:textId="77777777" w:rsidR="00221D6D" w:rsidRPr="00221D6D" w:rsidRDefault="00221D6D" w:rsidP="00221D6D">
            <w:pPr>
              <w:jc w:val="center"/>
              <w:rPr>
                <w:sz w:val="20"/>
                <w:szCs w:val="20"/>
                <w:lang w:val="en-US"/>
              </w:rPr>
            </w:pPr>
            <w:r w:rsidRPr="00221D6D">
              <w:rPr>
                <w:sz w:val="20"/>
                <w:szCs w:val="20"/>
              </w:rPr>
              <w:t>–</w:t>
            </w:r>
          </w:p>
        </w:tc>
        <w:tc>
          <w:tcPr>
            <w:tcW w:w="609" w:type="dxa"/>
            <w:vAlign w:val="bottom"/>
          </w:tcPr>
          <w:p w14:paraId="19B59FA5" w14:textId="77777777" w:rsidR="00221D6D" w:rsidRPr="00221D6D" w:rsidRDefault="00221D6D" w:rsidP="00221D6D">
            <w:pPr>
              <w:jc w:val="center"/>
              <w:rPr>
                <w:rFonts w:eastAsia="Arial Unicode MS"/>
                <w:sz w:val="20"/>
                <w:szCs w:val="20"/>
                <w:lang w:val="en-US"/>
              </w:rPr>
            </w:pPr>
            <w:r w:rsidRPr="00221D6D">
              <w:rPr>
                <w:sz w:val="20"/>
                <w:szCs w:val="20"/>
              </w:rPr>
              <w:t>0,2</w:t>
            </w:r>
          </w:p>
        </w:tc>
        <w:tc>
          <w:tcPr>
            <w:tcW w:w="610" w:type="dxa"/>
            <w:vAlign w:val="bottom"/>
          </w:tcPr>
          <w:p w14:paraId="67BA3B94" w14:textId="77777777" w:rsidR="00221D6D" w:rsidRPr="00221D6D" w:rsidRDefault="00221D6D" w:rsidP="00221D6D">
            <w:pPr>
              <w:jc w:val="center"/>
              <w:rPr>
                <w:sz w:val="20"/>
                <w:szCs w:val="20"/>
                <w:lang w:val="en-US"/>
              </w:rPr>
            </w:pPr>
            <w:r w:rsidRPr="00221D6D">
              <w:rPr>
                <w:sz w:val="20"/>
                <w:szCs w:val="20"/>
              </w:rPr>
              <w:t>–</w:t>
            </w:r>
          </w:p>
        </w:tc>
        <w:tc>
          <w:tcPr>
            <w:tcW w:w="609" w:type="dxa"/>
            <w:vAlign w:val="bottom"/>
          </w:tcPr>
          <w:p w14:paraId="6E8C9745" w14:textId="77777777" w:rsidR="00221D6D" w:rsidRPr="00221D6D" w:rsidRDefault="00221D6D" w:rsidP="00221D6D">
            <w:pPr>
              <w:jc w:val="center"/>
              <w:rPr>
                <w:rFonts w:eastAsia="Arial Unicode MS"/>
                <w:sz w:val="20"/>
                <w:szCs w:val="20"/>
                <w:lang w:val="en-US"/>
              </w:rPr>
            </w:pPr>
            <w:r w:rsidRPr="00221D6D">
              <w:rPr>
                <w:sz w:val="20"/>
                <w:szCs w:val="20"/>
              </w:rPr>
              <w:t>–</w:t>
            </w:r>
          </w:p>
        </w:tc>
        <w:tc>
          <w:tcPr>
            <w:tcW w:w="610" w:type="dxa"/>
            <w:vAlign w:val="bottom"/>
          </w:tcPr>
          <w:p w14:paraId="22943199" w14:textId="77777777" w:rsidR="00221D6D" w:rsidRPr="00221D6D" w:rsidRDefault="00221D6D" w:rsidP="00221D6D">
            <w:pPr>
              <w:jc w:val="center"/>
              <w:rPr>
                <w:sz w:val="20"/>
                <w:szCs w:val="20"/>
              </w:rPr>
            </w:pPr>
            <w:r w:rsidRPr="00221D6D">
              <w:rPr>
                <w:sz w:val="20"/>
                <w:szCs w:val="20"/>
              </w:rPr>
              <w:t>–</w:t>
            </w:r>
          </w:p>
        </w:tc>
        <w:tc>
          <w:tcPr>
            <w:tcW w:w="609" w:type="dxa"/>
            <w:vAlign w:val="bottom"/>
          </w:tcPr>
          <w:p w14:paraId="2A3F740E" w14:textId="77777777" w:rsidR="00221D6D" w:rsidRPr="00221D6D" w:rsidRDefault="00221D6D" w:rsidP="00221D6D">
            <w:pPr>
              <w:jc w:val="center"/>
              <w:rPr>
                <w:sz w:val="20"/>
                <w:szCs w:val="20"/>
              </w:rPr>
            </w:pPr>
            <w:r w:rsidRPr="00221D6D">
              <w:rPr>
                <w:sz w:val="20"/>
                <w:szCs w:val="20"/>
              </w:rPr>
              <w:t>–</w:t>
            </w:r>
          </w:p>
        </w:tc>
        <w:tc>
          <w:tcPr>
            <w:tcW w:w="610" w:type="dxa"/>
            <w:vAlign w:val="bottom"/>
          </w:tcPr>
          <w:p w14:paraId="5F53FCC6" w14:textId="77777777" w:rsidR="00221D6D" w:rsidRPr="00221D6D" w:rsidRDefault="00221D6D" w:rsidP="00221D6D">
            <w:pPr>
              <w:jc w:val="center"/>
              <w:rPr>
                <w:sz w:val="20"/>
                <w:szCs w:val="20"/>
              </w:rPr>
            </w:pPr>
            <w:r w:rsidRPr="00221D6D">
              <w:rPr>
                <w:sz w:val="20"/>
                <w:szCs w:val="20"/>
              </w:rPr>
              <w:t>–</w:t>
            </w:r>
          </w:p>
        </w:tc>
        <w:tc>
          <w:tcPr>
            <w:tcW w:w="609" w:type="dxa"/>
            <w:vAlign w:val="bottom"/>
          </w:tcPr>
          <w:p w14:paraId="341520E8" w14:textId="77777777" w:rsidR="00221D6D" w:rsidRPr="00221D6D" w:rsidRDefault="00221D6D" w:rsidP="00221D6D">
            <w:pPr>
              <w:jc w:val="center"/>
              <w:rPr>
                <w:sz w:val="20"/>
                <w:szCs w:val="20"/>
              </w:rPr>
            </w:pPr>
            <w:r w:rsidRPr="00221D6D">
              <w:rPr>
                <w:sz w:val="20"/>
                <w:szCs w:val="20"/>
              </w:rPr>
              <w:t>–</w:t>
            </w:r>
          </w:p>
        </w:tc>
        <w:tc>
          <w:tcPr>
            <w:tcW w:w="610" w:type="dxa"/>
            <w:vAlign w:val="bottom"/>
          </w:tcPr>
          <w:p w14:paraId="299C2A1E" w14:textId="77777777" w:rsidR="00221D6D" w:rsidRPr="00221D6D" w:rsidRDefault="00221D6D" w:rsidP="00221D6D">
            <w:pPr>
              <w:jc w:val="center"/>
              <w:rPr>
                <w:sz w:val="20"/>
                <w:szCs w:val="20"/>
              </w:rPr>
            </w:pPr>
            <w:r w:rsidRPr="00221D6D">
              <w:rPr>
                <w:sz w:val="20"/>
                <w:szCs w:val="20"/>
              </w:rPr>
              <w:t>–</w:t>
            </w:r>
          </w:p>
        </w:tc>
      </w:tr>
      <w:tr w:rsidR="00221D6D" w:rsidRPr="00221D6D" w14:paraId="18547756" w14:textId="77777777" w:rsidTr="005C2605">
        <w:trPr>
          <w:trHeight w:val="20"/>
        </w:trPr>
        <w:tc>
          <w:tcPr>
            <w:tcW w:w="3119" w:type="dxa"/>
          </w:tcPr>
          <w:p w14:paraId="4C0EC568" w14:textId="77777777" w:rsidR="00221D6D" w:rsidRPr="00221D6D" w:rsidRDefault="00221D6D" w:rsidP="00A911FD">
            <w:pPr>
              <w:ind w:left="426" w:hanging="426"/>
              <w:rPr>
                <w:sz w:val="20"/>
                <w:szCs w:val="20"/>
              </w:rPr>
            </w:pPr>
            <w:r w:rsidRPr="00221D6D">
              <w:rPr>
                <w:sz w:val="20"/>
                <w:szCs w:val="20"/>
              </w:rPr>
              <w:t>041</w:t>
            </w:r>
            <w:r w:rsidRPr="00221D6D">
              <w:rPr>
                <w:sz w:val="20"/>
                <w:szCs w:val="20"/>
                <w:lang w:val="en-US"/>
              </w:rPr>
              <w:t>0</w:t>
            </w:r>
            <w:r w:rsidRPr="00221D6D">
              <w:rPr>
                <w:sz w:val="20"/>
                <w:szCs w:val="20"/>
              </w:rPr>
              <w:t>Связь и информатика</w:t>
            </w:r>
          </w:p>
        </w:tc>
        <w:tc>
          <w:tcPr>
            <w:tcW w:w="609" w:type="dxa"/>
            <w:vAlign w:val="bottom"/>
          </w:tcPr>
          <w:p w14:paraId="6DB80411" w14:textId="77777777" w:rsidR="00221D6D" w:rsidRPr="00221D6D" w:rsidRDefault="00221D6D" w:rsidP="00221D6D">
            <w:pPr>
              <w:jc w:val="center"/>
              <w:rPr>
                <w:sz w:val="20"/>
                <w:szCs w:val="20"/>
              </w:rPr>
            </w:pPr>
            <w:r w:rsidRPr="00221D6D">
              <w:rPr>
                <w:sz w:val="20"/>
                <w:szCs w:val="20"/>
              </w:rPr>
              <w:t>1,8</w:t>
            </w:r>
          </w:p>
        </w:tc>
        <w:tc>
          <w:tcPr>
            <w:tcW w:w="610" w:type="dxa"/>
            <w:vAlign w:val="bottom"/>
          </w:tcPr>
          <w:p w14:paraId="4780DF7C" w14:textId="77777777" w:rsidR="00221D6D" w:rsidRPr="00221D6D" w:rsidRDefault="00221D6D" w:rsidP="00221D6D">
            <w:pPr>
              <w:jc w:val="center"/>
              <w:rPr>
                <w:sz w:val="20"/>
                <w:szCs w:val="20"/>
                <w:lang w:val="en-US"/>
              </w:rPr>
            </w:pPr>
            <w:r w:rsidRPr="00221D6D">
              <w:rPr>
                <w:sz w:val="20"/>
                <w:szCs w:val="20"/>
                <w:lang w:val="en-US"/>
              </w:rPr>
              <w:t>2,0</w:t>
            </w:r>
          </w:p>
        </w:tc>
        <w:tc>
          <w:tcPr>
            <w:tcW w:w="609" w:type="dxa"/>
            <w:vAlign w:val="bottom"/>
          </w:tcPr>
          <w:p w14:paraId="360A73AF" w14:textId="77777777" w:rsidR="00221D6D" w:rsidRPr="00221D6D" w:rsidRDefault="00221D6D" w:rsidP="00221D6D">
            <w:pPr>
              <w:jc w:val="center"/>
              <w:rPr>
                <w:rFonts w:eastAsia="Arial Unicode MS"/>
                <w:sz w:val="20"/>
                <w:szCs w:val="20"/>
                <w:lang w:val="en-US"/>
              </w:rPr>
            </w:pPr>
            <w:r w:rsidRPr="00221D6D">
              <w:rPr>
                <w:sz w:val="20"/>
                <w:szCs w:val="20"/>
              </w:rPr>
              <w:t>0,5</w:t>
            </w:r>
          </w:p>
        </w:tc>
        <w:tc>
          <w:tcPr>
            <w:tcW w:w="610" w:type="dxa"/>
            <w:vAlign w:val="bottom"/>
          </w:tcPr>
          <w:p w14:paraId="4A04E008" w14:textId="77777777" w:rsidR="00221D6D" w:rsidRPr="00221D6D" w:rsidRDefault="00221D6D" w:rsidP="00221D6D">
            <w:pPr>
              <w:jc w:val="center"/>
              <w:rPr>
                <w:sz w:val="20"/>
                <w:szCs w:val="20"/>
                <w:lang w:val="en-US"/>
              </w:rPr>
            </w:pPr>
            <w:r w:rsidRPr="00221D6D">
              <w:rPr>
                <w:sz w:val="20"/>
                <w:szCs w:val="20"/>
              </w:rPr>
              <w:t>–</w:t>
            </w:r>
          </w:p>
        </w:tc>
        <w:tc>
          <w:tcPr>
            <w:tcW w:w="609" w:type="dxa"/>
            <w:vAlign w:val="bottom"/>
          </w:tcPr>
          <w:p w14:paraId="38137C7B" w14:textId="77777777" w:rsidR="00221D6D" w:rsidRPr="00221D6D" w:rsidRDefault="00221D6D" w:rsidP="00221D6D">
            <w:pPr>
              <w:jc w:val="center"/>
              <w:rPr>
                <w:rFonts w:eastAsia="Arial Unicode MS"/>
                <w:sz w:val="20"/>
                <w:szCs w:val="20"/>
                <w:lang w:val="en-US"/>
              </w:rPr>
            </w:pPr>
            <w:r w:rsidRPr="00221D6D">
              <w:rPr>
                <w:sz w:val="20"/>
                <w:szCs w:val="20"/>
              </w:rPr>
              <w:t>–</w:t>
            </w:r>
          </w:p>
        </w:tc>
        <w:tc>
          <w:tcPr>
            <w:tcW w:w="610" w:type="dxa"/>
            <w:vAlign w:val="bottom"/>
          </w:tcPr>
          <w:p w14:paraId="5E9B51E6" w14:textId="77777777" w:rsidR="00221D6D" w:rsidRPr="00221D6D" w:rsidRDefault="00221D6D" w:rsidP="00221D6D">
            <w:pPr>
              <w:jc w:val="center"/>
              <w:rPr>
                <w:sz w:val="20"/>
                <w:szCs w:val="20"/>
              </w:rPr>
            </w:pPr>
            <w:r w:rsidRPr="00221D6D">
              <w:rPr>
                <w:sz w:val="20"/>
                <w:szCs w:val="20"/>
              </w:rPr>
              <w:t>–</w:t>
            </w:r>
          </w:p>
        </w:tc>
        <w:tc>
          <w:tcPr>
            <w:tcW w:w="609" w:type="dxa"/>
            <w:vAlign w:val="bottom"/>
          </w:tcPr>
          <w:p w14:paraId="07A1CEE2" w14:textId="77777777" w:rsidR="00221D6D" w:rsidRPr="00221D6D" w:rsidRDefault="00221D6D" w:rsidP="00221D6D">
            <w:pPr>
              <w:jc w:val="center"/>
              <w:rPr>
                <w:sz w:val="20"/>
                <w:szCs w:val="20"/>
              </w:rPr>
            </w:pPr>
            <w:r w:rsidRPr="00221D6D">
              <w:rPr>
                <w:sz w:val="20"/>
                <w:szCs w:val="20"/>
              </w:rPr>
              <w:t>–</w:t>
            </w:r>
          </w:p>
        </w:tc>
        <w:tc>
          <w:tcPr>
            <w:tcW w:w="610" w:type="dxa"/>
            <w:vAlign w:val="bottom"/>
          </w:tcPr>
          <w:p w14:paraId="658A5DE9" w14:textId="77777777" w:rsidR="00221D6D" w:rsidRPr="00221D6D" w:rsidRDefault="00221D6D" w:rsidP="00221D6D">
            <w:pPr>
              <w:jc w:val="center"/>
              <w:rPr>
                <w:sz w:val="20"/>
                <w:szCs w:val="20"/>
              </w:rPr>
            </w:pPr>
            <w:r w:rsidRPr="00221D6D">
              <w:rPr>
                <w:sz w:val="20"/>
                <w:szCs w:val="20"/>
              </w:rPr>
              <w:t>9,6</w:t>
            </w:r>
          </w:p>
        </w:tc>
        <w:tc>
          <w:tcPr>
            <w:tcW w:w="609" w:type="dxa"/>
            <w:vAlign w:val="bottom"/>
          </w:tcPr>
          <w:p w14:paraId="08419B20" w14:textId="77777777" w:rsidR="00221D6D" w:rsidRPr="00221D6D" w:rsidRDefault="00221D6D" w:rsidP="00221D6D">
            <w:pPr>
              <w:jc w:val="center"/>
              <w:rPr>
                <w:sz w:val="20"/>
                <w:szCs w:val="20"/>
              </w:rPr>
            </w:pPr>
            <w:r w:rsidRPr="00221D6D">
              <w:rPr>
                <w:sz w:val="20"/>
                <w:szCs w:val="20"/>
              </w:rPr>
              <w:t>11,8</w:t>
            </w:r>
          </w:p>
        </w:tc>
        <w:tc>
          <w:tcPr>
            <w:tcW w:w="610" w:type="dxa"/>
            <w:vAlign w:val="bottom"/>
          </w:tcPr>
          <w:p w14:paraId="57E8C82E" w14:textId="77777777" w:rsidR="00221D6D" w:rsidRPr="00221D6D" w:rsidRDefault="00221D6D" w:rsidP="00221D6D">
            <w:pPr>
              <w:jc w:val="center"/>
              <w:rPr>
                <w:sz w:val="20"/>
                <w:szCs w:val="20"/>
              </w:rPr>
            </w:pPr>
            <w:r w:rsidRPr="00221D6D">
              <w:rPr>
                <w:sz w:val="20"/>
                <w:szCs w:val="20"/>
              </w:rPr>
              <w:t>0,7</w:t>
            </w:r>
          </w:p>
        </w:tc>
      </w:tr>
      <w:tr w:rsidR="00221D6D" w:rsidRPr="00221D6D" w14:paraId="05450F7E" w14:textId="77777777" w:rsidTr="005C2605">
        <w:trPr>
          <w:trHeight w:val="20"/>
        </w:trPr>
        <w:tc>
          <w:tcPr>
            <w:tcW w:w="3119" w:type="dxa"/>
          </w:tcPr>
          <w:p w14:paraId="7B72E3EC" w14:textId="77777777" w:rsidR="00221D6D" w:rsidRPr="00221D6D" w:rsidRDefault="00221D6D" w:rsidP="00A911FD">
            <w:pPr>
              <w:ind w:left="426" w:hanging="426"/>
              <w:rPr>
                <w:sz w:val="20"/>
                <w:szCs w:val="20"/>
              </w:rPr>
            </w:pPr>
            <w:r w:rsidRPr="00221D6D">
              <w:rPr>
                <w:sz w:val="20"/>
                <w:szCs w:val="20"/>
              </w:rPr>
              <w:t>0411 Прикладные научные исследования в области национальной экономики</w:t>
            </w:r>
          </w:p>
        </w:tc>
        <w:tc>
          <w:tcPr>
            <w:tcW w:w="609" w:type="dxa"/>
            <w:vAlign w:val="bottom"/>
          </w:tcPr>
          <w:p w14:paraId="019ED218" w14:textId="77777777" w:rsidR="00221D6D" w:rsidRPr="00221D6D" w:rsidRDefault="00221D6D" w:rsidP="00221D6D">
            <w:pPr>
              <w:jc w:val="center"/>
              <w:rPr>
                <w:sz w:val="20"/>
                <w:szCs w:val="20"/>
              </w:rPr>
            </w:pPr>
            <w:r w:rsidRPr="00221D6D">
              <w:rPr>
                <w:sz w:val="20"/>
                <w:szCs w:val="20"/>
              </w:rPr>
              <w:t>18,3</w:t>
            </w:r>
          </w:p>
        </w:tc>
        <w:tc>
          <w:tcPr>
            <w:tcW w:w="610" w:type="dxa"/>
            <w:vAlign w:val="bottom"/>
          </w:tcPr>
          <w:p w14:paraId="44EE91D9" w14:textId="77777777" w:rsidR="00221D6D" w:rsidRPr="00221D6D" w:rsidRDefault="00221D6D" w:rsidP="00221D6D">
            <w:pPr>
              <w:jc w:val="center"/>
              <w:rPr>
                <w:sz w:val="20"/>
                <w:szCs w:val="20"/>
              </w:rPr>
            </w:pPr>
            <w:r w:rsidRPr="00221D6D">
              <w:rPr>
                <w:sz w:val="20"/>
                <w:szCs w:val="20"/>
                <w:lang w:val="en-US"/>
              </w:rPr>
              <w:t>23,</w:t>
            </w:r>
            <w:r w:rsidRPr="00221D6D">
              <w:rPr>
                <w:sz w:val="20"/>
                <w:szCs w:val="20"/>
              </w:rPr>
              <w:t>8</w:t>
            </w:r>
          </w:p>
        </w:tc>
        <w:tc>
          <w:tcPr>
            <w:tcW w:w="609" w:type="dxa"/>
            <w:vAlign w:val="bottom"/>
          </w:tcPr>
          <w:p w14:paraId="0F5E1557" w14:textId="77777777" w:rsidR="00221D6D" w:rsidRPr="00221D6D" w:rsidRDefault="00221D6D" w:rsidP="00221D6D">
            <w:pPr>
              <w:jc w:val="center"/>
              <w:rPr>
                <w:rFonts w:eastAsia="Arial Unicode MS"/>
                <w:sz w:val="20"/>
                <w:szCs w:val="20"/>
              </w:rPr>
            </w:pPr>
            <w:r w:rsidRPr="00221D6D">
              <w:rPr>
                <w:sz w:val="20"/>
                <w:szCs w:val="20"/>
              </w:rPr>
              <w:t>26,7</w:t>
            </w:r>
          </w:p>
        </w:tc>
        <w:tc>
          <w:tcPr>
            <w:tcW w:w="610" w:type="dxa"/>
            <w:vAlign w:val="bottom"/>
          </w:tcPr>
          <w:p w14:paraId="276571F0" w14:textId="77777777" w:rsidR="00221D6D" w:rsidRPr="00221D6D" w:rsidRDefault="00221D6D" w:rsidP="00221D6D">
            <w:pPr>
              <w:jc w:val="center"/>
              <w:rPr>
                <w:sz w:val="20"/>
                <w:szCs w:val="20"/>
              </w:rPr>
            </w:pPr>
            <w:r w:rsidRPr="00221D6D">
              <w:rPr>
                <w:sz w:val="20"/>
                <w:szCs w:val="20"/>
              </w:rPr>
              <w:t>14,2</w:t>
            </w:r>
          </w:p>
        </w:tc>
        <w:tc>
          <w:tcPr>
            <w:tcW w:w="609" w:type="dxa"/>
            <w:vAlign w:val="bottom"/>
          </w:tcPr>
          <w:p w14:paraId="79D0DB07" w14:textId="77777777" w:rsidR="00221D6D" w:rsidRPr="00221D6D" w:rsidRDefault="00221D6D" w:rsidP="00221D6D">
            <w:pPr>
              <w:jc w:val="center"/>
              <w:rPr>
                <w:rFonts w:eastAsia="Arial Unicode MS"/>
                <w:sz w:val="20"/>
                <w:szCs w:val="20"/>
              </w:rPr>
            </w:pPr>
            <w:r w:rsidRPr="00221D6D">
              <w:rPr>
                <w:sz w:val="20"/>
                <w:szCs w:val="20"/>
                <w:lang w:val="en-US"/>
              </w:rPr>
              <w:t>1</w:t>
            </w:r>
            <w:r w:rsidRPr="00221D6D">
              <w:rPr>
                <w:sz w:val="20"/>
                <w:szCs w:val="20"/>
              </w:rPr>
              <w:t>7,6</w:t>
            </w:r>
          </w:p>
        </w:tc>
        <w:tc>
          <w:tcPr>
            <w:tcW w:w="610" w:type="dxa"/>
            <w:vAlign w:val="bottom"/>
          </w:tcPr>
          <w:p w14:paraId="5C6F8963" w14:textId="77777777" w:rsidR="00221D6D" w:rsidRPr="00221D6D" w:rsidRDefault="00221D6D" w:rsidP="00221D6D">
            <w:pPr>
              <w:jc w:val="center"/>
              <w:rPr>
                <w:sz w:val="20"/>
                <w:szCs w:val="20"/>
                <w:lang w:val="en-US"/>
              </w:rPr>
            </w:pPr>
            <w:r w:rsidRPr="00221D6D">
              <w:rPr>
                <w:sz w:val="20"/>
                <w:szCs w:val="20"/>
                <w:lang w:val="en-US"/>
              </w:rPr>
              <w:t>14,4</w:t>
            </w:r>
          </w:p>
        </w:tc>
        <w:tc>
          <w:tcPr>
            <w:tcW w:w="609" w:type="dxa"/>
            <w:vAlign w:val="bottom"/>
          </w:tcPr>
          <w:p w14:paraId="3DF67FE5" w14:textId="77777777" w:rsidR="00221D6D" w:rsidRPr="00221D6D" w:rsidRDefault="00221D6D" w:rsidP="00221D6D">
            <w:pPr>
              <w:jc w:val="center"/>
              <w:rPr>
                <w:sz w:val="20"/>
                <w:szCs w:val="20"/>
                <w:lang w:val="en-US"/>
              </w:rPr>
            </w:pPr>
            <w:r w:rsidRPr="00221D6D">
              <w:rPr>
                <w:sz w:val="20"/>
                <w:szCs w:val="20"/>
              </w:rPr>
              <w:t>10</w:t>
            </w:r>
            <w:r w:rsidRPr="00221D6D">
              <w:rPr>
                <w:sz w:val="20"/>
                <w:szCs w:val="20"/>
                <w:lang w:val="en-US"/>
              </w:rPr>
              <w:t>,0</w:t>
            </w:r>
          </w:p>
        </w:tc>
        <w:tc>
          <w:tcPr>
            <w:tcW w:w="610" w:type="dxa"/>
            <w:vAlign w:val="bottom"/>
          </w:tcPr>
          <w:p w14:paraId="3495415E" w14:textId="77777777" w:rsidR="00221D6D" w:rsidRPr="00221D6D" w:rsidRDefault="00221D6D" w:rsidP="00221D6D">
            <w:pPr>
              <w:jc w:val="center"/>
              <w:rPr>
                <w:sz w:val="20"/>
                <w:szCs w:val="20"/>
              </w:rPr>
            </w:pPr>
            <w:r w:rsidRPr="00221D6D">
              <w:rPr>
                <w:sz w:val="20"/>
                <w:szCs w:val="20"/>
              </w:rPr>
              <w:t>3</w:t>
            </w:r>
            <w:r w:rsidRPr="00221D6D">
              <w:rPr>
                <w:sz w:val="20"/>
                <w:szCs w:val="20"/>
                <w:lang w:val="en-US"/>
              </w:rPr>
              <w:t>,</w:t>
            </w:r>
            <w:r w:rsidRPr="00221D6D">
              <w:rPr>
                <w:sz w:val="20"/>
                <w:szCs w:val="20"/>
              </w:rPr>
              <w:t>6</w:t>
            </w:r>
          </w:p>
        </w:tc>
        <w:tc>
          <w:tcPr>
            <w:tcW w:w="609" w:type="dxa"/>
            <w:vAlign w:val="bottom"/>
          </w:tcPr>
          <w:p w14:paraId="5CF9906F" w14:textId="77777777" w:rsidR="00221D6D" w:rsidRPr="00221D6D" w:rsidRDefault="00221D6D" w:rsidP="00221D6D">
            <w:pPr>
              <w:jc w:val="center"/>
              <w:rPr>
                <w:sz w:val="20"/>
                <w:szCs w:val="20"/>
              </w:rPr>
            </w:pPr>
            <w:r w:rsidRPr="00221D6D">
              <w:rPr>
                <w:sz w:val="20"/>
                <w:szCs w:val="20"/>
              </w:rPr>
              <w:t>3</w:t>
            </w:r>
            <w:r w:rsidRPr="00221D6D">
              <w:rPr>
                <w:sz w:val="20"/>
                <w:szCs w:val="20"/>
                <w:lang w:val="en-US"/>
              </w:rPr>
              <w:t>,</w:t>
            </w:r>
            <w:r w:rsidRPr="00221D6D">
              <w:rPr>
                <w:sz w:val="20"/>
                <w:szCs w:val="20"/>
              </w:rPr>
              <w:t>9</w:t>
            </w:r>
          </w:p>
        </w:tc>
        <w:tc>
          <w:tcPr>
            <w:tcW w:w="610" w:type="dxa"/>
            <w:vAlign w:val="bottom"/>
          </w:tcPr>
          <w:p w14:paraId="6D26D1A1" w14:textId="77777777" w:rsidR="00221D6D" w:rsidRPr="00221D6D" w:rsidRDefault="00221D6D" w:rsidP="00221D6D">
            <w:pPr>
              <w:jc w:val="center"/>
              <w:rPr>
                <w:sz w:val="20"/>
                <w:szCs w:val="20"/>
              </w:rPr>
            </w:pPr>
            <w:r w:rsidRPr="00221D6D">
              <w:rPr>
                <w:sz w:val="20"/>
                <w:szCs w:val="20"/>
              </w:rPr>
              <w:t>3,7</w:t>
            </w:r>
          </w:p>
        </w:tc>
      </w:tr>
      <w:tr w:rsidR="00221D6D" w:rsidRPr="00221D6D" w14:paraId="3F68CE83" w14:textId="77777777" w:rsidTr="005C2605">
        <w:trPr>
          <w:trHeight w:val="20"/>
        </w:trPr>
        <w:tc>
          <w:tcPr>
            <w:tcW w:w="3119" w:type="dxa"/>
          </w:tcPr>
          <w:p w14:paraId="45700DF2" w14:textId="77777777" w:rsidR="00221D6D" w:rsidRPr="00221D6D" w:rsidRDefault="00221D6D" w:rsidP="00A911FD">
            <w:pPr>
              <w:ind w:left="426" w:hanging="426"/>
              <w:rPr>
                <w:sz w:val="20"/>
                <w:szCs w:val="20"/>
              </w:rPr>
            </w:pPr>
            <w:r w:rsidRPr="00221D6D">
              <w:rPr>
                <w:sz w:val="20"/>
                <w:szCs w:val="20"/>
              </w:rPr>
              <w:t>0412 Другие вопросы в области национальной экономики</w:t>
            </w:r>
          </w:p>
        </w:tc>
        <w:tc>
          <w:tcPr>
            <w:tcW w:w="609" w:type="dxa"/>
            <w:vAlign w:val="bottom"/>
          </w:tcPr>
          <w:p w14:paraId="76D3C717" w14:textId="77777777" w:rsidR="00221D6D" w:rsidRPr="00221D6D" w:rsidRDefault="00221D6D" w:rsidP="00221D6D">
            <w:pPr>
              <w:jc w:val="center"/>
              <w:rPr>
                <w:sz w:val="20"/>
                <w:szCs w:val="20"/>
              </w:rPr>
            </w:pPr>
            <w:r w:rsidRPr="00221D6D">
              <w:rPr>
                <w:sz w:val="20"/>
                <w:szCs w:val="20"/>
              </w:rPr>
              <w:t>9,4</w:t>
            </w:r>
          </w:p>
        </w:tc>
        <w:tc>
          <w:tcPr>
            <w:tcW w:w="610" w:type="dxa"/>
            <w:vAlign w:val="bottom"/>
          </w:tcPr>
          <w:p w14:paraId="3589B6D1" w14:textId="77777777" w:rsidR="00221D6D" w:rsidRPr="00221D6D" w:rsidRDefault="00221D6D" w:rsidP="00221D6D">
            <w:pPr>
              <w:jc w:val="center"/>
              <w:rPr>
                <w:sz w:val="20"/>
                <w:szCs w:val="20"/>
              </w:rPr>
            </w:pPr>
            <w:r w:rsidRPr="00221D6D">
              <w:rPr>
                <w:sz w:val="20"/>
                <w:szCs w:val="20"/>
              </w:rPr>
              <w:t>2</w:t>
            </w:r>
            <w:r w:rsidRPr="00221D6D">
              <w:rPr>
                <w:sz w:val="20"/>
                <w:szCs w:val="20"/>
                <w:lang w:val="en-US"/>
              </w:rPr>
              <w:t>,</w:t>
            </w:r>
            <w:r w:rsidRPr="00221D6D">
              <w:rPr>
                <w:sz w:val="20"/>
                <w:szCs w:val="20"/>
              </w:rPr>
              <w:t>9</w:t>
            </w:r>
          </w:p>
        </w:tc>
        <w:tc>
          <w:tcPr>
            <w:tcW w:w="609" w:type="dxa"/>
            <w:vAlign w:val="bottom"/>
          </w:tcPr>
          <w:p w14:paraId="7F373455" w14:textId="77777777" w:rsidR="00221D6D" w:rsidRPr="00221D6D" w:rsidRDefault="00221D6D" w:rsidP="00221D6D">
            <w:pPr>
              <w:jc w:val="center"/>
              <w:rPr>
                <w:rFonts w:eastAsia="Arial Unicode MS"/>
                <w:sz w:val="20"/>
                <w:szCs w:val="20"/>
              </w:rPr>
            </w:pPr>
            <w:r w:rsidRPr="00221D6D">
              <w:rPr>
                <w:sz w:val="20"/>
                <w:szCs w:val="20"/>
              </w:rPr>
              <w:t>8,0</w:t>
            </w:r>
          </w:p>
        </w:tc>
        <w:tc>
          <w:tcPr>
            <w:tcW w:w="610" w:type="dxa"/>
            <w:vAlign w:val="bottom"/>
          </w:tcPr>
          <w:p w14:paraId="03DF9ADE" w14:textId="77777777" w:rsidR="00221D6D" w:rsidRPr="00221D6D" w:rsidRDefault="00221D6D" w:rsidP="00221D6D">
            <w:pPr>
              <w:jc w:val="center"/>
              <w:rPr>
                <w:sz w:val="20"/>
                <w:szCs w:val="20"/>
              </w:rPr>
            </w:pPr>
            <w:r w:rsidRPr="00221D6D">
              <w:rPr>
                <w:sz w:val="20"/>
                <w:szCs w:val="20"/>
              </w:rPr>
              <w:t>17</w:t>
            </w:r>
            <w:r w:rsidRPr="00221D6D">
              <w:rPr>
                <w:sz w:val="20"/>
                <w:szCs w:val="20"/>
                <w:lang w:val="en-US"/>
              </w:rPr>
              <w:t>,</w:t>
            </w:r>
            <w:r w:rsidRPr="00221D6D">
              <w:rPr>
                <w:sz w:val="20"/>
                <w:szCs w:val="20"/>
              </w:rPr>
              <w:t>3</w:t>
            </w:r>
          </w:p>
        </w:tc>
        <w:tc>
          <w:tcPr>
            <w:tcW w:w="609" w:type="dxa"/>
            <w:vAlign w:val="bottom"/>
          </w:tcPr>
          <w:p w14:paraId="3444DF09" w14:textId="77777777" w:rsidR="00221D6D" w:rsidRPr="00221D6D" w:rsidRDefault="00221D6D" w:rsidP="00221D6D">
            <w:pPr>
              <w:jc w:val="center"/>
              <w:rPr>
                <w:rFonts w:eastAsia="Arial Unicode MS"/>
                <w:sz w:val="20"/>
                <w:szCs w:val="20"/>
              </w:rPr>
            </w:pPr>
            <w:r w:rsidRPr="00221D6D">
              <w:rPr>
                <w:sz w:val="20"/>
                <w:szCs w:val="20"/>
              </w:rPr>
              <w:t>18,2</w:t>
            </w:r>
          </w:p>
        </w:tc>
        <w:tc>
          <w:tcPr>
            <w:tcW w:w="610" w:type="dxa"/>
            <w:vAlign w:val="bottom"/>
          </w:tcPr>
          <w:p w14:paraId="512D3270" w14:textId="77777777" w:rsidR="00221D6D" w:rsidRPr="00221D6D" w:rsidRDefault="00221D6D" w:rsidP="00221D6D">
            <w:pPr>
              <w:jc w:val="center"/>
              <w:rPr>
                <w:sz w:val="20"/>
                <w:szCs w:val="20"/>
                <w:lang w:val="en-US"/>
              </w:rPr>
            </w:pPr>
            <w:r w:rsidRPr="00221D6D">
              <w:rPr>
                <w:sz w:val="20"/>
                <w:szCs w:val="20"/>
                <w:lang w:val="en-US"/>
              </w:rPr>
              <w:t>16,1</w:t>
            </w:r>
          </w:p>
        </w:tc>
        <w:tc>
          <w:tcPr>
            <w:tcW w:w="609" w:type="dxa"/>
            <w:vAlign w:val="bottom"/>
          </w:tcPr>
          <w:p w14:paraId="4DF4C82E" w14:textId="77777777" w:rsidR="00221D6D" w:rsidRPr="00221D6D" w:rsidRDefault="00221D6D" w:rsidP="00221D6D">
            <w:pPr>
              <w:jc w:val="center"/>
              <w:rPr>
                <w:sz w:val="20"/>
                <w:szCs w:val="20"/>
                <w:lang w:val="en-US"/>
              </w:rPr>
            </w:pPr>
            <w:r w:rsidRPr="00221D6D">
              <w:rPr>
                <w:sz w:val="20"/>
                <w:szCs w:val="20"/>
                <w:lang w:val="en-US"/>
              </w:rPr>
              <w:t>1</w:t>
            </w:r>
            <w:r w:rsidRPr="00221D6D">
              <w:rPr>
                <w:sz w:val="20"/>
                <w:szCs w:val="20"/>
              </w:rPr>
              <w:t>1</w:t>
            </w:r>
            <w:r w:rsidRPr="00221D6D">
              <w:rPr>
                <w:sz w:val="20"/>
                <w:szCs w:val="20"/>
                <w:lang w:val="en-US"/>
              </w:rPr>
              <w:t>,6</w:t>
            </w:r>
          </w:p>
        </w:tc>
        <w:tc>
          <w:tcPr>
            <w:tcW w:w="610" w:type="dxa"/>
            <w:vAlign w:val="bottom"/>
          </w:tcPr>
          <w:p w14:paraId="42B07037" w14:textId="77777777" w:rsidR="00221D6D" w:rsidRPr="00221D6D" w:rsidRDefault="00221D6D" w:rsidP="00221D6D">
            <w:pPr>
              <w:jc w:val="center"/>
              <w:rPr>
                <w:sz w:val="20"/>
                <w:szCs w:val="20"/>
              </w:rPr>
            </w:pPr>
            <w:r w:rsidRPr="00221D6D">
              <w:rPr>
                <w:sz w:val="20"/>
                <w:szCs w:val="20"/>
              </w:rPr>
              <w:t>13</w:t>
            </w:r>
            <w:r w:rsidRPr="00221D6D">
              <w:rPr>
                <w:sz w:val="20"/>
                <w:szCs w:val="20"/>
                <w:lang w:val="en-US"/>
              </w:rPr>
              <w:t>,</w:t>
            </w:r>
            <w:r w:rsidRPr="00221D6D">
              <w:rPr>
                <w:sz w:val="20"/>
                <w:szCs w:val="20"/>
              </w:rPr>
              <w:t>0</w:t>
            </w:r>
          </w:p>
        </w:tc>
        <w:tc>
          <w:tcPr>
            <w:tcW w:w="609" w:type="dxa"/>
            <w:vAlign w:val="bottom"/>
          </w:tcPr>
          <w:p w14:paraId="05CDD037" w14:textId="77777777" w:rsidR="00221D6D" w:rsidRPr="00221D6D" w:rsidRDefault="00221D6D" w:rsidP="00221D6D">
            <w:pPr>
              <w:jc w:val="center"/>
              <w:rPr>
                <w:sz w:val="20"/>
                <w:szCs w:val="20"/>
              </w:rPr>
            </w:pPr>
            <w:r w:rsidRPr="00221D6D">
              <w:rPr>
                <w:sz w:val="20"/>
                <w:szCs w:val="20"/>
              </w:rPr>
              <w:t>7</w:t>
            </w:r>
            <w:r w:rsidRPr="00221D6D">
              <w:rPr>
                <w:sz w:val="20"/>
                <w:szCs w:val="20"/>
                <w:lang w:val="en-US"/>
              </w:rPr>
              <w:t>,</w:t>
            </w:r>
            <w:r w:rsidRPr="00221D6D">
              <w:rPr>
                <w:sz w:val="20"/>
                <w:szCs w:val="20"/>
              </w:rPr>
              <w:t>8</w:t>
            </w:r>
          </w:p>
        </w:tc>
        <w:tc>
          <w:tcPr>
            <w:tcW w:w="610" w:type="dxa"/>
            <w:vAlign w:val="bottom"/>
          </w:tcPr>
          <w:p w14:paraId="43B9867A" w14:textId="77777777" w:rsidR="00221D6D" w:rsidRPr="00221D6D" w:rsidRDefault="00221D6D" w:rsidP="00221D6D">
            <w:pPr>
              <w:jc w:val="center"/>
              <w:rPr>
                <w:sz w:val="20"/>
                <w:szCs w:val="20"/>
              </w:rPr>
            </w:pPr>
            <w:r w:rsidRPr="00221D6D">
              <w:rPr>
                <w:sz w:val="20"/>
                <w:szCs w:val="20"/>
              </w:rPr>
              <w:t>9,4</w:t>
            </w:r>
          </w:p>
        </w:tc>
      </w:tr>
      <w:tr w:rsidR="00221D6D" w:rsidRPr="00221D6D" w14:paraId="4E21052C" w14:textId="77777777" w:rsidTr="005C2605">
        <w:trPr>
          <w:trHeight w:val="20"/>
        </w:trPr>
        <w:tc>
          <w:tcPr>
            <w:tcW w:w="3119" w:type="dxa"/>
          </w:tcPr>
          <w:p w14:paraId="32C7496A" w14:textId="77777777" w:rsidR="00221D6D" w:rsidRPr="00221D6D" w:rsidRDefault="00221D6D" w:rsidP="00A911FD">
            <w:pPr>
              <w:ind w:left="431" w:hanging="431"/>
              <w:rPr>
                <w:sz w:val="20"/>
                <w:szCs w:val="20"/>
              </w:rPr>
            </w:pPr>
            <w:r w:rsidRPr="00221D6D">
              <w:rPr>
                <w:sz w:val="20"/>
                <w:szCs w:val="20"/>
              </w:rPr>
              <w:t>0500 ЖИЛИЩНО-КОММУНАЛЬНОЕ ХОЗЯЙСТВО</w:t>
            </w:r>
          </w:p>
        </w:tc>
        <w:tc>
          <w:tcPr>
            <w:tcW w:w="609" w:type="dxa"/>
            <w:vAlign w:val="bottom"/>
          </w:tcPr>
          <w:p w14:paraId="22582879" w14:textId="77777777" w:rsidR="00221D6D" w:rsidRPr="00221D6D" w:rsidRDefault="00221D6D" w:rsidP="00221D6D">
            <w:pPr>
              <w:jc w:val="center"/>
              <w:rPr>
                <w:sz w:val="20"/>
                <w:szCs w:val="20"/>
              </w:rPr>
            </w:pPr>
            <w:r w:rsidRPr="00221D6D">
              <w:rPr>
                <w:sz w:val="20"/>
                <w:szCs w:val="20"/>
              </w:rPr>
              <w:t>9,1</w:t>
            </w:r>
          </w:p>
        </w:tc>
        <w:tc>
          <w:tcPr>
            <w:tcW w:w="610" w:type="dxa"/>
            <w:vAlign w:val="bottom"/>
          </w:tcPr>
          <w:p w14:paraId="2B156FF1" w14:textId="77777777" w:rsidR="00221D6D" w:rsidRPr="00221D6D" w:rsidRDefault="00221D6D" w:rsidP="00221D6D">
            <w:pPr>
              <w:jc w:val="center"/>
              <w:rPr>
                <w:sz w:val="20"/>
                <w:szCs w:val="20"/>
                <w:lang w:val="en-US"/>
              </w:rPr>
            </w:pPr>
            <w:r w:rsidRPr="00221D6D">
              <w:rPr>
                <w:sz w:val="20"/>
                <w:szCs w:val="20"/>
              </w:rPr>
              <w:t>9</w:t>
            </w:r>
            <w:r w:rsidRPr="00221D6D">
              <w:rPr>
                <w:sz w:val="20"/>
                <w:szCs w:val="20"/>
                <w:lang w:val="en-US"/>
              </w:rPr>
              <w:t>,</w:t>
            </w:r>
            <w:r w:rsidRPr="00221D6D">
              <w:rPr>
                <w:sz w:val="20"/>
                <w:szCs w:val="20"/>
              </w:rPr>
              <w:t>7</w:t>
            </w:r>
          </w:p>
        </w:tc>
        <w:tc>
          <w:tcPr>
            <w:tcW w:w="609" w:type="dxa"/>
            <w:vAlign w:val="bottom"/>
          </w:tcPr>
          <w:p w14:paraId="70743D0D" w14:textId="77777777" w:rsidR="00221D6D" w:rsidRPr="00221D6D" w:rsidRDefault="00221D6D" w:rsidP="00221D6D">
            <w:pPr>
              <w:jc w:val="center"/>
              <w:rPr>
                <w:rFonts w:eastAsia="Arial Unicode MS"/>
                <w:sz w:val="20"/>
                <w:szCs w:val="20"/>
              </w:rPr>
            </w:pPr>
            <w:r w:rsidRPr="00221D6D">
              <w:rPr>
                <w:sz w:val="20"/>
                <w:szCs w:val="20"/>
              </w:rPr>
              <w:t>4,3</w:t>
            </w:r>
          </w:p>
        </w:tc>
        <w:tc>
          <w:tcPr>
            <w:tcW w:w="610" w:type="dxa"/>
            <w:vAlign w:val="bottom"/>
          </w:tcPr>
          <w:p w14:paraId="36570705" w14:textId="77777777" w:rsidR="00221D6D" w:rsidRPr="00221D6D" w:rsidRDefault="00221D6D" w:rsidP="00221D6D">
            <w:pPr>
              <w:jc w:val="center"/>
              <w:rPr>
                <w:sz w:val="20"/>
                <w:szCs w:val="20"/>
                <w:lang w:val="en-US"/>
              </w:rPr>
            </w:pPr>
            <w:r w:rsidRPr="00221D6D">
              <w:rPr>
                <w:sz w:val="20"/>
                <w:szCs w:val="20"/>
              </w:rPr>
              <w:t>7</w:t>
            </w:r>
            <w:r w:rsidRPr="00221D6D">
              <w:rPr>
                <w:sz w:val="20"/>
                <w:szCs w:val="20"/>
                <w:lang w:val="en-US"/>
              </w:rPr>
              <w:t>,</w:t>
            </w:r>
            <w:r w:rsidRPr="00221D6D">
              <w:rPr>
                <w:sz w:val="20"/>
                <w:szCs w:val="20"/>
              </w:rPr>
              <w:t>8</w:t>
            </w:r>
          </w:p>
        </w:tc>
        <w:tc>
          <w:tcPr>
            <w:tcW w:w="609" w:type="dxa"/>
            <w:vAlign w:val="bottom"/>
          </w:tcPr>
          <w:p w14:paraId="43B528DA" w14:textId="77777777" w:rsidR="00221D6D" w:rsidRPr="00221D6D" w:rsidRDefault="00221D6D" w:rsidP="00221D6D">
            <w:pPr>
              <w:jc w:val="center"/>
              <w:rPr>
                <w:rFonts w:eastAsia="Arial Unicode MS"/>
                <w:sz w:val="20"/>
                <w:szCs w:val="20"/>
              </w:rPr>
            </w:pPr>
            <w:r w:rsidRPr="00221D6D">
              <w:rPr>
                <w:sz w:val="20"/>
                <w:szCs w:val="20"/>
              </w:rPr>
              <w:t>1,4</w:t>
            </w:r>
          </w:p>
        </w:tc>
        <w:tc>
          <w:tcPr>
            <w:tcW w:w="610" w:type="dxa"/>
            <w:vAlign w:val="bottom"/>
          </w:tcPr>
          <w:p w14:paraId="17ED0B77" w14:textId="77777777" w:rsidR="00221D6D" w:rsidRPr="00221D6D" w:rsidRDefault="00221D6D" w:rsidP="00221D6D">
            <w:pPr>
              <w:jc w:val="center"/>
              <w:rPr>
                <w:sz w:val="20"/>
                <w:szCs w:val="20"/>
                <w:lang w:val="en-US"/>
              </w:rPr>
            </w:pPr>
            <w:r w:rsidRPr="00221D6D">
              <w:rPr>
                <w:sz w:val="20"/>
                <w:szCs w:val="20"/>
              </w:rPr>
              <w:t>0</w:t>
            </w:r>
            <w:r w:rsidRPr="00221D6D">
              <w:rPr>
                <w:sz w:val="20"/>
                <w:szCs w:val="20"/>
                <w:lang w:val="en-US"/>
              </w:rPr>
              <w:t>,3</w:t>
            </w:r>
          </w:p>
        </w:tc>
        <w:tc>
          <w:tcPr>
            <w:tcW w:w="609" w:type="dxa"/>
            <w:vAlign w:val="bottom"/>
          </w:tcPr>
          <w:p w14:paraId="7BDD86A7" w14:textId="77777777" w:rsidR="00221D6D" w:rsidRPr="00221D6D" w:rsidRDefault="00221D6D" w:rsidP="00221D6D">
            <w:pPr>
              <w:jc w:val="center"/>
              <w:rPr>
                <w:sz w:val="20"/>
                <w:szCs w:val="20"/>
                <w:lang w:val="en-US"/>
              </w:rPr>
            </w:pPr>
            <w:r w:rsidRPr="00221D6D">
              <w:rPr>
                <w:sz w:val="20"/>
                <w:szCs w:val="20"/>
                <w:lang w:val="en-US"/>
              </w:rPr>
              <w:t>0,9</w:t>
            </w:r>
          </w:p>
        </w:tc>
        <w:tc>
          <w:tcPr>
            <w:tcW w:w="610" w:type="dxa"/>
            <w:vAlign w:val="bottom"/>
          </w:tcPr>
          <w:p w14:paraId="7C83BE3C" w14:textId="77777777" w:rsidR="00221D6D" w:rsidRPr="00221D6D" w:rsidRDefault="00221D6D" w:rsidP="00221D6D">
            <w:pPr>
              <w:jc w:val="center"/>
              <w:rPr>
                <w:sz w:val="20"/>
                <w:szCs w:val="20"/>
              </w:rPr>
            </w:pPr>
            <w:r w:rsidRPr="00221D6D">
              <w:rPr>
                <w:sz w:val="20"/>
                <w:szCs w:val="20"/>
                <w:lang w:val="en-US"/>
              </w:rPr>
              <w:t>1,</w:t>
            </w:r>
            <w:r w:rsidRPr="00221D6D">
              <w:rPr>
                <w:sz w:val="20"/>
                <w:szCs w:val="20"/>
              </w:rPr>
              <w:t>3</w:t>
            </w:r>
          </w:p>
        </w:tc>
        <w:tc>
          <w:tcPr>
            <w:tcW w:w="609" w:type="dxa"/>
            <w:vAlign w:val="bottom"/>
          </w:tcPr>
          <w:p w14:paraId="6525F084" w14:textId="77777777" w:rsidR="00221D6D" w:rsidRPr="00221D6D" w:rsidRDefault="00221D6D" w:rsidP="00221D6D">
            <w:pPr>
              <w:jc w:val="center"/>
              <w:rPr>
                <w:sz w:val="20"/>
                <w:szCs w:val="20"/>
              </w:rPr>
            </w:pPr>
            <w:r w:rsidRPr="00221D6D">
              <w:rPr>
                <w:sz w:val="20"/>
                <w:szCs w:val="20"/>
                <w:lang w:val="en-US"/>
              </w:rPr>
              <w:t>1,</w:t>
            </w:r>
            <w:r w:rsidRPr="00221D6D">
              <w:rPr>
                <w:sz w:val="20"/>
                <w:szCs w:val="20"/>
              </w:rPr>
              <w:t>1</w:t>
            </w:r>
          </w:p>
        </w:tc>
        <w:tc>
          <w:tcPr>
            <w:tcW w:w="610" w:type="dxa"/>
            <w:vAlign w:val="bottom"/>
          </w:tcPr>
          <w:p w14:paraId="7B88E75E" w14:textId="77777777" w:rsidR="00221D6D" w:rsidRPr="00221D6D" w:rsidRDefault="00221D6D" w:rsidP="00221D6D">
            <w:pPr>
              <w:jc w:val="center"/>
              <w:rPr>
                <w:sz w:val="20"/>
                <w:szCs w:val="20"/>
              </w:rPr>
            </w:pPr>
            <w:r w:rsidRPr="00221D6D">
              <w:rPr>
                <w:sz w:val="20"/>
                <w:szCs w:val="20"/>
              </w:rPr>
              <w:t>0,6</w:t>
            </w:r>
          </w:p>
        </w:tc>
      </w:tr>
      <w:tr w:rsidR="00221D6D" w:rsidRPr="00221D6D" w14:paraId="0E4ED9CF" w14:textId="77777777" w:rsidTr="005C2605">
        <w:trPr>
          <w:trHeight w:val="20"/>
        </w:trPr>
        <w:tc>
          <w:tcPr>
            <w:tcW w:w="3119" w:type="dxa"/>
          </w:tcPr>
          <w:p w14:paraId="63D044EB" w14:textId="77777777" w:rsidR="00221D6D" w:rsidRPr="00221D6D" w:rsidRDefault="00221D6D" w:rsidP="00A911FD">
            <w:pPr>
              <w:rPr>
                <w:sz w:val="20"/>
                <w:szCs w:val="20"/>
              </w:rPr>
            </w:pPr>
            <w:r w:rsidRPr="00221D6D">
              <w:rPr>
                <w:sz w:val="20"/>
                <w:szCs w:val="20"/>
              </w:rPr>
              <w:t>0501 Жилищное хозяйство</w:t>
            </w:r>
          </w:p>
        </w:tc>
        <w:tc>
          <w:tcPr>
            <w:tcW w:w="609" w:type="dxa"/>
            <w:vAlign w:val="bottom"/>
          </w:tcPr>
          <w:p w14:paraId="47F0E6B4" w14:textId="77777777" w:rsidR="00221D6D" w:rsidRPr="00221D6D" w:rsidRDefault="00221D6D" w:rsidP="00221D6D">
            <w:pPr>
              <w:jc w:val="center"/>
              <w:rPr>
                <w:sz w:val="20"/>
                <w:szCs w:val="20"/>
              </w:rPr>
            </w:pPr>
            <w:r w:rsidRPr="00221D6D">
              <w:rPr>
                <w:sz w:val="20"/>
                <w:szCs w:val="20"/>
              </w:rPr>
              <w:t>16,8</w:t>
            </w:r>
          </w:p>
        </w:tc>
        <w:tc>
          <w:tcPr>
            <w:tcW w:w="610" w:type="dxa"/>
            <w:vAlign w:val="bottom"/>
          </w:tcPr>
          <w:p w14:paraId="7FCF607A" w14:textId="77777777" w:rsidR="00221D6D" w:rsidRPr="00221D6D" w:rsidRDefault="00221D6D" w:rsidP="00221D6D">
            <w:pPr>
              <w:jc w:val="center"/>
              <w:rPr>
                <w:sz w:val="20"/>
                <w:szCs w:val="20"/>
                <w:lang w:val="en-US"/>
              </w:rPr>
            </w:pPr>
            <w:r w:rsidRPr="00221D6D">
              <w:rPr>
                <w:sz w:val="20"/>
                <w:szCs w:val="20"/>
                <w:lang w:val="en-US"/>
              </w:rPr>
              <w:t>2</w:t>
            </w:r>
            <w:r w:rsidRPr="00221D6D">
              <w:rPr>
                <w:sz w:val="20"/>
                <w:szCs w:val="20"/>
              </w:rPr>
              <w:t>5</w:t>
            </w:r>
            <w:r w:rsidRPr="00221D6D">
              <w:rPr>
                <w:sz w:val="20"/>
                <w:szCs w:val="20"/>
                <w:lang w:val="en-US"/>
              </w:rPr>
              <w:t>,</w:t>
            </w:r>
            <w:r w:rsidRPr="00221D6D">
              <w:rPr>
                <w:sz w:val="20"/>
                <w:szCs w:val="20"/>
              </w:rPr>
              <w:t>0</w:t>
            </w:r>
          </w:p>
        </w:tc>
        <w:tc>
          <w:tcPr>
            <w:tcW w:w="609" w:type="dxa"/>
            <w:vAlign w:val="bottom"/>
          </w:tcPr>
          <w:p w14:paraId="51B52766" w14:textId="77777777" w:rsidR="00221D6D" w:rsidRPr="00221D6D" w:rsidRDefault="00221D6D" w:rsidP="00221D6D">
            <w:pPr>
              <w:jc w:val="center"/>
              <w:rPr>
                <w:rFonts w:eastAsia="Arial Unicode MS"/>
                <w:sz w:val="20"/>
                <w:szCs w:val="20"/>
              </w:rPr>
            </w:pPr>
            <w:r w:rsidRPr="00221D6D">
              <w:rPr>
                <w:sz w:val="20"/>
                <w:szCs w:val="20"/>
                <w:lang w:val="en-US"/>
              </w:rPr>
              <w:t>1</w:t>
            </w:r>
            <w:r w:rsidRPr="00221D6D">
              <w:rPr>
                <w:sz w:val="20"/>
                <w:szCs w:val="20"/>
              </w:rPr>
              <w:t>2,0</w:t>
            </w:r>
          </w:p>
        </w:tc>
        <w:tc>
          <w:tcPr>
            <w:tcW w:w="610" w:type="dxa"/>
            <w:vAlign w:val="bottom"/>
          </w:tcPr>
          <w:p w14:paraId="2DB5504B" w14:textId="77777777" w:rsidR="00221D6D" w:rsidRPr="00221D6D" w:rsidRDefault="00221D6D" w:rsidP="00221D6D">
            <w:pPr>
              <w:jc w:val="center"/>
              <w:rPr>
                <w:sz w:val="20"/>
                <w:szCs w:val="20"/>
                <w:lang w:val="en-US"/>
              </w:rPr>
            </w:pPr>
            <w:r w:rsidRPr="00221D6D">
              <w:rPr>
                <w:sz w:val="20"/>
                <w:szCs w:val="20"/>
                <w:lang w:val="en-US"/>
              </w:rPr>
              <w:t>2</w:t>
            </w:r>
            <w:r w:rsidRPr="00221D6D">
              <w:rPr>
                <w:sz w:val="20"/>
                <w:szCs w:val="20"/>
              </w:rPr>
              <w:t>2</w:t>
            </w:r>
            <w:r w:rsidRPr="00221D6D">
              <w:rPr>
                <w:sz w:val="20"/>
                <w:szCs w:val="20"/>
                <w:lang w:val="en-US"/>
              </w:rPr>
              <w:t>,</w:t>
            </w:r>
            <w:r w:rsidRPr="00221D6D">
              <w:rPr>
                <w:sz w:val="20"/>
                <w:szCs w:val="20"/>
              </w:rPr>
              <w:t>3</w:t>
            </w:r>
          </w:p>
        </w:tc>
        <w:tc>
          <w:tcPr>
            <w:tcW w:w="609" w:type="dxa"/>
            <w:vAlign w:val="bottom"/>
          </w:tcPr>
          <w:p w14:paraId="1FD617BA" w14:textId="77777777" w:rsidR="00221D6D" w:rsidRPr="00221D6D" w:rsidRDefault="00221D6D" w:rsidP="00221D6D">
            <w:pPr>
              <w:jc w:val="center"/>
              <w:rPr>
                <w:rFonts w:eastAsia="Arial Unicode MS"/>
                <w:sz w:val="20"/>
                <w:szCs w:val="20"/>
              </w:rPr>
            </w:pPr>
            <w:r w:rsidRPr="00221D6D">
              <w:rPr>
                <w:sz w:val="20"/>
                <w:szCs w:val="20"/>
              </w:rPr>
              <w:t>7,7</w:t>
            </w:r>
          </w:p>
        </w:tc>
        <w:tc>
          <w:tcPr>
            <w:tcW w:w="610" w:type="dxa"/>
            <w:vAlign w:val="bottom"/>
          </w:tcPr>
          <w:p w14:paraId="7359032C" w14:textId="77777777" w:rsidR="00221D6D" w:rsidRPr="00221D6D" w:rsidRDefault="00221D6D" w:rsidP="00221D6D">
            <w:pPr>
              <w:jc w:val="center"/>
              <w:rPr>
                <w:sz w:val="20"/>
                <w:szCs w:val="20"/>
                <w:lang w:val="en-US"/>
              </w:rPr>
            </w:pPr>
            <w:r w:rsidRPr="00221D6D">
              <w:rPr>
                <w:sz w:val="20"/>
                <w:szCs w:val="20"/>
                <w:lang w:val="en-US"/>
              </w:rPr>
              <w:t>1,8</w:t>
            </w:r>
          </w:p>
        </w:tc>
        <w:tc>
          <w:tcPr>
            <w:tcW w:w="609" w:type="dxa"/>
            <w:vAlign w:val="bottom"/>
          </w:tcPr>
          <w:p w14:paraId="38DBAF90" w14:textId="77777777" w:rsidR="00221D6D" w:rsidRPr="00221D6D" w:rsidRDefault="00221D6D" w:rsidP="00221D6D">
            <w:pPr>
              <w:jc w:val="center"/>
              <w:rPr>
                <w:sz w:val="20"/>
                <w:szCs w:val="20"/>
                <w:lang w:val="en-US"/>
              </w:rPr>
            </w:pPr>
            <w:r w:rsidRPr="00221D6D">
              <w:rPr>
                <w:sz w:val="20"/>
                <w:szCs w:val="20"/>
                <w:lang w:val="en-US"/>
              </w:rPr>
              <w:t>7,5</w:t>
            </w:r>
          </w:p>
        </w:tc>
        <w:tc>
          <w:tcPr>
            <w:tcW w:w="610" w:type="dxa"/>
            <w:vAlign w:val="bottom"/>
          </w:tcPr>
          <w:p w14:paraId="5EEAF576" w14:textId="77777777" w:rsidR="00221D6D" w:rsidRPr="00221D6D" w:rsidRDefault="00221D6D" w:rsidP="00221D6D">
            <w:pPr>
              <w:jc w:val="center"/>
              <w:rPr>
                <w:sz w:val="20"/>
                <w:szCs w:val="20"/>
              </w:rPr>
            </w:pPr>
            <w:r w:rsidRPr="00221D6D">
              <w:rPr>
                <w:sz w:val="20"/>
                <w:szCs w:val="20"/>
              </w:rPr>
              <w:t>9</w:t>
            </w:r>
            <w:r w:rsidRPr="00221D6D">
              <w:rPr>
                <w:sz w:val="20"/>
                <w:szCs w:val="20"/>
                <w:lang w:val="en-US"/>
              </w:rPr>
              <w:t>,</w:t>
            </w:r>
            <w:r w:rsidRPr="00221D6D">
              <w:rPr>
                <w:sz w:val="20"/>
                <w:szCs w:val="20"/>
              </w:rPr>
              <w:t>9</w:t>
            </w:r>
          </w:p>
        </w:tc>
        <w:tc>
          <w:tcPr>
            <w:tcW w:w="609" w:type="dxa"/>
            <w:vAlign w:val="bottom"/>
          </w:tcPr>
          <w:p w14:paraId="76D79B03" w14:textId="77777777" w:rsidR="00221D6D" w:rsidRPr="00221D6D" w:rsidRDefault="00221D6D" w:rsidP="00221D6D">
            <w:pPr>
              <w:jc w:val="center"/>
              <w:rPr>
                <w:sz w:val="20"/>
                <w:szCs w:val="20"/>
              </w:rPr>
            </w:pPr>
            <w:r w:rsidRPr="00221D6D">
              <w:rPr>
                <w:sz w:val="20"/>
                <w:szCs w:val="20"/>
              </w:rPr>
              <w:t>9</w:t>
            </w:r>
            <w:r w:rsidRPr="00221D6D">
              <w:rPr>
                <w:sz w:val="20"/>
                <w:szCs w:val="20"/>
                <w:lang w:val="en-US"/>
              </w:rPr>
              <w:t>,</w:t>
            </w:r>
            <w:r w:rsidRPr="00221D6D">
              <w:rPr>
                <w:sz w:val="20"/>
                <w:szCs w:val="20"/>
              </w:rPr>
              <w:t>7</w:t>
            </w:r>
          </w:p>
        </w:tc>
        <w:tc>
          <w:tcPr>
            <w:tcW w:w="610" w:type="dxa"/>
            <w:vAlign w:val="bottom"/>
          </w:tcPr>
          <w:p w14:paraId="4862B88D" w14:textId="77777777" w:rsidR="00221D6D" w:rsidRPr="00221D6D" w:rsidRDefault="00221D6D" w:rsidP="00221D6D">
            <w:pPr>
              <w:jc w:val="center"/>
              <w:rPr>
                <w:sz w:val="20"/>
                <w:szCs w:val="20"/>
              </w:rPr>
            </w:pPr>
            <w:r w:rsidRPr="00221D6D">
              <w:rPr>
                <w:sz w:val="20"/>
                <w:szCs w:val="20"/>
              </w:rPr>
              <w:t>7,9</w:t>
            </w:r>
          </w:p>
        </w:tc>
      </w:tr>
      <w:tr w:rsidR="00221D6D" w:rsidRPr="00221D6D" w14:paraId="1E4C98FF" w14:textId="77777777" w:rsidTr="005C2605">
        <w:trPr>
          <w:trHeight w:val="20"/>
        </w:trPr>
        <w:tc>
          <w:tcPr>
            <w:tcW w:w="3119" w:type="dxa"/>
          </w:tcPr>
          <w:p w14:paraId="020692D9" w14:textId="77777777" w:rsidR="00221D6D" w:rsidRPr="00221D6D" w:rsidRDefault="00221D6D" w:rsidP="00A911FD">
            <w:pPr>
              <w:rPr>
                <w:sz w:val="20"/>
                <w:szCs w:val="20"/>
              </w:rPr>
            </w:pPr>
            <w:r w:rsidRPr="00221D6D">
              <w:rPr>
                <w:sz w:val="20"/>
                <w:szCs w:val="20"/>
              </w:rPr>
              <w:t>0700 ОБРАЗОВАНИЕ</w:t>
            </w:r>
          </w:p>
        </w:tc>
        <w:tc>
          <w:tcPr>
            <w:tcW w:w="609" w:type="dxa"/>
            <w:vAlign w:val="bottom"/>
          </w:tcPr>
          <w:p w14:paraId="513C4E98" w14:textId="77777777" w:rsidR="00221D6D" w:rsidRPr="00221D6D" w:rsidRDefault="00221D6D" w:rsidP="00221D6D">
            <w:pPr>
              <w:jc w:val="center"/>
              <w:rPr>
                <w:sz w:val="20"/>
                <w:szCs w:val="20"/>
              </w:rPr>
            </w:pPr>
            <w:r w:rsidRPr="00221D6D">
              <w:rPr>
                <w:sz w:val="20"/>
                <w:szCs w:val="20"/>
              </w:rPr>
              <w:t>3,8</w:t>
            </w:r>
          </w:p>
        </w:tc>
        <w:tc>
          <w:tcPr>
            <w:tcW w:w="610" w:type="dxa"/>
            <w:vAlign w:val="bottom"/>
          </w:tcPr>
          <w:p w14:paraId="11A00D2B" w14:textId="77777777" w:rsidR="00221D6D" w:rsidRPr="00221D6D" w:rsidRDefault="00221D6D" w:rsidP="00221D6D">
            <w:pPr>
              <w:jc w:val="center"/>
              <w:rPr>
                <w:sz w:val="20"/>
                <w:szCs w:val="20"/>
              </w:rPr>
            </w:pPr>
            <w:r w:rsidRPr="00221D6D">
              <w:rPr>
                <w:sz w:val="20"/>
                <w:szCs w:val="20"/>
                <w:lang w:val="en-US"/>
              </w:rPr>
              <w:t>4,</w:t>
            </w:r>
            <w:r w:rsidRPr="00221D6D">
              <w:rPr>
                <w:sz w:val="20"/>
                <w:szCs w:val="20"/>
              </w:rPr>
              <w:t>1</w:t>
            </w:r>
          </w:p>
        </w:tc>
        <w:tc>
          <w:tcPr>
            <w:tcW w:w="609" w:type="dxa"/>
            <w:vAlign w:val="bottom"/>
          </w:tcPr>
          <w:p w14:paraId="4425DCF9" w14:textId="77777777" w:rsidR="00221D6D" w:rsidRPr="00221D6D" w:rsidRDefault="00221D6D" w:rsidP="00221D6D">
            <w:pPr>
              <w:jc w:val="center"/>
              <w:rPr>
                <w:rFonts w:eastAsia="Arial Unicode MS"/>
                <w:sz w:val="20"/>
                <w:szCs w:val="20"/>
              </w:rPr>
            </w:pPr>
            <w:r w:rsidRPr="00221D6D">
              <w:rPr>
                <w:sz w:val="20"/>
                <w:szCs w:val="20"/>
                <w:lang w:val="en-US"/>
              </w:rPr>
              <w:t>3</w:t>
            </w:r>
            <w:r w:rsidRPr="00221D6D">
              <w:rPr>
                <w:sz w:val="20"/>
                <w:szCs w:val="20"/>
              </w:rPr>
              <w:t>,3</w:t>
            </w:r>
          </w:p>
        </w:tc>
        <w:tc>
          <w:tcPr>
            <w:tcW w:w="610" w:type="dxa"/>
            <w:vAlign w:val="bottom"/>
          </w:tcPr>
          <w:p w14:paraId="7B9B18B1" w14:textId="77777777" w:rsidR="00221D6D" w:rsidRPr="00221D6D" w:rsidRDefault="00221D6D" w:rsidP="00221D6D">
            <w:pPr>
              <w:jc w:val="center"/>
              <w:rPr>
                <w:sz w:val="20"/>
                <w:szCs w:val="20"/>
              </w:rPr>
            </w:pPr>
            <w:r w:rsidRPr="00221D6D">
              <w:rPr>
                <w:sz w:val="20"/>
                <w:szCs w:val="20"/>
              </w:rPr>
              <w:t>3</w:t>
            </w:r>
            <w:r w:rsidRPr="00221D6D">
              <w:rPr>
                <w:sz w:val="20"/>
                <w:szCs w:val="20"/>
                <w:lang w:val="en-US"/>
              </w:rPr>
              <w:t>,</w:t>
            </w:r>
            <w:r w:rsidRPr="00221D6D">
              <w:rPr>
                <w:sz w:val="20"/>
                <w:szCs w:val="20"/>
              </w:rPr>
              <w:t>1</w:t>
            </w:r>
          </w:p>
        </w:tc>
        <w:tc>
          <w:tcPr>
            <w:tcW w:w="609" w:type="dxa"/>
            <w:vAlign w:val="bottom"/>
          </w:tcPr>
          <w:p w14:paraId="080F2F26" w14:textId="77777777" w:rsidR="00221D6D" w:rsidRPr="00221D6D" w:rsidRDefault="00221D6D" w:rsidP="00221D6D">
            <w:pPr>
              <w:jc w:val="center"/>
              <w:rPr>
                <w:rFonts w:eastAsia="Arial Unicode MS"/>
                <w:sz w:val="20"/>
                <w:szCs w:val="20"/>
              </w:rPr>
            </w:pPr>
            <w:r w:rsidRPr="00221D6D">
              <w:rPr>
                <w:sz w:val="20"/>
                <w:szCs w:val="20"/>
              </w:rPr>
              <w:t>3,1</w:t>
            </w:r>
          </w:p>
        </w:tc>
        <w:tc>
          <w:tcPr>
            <w:tcW w:w="610" w:type="dxa"/>
            <w:vAlign w:val="bottom"/>
          </w:tcPr>
          <w:p w14:paraId="49906732" w14:textId="77777777" w:rsidR="00221D6D" w:rsidRPr="00221D6D" w:rsidRDefault="00221D6D" w:rsidP="00221D6D">
            <w:pPr>
              <w:jc w:val="center"/>
              <w:rPr>
                <w:sz w:val="20"/>
                <w:szCs w:val="20"/>
                <w:lang w:val="en-US"/>
              </w:rPr>
            </w:pPr>
            <w:r w:rsidRPr="00221D6D">
              <w:rPr>
                <w:sz w:val="20"/>
                <w:szCs w:val="20"/>
                <w:lang w:val="en-US"/>
              </w:rPr>
              <w:t>2,8</w:t>
            </w:r>
          </w:p>
        </w:tc>
        <w:tc>
          <w:tcPr>
            <w:tcW w:w="609" w:type="dxa"/>
            <w:vAlign w:val="bottom"/>
          </w:tcPr>
          <w:p w14:paraId="43D3D151" w14:textId="77777777" w:rsidR="00221D6D" w:rsidRPr="00221D6D" w:rsidRDefault="00221D6D" w:rsidP="00221D6D">
            <w:pPr>
              <w:jc w:val="center"/>
              <w:rPr>
                <w:sz w:val="20"/>
                <w:szCs w:val="20"/>
              </w:rPr>
            </w:pPr>
            <w:r w:rsidRPr="00221D6D">
              <w:rPr>
                <w:sz w:val="20"/>
                <w:szCs w:val="20"/>
              </w:rPr>
              <w:t>2</w:t>
            </w:r>
            <w:r w:rsidRPr="00221D6D">
              <w:rPr>
                <w:sz w:val="20"/>
                <w:szCs w:val="20"/>
                <w:lang w:val="en-US"/>
              </w:rPr>
              <w:t>,</w:t>
            </w:r>
            <w:r w:rsidRPr="00221D6D">
              <w:rPr>
                <w:sz w:val="20"/>
                <w:szCs w:val="20"/>
              </w:rPr>
              <w:t>8</w:t>
            </w:r>
          </w:p>
        </w:tc>
        <w:tc>
          <w:tcPr>
            <w:tcW w:w="610" w:type="dxa"/>
            <w:vAlign w:val="bottom"/>
          </w:tcPr>
          <w:p w14:paraId="3011D656" w14:textId="77777777" w:rsidR="00221D6D" w:rsidRPr="00221D6D" w:rsidRDefault="00221D6D" w:rsidP="00221D6D">
            <w:pPr>
              <w:jc w:val="center"/>
              <w:rPr>
                <w:sz w:val="20"/>
                <w:szCs w:val="20"/>
              </w:rPr>
            </w:pPr>
            <w:r w:rsidRPr="00221D6D">
              <w:rPr>
                <w:sz w:val="20"/>
                <w:szCs w:val="20"/>
              </w:rPr>
              <w:t>2</w:t>
            </w:r>
            <w:r w:rsidRPr="00221D6D">
              <w:rPr>
                <w:sz w:val="20"/>
                <w:szCs w:val="20"/>
                <w:lang w:val="en-US"/>
              </w:rPr>
              <w:t>,</w:t>
            </w:r>
            <w:r w:rsidRPr="00221D6D">
              <w:rPr>
                <w:sz w:val="20"/>
                <w:szCs w:val="20"/>
              </w:rPr>
              <w:t>7</w:t>
            </w:r>
          </w:p>
        </w:tc>
        <w:tc>
          <w:tcPr>
            <w:tcW w:w="609" w:type="dxa"/>
            <w:vAlign w:val="bottom"/>
          </w:tcPr>
          <w:p w14:paraId="375866C7" w14:textId="77777777" w:rsidR="00221D6D" w:rsidRPr="00221D6D" w:rsidRDefault="00221D6D" w:rsidP="00221D6D">
            <w:pPr>
              <w:jc w:val="center"/>
              <w:rPr>
                <w:sz w:val="20"/>
                <w:szCs w:val="20"/>
              </w:rPr>
            </w:pPr>
            <w:r w:rsidRPr="00221D6D">
              <w:rPr>
                <w:sz w:val="20"/>
                <w:szCs w:val="20"/>
              </w:rPr>
              <w:t>2</w:t>
            </w:r>
            <w:r w:rsidRPr="00221D6D">
              <w:rPr>
                <w:sz w:val="20"/>
                <w:szCs w:val="20"/>
                <w:lang w:val="en-US"/>
              </w:rPr>
              <w:t>,</w:t>
            </w:r>
            <w:r w:rsidRPr="00221D6D">
              <w:rPr>
                <w:sz w:val="20"/>
                <w:szCs w:val="20"/>
              </w:rPr>
              <w:t>6</w:t>
            </w:r>
          </w:p>
        </w:tc>
        <w:tc>
          <w:tcPr>
            <w:tcW w:w="610" w:type="dxa"/>
            <w:vAlign w:val="bottom"/>
          </w:tcPr>
          <w:p w14:paraId="556BA959" w14:textId="77777777" w:rsidR="00221D6D" w:rsidRPr="00221D6D" w:rsidRDefault="00221D6D" w:rsidP="00221D6D">
            <w:pPr>
              <w:jc w:val="center"/>
              <w:rPr>
                <w:sz w:val="20"/>
                <w:szCs w:val="20"/>
              </w:rPr>
            </w:pPr>
            <w:r w:rsidRPr="00221D6D">
              <w:rPr>
                <w:sz w:val="20"/>
                <w:szCs w:val="20"/>
              </w:rPr>
              <w:t>2,9</w:t>
            </w:r>
          </w:p>
        </w:tc>
      </w:tr>
      <w:tr w:rsidR="00221D6D" w:rsidRPr="00221D6D" w14:paraId="734B5C35" w14:textId="77777777" w:rsidTr="005C2605">
        <w:trPr>
          <w:trHeight w:val="20"/>
        </w:trPr>
        <w:tc>
          <w:tcPr>
            <w:tcW w:w="3119" w:type="dxa"/>
          </w:tcPr>
          <w:p w14:paraId="7B96240F" w14:textId="77777777" w:rsidR="00221D6D" w:rsidRPr="00221D6D" w:rsidRDefault="00221D6D" w:rsidP="00A911FD">
            <w:pPr>
              <w:rPr>
                <w:sz w:val="20"/>
                <w:szCs w:val="20"/>
              </w:rPr>
            </w:pPr>
            <w:r w:rsidRPr="00221D6D">
              <w:rPr>
                <w:sz w:val="20"/>
                <w:szCs w:val="20"/>
              </w:rPr>
              <w:t>0701 Дошкольное образование</w:t>
            </w:r>
          </w:p>
        </w:tc>
        <w:tc>
          <w:tcPr>
            <w:tcW w:w="609" w:type="dxa"/>
            <w:vAlign w:val="bottom"/>
          </w:tcPr>
          <w:p w14:paraId="49F240D8" w14:textId="77777777" w:rsidR="00221D6D" w:rsidRPr="00221D6D" w:rsidRDefault="00221D6D" w:rsidP="00221D6D">
            <w:pPr>
              <w:jc w:val="center"/>
              <w:rPr>
                <w:sz w:val="20"/>
                <w:szCs w:val="20"/>
              </w:rPr>
            </w:pPr>
            <w:r w:rsidRPr="00221D6D">
              <w:rPr>
                <w:sz w:val="20"/>
                <w:szCs w:val="20"/>
              </w:rPr>
              <w:t>0,7</w:t>
            </w:r>
          </w:p>
        </w:tc>
        <w:tc>
          <w:tcPr>
            <w:tcW w:w="610" w:type="dxa"/>
            <w:vAlign w:val="bottom"/>
          </w:tcPr>
          <w:p w14:paraId="6DAE7FCC" w14:textId="77777777" w:rsidR="00221D6D" w:rsidRPr="00221D6D" w:rsidRDefault="00221D6D" w:rsidP="00221D6D">
            <w:pPr>
              <w:jc w:val="center"/>
              <w:rPr>
                <w:sz w:val="20"/>
                <w:szCs w:val="20"/>
              </w:rPr>
            </w:pPr>
            <w:r w:rsidRPr="00221D6D">
              <w:rPr>
                <w:sz w:val="20"/>
                <w:szCs w:val="20"/>
              </w:rPr>
              <w:t>0</w:t>
            </w:r>
            <w:r w:rsidRPr="00221D6D">
              <w:rPr>
                <w:sz w:val="20"/>
                <w:szCs w:val="20"/>
                <w:lang w:val="en-US"/>
              </w:rPr>
              <w:t>,</w:t>
            </w:r>
            <w:r w:rsidRPr="00221D6D">
              <w:rPr>
                <w:sz w:val="20"/>
                <w:szCs w:val="20"/>
              </w:rPr>
              <w:t>8</w:t>
            </w:r>
          </w:p>
        </w:tc>
        <w:tc>
          <w:tcPr>
            <w:tcW w:w="609" w:type="dxa"/>
            <w:vAlign w:val="bottom"/>
          </w:tcPr>
          <w:p w14:paraId="5A69B370" w14:textId="77777777" w:rsidR="00221D6D" w:rsidRPr="00221D6D" w:rsidRDefault="00221D6D" w:rsidP="00221D6D">
            <w:pPr>
              <w:jc w:val="center"/>
              <w:rPr>
                <w:rFonts w:eastAsia="Arial Unicode MS"/>
                <w:sz w:val="20"/>
                <w:szCs w:val="20"/>
              </w:rPr>
            </w:pPr>
            <w:r w:rsidRPr="00221D6D">
              <w:rPr>
                <w:sz w:val="20"/>
                <w:szCs w:val="20"/>
              </w:rPr>
              <w:t>1,2</w:t>
            </w:r>
          </w:p>
        </w:tc>
        <w:tc>
          <w:tcPr>
            <w:tcW w:w="610" w:type="dxa"/>
            <w:vAlign w:val="bottom"/>
          </w:tcPr>
          <w:p w14:paraId="2415B31F" w14:textId="77777777" w:rsidR="00221D6D" w:rsidRPr="00221D6D" w:rsidRDefault="00221D6D" w:rsidP="00221D6D">
            <w:pPr>
              <w:jc w:val="center"/>
              <w:rPr>
                <w:sz w:val="20"/>
                <w:szCs w:val="20"/>
              </w:rPr>
            </w:pPr>
            <w:r w:rsidRPr="00221D6D">
              <w:rPr>
                <w:sz w:val="20"/>
                <w:szCs w:val="20"/>
              </w:rPr>
              <w:t>7</w:t>
            </w:r>
            <w:r w:rsidRPr="00221D6D">
              <w:rPr>
                <w:sz w:val="20"/>
                <w:szCs w:val="20"/>
                <w:lang w:val="en-US"/>
              </w:rPr>
              <w:t>,</w:t>
            </w:r>
            <w:r w:rsidRPr="00221D6D">
              <w:rPr>
                <w:sz w:val="20"/>
                <w:szCs w:val="20"/>
              </w:rPr>
              <w:t>2</w:t>
            </w:r>
          </w:p>
        </w:tc>
        <w:tc>
          <w:tcPr>
            <w:tcW w:w="609" w:type="dxa"/>
            <w:vAlign w:val="bottom"/>
          </w:tcPr>
          <w:p w14:paraId="6F856129" w14:textId="77777777" w:rsidR="00221D6D" w:rsidRPr="00221D6D" w:rsidRDefault="00221D6D" w:rsidP="00221D6D">
            <w:pPr>
              <w:jc w:val="center"/>
              <w:rPr>
                <w:rFonts w:eastAsia="Arial Unicode MS"/>
                <w:sz w:val="20"/>
                <w:szCs w:val="20"/>
              </w:rPr>
            </w:pPr>
            <w:r w:rsidRPr="00221D6D">
              <w:rPr>
                <w:sz w:val="20"/>
                <w:szCs w:val="20"/>
              </w:rPr>
              <w:t>6,8</w:t>
            </w:r>
          </w:p>
        </w:tc>
        <w:tc>
          <w:tcPr>
            <w:tcW w:w="610" w:type="dxa"/>
            <w:vAlign w:val="bottom"/>
          </w:tcPr>
          <w:p w14:paraId="6AED44DF" w14:textId="77777777" w:rsidR="00221D6D" w:rsidRPr="00221D6D" w:rsidRDefault="00221D6D" w:rsidP="00221D6D">
            <w:pPr>
              <w:jc w:val="center"/>
              <w:rPr>
                <w:sz w:val="20"/>
                <w:szCs w:val="20"/>
                <w:lang w:val="en-US"/>
              </w:rPr>
            </w:pPr>
            <w:r w:rsidRPr="00221D6D">
              <w:rPr>
                <w:sz w:val="20"/>
                <w:szCs w:val="20"/>
                <w:lang w:val="en-US"/>
              </w:rPr>
              <w:t>2,2</w:t>
            </w:r>
          </w:p>
        </w:tc>
        <w:tc>
          <w:tcPr>
            <w:tcW w:w="609" w:type="dxa"/>
            <w:vAlign w:val="bottom"/>
          </w:tcPr>
          <w:p w14:paraId="2B781D44"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8</w:t>
            </w:r>
          </w:p>
        </w:tc>
        <w:tc>
          <w:tcPr>
            <w:tcW w:w="610" w:type="dxa"/>
            <w:vAlign w:val="bottom"/>
          </w:tcPr>
          <w:p w14:paraId="3A079617" w14:textId="77777777" w:rsidR="00221D6D" w:rsidRPr="00221D6D" w:rsidRDefault="00221D6D" w:rsidP="00221D6D">
            <w:pPr>
              <w:jc w:val="center"/>
              <w:rPr>
                <w:sz w:val="20"/>
                <w:szCs w:val="20"/>
              </w:rPr>
            </w:pPr>
            <w:r w:rsidRPr="00221D6D">
              <w:rPr>
                <w:sz w:val="20"/>
                <w:szCs w:val="20"/>
              </w:rPr>
              <w:t>1</w:t>
            </w:r>
            <w:r w:rsidRPr="00221D6D">
              <w:rPr>
                <w:sz w:val="20"/>
                <w:szCs w:val="20"/>
                <w:lang w:val="en-US"/>
              </w:rPr>
              <w:t>,</w:t>
            </w:r>
            <w:r w:rsidRPr="00221D6D">
              <w:rPr>
                <w:sz w:val="20"/>
                <w:szCs w:val="20"/>
              </w:rPr>
              <w:t>3</w:t>
            </w:r>
          </w:p>
        </w:tc>
        <w:tc>
          <w:tcPr>
            <w:tcW w:w="609" w:type="dxa"/>
            <w:vAlign w:val="bottom"/>
          </w:tcPr>
          <w:p w14:paraId="5015C8C5" w14:textId="77777777" w:rsidR="00221D6D" w:rsidRPr="00221D6D" w:rsidRDefault="00221D6D" w:rsidP="00221D6D">
            <w:pPr>
              <w:jc w:val="center"/>
              <w:rPr>
                <w:sz w:val="20"/>
                <w:szCs w:val="20"/>
              </w:rPr>
            </w:pPr>
            <w:r w:rsidRPr="00221D6D">
              <w:rPr>
                <w:sz w:val="20"/>
                <w:szCs w:val="20"/>
              </w:rPr>
              <w:t>1</w:t>
            </w:r>
            <w:r w:rsidRPr="00221D6D">
              <w:rPr>
                <w:sz w:val="20"/>
                <w:szCs w:val="20"/>
                <w:lang w:val="en-US"/>
              </w:rPr>
              <w:t>,</w:t>
            </w:r>
            <w:r w:rsidRPr="00221D6D">
              <w:rPr>
                <w:sz w:val="20"/>
                <w:szCs w:val="20"/>
              </w:rPr>
              <w:t>2</w:t>
            </w:r>
          </w:p>
        </w:tc>
        <w:tc>
          <w:tcPr>
            <w:tcW w:w="610" w:type="dxa"/>
            <w:vAlign w:val="bottom"/>
          </w:tcPr>
          <w:p w14:paraId="6EC4144A" w14:textId="77777777" w:rsidR="00221D6D" w:rsidRPr="00221D6D" w:rsidRDefault="00221D6D" w:rsidP="00221D6D">
            <w:pPr>
              <w:jc w:val="center"/>
              <w:rPr>
                <w:sz w:val="20"/>
                <w:szCs w:val="20"/>
              </w:rPr>
            </w:pPr>
            <w:r w:rsidRPr="00221D6D">
              <w:rPr>
                <w:sz w:val="20"/>
                <w:szCs w:val="20"/>
              </w:rPr>
              <w:t>2,9</w:t>
            </w:r>
          </w:p>
        </w:tc>
      </w:tr>
      <w:tr w:rsidR="00221D6D" w:rsidRPr="00221D6D" w14:paraId="26BD2675" w14:textId="77777777" w:rsidTr="005C2605">
        <w:trPr>
          <w:trHeight w:val="20"/>
        </w:trPr>
        <w:tc>
          <w:tcPr>
            <w:tcW w:w="3119" w:type="dxa"/>
          </w:tcPr>
          <w:p w14:paraId="2D1D4AE0" w14:textId="77777777" w:rsidR="00221D6D" w:rsidRPr="00221D6D" w:rsidRDefault="00221D6D" w:rsidP="00A911FD">
            <w:pPr>
              <w:rPr>
                <w:sz w:val="20"/>
                <w:szCs w:val="20"/>
              </w:rPr>
            </w:pPr>
            <w:r w:rsidRPr="00221D6D">
              <w:rPr>
                <w:sz w:val="20"/>
                <w:szCs w:val="20"/>
              </w:rPr>
              <w:t>0702 Общее образование</w:t>
            </w:r>
          </w:p>
        </w:tc>
        <w:tc>
          <w:tcPr>
            <w:tcW w:w="609" w:type="dxa"/>
            <w:vAlign w:val="bottom"/>
          </w:tcPr>
          <w:p w14:paraId="57CE4353" w14:textId="77777777" w:rsidR="00221D6D" w:rsidRPr="00221D6D" w:rsidRDefault="00221D6D" w:rsidP="00221D6D">
            <w:pPr>
              <w:jc w:val="center"/>
              <w:rPr>
                <w:sz w:val="20"/>
                <w:szCs w:val="20"/>
              </w:rPr>
            </w:pPr>
            <w:r w:rsidRPr="00221D6D">
              <w:rPr>
                <w:sz w:val="20"/>
                <w:szCs w:val="20"/>
              </w:rPr>
              <w:t>0,5</w:t>
            </w:r>
          </w:p>
        </w:tc>
        <w:tc>
          <w:tcPr>
            <w:tcW w:w="610" w:type="dxa"/>
            <w:vAlign w:val="bottom"/>
          </w:tcPr>
          <w:p w14:paraId="1EF999BA" w14:textId="77777777" w:rsidR="00221D6D" w:rsidRPr="00221D6D" w:rsidRDefault="00221D6D" w:rsidP="00221D6D">
            <w:pPr>
              <w:jc w:val="center"/>
              <w:rPr>
                <w:sz w:val="20"/>
                <w:szCs w:val="20"/>
              </w:rPr>
            </w:pPr>
            <w:r w:rsidRPr="00221D6D">
              <w:rPr>
                <w:sz w:val="20"/>
                <w:szCs w:val="20"/>
                <w:lang w:val="en-US"/>
              </w:rPr>
              <w:t>1,</w:t>
            </w:r>
            <w:r w:rsidRPr="00221D6D">
              <w:rPr>
                <w:sz w:val="20"/>
                <w:szCs w:val="20"/>
              </w:rPr>
              <w:t>1</w:t>
            </w:r>
          </w:p>
        </w:tc>
        <w:tc>
          <w:tcPr>
            <w:tcW w:w="609" w:type="dxa"/>
            <w:vAlign w:val="bottom"/>
          </w:tcPr>
          <w:p w14:paraId="688B2E7D" w14:textId="77777777" w:rsidR="00221D6D" w:rsidRPr="00221D6D" w:rsidRDefault="00221D6D" w:rsidP="00221D6D">
            <w:pPr>
              <w:jc w:val="center"/>
              <w:rPr>
                <w:rFonts w:eastAsia="Arial Unicode MS"/>
                <w:sz w:val="20"/>
                <w:szCs w:val="20"/>
              </w:rPr>
            </w:pPr>
            <w:r w:rsidRPr="00221D6D">
              <w:rPr>
                <w:sz w:val="20"/>
                <w:szCs w:val="20"/>
              </w:rPr>
              <w:t>1,0</w:t>
            </w:r>
          </w:p>
        </w:tc>
        <w:tc>
          <w:tcPr>
            <w:tcW w:w="610" w:type="dxa"/>
            <w:vAlign w:val="bottom"/>
          </w:tcPr>
          <w:p w14:paraId="3E835AE9" w14:textId="77777777" w:rsidR="00221D6D" w:rsidRPr="00221D6D" w:rsidRDefault="00221D6D" w:rsidP="00221D6D">
            <w:pPr>
              <w:jc w:val="center"/>
              <w:rPr>
                <w:sz w:val="20"/>
                <w:szCs w:val="20"/>
              </w:rPr>
            </w:pPr>
            <w:r w:rsidRPr="00221D6D">
              <w:rPr>
                <w:sz w:val="20"/>
                <w:szCs w:val="20"/>
              </w:rPr>
              <w:t>0</w:t>
            </w:r>
            <w:r w:rsidRPr="00221D6D">
              <w:rPr>
                <w:sz w:val="20"/>
                <w:szCs w:val="20"/>
                <w:lang w:val="en-US"/>
              </w:rPr>
              <w:t>,</w:t>
            </w:r>
            <w:r w:rsidRPr="00221D6D">
              <w:rPr>
                <w:sz w:val="20"/>
                <w:szCs w:val="20"/>
              </w:rPr>
              <w:t>6</w:t>
            </w:r>
          </w:p>
        </w:tc>
        <w:tc>
          <w:tcPr>
            <w:tcW w:w="609" w:type="dxa"/>
            <w:vAlign w:val="bottom"/>
          </w:tcPr>
          <w:p w14:paraId="50436CE4" w14:textId="77777777" w:rsidR="00221D6D" w:rsidRPr="00221D6D" w:rsidRDefault="00221D6D" w:rsidP="00221D6D">
            <w:pPr>
              <w:jc w:val="center"/>
              <w:rPr>
                <w:rFonts w:eastAsia="Arial Unicode MS"/>
                <w:sz w:val="20"/>
                <w:szCs w:val="20"/>
              </w:rPr>
            </w:pPr>
            <w:r w:rsidRPr="00221D6D">
              <w:rPr>
                <w:sz w:val="20"/>
                <w:szCs w:val="20"/>
              </w:rPr>
              <w:t>0,8</w:t>
            </w:r>
          </w:p>
        </w:tc>
        <w:tc>
          <w:tcPr>
            <w:tcW w:w="610" w:type="dxa"/>
            <w:vAlign w:val="bottom"/>
          </w:tcPr>
          <w:p w14:paraId="45B55546" w14:textId="77777777" w:rsidR="00221D6D" w:rsidRPr="00221D6D" w:rsidRDefault="00221D6D" w:rsidP="00221D6D">
            <w:pPr>
              <w:jc w:val="center"/>
              <w:rPr>
                <w:sz w:val="20"/>
                <w:szCs w:val="20"/>
                <w:lang w:val="en-US"/>
              </w:rPr>
            </w:pPr>
            <w:r w:rsidRPr="00221D6D">
              <w:rPr>
                <w:sz w:val="20"/>
                <w:szCs w:val="20"/>
                <w:lang w:val="en-US"/>
              </w:rPr>
              <w:t>0,8</w:t>
            </w:r>
          </w:p>
        </w:tc>
        <w:tc>
          <w:tcPr>
            <w:tcW w:w="609" w:type="dxa"/>
            <w:vAlign w:val="bottom"/>
          </w:tcPr>
          <w:p w14:paraId="58952E3A"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6</w:t>
            </w:r>
          </w:p>
        </w:tc>
        <w:tc>
          <w:tcPr>
            <w:tcW w:w="610" w:type="dxa"/>
            <w:vAlign w:val="bottom"/>
          </w:tcPr>
          <w:p w14:paraId="6E1B5211"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6</w:t>
            </w:r>
          </w:p>
        </w:tc>
        <w:tc>
          <w:tcPr>
            <w:tcW w:w="609" w:type="dxa"/>
            <w:vAlign w:val="bottom"/>
          </w:tcPr>
          <w:p w14:paraId="29283EB4"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6</w:t>
            </w:r>
          </w:p>
        </w:tc>
        <w:tc>
          <w:tcPr>
            <w:tcW w:w="610" w:type="dxa"/>
            <w:vAlign w:val="bottom"/>
          </w:tcPr>
          <w:p w14:paraId="07FA41DB" w14:textId="77777777" w:rsidR="00221D6D" w:rsidRPr="00221D6D" w:rsidRDefault="00221D6D" w:rsidP="00221D6D">
            <w:pPr>
              <w:jc w:val="center"/>
              <w:rPr>
                <w:sz w:val="20"/>
                <w:szCs w:val="20"/>
              </w:rPr>
            </w:pPr>
            <w:r w:rsidRPr="00221D6D">
              <w:rPr>
                <w:sz w:val="20"/>
                <w:szCs w:val="20"/>
              </w:rPr>
              <w:t>0,8</w:t>
            </w:r>
          </w:p>
        </w:tc>
      </w:tr>
      <w:tr w:rsidR="00221D6D" w:rsidRPr="00221D6D" w14:paraId="65FE69A3" w14:textId="77777777" w:rsidTr="005C2605">
        <w:trPr>
          <w:trHeight w:val="20"/>
        </w:trPr>
        <w:tc>
          <w:tcPr>
            <w:tcW w:w="3119" w:type="dxa"/>
          </w:tcPr>
          <w:p w14:paraId="41791D50" w14:textId="77777777" w:rsidR="00221D6D" w:rsidRPr="00221D6D" w:rsidRDefault="00221D6D" w:rsidP="00A911FD">
            <w:pPr>
              <w:ind w:left="431" w:hanging="431"/>
              <w:rPr>
                <w:sz w:val="20"/>
                <w:szCs w:val="20"/>
              </w:rPr>
            </w:pPr>
            <w:r w:rsidRPr="00221D6D">
              <w:rPr>
                <w:sz w:val="20"/>
                <w:szCs w:val="20"/>
              </w:rPr>
              <w:t>0705 Профессиональная подготовка, переподготовка и повышение квалификации</w:t>
            </w:r>
          </w:p>
        </w:tc>
        <w:tc>
          <w:tcPr>
            <w:tcW w:w="609" w:type="dxa"/>
            <w:vAlign w:val="bottom"/>
          </w:tcPr>
          <w:p w14:paraId="5E66527D" w14:textId="77777777" w:rsidR="00221D6D" w:rsidRPr="00221D6D" w:rsidRDefault="00221D6D" w:rsidP="00221D6D">
            <w:pPr>
              <w:jc w:val="center"/>
              <w:rPr>
                <w:rFonts w:eastAsia="Arial Unicode MS"/>
                <w:sz w:val="20"/>
                <w:szCs w:val="20"/>
              </w:rPr>
            </w:pPr>
            <w:r w:rsidRPr="00221D6D">
              <w:rPr>
                <w:rFonts w:eastAsia="Arial Unicode MS"/>
                <w:sz w:val="20"/>
                <w:szCs w:val="20"/>
              </w:rPr>
              <w:t>4,5</w:t>
            </w:r>
          </w:p>
        </w:tc>
        <w:tc>
          <w:tcPr>
            <w:tcW w:w="610" w:type="dxa"/>
            <w:vAlign w:val="bottom"/>
          </w:tcPr>
          <w:p w14:paraId="167769BE" w14:textId="77777777" w:rsidR="00221D6D" w:rsidRPr="00221D6D" w:rsidRDefault="00221D6D" w:rsidP="00221D6D">
            <w:pPr>
              <w:jc w:val="center"/>
              <w:rPr>
                <w:rFonts w:eastAsia="Arial Unicode MS"/>
                <w:sz w:val="20"/>
                <w:szCs w:val="20"/>
              </w:rPr>
            </w:pPr>
            <w:r w:rsidRPr="00221D6D">
              <w:rPr>
                <w:rFonts w:eastAsia="Arial Unicode MS"/>
                <w:sz w:val="20"/>
                <w:szCs w:val="20"/>
              </w:rPr>
              <w:t>2,8</w:t>
            </w:r>
          </w:p>
        </w:tc>
        <w:tc>
          <w:tcPr>
            <w:tcW w:w="609" w:type="dxa"/>
            <w:vAlign w:val="bottom"/>
          </w:tcPr>
          <w:p w14:paraId="7E2059D0" w14:textId="77777777" w:rsidR="00221D6D" w:rsidRPr="00221D6D" w:rsidRDefault="00221D6D" w:rsidP="00221D6D">
            <w:pPr>
              <w:jc w:val="center"/>
              <w:rPr>
                <w:rFonts w:eastAsia="Arial Unicode MS"/>
                <w:sz w:val="20"/>
                <w:szCs w:val="20"/>
              </w:rPr>
            </w:pPr>
            <w:r w:rsidRPr="00221D6D">
              <w:rPr>
                <w:sz w:val="20"/>
                <w:szCs w:val="20"/>
              </w:rPr>
              <w:t>2,9</w:t>
            </w:r>
          </w:p>
        </w:tc>
        <w:tc>
          <w:tcPr>
            <w:tcW w:w="610" w:type="dxa"/>
            <w:vAlign w:val="bottom"/>
          </w:tcPr>
          <w:p w14:paraId="3A227ED1" w14:textId="77777777" w:rsidR="00221D6D" w:rsidRPr="00221D6D" w:rsidRDefault="00221D6D" w:rsidP="00221D6D">
            <w:pPr>
              <w:jc w:val="center"/>
              <w:rPr>
                <w:rFonts w:eastAsia="Arial Unicode MS"/>
                <w:sz w:val="20"/>
                <w:szCs w:val="20"/>
              </w:rPr>
            </w:pPr>
            <w:r w:rsidRPr="00221D6D">
              <w:rPr>
                <w:rFonts w:eastAsia="Arial Unicode MS"/>
                <w:sz w:val="20"/>
                <w:szCs w:val="20"/>
              </w:rPr>
              <w:t>3,4</w:t>
            </w:r>
          </w:p>
        </w:tc>
        <w:tc>
          <w:tcPr>
            <w:tcW w:w="609" w:type="dxa"/>
            <w:vAlign w:val="bottom"/>
          </w:tcPr>
          <w:p w14:paraId="5867F450" w14:textId="77777777" w:rsidR="00221D6D" w:rsidRPr="00221D6D" w:rsidRDefault="00221D6D" w:rsidP="00221D6D">
            <w:pPr>
              <w:jc w:val="center"/>
              <w:rPr>
                <w:rFonts w:eastAsia="Arial Unicode MS"/>
                <w:sz w:val="20"/>
                <w:szCs w:val="20"/>
              </w:rPr>
            </w:pPr>
            <w:r w:rsidRPr="00221D6D">
              <w:rPr>
                <w:sz w:val="20"/>
                <w:szCs w:val="20"/>
              </w:rPr>
              <w:t>2,5</w:t>
            </w:r>
          </w:p>
        </w:tc>
        <w:tc>
          <w:tcPr>
            <w:tcW w:w="610" w:type="dxa"/>
            <w:vAlign w:val="bottom"/>
          </w:tcPr>
          <w:p w14:paraId="2714797B" w14:textId="77777777" w:rsidR="00221D6D" w:rsidRPr="00221D6D" w:rsidRDefault="00221D6D" w:rsidP="00221D6D">
            <w:pPr>
              <w:jc w:val="center"/>
              <w:rPr>
                <w:sz w:val="20"/>
                <w:szCs w:val="20"/>
                <w:lang w:val="en-US"/>
              </w:rPr>
            </w:pPr>
            <w:r w:rsidRPr="00221D6D">
              <w:rPr>
                <w:sz w:val="20"/>
                <w:szCs w:val="20"/>
                <w:lang w:val="en-US"/>
              </w:rPr>
              <w:t>3,1</w:t>
            </w:r>
          </w:p>
        </w:tc>
        <w:tc>
          <w:tcPr>
            <w:tcW w:w="609" w:type="dxa"/>
            <w:vAlign w:val="bottom"/>
          </w:tcPr>
          <w:p w14:paraId="5785240C" w14:textId="77777777" w:rsidR="00221D6D" w:rsidRPr="00221D6D" w:rsidRDefault="00221D6D" w:rsidP="00221D6D">
            <w:pPr>
              <w:jc w:val="center"/>
              <w:rPr>
                <w:sz w:val="20"/>
                <w:szCs w:val="20"/>
                <w:lang w:val="en-US"/>
              </w:rPr>
            </w:pPr>
            <w:r w:rsidRPr="00221D6D">
              <w:rPr>
                <w:sz w:val="20"/>
                <w:szCs w:val="20"/>
                <w:lang w:val="en-US"/>
              </w:rPr>
              <w:t>2,5</w:t>
            </w:r>
          </w:p>
        </w:tc>
        <w:tc>
          <w:tcPr>
            <w:tcW w:w="610" w:type="dxa"/>
            <w:vAlign w:val="bottom"/>
          </w:tcPr>
          <w:p w14:paraId="29C4BB53" w14:textId="77777777" w:rsidR="00221D6D" w:rsidRPr="00221D6D" w:rsidRDefault="00221D6D" w:rsidP="00221D6D">
            <w:pPr>
              <w:jc w:val="center"/>
              <w:rPr>
                <w:sz w:val="20"/>
                <w:szCs w:val="20"/>
              </w:rPr>
            </w:pPr>
            <w:r w:rsidRPr="00221D6D">
              <w:rPr>
                <w:sz w:val="20"/>
                <w:szCs w:val="20"/>
                <w:lang w:val="en-US"/>
              </w:rPr>
              <w:t>2,</w:t>
            </w:r>
            <w:r w:rsidRPr="00221D6D">
              <w:rPr>
                <w:sz w:val="20"/>
                <w:szCs w:val="20"/>
              </w:rPr>
              <w:t>2</w:t>
            </w:r>
          </w:p>
        </w:tc>
        <w:tc>
          <w:tcPr>
            <w:tcW w:w="609" w:type="dxa"/>
            <w:vAlign w:val="bottom"/>
          </w:tcPr>
          <w:p w14:paraId="7B532642" w14:textId="77777777" w:rsidR="00221D6D" w:rsidRPr="00221D6D" w:rsidRDefault="00221D6D" w:rsidP="00221D6D">
            <w:pPr>
              <w:jc w:val="center"/>
              <w:rPr>
                <w:sz w:val="20"/>
                <w:szCs w:val="20"/>
              </w:rPr>
            </w:pPr>
            <w:r w:rsidRPr="00221D6D">
              <w:rPr>
                <w:sz w:val="20"/>
                <w:szCs w:val="20"/>
              </w:rPr>
              <w:t>2</w:t>
            </w:r>
            <w:r w:rsidRPr="00221D6D">
              <w:rPr>
                <w:sz w:val="20"/>
                <w:szCs w:val="20"/>
                <w:lang w:val="en-US"/>
              </w:rPr>
              <w:t>,</w:t>
            </w:r>
            <w:r w:rsidRPr="00221D6D">
              <w:rPr>
                <w:sz w:val="20"/>
                <w:szCs w:val="20"/>
              </w:rPr>
              <w:t>1</w:t>
            </w:r>
          </w:p>
        </w:tc>
        <w:tc>
          <w:tcPr>
            <w:tcW w:w="610" w:type="dxa"/>
            <w:vAlign w:val="bottom"/>
          </w:tcPr>
          <w:p w14:paraId="3FEF9A47" w14:textId="77777777" w:rsidR="00221D6D" w:rsidRPr="00221D6D" w:rsidRDefault="00221D6D" w:rsidP="00221D6D">
            <w:pPr>
              <w:jc w:val="center"/>
              <w:rPr>
                <w:sz w:val="20"/>
                <w:szCs w:val="20"/>
              </w:rPr>
            </w:pPr>
            <w:r w:rsidRPr="00221D6D">
              <w:rPr>
                <w:sz w:val="20"/>
                <w:szCs w:val="20"/>
              </w:rPr>
              <w:t>2,3</w:t>
            </w:r>
          </w:p>
        </w:tc>
      </w:tr>
      <w:tr w:rsidR="00221D6D" w:rsidRPr="00221D6D" w14:paraId="7B31F793" w14:textId="77777777" w:rsidTr="005C2605">
        <w:trPr>
          <w:trHeight w:val="20"/>
        </w:trPr>
        <w:tc>
          <w:tcPr>
            <w:tcW w:w="3119" w:type="dxa"/>
          </w:tcPr>
          <w:p w14:paraId="6C2775DE" w14:textId="77777777" w:rsidR="00221D6D" w:rsidRPr="00221D6D" w:rsidRDefault="00221D6D" w:rsidP="00A911FD">
            <w:pPr>
              <w:ind w:left="431" w:hanging="431"/>
              <w:rPr>
                <w:sz w:val="20"/>
                <w:szCs w:val="20"/>
              </w:rPr>
            </w:pPr>
            <w:r w:rsidRPr="00221D6D">
              <w:rPr>
                <w:sz w:val="20"/>
                <w:szCs w:val="20"/>
              </w:rPr>
              <w:t>0706 Высшее и послевузовское профессиональное образование</w:t>
            </w:r>
          </w:p>
        </w:tc>
        <w:tc>
          <w:tcPr>
            <w:tcW w:w="609" w:type="dxa"/>
            <w:vAlign w:val="bottom"/>
          </w:tcPr>
          <w:p w14:paraId="40E1B5D1" w14:textId="77777777" w:rsidR="00221D6D" w:rsidRPr="00221D6D" w:rsidRDefault="00221D6D" w:rsidP="00221D6D">
            <w:pPr>
              <w:jc w:val="center"/>
              <w:rPr>
                <w:sz w:val="20"/>
                <w:szCs w:val="20"/>
              </w:rPr>
            </w:pPr>
            <w:r w:rsidRPr="00221D6D">
              <w:rPr>
                <w:sz w:val="20"/>
                <w:szCs w:val="20"/>
              </w:rPr>
              <w:t>4,9</w:t>
            </w:r>
          </w:p>
        </w:tc>
        <w:tc>
          <w:tcPr>
            <w:tcW w:w="610" w:type="dxa"/>
            <w:vAlign w:val="bottom"/>
          </w:tcPr>
          <w:p w14:paraId="2E08E99F" w14:textId="77777777" w:rsidR="00221D6D" w:rsidRPr="00221D6D" w:rsidRDefault="00221D6D" w:rsidP="00221D6D">
            <w:pPr>
              <w:jc w:val="center"/>
              <w:rPr>
                <w:sz w:val="20"/>
                <w:szCs w:val="20"/>
              </w:rPr>
            </w:pPr>
            <w:r w:rsidRPr="00221D6D">
              <w:rPr>
                <w:sz w:val="20"/>
                <w:szCs w:val="20"/>
                <w:lang w:val="en-US"/>
              </w:rPr>
              <w:t>5,</w:t>
            </w:r>
            <w:r w:rsidRPr="00221D6D">
              <w:rPr>
                <w:sz w:val="20"/>
                <w:szCs w:val="20"/>
              </w:rPr>
              <w:t>1</w:t>
            </w:r>
          </w:p>
        </w:tc>
        <w:tc>
          <w:tcPr>
            <w:tcW w:w="609" w:type="dxa"/>
            <w:vAlign w:val="bottom"/>
          </w:tcPr>
          <w:p w14:paraId="26F7324F" w14:textId="77777777" w:rsidR="00221D6D" w:rsidRPr="00221D6D" w:rsidRDefault="00221D6D" w:rsidP="00221D6D">
            <w:pPr>
              <w:jc w:val="center"/>
              <w:rPr>
                <w:rFonts w:eastAsia="Arial Unicode MS"/>
                <w:sz w:val="20"/>
                <w:szCs w:val="20"/>
              </w:rPr>
            </w:pPr>
            <w:r w:rsidRPr="00221D6D">
              <w:rPr>
                <w:sz w:val="20"/>
                <w:szCs w:val="20"/>
              </w:rPr>
              <w:t>3,9</w:t>
            </w:r>
          </w:p>
        </w:tc>
        <w:tc>
          <w:tcPr>
            <w:tcW w:w="610" w:type="dxa"/>
            <w:vAlign w:val="bottom"/>
          </w:tcPr>
          <w:p w14:paraId="7451C75B" w14:textId="77777777" w:rsidR="00221D6D" w:rsidRPr="00221D6D" w:rsidRDefault="00221D6D" w:rsidP="00221D6D">
            <w:pPr>
              <w:jc w:val="center"/>
              <w:rPr>
                <w:sz w:val="20"/>
                <w:szCs w:val="20"/>
              </w:rPr>
            </w:pPr>
            <w:r w:rsidRPr="00221D6D">
              <w:rPr>
                <w:sz w:val="20"/>
                <w:szCs w:val="20"/>
              </w:rPr>
              <w:t>3</w:t>
            </w:r>
            <w:r w:rsidRPr="00221D6D">
              <w:rPr>
                <w:sz w:val="20"/>
                <w:szCs w:val="20"/>
                <w:lang w:val="en-US"/>
              </w:rPr>
              <w:t>,</w:t>
            </w:r>
            <w:r w:rsidRPr="00221D6D">
              <w:rPr>
                <w:sz w:val="20"/>
                <w:szCs w:val="20"/>
              </w:rPr>
              <w:t>6</w:t>
            </w:r>
          </w:p>
        </w:tc>
        <w:tc>
          <w:tcPr>
            <w:tcW w:w="609" w:type="dxa"/>
            <w:vAlign w:val="bottom"/>
          </w:tcPr>
          <w:p w14:paraId="0059D2EB" w14:textId="77777777" w:rsidR="00221D6D" w:rsidRPr="00221D6D" w:rsidRDefault="00221D6D" w:rsidP="00221D6D">
            <w:pPr>
              <w:jc w:val="center"/>
              <w:rPr>
                <w:rFonts w:eastAsia="Arial Unicode MS"/>
                <w:sz w:val="20"/>
                <w:szCs w:val="20"/>
              </w:rPr>
            </w:pPr>
            <w:r w:rsidRPr="00221D6D">
              <w:rPr>
                <w:sz w:val="20"/>
                <w:szCs w:val="20"/>
              </w:rPr>
              <w:t>3,7</w:t>
            </w:r>
          </w:p>
        </w:tc>
        <w:tc>
          <w:tcPr>
            <w:tcW w:w="610" w:type="dxa"/>
            <w:vAlign w:val="bottom"/>
          </w:tcPr>
          <w:p w14:paraId="10FD215E" w14:textId="77777777" w:rsidR="00221D6D" w:rsidRPr="00221D6D" w:rsidRDefault="00221D6D" w:rsidP="00221D6D">
            <w:pPr>
              <w:jc w:val="center"/>
              <w:rPr>
                <w:sz w:val="20"/>
                <w:szCs w:val="20"/>
                <w:lang w:val="en-US"/>
              </w:rPr>
            </w:pPr>
            <w:r w:rsidRPr="00221D6D">
              <w:rPr>
                <w:sz w:val="20"/>
                <w:szCs w:val="20"/>
                <w:lang w:val="en-US"/>
              </w:rPr>
              <w:t>3,6</w:t>
            </w:r>
          </w:p>
        </w:tc>
        <w:tc>
          <w:tcPr>
            <w:tcW w:w="609" w:type="dxa"/>
            <w:vAlign w:val="bottom"/>
          </w:tcPr>
          <w:p w14:paraId="59F5DC21" w14:textId="77777777" w:rsidR="00221D6D" w:rsidRPr="00221D6D" w:rsidRDefault="00221D6D" w:rsidP="00221D6D">
            <w:pPr>
              <w:jc w:val="center"/>
              <w:rPr>
                <w:sz w:val="20"/>
                <w:szCs w:val="20"/>
                <w:lang w:val="en-US"/>
              </w:rPr>
            </w:pPr>
            <w:r w:rsidRPr="00221D6D">
              <w:rPr>
                <w:sz w:val="20"/>
                <w:szCs w:val="20"/>
                <w:lang w:val="en-US"/>
              </w:rPr>
              <w:t>3,9</w:t>
            </w:r>
          </w:p>
        </w:tc>
        <w:tc>
          <w:tcPr>
            <w:tcW w:w="610" w:type="dxa"/>
            <w:vAlign w:val="bottom"/>
          </w:tcPr>
          <w:p w14:paraId="480AC30C" w14:textId="77777777" w:rsidR="00221D6D" w:rsidRPr="00221D6D" w:rsidRDefault="00221D6D" w:rsidP="00221D6D">
            <w:pPr>
              <w:jc w:val="center"/>
              <w:rPr>
                <w:sz w:val="20"/>
                <w:szCs w:val="20"/>
              </w:rPr>
            </w:pPr>
            <w:r w:rsidRPr="00221D6D">
              <w:rPr>
                <w:sz w:val="20"/>
                <w:szCs w:val="20"/>
                <w:lang w:val="en-US"/>
              </w:rPr>
              <w:t>3,</w:t>
            </w:r>
            <w:r w:rsidRPr="00221D6D">
              <w:rPr>
                <w:sz w:val="20"/>
                <w:szCs w:val="20"/>
              </w:rPr>
              <w:t>7</w:t>
            </w:r>
          </w:p>
        </w:tc>
        <w:tc>
          <w:tcPr>
            <w:tcW w:w="609" w:type="dxa"/>
            <w:vAlign w:val="bottom"/>
          </w:tcPr>
          <w:p w14:paraId="5FE98657" w14:textId="77777777" w:rsidR="00221D6D" w:rsidRPr="00221D6D" w:rsidRDefault="00221D6D" w:rsidP="00221D6D">
            <w:pPr>
              <w:jc w:val="center"/>
              <w:rPr>
                <w:sz w:val="20"/>
                <w:szCs w:val="20"/>
              </w:rPr>
            </w:pPr>
            <w:r w:rsidRPr="00221D6D">
              <w:rPr>
                <w:sz w:val="20"/>
                <w:szCs w:val="20"/>
                <w:lang w:val="en-US"/>
              </w:rPr>
              <w:t>3,</w:t>
            </w:r>
            <w:r w:rsidRPr="00221D6D">
              <w:rPr>
                <w:sz w:val="20"/>
                <w:szCs w:val="20"/>
              </w:rPr>
              <w:t>5</w:t>
            </w:r>
          </w:p>
        </w:tc>
        <w:tc>
          <w:tcPr>
            <w:tcW w:w="610" w:type="dxa"/>
            <w:vAlign w:val="bottom"/>
          </w:tcPr>
          <w:p w14:paraId="1CD38F6D" w14:textId="77777777" w:rsidR="00221D6D" w:rsidRPr="00221D6D" w:rsidRDefault="00221D6D" w:rsidP="00221D6D">
            <w:pPr>
              <w:jc w:val="center"/>
              <w:rPr>
                <w:sz w:val="20"/>
                <w:szCs w:val="20"/>
              </w:rPr>
            </w:pPr>
            <w:r w:rsidRPr="00221D6D">
              <w:rPr>
                <w:sz w:val="20"/>
                <w:szCs w:val="20"/>
              </w:rPr>
              <w:t>3,7</w:t>
            </w:r>
          </w:p>
        </w:tc>
      </w:tr>
      <w:tr w:rsidR="00221D6D" w:rsidRPr="00221D6D" w14:paraId="52216BE2" w14:textId="77777777" w:rsidTr="005C2605">
        <w:trPr>
          <w:trHeight w:val="20"/>
        </w:trPr>
        <w:tc>
          <w:tcPr>
            <w:tcW w:w="3119" w:type="dxa"/>
          </w:tcPr>
          <w:p w14:paraId="46F3BE55" w14:textId="77777777" w:rsidR="00221D6D" w:rsidRPr="00221D6D" w:rsidRDefault="00221D6D" w:rsidP="00A911FD">
            <w:pPr>
              <w:rPr>
                <w:sz w:val="20"/>
                <w:szCs w:val="20"/>
              </w:rPr>
            </w:pPr>
            <w:r w:rsidRPr="00221D6D">
              <w:rPr>
                <w:sz w:val="20"/>
                <w:szCs w:val="20"/>
              </w:rPr>
              <w:t>0709 Другие вопросы в области образования</w:t>
            </w:r>
          </w:p>
        </w:tc>
        <w:tc>
          <w:tcPr>
            <w:tcW w:w="609" w:type="dxa"/>
            <w:vAlign w:val="bottom"/>
          </w:tcPr>
          <w:p w14:paraId="0FD9AD81" w14:textId="77777777" w:rsidR="00221D6D" w:rsidRPr="00221D6D" w:rsidRDefault="00221D6D" w:rsidP="00221D6D">
            <w:pPr>
              <w:jc w:val="center"/>
              <w:rPr>
                <w:sz w:val="20"/>
                <w:szCs w:val="20"/>
              </w:rPr>
            </w:pPr>
            <w:r w:rsidRPr="00221D6D">
              <w:rPr>
                <w:sz w:val="20"/>
                <w:szCs w:val="20"/>
              </w:rPr>
              <w:t>0,5</w:t>
            </w:r>
          </w:p>
        </w:tc>
        <w:tc>
          <w:tcPr>
            <w:tcW w:w="610" w:type="dxa"/>
            <w:vAlign w:val="bottom"/>
          </w:tcPr>
          <w:p w14:paraId="2CE1F38C" w14:textId="77777777" w:rsidR="00221D6D" w:rsidRPr="00221D6D" w:rsidRDefault="00221D6D" w:rsidP="00221D6D">
            <w:pPr>
              <w:jc w:val="center"/>
              <w:rPr>
                <w:sz w:val="20"/>
                <w:szCs w:val="20"/>
                <w:lang w:val="en-US"/>
              </w:rPr>
            </w:pPr>
            <w:r w:rsidRPr="00221D6D">
              <w:rPr>
                <w:sz w:val="20"/>
                <w:szCs w:val="20"/>
                <w:lang w:val="en-US"/>
              </w:rPr>
              <w:t>0,9</w:t>
            </w:r>
          </w:p>
        </w:tc>
        <w:tc>
          <w:tcPr>
            <w:tcW w:w="609" w:type="dxa"/>
            <w:vAlign w:val="bottom"/>
          </w:tcPr>
          <w:p w14:paraId="734918D9" w14:textId="77777777" w:rsidR="00221D6D" w:rsidRPr="00221D6D" w:rsidRDefault="00221D6D" w:rsidP="00221D6D">
            <w:pPr>
              <w:jc w:val="center"/>
              <w:rPr>
                <w:rFonts w:eastAsia="Arial Unicode MS"/>
                <w:iCs/>
                <w:sz w:val="20"/>
                <w:szCs w:val="20"/>
              </w:rPr>
            </w:pPr>
            <w:r w:rsidRPr="00221D6D">
              <w:rPr>
                <w:sz w:val="20"/>
                <w:szCs w:val="20"/>
              </w:rPr>
              <w:t>1,2</w:t>
            </w:r>
          </w:p>
        </w:tc>
        <w:tc>
          <w:tcPr>
            <w:tcW w:w="610" w:type="dxa"/>
            <w:vAlign w:val="bottom"/>
          </w:tcPr>
          <w:p w14:paraId="564B389D" w14:textId="77777777" w:rsidR="00221D6D" w:rsidRPr="00221D6D" w:rsidRDefault="00221D6D" w:rsidP="00221D6D">
            <w:pPr>
              <w:jc w:val="center"/>
              <w:rPr>
                <w:sz w:val="20"/>
                <w:szCs w:val="20"/>
                <w:lang w:val="en-US"/>
              </w:rPr>
            </w:pPr>
            <w:r w:rsidRPr="00221D6D">
              <w:rPr>
                <w:sz w:val="20"/>
                <w:szCs w:val="20"/>
                <w:lang w:val="en-US"/>
              </w:rPr>
              <w:t>0,9</w:t>
            </w:r>
          </w:p>
        </w:tc>
        <w:tc>
          <w:tcPr>
            <w:tcW w:w="609" w:type="dxa"/>
            <w:vAlign w:val="bottom"/>
          </w:tcPr>
          <w:p w14:paraId="1EC7BB93" w14:textId="77777777" w:rsidR="00221D6D" w:rsidRPr="00221D6D" w:rsidRDefault="00221D6D" w:rsidP="00221D6D">
            <w:pPr>
              <w:jc w:val="center"/>
              <w:rPr>
                <w:rFonts w:eastAsia="Arial Unicode MS"/>
                <w:iCs/>
                <w:sz w:val="20"/>
                <w:szCs w:val="20"/>
              </w:rPr>
            </w:pPr>
            <w:r w:rsidRPr="00221D6D">
              <w:rPr>
                <w:sz w:val="20"/>
                <w:szCs w:val="20"/>
              </w:rPr>
              <w:t>–</w:t>
            </w:r>
          </w:p>
        </w:tc>
        <w:tc>
          <w:tcPr>
            <w:tcW w:w="610" w:type="dxa"/>
            <w:vAlign w:val="bottom"/>
          </w:tcPr>
          <w:p w14:paraId="6F73B663" w14:textId="77777777" w:rsidR="00221D6D" w:rsidRPr="00221D6D" w:rsidRDefault="00221D6D" w:rsidP="00221D6D">
            <w:pPr>
              <w:jc w:val="center"/>
              <w:rPr>
                <w:sz w:val="20"/>
                <w:szCs w:val="20"/>
              </w:rPr>
            </w:pPr>
            <w:r w:rsidRPr="00221D6D">
              <w:rPr>
                <w:sz w:val="20"/>
                <w:szCs w:val="20"/>
              </w:rPr>
              <w:t>–</w:t>
            </w:r>
          </w:p>
        </w:tc>
        <w:tc>
          <w:tcPr>
            <w:tcW w:w="609" w:type="dxa"/>
            <w:vAlign w:val="bottom"/>
          </w:tcPr>
          <w:p w14:paraId="4528F8D0" w14:textId="77777777" w:rsidR="00221D6D" w:rsidRPr="00221D6D" w:rsidRDefault="00221D6D" w:rsidP="00221D6D">
            <w:pPr>
              <w:jc w:val="center"/>
              <w:rPr>
                <w:sz w:val="20"/>
                <w:szCs w:val="20"/>
              </w:rPr>
            </w:pPr>
            <w:r w:rsidRPr="00221D6D">
              <w:rPr>
                <w:sz w:val="20"/>
                <w:szCs w:val="20"/>
              </w:rPr>
              <w:t>–</w:t>
            </w:r>
          </w:p>
        </w:tc>
        <w:tc>
          <w:tcPr>
            <w:tcW w:w="610" w:type="dxa"/>
            <w:vAlign w:val="bottom"/>
          </w:tcPr>
          <w:p w14:paraId="4FDE1F59" w14:textId="77777777" w:rsidR="00221D6D" w:rsidRPr="00221D6D" w:rsidRDefault="00221D6D" w:rsidP="00221D6D">
            <w:pPr>
              <w:jc w:val="center"/>
              <w:rPr>
                <w:sz w:val="20"/>
                <w:szCs w:val="20"/>
              </w:rPr>
            </w:pPr>
            <w:r w:rsidRPr="00221D6D">
              <w:rPr>
                <w:sz w:val="20"/>
                <w:szCs w:val="20"/>
              </w:rPr>
              <w:t>–</w:t>
            </w:r>
          </w:p>
        </w:tc>
        <w:tc>
          <w:tcPr>
            <w:tcW w:w="609" w:type="dxa"/>
            <w:vAlign w:val="bottom"/>
          </w:tcPr>
          <w:p w14:paraId="176586BB" w14:textId="77777777" w:rsidR="00221D6D" w:rsidRPr="00221D6D" w:rsidRDefault="00221D6D" w:rsidP="00221D6D">
            <w:pPr>
              <w:jc w:val="center"/>
              <w:rPr>
                <w:sz w:val="20"/>
                <w:szCs w:val="20"/>
              </w:rPr>
            </w:pPr>
            <w:r w:rsidRPr="00221D6D">
              <w:rPr>
                <w:sz w:val="20"/>
                <w:szCs w:val="20"/>
              </w:rPr>
              <w:t>–</w:t>
            </w:r>
          </w:p>
        </w:tc>
        <w:tc>
          <w:tcPr>
            <w:tcW w:w="610" w:type="dxa"/>
            <w:vAlign w:val="bottom"/>
          </w:tcPr>
          <w:p w14:paraId="2CEE6EE7" w14:textId="77777777" w:rsidR="00221D6D" w:rsidRPr="00221D6D" w:rsidRDefault="00221D6D" w:rsidP="00221D6D">
            <w:pPr>
              <w:jc w:val="center"/>
              <w:rPr>
                <w:sz w:val="20"/>
                <w:szCs w:val="20"/>
              </w:rPr>
            </w:pPr>
            <w:r w:rsidRPr="00221D6D">
              <w:rPr>
                <w:sz w:val="20"/>
                <w:szCs w:val="20"/>
              </w:rPr>
              <w:t>–</w:t>
            </w:r>
          </w:p>
        </w:tc>
      </w:tr>
      <w:tr w:rsidR="00221D6D" w:rsidRPr="00221D6D" w14:paraId="3D19D487" w14:textId="77777777" w:rsidTr="005C2605">
        <w:trPr>
          <w:trHeight w:val="20"/>
        </w:trPr>
        <w:tc>
          <w:tcPr>
            <w:tcW w:w="3119" w:type="dxa"/>
          </w:tcPr>
          <w:p w14:paraId="6734A061" w14:textId="77777777" w:rsidR="00221D6D" w:rsidRPr="00221D6D" w:rsidRDefault="00221D6D" w:rsidP="00A911FD">
            <w:pPr>
              <w:ind w:left="426" w:hanging="426"/>
              <w:rPr>
                <w:sz w:val="20"/>
                <w:szCs w:val="20"/>
              </w:rPr>
            </w:pPr>
            <w:r w:rsidRPr="00221D6D">
              <w:rPr>
                <w:sz w:val="20"/>
                <w:szCs w:val="20"/>
              </w:rPr>
              <w:t>0800 КУЛЬТУРА</w:t>
            </w:r>
            <w:r w:rsidRPr="00221D6D">
              <w:rPr>
                <w:sz w:val="20"/>
                <w:szCs w:val="20"/>
                <w:lang w:val="en-US"/>
              </w:rPr>
              <w:t>,</w:t>
            </w:r>
            <w:r w:rsidRPr="00221D6D">
              <w:rPr>
                <w:sz w:val="20"/>
                <w:szCs w:val="20"/>
              </w:rPr>
              <w:t xml:space="preserve"> КИНЕМАТОГРАФИЯ</w:t>
            </w:r>
          </w:p>
        </w:tc>
        <w:tc>
          <w:tcPr>
            <w:tcW w:w="609" w:type="dxa"/>
            <w:vAlign w:val="bottom"/>
          </w:tcPr>
          <w:p w14:paraId="68F99CED" w14:textId="77777777" w:rsidR="00221D6D" w:rsidRPr="00221D6D" w:rsidRDefault="00221D6D" w:rsidP="00221D6D">
            <w:pPr>
              <w:jc w:val="center"/>
              <w:rPr>
                <w:sz w:val="20"/>
                <w:szCs w:val="20"/>
              </w:rPr>
            </w:pPr>
            <w:r w:rsidRPr="00221D6D">
              <w:rPr>
                <w:sz w:val="20"/>
                <w:szCs w:val="20"/>
              </w:rPr>
              <w:t>0,1</w:t>
            </w:r>
          </w:p>
        </w:tc>
        <w:tc>
          <w:tcPr>
            <w:tcW w:w="610" w:type="dxa"/>
            <w:vAlign w:val="bottom"/>
          </w:tcPr>
          <w:p w14:paraId="4B061B52" w14:textId="77777777" w:rsidR="00221D6D" w:rsidRPr="00221D6D" w:rsidRDefault="00221D6D" w:rsidP="00221D6D">
            <w:pPr>
              <w:jc w:val="center"/>
              <w:rPr>
                <w:sz w:val="20"/>
                <w:szCs w:val="20"/>
                <w:lang w:val="en-US"/>
              </w:rPr>
            </w:pPr>
            <w:r w:rsidRPr="00221D6D">
              <w:rPr>
                <w:sz w:val="20"/>
                <w:szCs w:val="20"/>
                <w:lang w:val="en-US"/>
              </w:rPr>
              <w:t>0,1</w:t>
            </w:r>
          </w:p>
        </w:tc>
        <w:tc>
          <w:tcPr>
            <w:tcW w:w="609" w:type="dxa"/>
            <w:vAlign w:val="bottom"/>
          </w:tcPr>
          <w:p w14:paraId="4452EFDB" w14:textId="77777777" w:rsidR="00221D6D" w:rsidRPr="00221D6D" w:rsidRDefault="00221D6D" w:rsidP="00221D6D">
            <w:pPr>
              <w:jc w:val="center"/>
              <w:rPr>
                <w:rFonts w:eastAsia="Arial Unicode MS"/>
                <w:sz w:val="20"/>
                <w:szCs w:val="20"/>
              </w:rPr>
            </w:pPr>
            <w:r w:rsidRPr="00221D6D">
              <w:rPr>
                <w:sz w:val="20"/>
                <w:szCs w:val="20"/>
              </w:rPr>
              <w:t>0,1</w:t>
            </w:r>
          </w:p>
        </w:tc>
        <w:tc>
          <w:tcPr>
            <w:tcW w:w="610" w:type="dxa"/>
            <w:vAlign w:val="bottom"/>
          </w:tcPr>
          <w:p w14:paraId="3CC880F2"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2</w:t>
            </w:r>
          </w:p>
        </w:tc>
        <w:tc>
          <w:tcPr>
            <w:tcW w:w="609" w:type="dxa"/>
            <w:vAlign w:val="bottom"/>
          </w:tcPr>
          <w:p w14:paraId="73079C54" w14:textId="77777777" w:rsidR="00221D6D" w:rsidRPr="00221D6D" w:rsidRDefault="00221D6D" w:rsidP="00221D6D">
            <w:pPr>
              <w:jc w:val="center"/>
              <w:rPr>
                <w:rFonts w:eastAsia="Arial Unicode MS"/>
                <w:sz w:val="20"/>
                <w:szCs w:val="20"/>
              </w:rPr>
            </w:pPr>
            <w:r w:rsidRPr="00221D6D">
              <w:rPr>
                <w:sz w:val="20"/>
                <w:szCs w:val="20"/>
              </w:rPr>
              <w:t>0,2</w:t>
            </w:r>
          </w:p>
        </w:tc>
        <w:tc>
          <w:tcPr>
            <w:tcW w:w="610" w:type="dxa"/>
            <w:vAlign w:val="bottom"/>
          </w:tcPr>
          <w:p w14:paraId="0605293F" w14:textId="77777777" w:rsidR="00221D6D" w:rsidRPr="00221D6D" w:rsidRDefault="00221D6D" w:rsidP="00221D6D">
            <w:pPr>
              <w:jc w:val="center"/>
              <w:rPr>
                <w:sz w:val="20"/>
                <w:szCs w:val="20"/>
                <w:lang w:val="en-US"/>
              </w:rPr>
            </w:pPr>
            <w:r w:rsidRPr="00221D6D">
              <w:rPr>
                <w:sz w:val="20"/>
                <w:szCs w:val="20"/>
                <w:lang w:val="en-US"/>
              </w:rPr>
              <w:t>0,2</w:t>
            </w:r>
          </w:p>
        </w:tc>
        <w:tc>
          <w:tcPr>
            <w:tcW w:w="609" w:type="dxa"/>
            <w:vAlign w:val="bottom"/>
          </w:tcPr>
          <w:p w14:paraId="0F0C0A91"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1</w:t>
            </w:r>
          </w:p>
        </w:tc>
        <w:tc>
          <w:tcPr>
            <w:tcW w:w="610" w:type="dxa"/>
            <w:vAlign w:val="bottom"/>
          </w:tcPr>
          <w:p w14:paraId="5BFE0463"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1</w:t>
            </w:r>
          </w:p>
        </w:tc>
        <w:tc>
          <w:tcPr>
            <w:tcW w:w="609" w:type="dxa"/>
            <w:vAlign w:val="bottom"/>
          </w:tcPr>
          <w:p w14:paraId="3AFB2E25"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1</w:t>
            </w:r>
          </w:p>
        </w:tc>
        <w:tc>
          <w:tcPr>
            <w:tcW w:w="610" w:type="dxa"/>
            <w:vAlign w:val="bottom"/>
          </w:tcPr>
          <w:p w14:paraId="512615A9" w14:textId="77777777" w:rsidR="00221D6D" w:rsidRPr="00221D6D" w:rsidRDefault="00221D6D" w:rsidP="00221D6D">
            <w:pPr>
              <w:jc w:val="center"/>
              <w:rPr>
                <w:sz w:val="20"/>
                <w:szCs w:val="20"/>
              </w:rPr>
            </w:pPr>
            <w:r w:rsidRPr="00221D6D">
              <w:rPr>
                <w:sz w:val="20"/>
                <w:szCs w:val="20"/>
              </w:rPr>
              <w:t>0,2</w:t>
            </w:r>
          </w:p>
        </w:tc>
      </w:tr>
      <w:tr w:rsidR="00221D6D" w:rsidRPr="00221D6D" w14:paraId="301F002F" w14:textId="77777777" w:rsidTr="005C2605">
        <w:trPr>
          <w:trHeight w:val="20"/>
        </w:trPr>
        <w:tc>
          <w:tcPr>
            <w:tcW w:w="3119" w:type="dxa"/>
          </w:tcPr>
          <w:p w14:paraId="22FB1A9C" w14:textId="77777777" w:rsidR="00221D6D" w:rsidRPr="00221D6D" w:rsidRDefault="00221D6D" w:rsidP="00A911FD">
            <w:pPr>
              <w:rPr>
                <w:sz w:val="20"/>
                <w:szCs w:val="20"/>
              </w:rPr>
            </w:pPr>
            <w:r w:rsidRPr="00221D6D">
              <w:rPr>
                <w:sz w:val="20"/>
                <w:szCs w:val="20"/>
              </w:rPr>
              <w:t>0801 Культура</w:t>
            </w:r>
          </w:p>
        </w:tc>
        <w:tc>
          <w:tcPr>
            <w:tcW w:w="609" w:type="dxa"/>
            <w:vAlign w:val="bottom"/>
          </w:tcPr>
          <w:p w14:paraId="163884CD" w14:textId="77777777" w:rsidR="00221D6D" w:rsidRPr="00221D6D" w:rsidRDefault="00221D6D" w:rsidP="00221D6D">
            <w:pPr>
              <w:jc w:val="center"/>
              <w:rPr>
                <w:sz w:val="20"/>
                <w:szCs w:val="20"/>
              </w:rPr>
            </w:pPr>
            <w:r w:rsidRPr="00221D6D">
              <w:rPr>
                <w:sz w:val="20"/>
                <w:szCs w:val="20"/>
              </w:rPr>
              <w:t>0,2</w:t>
            </w:r>
          </w:p>
        </w:tc>
        <w:tc>
          <w:tcPr>
            <w:tcW w:w="610" w:type="dxa"/>
            <w:vAlign w:val="bottom"/>
          </w:tcPr>
          <w:p w14:paraId="114B73CF"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2</w:t>
            </w:r>
          </w:p>
        </w:tc>
        <w:tc>
          <w:tcPr>
            <w:tcW w:w="609" w:type="dxa"/>
            <w:vAlign w:val="bottom"/>
          </w:tcPr>
          <w:p w14:paraId="16A67CAE" w14:textId="77777777" w:rsidR="00221D6D" w:rsidRPr="00221D6D" w:rsidRDefault="00221D6D" w:rsidP="00221D6D">
            <w:pPr>
              <w:jc w:val="center"/>
              <w:rPr>
                <w:rFonts w:eastAsia="Arial Unicode MS"/>
                <w:sz w:val="20"/>
                <w:szCs w:val="20"/>
                <w:lang w:val="en-US"/>
              </w:rPr>
            </w:pPr>
            <w:r w:rsidRPr="00221D6D">
              <w:rPr>
                <w:sz w:val="20"/>
                <w:szCs w:val="20"/>
              </w:rPr>
              <w:t>0,2</w:t>
            </w:r>
          </w:p>
        </w:tc>
        <w:tc>
          <w:tcPr>
            <w:tcW w:w="610" w:type="dxa"/>
            <w:vAlign w:val="bottom"/>
          </w:tcPr>
          <w:p w14:paraId="0C09E6B2"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2</w:t>
            </w:r>
          </w:p>
        </w:tc>
        <w:tc>
          <w:tcPr>
            <w:tcW w:w="609" w:type="dxa"/>
            <w:vAlign w:val="bottom"/>
          </w:tcPr>
          <w:p w14:paraId="72E3F914" w14:textId="77777777" w:rsidR="00221D6D" w:rsidRPr="00221D6D" w:rsidRDefault="00221D6D" w:rsidP="00221D6D">
            <w:pPr>
              <w:jc w:val="center"/>
              <w:rPr>
                <w:rFonts w:eastAsia="Arial Unicode MS"/>
                <w:sz w:val="20"/>
                <w:szCs w:val="20"/>
              </w:rPr>
            </w:pPr>
            <w:r w:rsidRPr="00221D6D">
              <w:rPr>
                <w:sz w:val="20"/>
                <w:szCs w:val="20"/>
              </w:rPr>
              <w:t>0,2</w:t>
            </w:r>
          </w:p>
        </w:tc>
        <w:tc>
          <w:tcPr>
            <w:tcW w:w="610" w:type="dxa"/>
            <w:vAlign w:val="bottom"/>
          </w:tcPr>
          <w:p w14:paraId="2ED759DF" w14:textId="77777777" w:rsidR="00221D6D" w:rsidRPr="00221D6D" w:rsidRDefault="00221D6D" w:rsidP="00221D6D">
            <w:pPr>
              <w:jc w:val="center"/>
              <w:rPr>
                <w:sz w:val="20"/>
                <w:szCs w:val="20"/>
                <w:lang w:val="en-US"/>
              </w:rPr>
            </w:pPr>
            <w:r w:rsidRPr="00221D6D">
              <w:rPr>
                <w:sz w:val="20"/>
                <w:szCs w:val="20"/>
                <w:lang w:val="en-US"/>
              </w:rPr>
              <w:t>0,2</w:t>
            </w:r>
          </w:p>
        </w:tc>
        <w:tc>
          <w:tcPr>
            <w:tcW w:w="609" w:type="dxa"/>
            <w:vAlign w:val="bottom"/>
          </w:tcPr>
          <w:p w14:paraId="169F7F2E"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1</w:t>
            </w:r>
          </w:p>
        </w:tc>
        <w:tc>
          <w:tcPr>
            <w:tcW w:w="610" w:type="dxa"/>
            <w:vAlign w:val="bottom"/>
          </w:tcPr>
          <w:p w14:paraId="7FDEBFE7"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1</w:t>
            </w:r>
          </w:p>
        </w:tc>
        <w:tc>
          <w:tcPr>
            <w:tcW w:w="609" w:type="dxa"/>
            <w:vAlign w:val="bottom"/>
          </w:tcPr>
          <w:p w14:paraId="1F7509F7"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1</w:t>
            </w:r>
          </w:p>
        </w:tc>
        <w:tc>
          <w:tcPr>
            <w:tcW w:w="610" w:type="dxa"/>
            <w:vAlign w:val="bottom"/>
          </w:tcPr>
          <w:p w14:paraId="680C04BF" w14:textId="77777777" w:rsidR="00221D6D" w:rsidRPr="00221D6D" w:rsidRDefault="00221D6D" w:rsidP="00221D6D">
            <w:pPr>
              <w:jc w:val="center"/>
              <w:rPr>
                <w:sz w:val="20"/>
                <w:szCs w:val="20"/>
              </w:rPr>
            </w:pPr>
            <w:r w:rsidRPr="00221D6D">
              <w:rPr>
                <w:sz w:val="20"/>
                <w:szCs w:val="20"/>
              </w:rPr>
              <w:t>0,2</w:t>
            </w:r>
          </w:p>
        </w:tc>
      </w:tr>
      <w:tr w:rsidR="00221D6D" w:rsidRPr="00221D6D" w14:paraId="052DC4CB" w14:textId="77777777" w:rsidTr="005C2605">
        <w:trPr>
          <w:trHeight w:val="20"/>
        </w:trPr>
        <w:tc>
          <w:tcPr>
            <w:tcW w:w="3119" w:type="dxa"/>
          </w:tcPr>
          <w:p w14:paraId="3056DB06" w14:textId="77777777" w:rsidR="00221D6D" w:rsidRPr="00221D6D" w:rsidRDefault="00221D6D" w:rsidP="00A911FD">
            <w:pPr>
              <w:ind w:left="426" w:hanging="426"/>
              <w:rPr>
                <w:sz w:val="20"/>
                <w:szCs w:val="20"/>
              </w:rPr>
            </w:pPr>
            <w:r w:rsidRPr="00221D6D">
              <w:rPr>
                <w:sz w:val="20"/>
                <w:szCs w:val="20"/>
              </w:rPr>
              <w:t>0900 ЗДРАВООХРАНЕНИЕ</w:t>
            </w:r>
          </w:p>
        </w:tc>
        <w:tc>
          <w:tcPr>
            <w:tcW w:w="609" w:type="dxa"/>
            <w:vAlign w:val="bottom"/>
          </w:tcPr>
          <w:p w14:paraId="0F1D47C1" w14:textId="77777777" w:rsidR="00221D6D" w:rsidRPr="00221D6D" w:rsidRDefault="00221D6D" w:rsidP="00221D6D">
            <w:pPr>
              <w:jc w:val="center"/>
              <w:rPr>
                <w:sz w:val="20"/>
                <w:szCs w:val="20"/>
              </w:rPr>
            </w:pPr>
            <w:r w:rsidRPr="00221D6D">
              <w:rPr>
                <w:sz w:val="20"/>
                <w:szCs w:val="20"/>
              </w:rPr>
              <w:t>2,8</w:t>
            </w:r>
          </w:p>
        </w:tc>
        <w:tc>
          <w:tcPr>
            <w:tcW w:w="610" w:type="dxa"/>
            <w:vAlign w:val="bottom"/>
          </w:tcPr>
          <w:p w14:paraId="71567108" w14:textId="77777777" w:rsidR="00221D6D" w:rsidRPr="00221D6D" w:rsidRDefault="00221D6D" w:rsidP="00221D6D">
            <w:pPr>
              <w:jc w:val="center"/>
              <w:rPr>
                <w:sz w:val="20"/>
                <w:szCs w:val="20"/>
              </w:rPr>
            </w:pPr>
            <w:r w:rsidRPr="00221D6D">
              <w:rPr>
                <w:sz w:val="20"/>
                <w:szCs w:val="20"/>
                <w:lang w:val="en-US"/>
              </w:rPr>
              <w:t>2,</w:t>
            </w:r>
            <w:r w:rsidRPr="00221D6D">
              <w:rPr>
                <w:sz w:val="20"/>
                <w:szCs w:val="20"/>
              </w:rPr>
              <w:t>6</w:t>
            </w:r>
          </w:p>
        </w:tc>
        <w:tc>
          <w:tcPr>
            <w:tcW w:w="609" w:type="dxa"/>
            <w:vAlign w:val="bottom"/>
          </w:tcPr>
          <w:p w14:paraId="1C3B2968" w14:textId="77777777" w:rsidR="00221D6D" w:rsidRPr="00221D6D" w:rsidRDefault="00221D6D" w:rsidP="00221D6D">
            <w:pPr>
              <w:jc w:val="center"/>
              <w:rPr>
                <w:rFonts w:eastAsia="Arial Unicode MS"/>
                <w:sz w:val="20"/>
                <w:szCs w:val="20"/>
              </w:rPr>
            </w:pPr>
            <w:r w:rsidRPr="00221D6D">
              <w:rPr>
                <w:sz w:val="20"/>
                <w:szCs w:val="20"/>
              </w:rPr>
              <w:t>2,6</w:t>
            </w:r>
          </w:p>
        </w:tc>
        <w:tc>
          <w:tcPr>
            <w:tcW w:w="610" w:type="dxa"/>
            <w:vAlign w:val="bottom"/>
          </w:tcPr>
          <w:p w14:paraId="24B04B08" w14:textId="77777777" w:rsidR="00221D6D" w:rsidRPr="00221D6D" w:rsidRDefault="00221D6D" w:rsidP="00221D6D">
            <w:pPr>
              <w:jc w:val="center"/>
              <w:rPr>
                <w:sz w:val="20"/>
                <w:szCs w:val="20"/>
              </w:rPr>
            </w:pPr>
            <w:r w:rsidRPr="00221D6D">
              <w:rPr>
                <w:sz w:val="20"/>
                <w:szCs w:val="20"/>
              </w:rPr>
              <w:t>2</w:t>
            </w:r>
            <w:r w:rsidRPr="00221D6D">
              <w:rPr>
                <w:sz w:val="20"/>
                <w:szCs w:val="20"/>
                <w:lang w:val="en-US"/>
              </w:rPr>
              <w:t>,</w:t>
            </w:r>
            <w:r w:rsidRPr="00221D6D">
              <w:rPr>
                <w:sz w:val="20"/>
                <w:szCs w:val="20"/>
              </w:rPr>
              <w:t>9</w:t>
            </w:r>
          </w:p>
        </w:tc>
        <w:tc>
          <w:tcPr>
            <w:tcW w:w="609" w:type="dxa"/>
            <w:vAlign w:val="bottom"/>
          </w:tcPr>
          <w:p w14:paraId="1A3B39FD" w14:textId="77777777" w:rsidR="00221D6D" w:rsidRPr="00221D6D" w:rsidRDefault="00221D6D" w:rsidP="00221D6D">
            <w:pPr>
              <w:jc w:val="center"/>
              <w:rPr>
                <w:rFonts w:eastAsia="Arial Unicode MS"/>
                <w:sz w:val="20"/>
                <w:szCs w:val="20"/>
              </w:rPr>
            </w:pPr>
            <w:r w:rsidRPr="00221D6D">
              <w:rPr>
                <w:sz w:val="20"/>
                <w:szCs w:val="20"/>
                <w:lang w:val="en-US"/>
              </w:rPr>
              <w:t>3</w:t>
            </w:r>
            <w:r w:rsidRPr="00221D6D">
              <w:rPr>
                <w:sz w:val="20"/>
                <w:szCs w:val="20"/>
              </w:rPr>
              <w:t>,4</w:t>
            </w:r>
          </w:p>
        </w:tc>
        <w:tc>
          <w:tcPr>
            <w:tcW w:w="610" w:type="dxa"/>
            <w:vAlign w:val="bottom"/>
          </w:tcPr>
          <w:p w14:paraId="6D2C6EB5" w14:textId="77777777" w:rsidR="00221D6D" w:rsidRPr="00221D6D" w:rsidRDefault="00221D6D" w:rsidP="00221D6D">
            <w:pPr>
              <w:jc w:val="center"/>
              <w:rPr>
                <w:sz w:val="20"/>
                <w:szCs w:val="20"/>
                <w:lang w:val="en-US"/>
              </w:rPr>
            </w:pPr>
            <w:r w:rsidRPr="00221D6D">
              <w:rPr>
                <w:sz w:val="20"/>
                <w:szCs w:val="20"/>
                <w:lang w:val="en-US"/>
              </w:rPr>
              <w:t>3,0</w:t>
            </w:r>
          </w:p>
        </w:tc>
        <w:tc>
          <w:tcPr>
            <w:tcW w:w="609" w:type="dxa"/>
            <w:vAlign w:val="bottom"/>
          </w:tcPr>
          <w:p w14:paraId="5CA000C0" w14:textId="77777777" w:rsidR="00221D6D" w:rsidRPr="00221D6D" w:rsidRDefault="00221D6D" w:rsidP="00221D6D">
            <w:pPr>
              <w:jc w:val="center"/>
              <w:rPr>
                <w:sz w:val="20"/>
                <w:szCs w:val="20"/>
                <w:lang w:val="en-US"/>
              </w:rPr>
            </w:pPr>
            <w:r w:rsidRPr="00221D6D">
              <w:rPr>
                <w:sz w:val="20"/>
                <w:szCs w:val="20"/>
              </w:rPr>
              <w:t>2</w:t>
            </w:r>
            <w:r w:rsidRPr="00221D6D">
              <w:rPr>
                <w:sz w:val="20"/>
                <w:szCs w:val="20"/>
                <w:lang w:val="en-US"/>
              </w:rPr>
              <w:t>,8</w:t>
            </w:r>
          </w:p>
        </w:tc>
        <w:tc>
          <w:tcPr>
            <w:tcW w:w="610" w:type="dxa"/>
            <w:vAlign w:val="bottom"/>
          </w:tcPr>
          <w:p w14:paraId="0149AE47" w14:textId="77777777" w:rsidR="00221D6D" w:rsidRPr="00221D6D" w:rsidRDefault="00221D6D" w:rsidP="00221D6D">
            <w:pPr>
              <w:jc w:val="center"/>
              <w:rPr>
                <w:sz w:val="20"/>
                <w:szCs w:val="20"/>
              </w:rPr>
            </w:pPr>
            <w:r w:rsidRPr="00221D6D">
              <w:rPr>
                <w:sz w:val="20"/>
                <w:szCs w:val="20"/>
              </w:rPr>
              <w:t>3</w:t>
            </w:r>
            <w:r w:rsidRPr="00221D6D">
              <w:rPr>
                <w:sz w:val="20"/>
                <w:szCs w:val="20"/>
                <w:lang w:val="en-US"/>
              </w:rPr>
              <w:t>,</w:t>
            </w:r>
            <w:r w:rsidRPr="00221D6D">
              <w:rPr>
                <w:sz w:val="20"/>
                <w:szCs w:val="20"/>
              </w:rPr>
              <w:t>1</w:t>
            </w:r>
          </w:p>
        </w:tc>
        <w:tc>
          <w:tcPr>
            <w:tcW w:w="609" w:type="dxa"/>
            <w:vAlign w:val="bottom"/>
          </w:tcPr>
          <w:p w14:paraId="02AF9C2F" w14:textId="77777777" w:rsidR="00221D6D" w:rsidRPr="00221D6D" w:rsidRDefault="00221D6D" w:rsidP="00221D6D">
            <w:pPr>
              <w:jc w:val="center"/>
              <w:rPr>
                <w:sz w:val="20"/>
                <w:szCs w:val="20"/>
              </w:rPr>
            </w:pPr>
            <w:r w:rsidRPr="00221D6D">
              <w:rPr>
                <w:sz w:val="20"/>
                <w:szCs w:val="20"/>
              </w:rPr>
              <w:t>2</w:t>
            </w:r>
            <w:r w:rsidRPr="00221D6D">
              <w:rPr>
                <w:sz w:val="20"/>
                <w:szCs w:val="20"/>
                <w:lang w:val="en-US"/>
              </w:rPr>
              <w:t>,</w:t>
            </w:r>
            <w:r w:rsidRPr="00221D6D">
              <w:rPr>
                <w:sz w:val="20"/>
                <w:szCs w:val="20"/>
              </w:rPr>
              <w:t>8</w:t>
            </w:r>
          </w:p>
        </w:tc>
        <w:tc>
          <w:tcPr>
            <w:tcW w:w="610" w:type="dxa"/>
            <w:vAlign w:val="bottom"/>
          </w:tcPr>
          <w:p w14:paraId="26076801" w14:textId="77777777" w:rsidR="00221D6D" w:rsidRPr="00221D6D" w:rsidRDefault="00221D6D" w:rsidP="00221D6D">
            <w:pPr>
              <w:jc w:val="center"/>
              <w:rPr>
                <w:sz w:val="20"/>
                <w:szCs w:val="20"/>
              </w:rPr>
            </w:pPr>
            <w:r w:rsidRPr="00221D6D">
              <w:rPr>
                <w:sz w:val="20"/>
                <w:szCs w:val="20"/>
              </w:rPr>
              <w:t>2,7</w:t>
            </w:r>
          </w:p>
        </w:tc>
      </w:tr>
      <w:tr w:rsidR="00221D6D" w:rsidRPr="00221D6D" w14:paraId="3560DF85" w14:textId="77777777" w:rsidTr="005C2605">
        <w:trPr>
          <w:trHeight w:val="20"/>
        </w:trPr>
        <w:tc>
          <w:tcPr>
            <w:tcW w:w="3119" w:type="dxa"/>
          </w:tcPr>
          <w:p w14:paraId="47E36372" w14:textId="77777777" w:rsidR="00221D6D" w:rsidRPr="00221D6D" w:rsidRDefault="00221D6D" w:rsidP="00A911FD">
            <w:pPr>
              <w:rPr>
                <w:sz w:val="20"/>
                <w:szCs w:val="20"/>
              </w:rPr>
            </w:pPr>
            <w:r w:rsidRPr="00221D6D">
              <w:rPr>
                <w:sz w:val="20"/>
                <w:szCs w:val="20"/>
              </w:rPr>
              <w:t>0901 Стационарная медицинская помощь</w:t>
            </w:r>
          </w:p>
        </w:tc>
        <w:tc>
          <w:tcPr>
            <w:tcW w:w="609" w:type="dxa"/>
            <w:vAlign w:val="bottom"/>
          </w:tcPr>
          <w:p w14:paraId="796AD760" w14:textId="77777777" w:rsidR="00221D6D" w:rsidRPr="00221D6D" w:rsidRDefault="00221D6D" w:rsidP="00221D6D">
            <w:pPr>
              <w:jc w:val="center"/>
              <w:rPr>
                <w:sz w:val="20"/>
                <w:szCs w:val="20"/>
              </w:rPr>
            </w:pPr>
            <w:r w:rsidRPr="00221D6D">
              <w:rPr>
                <w:sz w:val="20"/>
                <w:szCs w:val="20"/>
              </w:rPr>
              <w:t>2,3</w:t>
            </w:r>
          </w:p>
        </w:tc>
        <w:tc>
          <w:tcPr>
            <w:tcW w:w="610" w:type="dxa"/>
            <w:vAlign w:val="bottom"/>
          </w:tcPr>
          <w:p w14:paraId="12D586FF" w14:textId="77777777" w:rsidR="00221D6D" w:rsidRPr="00221D6D" w:rsidRDefault="00221D6D" w:rsidP="00221D6D">
            <w:pPr>
              <w:jc w:val="center"/>
              <w:rPr>
                <w:sz w:val="20"/>
                <w:szCs w:val="20"/>
              </w:rPr>
            </w:pPr>
            <w:r w:rsidRPr="00221D6D">
              <w:rPr>
                <w:sz w:val="20"/>
                <w:szCs w:val="20"/>
                <w:lang w:val="en-US"/>
              </w:rPr>
              <w:t>1,</w:t>
            </w:r>
            <w:r w:rsidRPr="00221D6D">
              <w:rPr>
                <w:sz w:val="20"/>
                <w:szCs w:val="20"/>
              </w:rPr>
              <w:t>6</w:t>
            </w:r>
          </w:p>
        </w:tc>
        <w:tc>
          <w:tcPr>
            <w:tcW w:w="609" w:type="dxa"/>
            <w:vAlign w:val="bottom"/>
          </w:tcPr>
          <w:p w14:paraId="24A8A7B3" w14:textId="77777777" w:rsidR="00221D6D" w:rsidRPr="00221D6D" w:rsidRDefault="00221D6D" w:rsidP="00221D6D">
            <w:pPr>
              <w:jc w:val="center"/>
              <w:rPr>
                <w:sz w:val="20"/>
                <w:szCs w:val="20"/>
              </w:rPr>
            </w:pPr>
            <w:r w:rsidRPr="00221D6D">
              <w:rPr>
                <w:sz w:val="20"/>
                <w:szCs w:val="20"/>
              </w:rPr>
              <w:t>1,7</w:t>
            </w:r>
          </w:p>
        </w:tc>
        <w:tc>
          <w:tcPr>
            <w:tcW w:w="610" w:type="dxa"/>
            <w:vAlign w:val="bottom"/>
          </w:tcPr>
          <w:p w14:paraId="7536474E" w14:textId="77777777" w:rsidR="00221D6D" w:rsidRPr="00221D6D" w:rsidRDefault="00221D6D" w:rsidP="00221D6D">
            <w:pPr>
              <w:jc w:val="center"/>
              <w:rPr>
                <w:sz w:val="20"/>
                <w:szCs w:val="20"/>
              </w:rPr>
            </w:pPr>
            <w:r w:rsidRPr="00221D6D">
              <w:rPr>
                <w:sz w:val="20"/>
                <w:szCs w:val="20"/>
                <w:lang w:val="en-US"/>
              </w:rPr>
              <w:t>1,</w:t>
            </w:r>
            <w:r w:rsidRPr="00221D6D">
              <w:rPr>
                <w:sz w:val="20"/>
                <w:szCs w:val="20"/>
              </w:rPr>
              <w:t>9</w:t>
            </w:r>
          </w:p>
        </w:tc>
        <w:tc>
          <w:tcPr>
            <w:tcW w:w="609" w:type="dxa"/>
            <w:vAlign w:val="bottom"/>
          </w:tcPr>
          <w:p w14:paraId="3E5A6DE7" w14:textId="77777777" w:rsidR="00221D6D" w:rsidRPr="00221D6D" w:rsidRDefault="00221D6D" w:rsidP="00221D6D">
            <w:pPr>
              <w:jc w:val="center"/>
              <w:rPr>
                <w:sz w:val="20"/>
                <w:szCs w:val="20"/>
              </w:rPr>
            </w:pPr>
            <w:r w:rsidRPr="00221D6D">
              <w:rPr>
                <w:sz w:val="20"/>
                <w:szCs w:val="20"/>
              </w:rPr>
              <w:t>3,3</w:t>
            </w:r>
          </w:p>
        </w:tc>
        <w:tc>
          <w:tcPr>
            <w:tcW w:w="610" w:type="dxa"/>
            <w:vAlign w:val="bottom"/>
          </w:tcPr>
          <w:p w14:paraId="2E37066B" w14:textId="77777777" w:rsidR="00221D6D" w:rsidRPr="00221D6D" w:rsidRDefault="00221D6D" w:rsidP="00221D6D">
            <w:pPr>
              <w:jc w:val="center"/>
              <w:rPr>
                <w:sz w:val="20"/>
                <w:szCs w:val="20"/>
                <w:lang w:val="en-US"/>
              </w:rPr>
            </w:pPr>
            <w:r w:rsidRPr="00221D6D">
              <w:rPr>
                <w:sz w:val="20"/>
                <w:szCs w:val="20"/>
                <w:lang w:val="en-US"/>
              </w:rPr>
              <w:t>3,7</w:t>
            </w:r>
          </w:p>
        </w:tc>
        <w:tc>
          <w:tcPr>
            <w:tcW w:w="609" w:type="dxa"/>
            <w:vAlign w:val="bottom"/>
          </w:tcPr>
          <w:p w14:paraId="0FFE0600" w14:textId="77777777" w:rsidR="00221D6D" w:rsidRPr="00221D6D" w:rsidRDefault="00221D6D" w:rsidP="00221D6D">
            <w:pPr>
              <w:jc w:val="center"/>
              <w:rPr>
                <w:sz w:val="20"/>
                <w:szCs w:val="20"/>
              </w:rPr>
            </w:pPr>
            <w:r w:rsidRPr="00221D6D">
              <w:rPr>
                <w:sz w:val="20"/>
                <w:szCs w:val="20"/>
                <w:lang w:val="en-US"/>
              </w:rPr>
              <w:t>3,</w:t>
            </w:r>
            <w:r w:rsidRPr="00221D6D">
              <w:rPr>
                <w:sz w:val="20"/>
                <w:szCs w:val="20"/>
              </w:rPr>
              <w:t>8</w:t>
            </w:r>
          </w:p>
        </w:tc>
        <w:tc>
          <w:tcPr>
            <w:tcW w:w="610" w:type="dxa"/>
            <w:vAlign w:val="bottom"/>
          </w:tcPr>
          <w:p w14:paraId="1F38DA49" w14:textId="77777777" w:rsidR="00221D6D" w:rsidRPr="00221D6D" w:rsidRDefault="00221D6D" w:rsidP="00221D6D">
            <w:pPr>
              <w:jc w:val="center"/>
              <w:rPr>
                <w:sz w:val="20"/>
                <w:szCs w:val="20"/>
              </w:rPr>
            </w:pPr>
            <w:r w:rsidRPr="00221D6D">
              <w:rPr>
                <w:sz w:val="20"/>
                <w:szCs w:val="20"/>
              </w:rPr>
              <w:t>2</w:t>
            </w:r>
            <w:r w:rsidRPr="00221D6D">
              <w:rPr>
                <w:sz w:val="20"/>
                <w:szCs w:val="20"/>
                <w:lang w:val="en-US"/>
              </w:rPr>
              <w:t>,</w:t>
            </w:r>
            <w:r w:rsidRPr="00221D6D">
              <w:rPr>
                <w:sz w:val="20"/>
                <w:szCs w:val="20"/>
              </w:rPr>
              <w:t>8</w:t>
            </w:r>
          </w:p>
        </w:tc>
        <w:tc>
          <w:tcPr>
            <w:tcW w:w="609" w:type="dxa"/>
            <w:vAlign w:val="bottom"/>
          </w:tcPr>
          <w:p w14:paraId="631AE368" w14:textId="77777777" w:rsidR="00221D6D" w:rsidRPr="00221D6D" w:rsidRDefault="00221D6D" w:rsidP="00221D6D">
            <w:pPr>
              <w:jc w:val="center"/>
              <w:rPr>
                <w:sz w:val="20"/>
                <w:szCs w:val="20"/>
              </w:rPr>
            </w:pPr>
            <w:r w:rsidRPr="00221D6D">
              <w:rPr>
                <w:sz w:val="20"/>
                <w:szCs w:val="20"/>
              </w:rPr>
              <w:t>3</w:t>
            </w:r>
            <w:r w:rsidRPr="00221D6D">
              <w:rPr>
                <w:sz w:val="20"/>
                <w:szCs w:val="20"/>
                <w:lang w:val="en-US"/>
              </w:rPr>
              <w:t>,</w:t>
            </w:r>
            <w:r w:rsidRPr="00221D6D">
              <w:rPr>
                <w:sz w:val="20"/>
                <w:szCs w:val="20"/>
              </w:rPr>
              <w:t>6</w:t>
            </w:r>
          </w:p>
        </w:tc>
        <w:tc>
          <w:tcPr>
            <w:tcW w:w="610" w:type="dxa"/>
            <w:vAlign w:val="bottom"/>
          </w:tcPr>
          <w:p w14:paraId="1992F229" w14:textId="77777777" w:rsidR="00221D6D" w:rsidRPr="00221D6D" w:rsidRDefault="00221D6D" w:rsidP="00221D6D">
            <w:pPr>
              <w:jc w:val="center"/>
              <w:rPr>
                <w:sz w:val="20"/>
                <w:szCs w:val="20"/>
              </w:rPr>
            </w:pPr>
            <w:r w:rsidRPr="00221D6D">
              <w:rPr>
                <w:sz w:val="20"/>
                <w:szCs w:val="20"/>
              </w:rPr>
              <w:t>3,6</w:t>
            </w:r>
          </w:p>
        </w:tc>
      </w:tr>
      <w:tr w:rsidR="00221D6D" w:rsidRPr="00221D6D" w14:paraId="5E7931D8" w14:textId="77777777" w:rsidTr="005C2605">
        <w:trPr>
          <w:trHeight w:val="20"/>
        </w:trPr>
        <w:tc>
          <w:tcPr>
            <w:tcW w:w="3119" w:type="dxa"/>
          </w:tcPr>
          <w:p w14:paraId="606BB5E0" w14:textId="77777777" w:rsidR="00221D6D" w:rsidRPr="00221D6D" w:rsidRDefault="00221D6D" w:rsidP="00A911FD">
            <w:pPr>
              <w:rPr>
                <w:sz w:val="20"/>
                <w:szCs w:val="20"/>
              </w:rPr>
            </w:pPr>
            <w:r w:rsidRPr="00221D6D">
              <w:rPr>
                <w:sz w:val="20"/>
                <w:szCs w:val="20"/>
              </w:rPr>
              <w:t>0902 Амбулаторная помощь</w:t>
            </w:r>
          </w:p>
        </w:tc>
        <w:tc>
          <w:tcPr>
            <w:tcW w:w="609" w:type="dxa"/>
            <w:vAlign w:val="bottom"/>
          </w:tcPr>
          <w:p w14:paraId="1F2D33EF" w14:textId="77777777" w:rsidR="00221D6D" w:rsidRPr="00221D6D" w:rsidRDefault="00221D6D" w:rsidP="00221D6D">
            <w:pPr>
              <w:jc w:val="center"/>
              <w:rPr>
                <w:sz w:val="20"/>
                <w:szCs w:val="20"/>
              </w:rPr>
            </w:pPr>
            <w:r w:rsidRPr="00221D6D">
              <w:rPr>
                <w:sz w:val="20"/>
                <w:szCs w:val="20"/>
              </w:rPr>
              <w:t>3,3</w:t>
            </w:r>
          </w:p>
        </w:tc>
        <w:tc>
          <w:tcPr>
            <w:tcW w:w="610" w:type="dxa"/>
            <w:vAlign w:val="bottom"/>
          </w:tcPr>
          <w:p w14:paraId="242E1E55" w14:textId="77777777" w:rsidR="00221D6D" w:rsidRPr="00221D6D" w:rsidRDefault="00221D6D" w:rsidP="00221D6D">
            <w:pPr>
              <w:jc w:val="center"/>
              <w:rPr>
                <w:sz w:val="20"/>
                <w:szCs w:val="20"/>
              </w:rPr>
            </w:pPr>
            <w:r w:rsidRPr="00221D6D">
              <w:rPr>
                <w:sz w:val="20"/>
                <w:szCs w:val="20"/>
              </w:rPr>
              <w:t>3</w:t>
            </w:r>
            <w:r w:rsidRPr="00221D6D">
              <w:rPr>
                <w:sz w:val="20"/>
                <w:szCs w:val="20"/>
                <w:lang w:val="en-US"/>
              </w:rPr>
              <w:t>,</w:t>
            </w:r>
            <w:r w:rsidRPr="00221D6D">
              <w:rPr>
                <w:sz w:val="20"/>
                <w:szCs w:val="20"/>
              </w:rPr>
              <w:t>0</w:t>
            </w:r>
          </w:p>
        </w:tc>
        <w:tc>
          <w:tcPr>
            <w:tcW w:w="609" w:type="dxa"/>
            <w:vAlign w:val="bottom"/>
          </w:tcPr>
          <w:p w14:paraId="184E79CC" w14:textId="77777777" w:rsidR="00221D6D" w:rsidRPr="00221D6D" w:rsidRDefault="00221D6D" w:rsidP="00221D6D">
            <w:pPr>
              <w:jc w:val="center"/>
              <w:rPr>
                <w:sz w:val="20"/>
                <w:szCs w:val="20"/>
              </w:rPr>
            </w:pPr>
            <w:r w:rsidRPr="00221D6D">
              <w:rPr>
                <w:rFonts w:eastAsia="Arial Unicode MS"/>
                <w:sz w:val="20"/>
                <w:szCs w:val="20"/>
              </w:rPr>
              <w:t>2,6</w:t>
            </w:r>
          </w:p>
        </w:tc>
        <w:tc>
          <w:tcPr>
            <w:tcW w:w="610" w:type="dxa"/>
            <w:vAlign w:val="bottom"/>
          </w:tcPr>
          <w:p w14:paraId="15A35590" w14:textId="77777777" w:rsidR="00221D6D" w:rsidRPr="00221D6D" w:rsidRDefault="00221D6D" w:rsidP="00221D6D">
            <w:pPr>
              <w:jc w:val="center"/>
              <w:rPr>
                <w:sz w:val="20"/>
                <w:szCs w:val="20"/>
              </w:rPr>
            </w:pPr>
            <w:r w:rsidRPr="00221D6D">
              <w:rPr>
                <w:sz w:val="20"/>
                <w:szCs w:val="20"/>
              </w:rPr>
              <w:t>3</w:t>
            </w:r>
            <w:r w:rsidRPr="00221D6D">
              <w:rPr>
                <w:sz w:val="20"/>
                <w:szCs w:val="20"/>
                <w:lang w:val="en-US"/>
              </w:rPr>
              <w:t>,</w:t>
            </w:r>
            <w:r w:rsidRPr="00221D6D">
              <w:rPr>
                <w:sz w:val="20"/>
                <w:szCs w:val="20"/>
              </w:rPr>
              <w:t>3</w:t>
            </w:r>
          </w:p>
        </w:tc>
        <w:tc>
          <w:tcPr>
            <w:tcW w:w="609" w:type="dxa"/>
            <w:vAlign w:val="bottom"/>
          </w:tcPr>
          <w:p w14:paraId="36162F9C" w14:textId="77777777" w:rsidR="00221D6D" w:rsidRPr="00221D6D" w:rsidRDefault="00221D6D" w:rsidP="00221D6D">
            <w:pPr>
              <w:jc w:val="center"/>
              <w:rPr>
                <w:sz w:val="20"/>
                <w:szCs w:val="20"/>
              </w:rPr>
            </w:pPr>
            <w:r w:rsidRPr="00221D6D">
              <w:rPr>
                <w:rFonts w:eastAsia="Arial Unicode MS"/>
                <w:sz w:val="20"/>
                <w:szCs w:val="20"/>
              </w:rPr>
              <w:t>2,7</w:t>
            </w:r>
          </w:p>
        </w:tc>
        <w:tc>
          <w:tcPr>
            <w:tcW w:w="610" w:type="dxa"/>
            <w:vAlign w:val="bottom"/>
          </w:tcPr>
          <w:p w14:paraId="0C2D334A"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lang w:val="en-US"/>
              </w:rPr>
              <w:t>2,5</w:t>
            </w:r>
          </w:p>
        </w:tc>
        <w:tc>
          <w:tcPr>
            <w:tcW w:w="609" w:type="dxa"/>
            <w:vAlign w:val="bottom"/>
          </w:tcPr>
          <w:p w14:paraId="3D155987" w14:textId="77777777" w:rsidR="00221D6D" w:rsidRPr="00221D6D" w:rsidRDefault="00221D6D" w:rsidP="00221D6D">
            <w:pPr>
              <w:jc w:val="center"/>
              <w:rPr>
                <w:rFonts w:eastAsia="Arial Unicode MS"/>
                <w:sz w:val="20"/>
                <w:szCs w:val="20"/>
              </w:rPr>
            </w:pPr>
            <w:r w:rsidRPr="00221D6D">
              <w:rPr>
                <w:rFonts w:eastAsia="Arial Unicode MS"/>
                <w:sz w:val="20"/>
                <w:szCs w:val="20"/>
              </w:rPr>
              <w:t>2</w:t>
            </w:r>
            <w:r w:rsidRPr="00221D6D">
              <w:rPr>
                <w:rFonts w:eastAsia="Arial Unicode MS"/>
                <w:sz w:val="20"/>
                <w:szCs w:val="20"/>
                <w:lang w:val="en-US"/>
              </w:rPr>
              <w:t>,</w:t>
            </w:r>
            <w:r w:rsidRPr="00221D6D">
              <w:rPr>
                <w:rFonts w:eastAsia="Arial Unicode MS"/>
                <w:sz w:val="20"/>
                <w:szCs w:val="20"/>
              </w:rPr>
              <w:t>8</w:t>
            </w:r>
          </w:p>
        </w:tc>
        <w:tc>
          <w:tcPr>
            <w:tcW w:w="610" w:type="dxa"/>
            <w:vAlign w:val="bottom"/>
          </w:tcPr>
          <w:p w14:paraId="771859FF" w14:textId="77777777" w:rsidR="00221D6D" w:rsidRPr="00221D6D" w:rsidRDefault="00221D6D" w:rsidP="00221D6D">
            <w:pPr>
              <w:jc w:val="center"/>
              <w:rPr>
                <w:rFonts w:eastAsia="Arial Unicode MS"/>
                <w:sz w:val="20"/>
                <w:szCs w:val="20"/>
              </w:rPr>
            </w:pPr>
            <w:r w:rsidRPr="00221D6D">
              <w:rPr>
                <w:rFonts w:eastAsia="Arial Unicode MS"/>
                <w:sz w:val="20"/>
                <w:szCs w:val="20"/>
              </w:rPr>
              <w:t>1</w:t>
            </w:r>
            <w:r w:rsidRPr="00221D6D">
              <w:rPr>
                <w:rFonts w:eastAsia="Arial Unicode MS"/>
                <w:sz w:val="20"/>
                <w:szCs w:val="20"/>
                <w:lang w:val="en-US"/>
              </w:rPr>
              <w:t>,</w:t>
            </w:r>
            <w:r w:rsidRPr="00221D6D">
              <w:rPr>
                <w:rFonts w:eastAsia="Arial Unicode MS"/>
                <w:sz w:val="20"/>
                <w:szCs w:val="20"/>
              </w:rPr>
              <w:t>9</w:t>
            </w:r>
          </w:p>
        </w:tc>
        <w:tc>
          <w:tcPr>
            <w:tcW w:w="609" w:type="dxa"/>
            <w:vAlign w:val="bottom"/>
          </w:tcPr>
          <w:p w14:paraId="7C417030" w14:textId="77777777" w:rsidR="00221D6D" w:rsidRPr="00221D6D" w:rsidRDefault="00221D6D" w:rsidP="00221D6D">
            <w:pPr>
              <w:jc w:val="center"/>
              <w:rPr>
                <w:rFonts w:eastAsia="Arial Unicode MS"/>
                <w:sz w:val="20"/>
                <w:szCs w:val="20"/>
              </w:rPr>
            </w:pPr>
            <w:r w:rsidRPr="00221D6D">
              <w:rPr>
                <w:rFonts w:eastAsia="Arial Unicode MS"/>
                <w:sz w:val="20"/>
                <w:szCs w:val="20"/>
              </w:rPr>
              <w:t>2</w:t>
            </w:r>
            <w:r w:rsidRPr="00221D6D">
              <w:rPr>
                <w:rFonts w:eastAsia="Arial Unicode MS"/>
                <w:sz w:val="20"/>
                <w:szCs w:val="20"/>
                <w:lang w:val="en-US"/>
              </w:rPr>
              <w:t>,</w:t>
            </w:r>
            <w:r w:rsidRPr="00221D6D">
              <w:rPr>
                <w:rFonts w:eastAsia="Arial Unicode MS"/>
                <w:sz w:val="20"/>
                <w:szCs w:val="20"/>
              </w:rPr>
              <w:t>2</w:t>
            </w:r>
          </w:p>
        </w:tc>
        <w:tc>
          <w:tcPr>
            <w:tcW w:w="610" w:type="dxa"/>
            <w:vAlign w:val="bottom"/>
          </w:tcPr>
          <w:p w14:paraId="7579D8A5" w14:textId="77777777" w:rsidR="00221D6D" w:rsidRPr="00221D6D" w:rsidRDefault="00221D6D" w:rsidP="00221D6D">
            <w:pPr>
              <w:jc w:val="center"/>
              <w:rPr>
                <w:rFonts w:eastAsia="Arial Unicode MS"/>
                <w:sz w:val="20"/>
                <w:szCs w:val="20"/>
              </w:rPr>
            </w:pPr>
            <w:r w:rsidRPr="00221D6D">
              <w:rPr>
                <w:rFonts w:eastAsia="Arial Unicode MS"/>
                <w:sz w:val="20"/>
                <w:szCs w:val="20"/>
              </w:rPr>
              <w:t>2,2</w:t>
            </w:r>
          </w:p>
        </w:tc>
      </w:tr>
      <w:tr w:rsidR="00221D6D" w:rsidRPr="00221D6D" w14:paraId="061418D1" w14:textId="77777777" w:rsidTr="005C2605">
        <w:trPr>
          <w:trHeight w:val="20"/>
        </w:trPr>
        <w:tc>
          <w:tcPr>
            <w:tcW w:w="3119" w:type="dxa"/>
          </w:tcPr>
          <w:p w14:paraId="6A7A07B4" w14:textId="77777777" w:rsidR="00221D6D" w:rsidRPr="00221D6D" w:rsidRDefault="00221D6D" w:rsidP="00A911FD">
            <w:pPr>
              <w:rPr>
                <w:sz w:val="20"/>
                <w:szCs w:val="20"/>
              </w:rPr>
            </w:pPr>
            <w:r w:rsidRPr="00221D6D">
              <w:rPr>
                <w:sz w:val="20"/>
                <w:szCs w:val="20"/>
              </w:rPr>
              <w:t>0905 Санаторно-оздоровительная помощь</w:t>
            </w:r>
          </w:p>
        </w:tc>
        <w:tc>
          <w:tcPr>
            <w:tcW w:w="609" w:type="dxa"/>
            <w:vAlign w:val="bottom"/>
          </w:tcPr>
          <w:p w14:paraId="6686753B" w14:textId="77777777" w:rsidR="00221D6D" w:rsidRPr="00221D6D" w:rsidRDefault="00221D6D" w:rsidP="00221D6D">
            <w:pPr>
              <w:jc w:val="center"/>
              <w:rPr>
                <w:sz w:val="20"/>
                <w:szCs w:val="20"/>
              </w:rPr>
            </w:pPr>
            <w:r w:rsidRPr="00221D6D">
              <w:rPr>
                <w:sz w:val="20"/>
                <w:szCs w:val="20"/>
              </w:rPr>
              <w:t>12,3</w:t>
            </w:r>
          </w:p>
        </w:tc>
        <w:tc>
          <w:tcPr>
            <w:tcW w:w="610" w:type="dxa"/>
            <w:vAlign w:val="bottom"/>
          </w:tcPr>
          <w:p w14:paraId="4F4C4767" w14:textId="77777777" w:rsidR="00221D6D" w:rsidRPr="00221D6D" w:rsidRDefault="00221D6D" w:rsidP="00221D6D">
            <w:pPr>
              <w:jc w:val="center"/>
              <w:rPr>
                <w:sz w:val="20"/>
                <w:szCs w:val="20"/>
              </w:rPr>
            </w:pPr>
            <w:r w:rsidRPr="00221D6D">
              <w:rPr>
                <w:sz w:val="20"/>
                <w:szCs w:val="20"/>
                <w:lang w:val="en-US"/>
              </w:rPr>
              <w:t>14,</w:t>
            </w:r>
            <w:r w:rsidRPr="00221D6D">
              <w:rPr>
                <w:sz w:val="20"/>
                <w:szCs w:val="20"/>
              </w:rPr>
              <w:t>6</w:t>
            </w:r>
          </w:p>
        </w:tc>
        <w:tc>
          <w:tcPr>
            <w:tcW w:w="609" w:type="dxa"/>
            <w:vAlign w:val="bottom"/>
          </w:tcPr>
          <w:p w14:paraId="3C5C14A2" w14:textId="77777777" w:rsidR="00221D6D" w:rsidRPr="00221D6D" w:rsidRDefault="00221D6D" w:rsidP="00221D6D">
            <w:pPr>
              <w:jc w:val="center"/>
              <w:rPr>
                <w:sz w:val="20"/>
                <w:szCs w:val="20"/>
              </w:rPr>
            </w:pPr>
            <w:r w:rsidRPr="00221D6D">
              <w:rPr>
                <w:rFonts w:eastAsia="Arial Unicode MS"/>
                <w:sz w:val="20"/>
                <w:szCs w:val="20"/>
              </w:rPr>
              <w:t>15,3</w:t>
            </w:r>
          </w:p>
        </w:tc>
        <w:tc>
          <w:tcPr>
            <w:tcW w:w="610" w:type="dxa"/>
            <w:vAlign w:val="bottom"/>
          </w:tcPr>
          <w:p w14:paraId="33905901" w14:textId="77777777" w:rsidR="00221D6D" w:rsidRPr="00221D6D" w:rsidRDefault="00221D6D" w:rsidP="00221D6D">
            <w:pPr>
              <w:jc w:val="center"/>
              <w:rPr>
                <w:sz w:val="20"/>
                <w:szCs w:val="20"/>
              </w:rPr>
            </w:pPr>
            <w:r w:rsidRPr="00221D6D">
              <w:rPr>
                <w:sz w:val="20"/>
                <w:szCs w:val="20"/>
                <w:lang w:val="en-US"/>
              </w:rPr>
              <w:t>1</w:t>
            </w:r>
            <w:r w:rsidRPr="00221D6D">
              <w:rPr>
                <w:sz w:val="20"/>
                <w:szCs w:val="20"/>
              </w:rPr>
              <w:t>6</w:t>
            </w:r>
            <w:r w:rsidRPr="00221D6D">
              <w:rPr>
                <w:sz w:val="20"/>
                <w:szCs w:val="20"/>
                <w:lang w:val="en-US"/>
              </w:rPr>
              <w:t>,</w:t>
            </w:r>
            <w:r w:rsidRPr="00221D6D">
              <w:rPr>
                <w:sz w:val="20"/>
                <w:szCs w:val="20"/>
              </w:rPr>
              <w:t>1</w:t>
            </w:r>
          </w:p>
        </w:tc>
        <w:tc>
          <w:tcPr>
            <w:tcW w:w="609" w:type="dxa"/>
            <w:vAlign w:val="bottom"/>
          </w:tcPr>
          <w:p w14:paraId="43B34026" w14:textId="77777777" w:rsidR="00221D6D" w:rsidRPr="00221D6D" w:rsidRDefault="00221D6D" w:rsidP="00221D6D">
            <w:pPr>
              <w:jc w:val="center"/>
              <w:rPr>
                <w:sz w:val="20"/>
                <w:szCs w:val="20"/>
              </w:rPr>
            </w:pPr>
            <w:r w:rsidRPr="00221D6D">
              <w:rPr>
                <w:rFonts w:eastAsia="Arial Unicode MS"/>
                <w:sz w:val="20"/>
                <w:szCs w:val="20"/>
              </w:rPr>
              <w:t>17,1</w:t>
            </w:r>
          </w:p>
        </w:tc>
        <w:tc>
          <w:tcPr>
            <w:tcW w:w="610" w:type="dxa"/>
            <w:vAlign w:val="bottom"/>
          </w:tcPr>
          <w:p w14:paraId="4EB0C1E7"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lang w:val="en-US"/>
              </w:rPr>
              <w:t>16,8</w:t>
            </w:r>
          </w:p>
        </w:tc>
        <w:tc>
          <w:tcPr>
            <w:tcW w:w="609" w:type="dxa"/>
            <w:vAlign w:val="bottom"/>
          </w:tcPr>
          <w:p w14:paraId="6E0B9B6C"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lang w:val="en-US"/>
              </w:rPr>
              <w:t>15,8</w:t>
            </w:r>
          </w:p>
        </w:tc>
        <w:tc>
          <w:tcPr>
            <w:tcW w:w="610" w:type="dxa"/>
            <w:vAlign w:val="bottom"/>
          </w:tcPr>
          <w:p w14:paraId="4E567CA3" w14:textId="77777777" w:rsidR="00221D6D" w:rsidRPr="00221D6D" w:rsidRDefault="00221D6D" w:rsidP="00221D6D">
            <w:pPr>
              <w:jc w:val="center"/>
              <w:rPr>
                <w:rFonts w:eastAsia="Arial Unicode MS"/>
                <w:sz w:val="20"/>
                <w:szCs w:val="20"/>
              </w:rPr>
            </w:pPr>
            <w:r w:rsidRPr="00221D6D">
              <w:rPr>
                <w:rFonts w:eastAsia="Arial Unicode MS"/>
                <w:sz w:val="20"/>
                <w:szCs w:val="20"/>
                <w:lang w:val="en-US"/>
              </w:rPr>
              <w:t>1</w:t>
            </w:r>
            <w:r w:rsidRPr="00221D6D">
              <w:rPr>
                <w:rFonts w:eastAsia="Arial Unicode MS"/>
                <w:sz w:val="20"/>
                <w:szCs w:val="20"/>
              </w:rPr>
              <w:t>5</w:t>
            </w:r>
            <w:r w:rsidRPr="00221D6D">
              <w:rPr>
                <w:rFonts w:eastAsia="Arial Unicode MS"/>
                <w:sz w:val="20"/>
                <w:szCs w:val="20"/>
                <w:lang w:val="en-US"/>
              </w:rPr>
              <w:t>,</w:t>
            </w:r>
            <w:r w:rsidRPr="00221D6D">
              <w:rPr>
                <w:rFonts w:eastAsia="Arial Unicode MS"/>
                <w:sz w:val="20"/>
                <w:szCs w:val="20"/>
              </w:rPr>
              <w:t>5</w:t>
            </w:r>
          </w:p>
        </w:tc>
        <w:tc>
          <w:tcPr>
            <w:tcW w:w="609" w:type="dxa"/>
            <w:vAlign w:val="bottom"/>
          </w:tcPr>
          <w:p w14:paraId="66F86389" w14:textId="77777777" w:rsidR="00221D6D" w:rsidRPr="00221D6D" w:rsidRDefault="00221D6D" w:rsidP="00221D6D">
            <w:pPr>
              <w:jc w:val="center"/>
              <w:rPr>
                <w:rFonts w:eastAsia="Arial Unicode MS"/>
                <w:sz w:val="20"/>
                <w:szCs w:val="20"/>
              </w:rPr>
            </w:pPr>
            <w:r w:rsidRPr="00221D6D">
              <w:rPr>
                <w:rFonts w:eastAsia="Arial Unicode MS"/>
                <w:sz w:val="20"/>
                <w:szCs w:val="20"/>
                <w:lang w:val="en-US"/>
              </w:rPr>
              <w:t>1</w:t>
            </w:r>
            <w:r w:rsidRPr="00221D6D">
              <w:rPr>
                <w:rFonts w:eastAsia="Arial Unicode MS"/>
                <w:sz w:val="20"/>
                <w:szCs w:val="20"/>
              </w:rPr>
              <w:t>5</w:t>
            </w:r>
            <w:r w:rsidRPr="00221D6D">
              <w:rPr>
                <w:rFonts w:eastAsia="Arial Unicode MS"/>
                <w:sz w:val="20"/>
                <w:szCs w:val="20"/>
                <w:lang w:val="en-US"/>
              </w:rPr>
              <w:t>,</w:t>
            </w:r>
            <w:r w:rsidRPr="00221D6D">
              <w:rPr>
                <w:rFonts w:eastAsia="Arial Unicode MS"/>
                <w:sz w:val="20"/>
                <w:szCs w:val="20"/>
              </w:rPr>
              <w:t>4</w:t>
            </w:r>
          </w:p>
        </w:tc>
        <w:tc>
          <w:tcPr>
            <w:tcW w:w="610" w:type="dxa"/>
            <w:vAlign w:val="bottom"/>
          </w:tcPr>
          <w:p w14:paraId="620F754E" w14:textId="77777777" w:rsidR="00221D6D" w:rsidRPr="00221D6D" w:rsidRDefault="00221D6D" w:rsidP="00221D6D">
            <w:pPr>
              <w:jc w:val="center"/>
              <w:rPr>
                <w:rFonts w:eastAsia="Arial Unicode MS"/>
                <w:sz w:val="20"/>
                <w:szCs w:val="20"/>
              </w:rPr>
            </w:pPr>
            <w:r w:rsidRPr="00221D6D">
              <w:rPr>
                <w:rFonts w:eastAsia="Arial Unicode MS"/>
                <w:sz w:val="20"/>
                <w:szCs w:val="20"/>
              </w:rPr>
              <w:t>16,0</w:t>
            </w:r>
          </w:p>
        </w:tc>
      </w:tr>
      <w:tr w:rsidR="00221D6D" w:rsidRPr="00221D6D" w14:paraId="2A37700C" w14:textId="77777777" w:rsidTr="005C2605">
        <w:trPr>
          <w:trHeight w:val="20"/>
        </w:trPr>
        <w:tc>
          <w:tcPr>
            <w:tcW w:w="3119" w:type="dxa"/>
          </w:tcPr>
          <w:p w14:paraId="4C08B77B" w14:textId="77777777" w:rsidR="00221D6D" w:rsidRPr="00221D6D" w:rsidRDefault="00221D6D" w:rsidP="00A911FD">
            <w:pPr>
              <w:ind w:left="431" w:hanging="426"/>
              <w:rPr>
                <w:sz w:val="20"/>
                <w:szCs w:val="20"/>
              </w:rPr>
            </w:pPr>
            <w:r w:rsidRPr="00221D6D">
              <w:rPr>
                <w:sz w:val="20"/>
                <w:szCs w:val="20"/>
              </w:rPr>
              <w:t>0907 Санитарно-эпидемиологическое благополучие</w:t>
            </w:r>
          </w:p>
        </w:tc>
        <w:tc>
          <w:tcPr>
            <w:tcW w:w="609" w:type="dxa"/>
            <w:vAlign w:val="bottom"/>
          </w:tcPr>
          <w:p w14:paraId="0573D44F" w14:textId="77777777" w:rsidR="00221D6D" w:rsidRPr="00221D6D" w:rsidRDefault="00221D6D" w:rsidP="00221D6D">
            <w:pPr>
              <w:jc w:val="center"/>
              <w:rPr>
                <w:sz w:val="20"/>
                <w:szCs w:val="20"/>
              </w:rPr>
            </w:pPr>
            <w:r w:rsidRPr="00221D6D">
              <w:rPr>
                <w:sz w:val="20"/>
                <w:szCs w:val="20"/>
              </w:rPr>
              <w:t>0,7</w:t>
            </w:r>
          </w:p>
        </w:tc>
        <w:tc>
          <w:tcPr>
            <w:tcW w:w="610" w:type="dxa"/>
            <w:vAlign w:val="bottom"/>
          </w:tcPr>
          <w:p w14:paraId="47A4A062"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6</w:t>
            </w:r>
          </w:p>
        </w:tc>
        <w:tc>
          <w:tcPr>
            <w:tcW w:w="609" w:type="dxa"/>
            <w:vAlign w:val="bottom"/>
          </w:tcPr>
          <w:p w14:paraId="11A9A699" w14:textId="77777777" w:rsidR="00221D6D" w:rsidRPr="00221D6D" w:rsidRDefault="00221D6D" w:rsidP="00221D6D">
            <w:pPr>
              <w:jc w:val="center"/>
              <w:rPr>
                <w:rFonts w:eastAsia="Arial Unicode MS"/>
                <w:iCs/>
                <w:sz w:val="20"/>
                <w:szCs w:val="20"/>
                <w:lang w:val="en-US"/>
              </w:rPr>
            </w:pPr>
            <w:r w:rsidRPr="00221D6D">
              <w:rPr>
                <w:rFonts w:eastAsia="Arial Unicode MS"/>
                <w:sz w:val="20"/>
                <w:szCs w:val="20"/>
              </w:rPr>
              <w:t>0,7</w:t>
            </w:r>
          </w:p>
        </w:tc>
        <w:tc>
          <w:tcPr>
            <w:tcW w:w="610" w:type="dxa"/>
            <w:vAlign w:val="bottom"/>
          </w:tcPr>
          <w:p w14:paraId="3468EAA3"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7</w:t>
            </w:r>
          </w:p>
        </w:tc>
        <w:tc>
          <w:tcPr>
            <w:tcW w:w="609" w:type="dxa"/>
            <w:vAlign w:val="bottom"/>
          </w:tcPr>
          <w:p w14:paraId="37FE4BC1" w14:textId="77777777" w:rsidR="00221D6D" w:rsidRPr="00221D6D" w:rsidRDefault="00221D6D" w:rsidP="00221D6D">
            <w:pPr>
              <w:jc w:val="center"/>
              <w:rPr>
                <w:rFonts w:eastAsia="Arial Unicode MS"/>
                <w:iCs/>
                <w:sz w:val="20"/>
                <w:szCs w:val="20"/>
              </w:rPr>
            </w:pPr>
            <w:r w:rsidRPr="00221D6D">
              <w:rPr>
                <w:rFonts w:eastAsia="Arial Unicode MS"/>
                <w:sz w:val="20"/>
                <w:szCs w:val="20"/>
              </w:rPr>
              <w:t>0,7</w:t>
            </w:r>
          </w:p>
        </w:tc>
        <w:tc>
          <w:tcPr>
            <w:tcW w:w="610" w:type="dxa"/>
            <w:vAlign w:val="bottom"/>
          </w:tcPr>
          <w:p w14:paraId="31ACEB1A"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lang w:val="en-US"/>
              </w:rPr>
              <w:t>0,5</w:t>
            </w:r>
          </w:p>
        </w:tc>
        <w:tc>
          <w:tcPr>
            <w:tcW w:w="609" w:type="dxa"/>
            <w:vAlign w:val="bottom"/>
          </w:tcPr>
          <w:p w14:paraId="51C422EE" w14:textId="77777777" w:rsidR="00221D6D" w:rsidRPr="00221D6D" w:rsidRDefault="00221D6D" w:rsidP="00221D6D">
            <w:pPr>
              <w:jc w:val="center"/>
              <w:rPr>
                <w:rFonts w:eastAsia="Arial Unicode MS"/>
                <w:sz w:val="20"/>
                <w:szCs w:val="20"/>
              </w:rPr>
            </w:pPr>
            <w:r w:rsidRPr="00221D6D">
              <w:rPr>
                <w:rFonts w:eastAsia="Arial Unicode MS"/>
                <w:sz w:val="20"/>
                <w:szCs w:val="20"/>
                <w:lang w:val="en-US"/>
              </w:rPr>
              <w:t>0,</w:t>
            </w:r>
            <w:r w:rsidRPr="00221D6D">
              <w:rPr>
                <w:rFonts w:eastAsia="Arial Unicode MS"/>
                <w:sz w:val="20"/>
                <w:szCs w:val="20"/>
              </w:rPr>
              <w:t>5</w:t>
            </w:r>
          </w:p>
        </w:tc>
        <w:tc>
          <w:tcPr>
            <w:tcW w:w="610" w:type="dxa"/>
            <w:vAlign w:val="bottom"/>
          </w:tcPr>
          <w:p w14:paraId="6C7CE02C" w14:textId="77777777" w:rsidR="00221D6D" w:rsidRPr="00221D6D" w:rsidRDefault="00221D6D" w:rsidP="00221D6D">
            <w:pPr>
              <w:jc w:val="center"/>
              <w:rPr>
                <w:rFonts w:eastAsia="Arial Unicode MS"/>
                <w:sz w:val="20"/>
                <w:szCs w:val="20"/>
              </w:rPr>
            </w:pPr>
            <w:r w:rsidRPr="00221D6D">
              <w:rPr>
                <w:rFonts w:eastAsia="Arial Unicode MS"/>
                <w:sz w:val="20"/>
                <w:szCs w:val="20"/>
                <w:lang w:val="en-US"/>
              </w:rPr>
              <w:t>0,</w:t>
            </w:r>
            <w:r w:rsidRPr="00221D6D">
              <w:rPr>
                <w:rFonts w:eastAsia="Arial Unicode MS"/>
                <w:sz w:val="20"/>
                <w:szCs w:val="20"/>
              </w:rPr>
              <w:t>4</w:t>
            </w:r>
          </w:p>
        </w:tc>
        <w:tc>
          <w:tcPr>
            <w:tcW w:w="609" w:type="dxa"/>
            <w:vAlign w:val="bottom"/>
          </w:tcPr>
          <w:p w14:paraId="0DB0DE6A" w14:textId="77777777" w:rsidR="00221D6D" w:rsidRPr="00221D6D" w:rsidRDefault="00221D6D" w:rsidP="00221D6D">
            <w:pPr>
              <w:jc w:val="center"/>
              <w:rPr>
                <w:rFonts w:eastAsia="Arial Unicode MS"/>
                <w:sz w:val="20"/>
                <w:szCs w:val="20"/>
              </w:rPr>
            </w:pPr>
            <w:r w:rsidRPr="00221D6D">
              <w:rPr>
                <w:rFonts w:eastAsia="Arial Unicode MS"/>
                <w:sz w:val="20"/>
                <w:szCs w:val="20"/>
                <w:lang w:val="en-US"/>
              </w:rPr>
              <w:t>0,</w:t>
            </w:r>
            <w:r w:rsidRPr="00221D6D">
              <w:rPr>
                <w:rFonts w:eastAsia="Arial Unicode MS"/>
                <w:sz w:val="20"/>
                <w:szCs w:val="20"/>
              </w:rPr>
              <w:t>4</w:t>
            </w:r>
          </w:p>
        </w:tc>
        <w:tc>
          <w:tcPr>
            <w:tcW w:w="610" w:type="dxa"/>
            <w:vAlign w:val="bottom"/>
          </w:tcPr>
          <w:p w14:paraId="555147AC" w14:textId="77777777" w:rsidR="00221D6D" w:rsidRPr="00221D6D" w:rsidRDefault="00221D6D" w:rsidP="00221D6D">
            <w:pPr>
              <w:jc w:val="center"/>
              <w:rPr>
                <w:rFonts w:eastAsia="Arial Unicode MS"/>
                <w:sz w:val="20"/>
                <w:szCs w:val="20"/>
              </w:rPr>
            </w:pPr>
            <w:r w:rsidRPr="00221D6D">
              <w:rPr>
                <w:rFonts w:eastAsia="Arial Unicode MS"/>
                <w:sz w:val="20"/>
                <w:szCs w:val="20"/>
              </w:rPr>
              <w:t>0,4</w:t>
            </w:r>
          </w:p>
        </w:tc>
      </w:tr>
      <w:tr w:rsidR="00221D6D" w:rsidRPr="00221D6D" w14:paraId="14DC691F" w14:textId="77777777" w:rsidTr="005C2605">
        <w:trPr>
          <w:trHeight w:val="20"/>
        </w:trPr>
        <w:tc>
          <w:tcPr>
            <w:tcW w:w="3119" w:type="dxa"/>
          </w:tcPr>
          <w:p w14:paraId="2BD238AE" w14:textId="77777777" w:rsidR="00221D6D" w:rsidRPr="00221D6D" w:rsidRDefault="00221D6D" w:rsidP="00A911FD">
            <w:pPr>
              <w:ind w:left="426" w:hanging="426"/>
              <w:rPr>
                <w:sz w:val="20"/>
                <w:szCs w:val="20"/>
              </w:rPr>
            </w:pPr>
            <w:r w:rsidRPr="00221D6D">
              <w:rPr>
                <w:sz w:val="20"/>
                <w:szCs w:val="20"/>
              </w:rPr>
              <w:t>0908 Прикладные научные исследования в области здравоохранения</w:t>
            </w:r>
          </w:p>
        </w:tc>
        <w:tc>
          <w:tcPr>
            <w:tcW w:w="609" w:type="dxa"/>
            <w:vAlign w:val="bottom"/>
          </w:tcPr>
          <w:p w14:paraId="3AD52727" w14:textId="77777777" w:rsidR="00221D6D" w:rsidRPr="00221D6D" w:rsidRDefault="00221D6D" w:rsidP="00221D6D">
            <w:pPr>
              <w:jc w:val="center"/>
              <w:rPr>
                <w:rFonts w:eastAsia="Arial Unicode MS"/>
                <w:sz w:val="20"/>
                <w:szCs w:val="20"/>
              </w:rPr>
            </w:pPr>
            <w:r w:rsidRPr="00221D6D">
              <w:rPr>
                <w:rFonts w:eastAsia="Arial Unicode MS"/>
                <w:sz w:val="20"/>
                <w:szCs w:val="20"/>
              </w:rPr>
              <w:t>–</w:t>
            </w:r>
          </w:p>
        </w:tc>
        <w:tc>
          <w:tcPr>
            <w:tcW w:w="610" w:type="dxa"/>
            <w:vAlign w:val="bottom"/>
          </w:tcPr>
          <w:p w14:paraId="1E4BE8FF"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rPr>
              <w:t>–</w:t>
            </w:r>
          </w:p>
        </w:tc>
        <w:tc>
          <w:tcPr>
            <w:tcW w:w="609" w:type="dxa"/>
            <w:vAlign w:val="bottom"/>
          </w:tcPr>
          <w:p w14:paraId="613652B4" w14:textId="77777777" w:rsidR="00221D6D" w:rsidRPr="00221D6D" w:rsidRDefault="00221D6D" w:rsidP="00221D6D">
            <w:pPr>
              <w:jc w:val="center"/>
              <w:rPr>
                <w:rFonts w:eastAsia="Arial Unicode MS"/>
                <w:sz w:val="20"/>
                <w:szCs w:val="20"/>
              </w:rPr>
            </w:pPr>
            <w:r w:rsidRPr="00221D6D">
              <w:rPr>
                <w:rFonts w:eastAsia="Arial Unicode MS"/>
                <w:sz w:val="20"/>
                <w:szCs w:val="20"/>
              </w:rPr>
              <w:t>–</w:t>
            </w:r>
          </w:p>
        </w:tc>
        <w:tc>
          <w:tcPr>
            <w:tcW w:w="610" w:type="dxa"/>
            <w:vAlign w:val="bottom"/>
          </w:tcPr>
          <w:p w14:paraId="7C0FBBF2" w14:textId="77777777" w:rsidR="00221D6D" w:rsidRPr="00221D6D" w:rsidRDefault="00221D6D" w:rsidP="00221D6D">
            <w:pPr>
              <w:jc w:val="center"/>
              <w:rPr>
                <w:rFonts w:eastAsia="Arial Unicode MS"/>
                <w:sz w:val="20"/>
                <w:szCs w:val="20"/>
              </w:rPr>
            </w:pPr>
            <w:r w:rsidRPr="00221D6D">
              <w:rPr>
                <w:rFonts w:eastAsia="Arial Unicode MS"/>
                <w:sz w:val="20"/>
                <w:szCs w:val="20"/>
              </w:rPr>
              <w:t>–</w:t>
            </w:r>
          </w:p>
        </w:tc>
        <w:tc>
          <w:tcPr>
            <w:tcW w:w="609" w:type="dxa"/>
            <w:vAlign w:val="bottom"/>
          </w:tcPr>
          <w:p w14:paraId="02AA3D16"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rPr>
              <w:t>–</w:t>
            </w:r>
          </w:p>
        </w:tc>
        <w:tc>
          <w:tcPr>
            <w:tcW w:w="610" w:type="dxa"/>
            <w:vAlign w:val="bottom"/>
          </w:tcPr>
          <w:p w14:paraId="57F6265E" w14:textId="77777777" w:rsidR="00221D6D" w:rsidRPr="00221D6D" w:rsidRDefault="00221D6D" w:rsidP="00221D6D">
            <w:pPr>
              <w:jc w:val="center"/>
              <w:rPr>
                <w:sz w:val="20"/>
                <w:szCs w:val="20"/>
                <w:lang w:val="en-US"/>
              </w:rPr>
            </w:pPr>
            <w:r w:rsidRPr="00221D6D">
              <w:rPr>
                <w:sz w:val="20"/>
                <w:szCs w:val="20"/>
                <w:lang w:val="en-US"/>
              </w:rPr>
              <w:t>0,2</w:t>
            </w:r>
          </w:p>
        </w:tc>
        <w:tc>
          <w:tcPr>
            <w:tcW w:w="609" w:type="dxa"/>
            <w:vAlign w:val="bottom"/>
          </w:tcPr>
          <w:p w14:paraId="192AD8E4"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lang w:val="en-US"/>
              </w:rPr>
              <w:t>0,2</w:t>
            </w:r>
          </w:p>
        </w:tc>
        <w:tc>
          <w:tcPr>
            <w:tcW w:w="610" w:type="dxa"/>
            <w:vAlign w:val="bottom"/>
          </w:tcPr>
          <w:p w14:paraId="1BCF6D29" w14:textId="77777777" w:rsidR="00221D6D" w:rsidRPr="00221D6D" w:rsidRDefault="00221D6D" w:rsidP="00221D6D">
            <w:pPr>
              <w:jc w:val="center"/>
              <w:rPr>
                <w:rFonts w:eastAsia="Arial Unicode MS"/>
                <w:sz w:val="20"/>
                <w:szCs w:val="20"/>
              </w:rPr>
            </w:pPr>
            <w:r w:rsidRPr="00221D6D">
              <w:rPr>
                <w:rFonts w:eastAsia="Arial Unicode MS"/>
                <w:sz w:val="20"/>
                <w:szCs w:val="20"/>
              </w:rPr>
              <w:t>25,1</w:t>
            </w:r>
          </w:p>
        </w:tc>
        <w:tc>
          <w:tcPr>
            <w:tcW w:w="609" w:type="dxa"/>
            <w:vAlign w:val="bottom"/>
          </w:tcPr>
          <w:p w14:paraId="7F9B788F"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rPr>
              <w:t>14,5</w:t>
            </w:r>
          </w:p>
        </w:tc>
        <w:tc>
          <w:tcPr>
            <w:tcW w:w="610" w:type="dxa"/>
            <w:vAlign w:val="bottom"/>
          </w:tcPr>
          <w:p w14:paraId="0A6D0EC6" w14:textId="77777777" w:rsidR="00221D6D" w:rsidRPr="00221D6D" w:rsidRDefault="00221D6D" w:rsidP="00221D6D">
            <w:pPr>
              <w:jc w:val="center"/>
              <w:rPr>
                <w:sz w:val="20"/>
                <w:szCs w:val="20"/>
              </w:rPr>
            </w:pPr>
            <w:r w:rsidRPr="00221D6D">
              <w:rPr>
                <w:sz w:val="20"/>
                <w:szCs w:val="20"/>
              </w:rPr>
              <w:t>14,6</w:t>
            </w:r>
          </w:p>
        </w:tc>
      </w:tr>
      <w:tr w:rsidR="00221D6D" w:rsidRPr="00221D6D" w14:paraId="7D322044" w14:textId="77777777" w:rsidTr="005C2605">
        <w:trPr>
          <w:trHeight w:val="20"/>
        </w:trPr>
        <w:tc>
          <w:tcPr>
            <w:tcW w:w="3119" w:type="dxa"/>
          </w:tcPr>
          <w:p w14:paraId="66B97DA9" w14:textId="77777777" w:rsidR="00221D6D" w:rsidRPr="00221D6D" w:rsidRDefault="00221D6D" w:rsidP="00A911FD">
            <w:pPr>
              <w:ind w:left="426" w:hanging="426"/>
              <w:rPr>
                <w:sz w:val="20"/>
                <w:szCs w:val="20"/>
              </w:rPr>
            </w:pPr>
            <w:r w:rsidRPr="00221D6D">
              <w:rPr>
                <w:sz w:val="20"/>
                <w:szCs w:val="20"/>
              </w:rPr>
              <w:t>0909 Другие вопросы в области здравоохранения</w:t>
            </w:r>
          </w:p>
        </w:tc>
        <w:tc>
          <w:tcPr>
            <w:tcW w:w="609" w:type="dxa"/>
            <w:vAlign w:val="bottom"/>
          </w:tcPr>
          <w:p w14:paraId="7516AD75" w14:textId="77777777" w:rsidR="00221D6D" w:rsidRPr="00221D6D" w:rsidRDefault="00221D6D" w:rsidP="00221D6D">
            <w:pPr>
              <w:jc w:val="center"/>
              <w:rPr>
                <w:sz w:val="20"/>
                <w:szCs w:val="20"/>
              </w:rPr>
            </w:pPr>
            <w:r w:rsidRPr="00221D6D">
              <w:rPr>
                <w:sz w:val="20"/>
                <w:szCs w:val="20"/>
              </w:rPr>
              <w:t>0,4</w:t>
            </w:r>
          </w:p>
        </w:tc>
        <w:tc>
          <w:tcPr>
            <w:tcW w:w="610" w:type="dxa"/>
            <w:vAlign w:val="bottom"/>
          </w:tcPr>
          <w:p w14:paraId="02096562" w14:textId="77777777" w:rsidR="00221D6D" w:rsidRPr="00221D6D" w:rsidRDefault="00221D6D" w:rsidP="00221D6D">
            <w:pPr>
              <w:jc w:val="center"/>
              <w:rPr>
                <w:sz w:val="20"/>
                <w:szCs w:val="20"/>
                <w:lang w:val="en-US"/>
              </w:rPr>
            </w:pPr>
            <w:r w:rsidRPr="00221D6D">
              <w:rPr>
                <w:sz w:val="20"/>
                <w:szCs w:val="20"/>
                <w:lang w:val="en-US"/>
              </w:rPr>
              <w:t>0,6</w:t>
            </w:r>
          </w:p>
        </w:tc>
        <w:tc>
          <w:tcPr>
            <w:tcW w:w="609" w:type="dxa"/>
            <w:vAlign w:val="bottom"/>
          </w:tcPr>
          <w:p w14:paraId="3D830817" w14:textId="77777777" w:rsidR="00221D6D" w:rsidRPr="00221D6D" w:rsidRDefault="00221D6D" w:rsidP="00221D6D">
            <w:pPr>
              <w:jc w:val="center"/>
              <w:rPr>
                <w:rFonts w:eastAsia="Arial Unicode MS"/>
                <w:sz w:val="20"/>
                <w:szCs w:val="20"/>
              </w:rPr>
            </w:pPr>
            <w:r w:rsidRPr="00221D6D">
              <w:rPr>
                <w:sz w:val="20"/>
                <w:szCs w:val="20"/>
              </w:rPr>
              <w:t>0,4</w:t>
            </w:r>
          </w:p>
        </w:tc>
        <w:tc>
          <w:tcPr>
            <w:tcW w:w="610" w:type="dxa"/>
            <w:vAlign w:val="bottom"/>
          </w:tcPr>
          <w:p w14:paraId="66DA29A1"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5</w:t>
            </w:r>
          </w:p>
        </w:tc>
        <w:tc>
          <w:tcPr>
            <w:tcW w:w="609" w:type="dxa"/>
            <w:vAlign w:val="bottom"/>
          </w:tcPr>
          <w:p w14:paraId="5A7BFD13" w14:textId="77777777" w:rsidR="00221D6D" w:rsidRPr="00221D6D" w:rsidRDefault="00221D6D" w:rsidP="00221D6D">
            <w:pPr>
              <w:jc w:val="center"/>
              <w:rPr>
                <w:rFonts w:eastAsia="Arial Unicode MS"/>
                <w:sz w:val="20"/>
                <w:szCs w:val="20"/>
              </w:rPr>
            </w:pPr>
            <w:r w:rsidRPr="00221D6D">
              <w:rPr>
                <w:sz w:val="20"/>
                <w:szCs w:val="20"/>
              </w:rPr>
              <w:t>0,7</w:t>
            </w:r>
          </w:p>
        </w:tc>
        <w:tc>
          <w:tcPr>
            <w:tcW w:w="610" w:type="dxa"/>
            <w:vAlign w:val="bottom"/>
          </w:tcPr>
          <w:p w14:paraId="61A897D8" w14:textId="77777777" w:rsidR="00221D6D" w:rsidRPr="00221D6D" w:rsidRDefault="00221D6D" w:rsidP="00221D6D">
            <w:pPr>
              <w:jc w:val="center"/>
              <w:rPr>
                <w:sz w:val="20"/>
                <w:szCs w:val="20"/>
                <w:lang w:val="en-US"/>
              </w:rPr>
            </w:pPr>
            <w:r w:rsidRPr="00221D6D">
              <w:rPr>
                <w:sz w:val="20"/>
                <w:szCs w:val="20"/>
                <w:lang w:val="en-US"/>
              </w:rPr>
              <w:t>0,5</w:t>
            </w:r>
          </w:p>
        </w:tc>
        <w:tc>
          <w:tcPr>
            <w:tcW w:w="609" w:type="dxa"/>
            <w:vAlign w:val="bottom"/>
          </w:tcPr>
          <w:p w14:paraId="1BD6206C"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3</w:t>
            </w:r>
          </w:p>
        </w:tc>
        <w:tc>
          <w:tcPr>
            <w:tcW w:w="610" w:type="dxa"/>
            <w:vAlign w:val="bottom"/>
          </w:tcPr>
          <w:p w14:paraId="00A698BE"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1</w:t>
            </w:r>
          </w:p>
        </w:tc>
        <w:tc>
          <w:tcPr>
            <w:tcW w:w="609" w:type="dxa"/>
            <w:vAlign w:val="bottom"/>
          </w:tcPr>
          <w:p w14:paraId="123E6BC5"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1</w:t>
            </w:r>
          </w:p>
        </w:tc>
        <w:tc>
          <w:tcPr>
            <w:tcW w:w="610" w:type="dxa"/>
            <w:vAlign w:val="bottom"/>
          </w:tcPr>
          <w:p w14:paraId="7FB927A0" w14:textId="77777777" w:rsidR="00221D6D" w:rsidRPr="00221D6D" w:rsidRDefault="00221D6D" w:rsidP="00221D6D">
            <w:pPr>
              <w:jc w:val="center"/>
              <w:rPr>
                <w:sz w:val="20"/>
                <w:szCs w:val="20"/>
              </w:rPr>
            </w:pPr>
            <w:r w:rsidRPr="00221D6D">
              <w:rPr>
                <w:sz w:val="20"/>
                <w:szCs w:val="20"/>
              </w:rPr>
              <w:t>0,1</w:t>
            </w:r>
          </w:p>
        </w:tc>
      </w:tr>
      <w:tr w:rsidR="00221D6D" w:rsidRPr="00221D6D" w14:paraId="17690855" w14:textId="77777777" w:rsidTr="005C2605">
        <w:trPr>
          <w:trHeight w:val="20"/>
        </w:trPr>
        <w:tc>
          <w:tcPr>
            <w:tcW w:w="3119" w:type="dxa"/>
          </w:tcPr>
          <w:p w14:paraId="070CD1F5" w14:textId="77777777" w:rsidR="00221D6D" w:rsidRPr="00221D6D" w:rsidRDefault="00221D6D" w:rsidP="00A911FD">
            <w:pPr>
              <w:rPr>
                <w:sz w:val="20"/>
                <w:szCs w:val="20"/>
              </w:rPr>
            </w:pPr>
            <w:r w:rsidRPr="00221D6D">
              <w:rPr>
                <w:sz w:val="20"/>
                <w:szCs w:val="20"/>
              </w:rPr>
              <w:t>1000 СОЦИАЛЬНАЯ ПОЛИТИКА</w:t>
            </w:r>
          </w:p>
        </w:tc>
        <w:tc>
          <w:tcPr>
            <w:tcW w:w="609" w:type="dxa"/>
            <w:vAlign w:val="bottom"/>
          </w:tcPr>
          <w:p w14:paraId="11DF6438" w14:textId="77777777" w:rsidR="00221D6D" w:rsidRPr="00221D6D" w:rsidRDefault="00221D6D" w:rsidP="00221D6D">
            <w:pPr>
              <w:jc w:val="center"/>
              <w:rPr>
                <w:rFonts w:eastAsia="Arial Unicode MS"/>
                <w:sz w:val="20"/>
                <w:szCs w:val="20"/>
              </w:rPr>
            </w:pPr>
            <w:r w:rsidRPr="00221D6D">
              <w:rPr>
                <w:rFonts w:eastAsia="Arial Unicode MS"/>
                <w:sz w:val="20"/>
                <w:szCs w:val="20"/>
              </w:rPr>
              <w:t>0,</w:t>
            </w:r>
            <w:r w:rsidRPr="00221D6D">
              <w:rPr>
                <w:rFonts w:eastAsia="Arial Unicode MS"/>
                <w:sz w:val="20"/>
                <w:szCs w:val="20"/>
                <w:lang w:val="en-US"/>
              </w:rPr>
              <w:t>1</w:t>
            </w:r>
          </w:p>
        </w:tc>
        <w:tc>
          <w:tcPr>
            <w:tcW w:w="610" w:type="dxa"/>
            <w:vAlign w:val="bottom"/>
          </w:tcPr>
          <w:p w14:paraId="4214855F"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lang w:val="en-US"/>
              </w:rPr>
              <w:t>&lt;0,1</w:t>
            </w:r>
          </w:p>
        </w:tc>
        <w:tc>
          <w:tcPr>
            <w:tcW w:w="609" w:type="dxa"/>
            <w:vAlign w:val="bottom"/>
          </w:tcPr>
          <w:p w14:paraId="284D5CDD" w14:textId="77777777" w:rsidR="00221D6D" w:rsidRPr="00221D6D" w:rsidRDefault="00221D6D" w:rsidP="00221D6D">
            <w:pPr>
              <w:jc w:val="center"/>
              <w:rPr>
                <w:rFonts w:eastAsia="Arial Unicode MS"/>
                <w:sz w:val="20"/>
                <w:szCs w:val="20"/>
              </w:rPr>
            </w:pPr>
            <w:r w:rsidRPr="00221D6D">
              <w:rPr>
                <w:sz w:val="20"/>
                <w:szCs w:val="20"/>
              </w:rPr>
              <w:t>0,1</w:t>
            </w:r>
          </w:p>
        </w:tc>
        <w:tc>
          <w:tcPr>
            <w:tcW w:w="610" w:type="dxa"/>
            <w:vAlign w:val="bottom"/>
          </w:tcPr>
          <w:p w14:paraId="3AF04B79"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lang w:val="en-US"/>
              </w:rPr>
              <w:t>0,1</w:t>
            </w:r>
          </w:p>
        </w:tc>
        <w:tc>
          <w:tcPr>
            <w:tcW w:w="609" w:type="dxa"/>
            <w:vAlign w:val="bottom"/>
          </w:tcPr>
          <w:p w14:paraId="2F8C3BD9" w14:textId="77777777" w:rsidR="00221D6D" w:rsidRPr="00221D6D" w:rsidRDefault="00221D6D" w:rsidP="00221D6D">
            <w:pPr>
              <w:jc w:val="center"/>
              <w:rPr>
                <w:rFonts w:eastAsia="Arial Unicode MS"/>
                <w:sz w:val="20"/>
                <w:szCs w:val="20"/>
              </w:rPr>
            </w:pPr>
            <w:r w:rsidRPr="00221D6D">
              <w:rPr>
                <w:sz w:val="20"/>
                <w:szCs w:val="20"/>
              </w:rPr>
              <w:t>0,1</w:t>
            </w:r>
          </w:p>
        </w:tc>
        <w:tc>
          <w:tcPr>
            <w:tcW w:w="610" w:type="dxa"/>
            <w:vAlign w:val="bottom"/>
          </w:tcPr>
          <w:p w14:paraId="31E0B3F9" w14:textId="77777777" w:rsidR="00221D6D" w:rsidRPr="00221D6D" w:rsidRDefault="00221D6D" w:rsidP="00221D6D">
            <w:pPr>
              <w:jc w:val="center"/>
              <w:rPr>
                <w:sz w:val="20"/>
                <w:szCs w:val="20"/>
                <w:lang w:val="en-US"/>
              </w:rPr>
            </w:pPr>
            <w:r w:rsidRPr="00221D6D">
              <w:rPr>
                <w:sz w:val="20"/>
                <w:szCs w:val="20"/>
                <w:lang w:val="en-US"/>
              </w:rPr>
              <w:t>0,2</w:t>
            </w:r>
          </w:p>
        </w:tc>
        <w:tc>
          <w:tcPr>
            <w:tcW w:w="609" w:type="dxa"/>
            <w:vAlign w:val="bottom"/>
          </w:tcPr>
          <w:p w14:paraId="14651D85" w14:textId="77777777" w:rsidR="00221D6D" w:rsidRPr="00221D6D" w:rsidRDefault="00221D6D" w:rsidP="00221D6D">
            <w:pPr>
              <w:jc w:val="center"/>
              <w:rPr>
                <w:sz w:val="20"/>
                <w:szCs w:val="20"/>
                <w:lang w:val="en-US"/>
              </w:rPr>
            </w:pPr>
            <w:r w:rsidRPr="00221D6D">
              <w:rPr>
                <w:sz w:val="20"/>
                <w:szCs w:val="20"/>
                <w:lang w:val="en-US"/>
              </w:rPr>
              <w:t>0,3</w:t>
            </w:r>
          </w:p>
        </w:tc>
        <w:tc>
          <w:tcPr>
            <w:tcW w:w="610" w:type="dxa"/>
            <w:vAlign w:val="bottom"/>
          </w:tcPr>
          <w:p w14:paraId="062A246D"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2</w:t>
            </w:r>
          </w:p>
        </w:tc>
        <w:tc>
          <w:tcPr>
            <w:tcW w:w="609" w:type="dxa"/>
            <w:vAlign w:val="bottom"/>
          </w:tcPr>
          <w:p w14:paraId="19C42A6A"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3</w:t>
            </w:r>
          </w:p>
        </w:tc>
        <w:tc>
          <w:tcPr>
            <w:tcW w:w="610" w:type="dxa"/>
            <w:vAlign w:val="bottom"/>
          </w:tcPr>
          <w:p w14:paraId="159BDC8F" w14:textId="77777777" w:rsidR="00221D6D" w:rsidRPr="00221D6D" w:rsidRDefault="00221D6D" w:rsidP="00221D6D">
            <w:pPr>
              <w:jc w:val="center"/>
              <w:rPr>
                <w:sz w:val="20"/>
                <w:szCs w:val="20"/>
              </w:rPr>
            </w:pPr>
            <w:r w:rsidRPr="00221D6D">
              <w:rPr>
                <w:sz w:val="20"/>
                <w:szCs w:val="20"/>
              </w:rPr>
              <w:t>0,3</w:t>
            </w:r>
          </w:p>
        </w:tc>
      </w:tr>
      <w:tr w:rsidR="00221D6D" w:rsidRPr="00221D6D" w14:paraId="5C798F75" w14:textId="77777777" w:rsidTr="005C2605">
        <w:trPr>
          <w:trHeight w:val="20"/>
        </w:trPr>
        <w:tc>
          <w:tcPr>
            <w:tcW w:w="3119" w:type="dxa"/>
          </w:tcPr>
          <w:p w14:paraId="33716911" w14:textId="77777777" w:rsidR="00221D6D" w:rsidRPr="00221D6D" w:rsidRDefault="00221D6D" w:rsidP="00A911FD">
            <w:pPr>
              <w:rPr>
                <w:sz w:val="20"/>
                <w:szCs w:val="20"/>
              </w:rPr>
            </w:pPr>
            <w:r w:rsidRPr="00221D6D">
              <w:rPr>
                <w:sz w:val="20"/>
                <w:szCs w:val="20"/>
              </w:rPr>
              <w:t>1001 Пенсионное обеспечение</w:t>
            </w:r>
          </w:p>
        </w:tc>
        <w:tc>
          <w:tcPr>
            <w:tcW w:w="609" w:type="dxa"/>
            <w:vAlign w:val="bottom"/>
          </w:tcPr>
          <w:p w14:paraId="20D86FE5" w14:textId="77777777" w:rsidR="00221D6D" w:rsidRPr="00221D6D" w:rsidRDefault="00221D6D" w:rsidP="00221D6D">
            <w:pPr>
              <w:jc w:val="center"/>
              <w:rPr>
                <w:rFonts w:eastAsia="Arial Unicode MS"/>
                <w:sz w:val="20"/>
                <w:szCs w:val="20"/>
              </w:rPr>
            </w:pPr>
            <w:r w:rsidRPr="00221D6D">
              <w:rPr>
                <w:rFonts w:eastAsia="Arial Unicode MS"/>
                <w:sz w:val="20"/>
                <w:szCs w:val="20"/>
              </w:rPr>
              <w:t>–</w:t>
            </w:r>
          </w:p>
        </w:tc>
        <w:tc>
          <w:tcPr>
            <w:tcW w:w="610" w:type="dxa"/>
            <w:vAlign w:val="bottom"/>
          </w:tcPr>
          <w:p w14:paraId="2A4958F1"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rPr>
              <w:t>–</w:t>
            </w:r>
          </w:p>
        </w:tc>
        <w:tc>
          <w:tcPr>
            <w:tcW w:w="609" w:type="dxa"/>
            <w:vAlign w:val="bottom"/>
          </w:tcPr>
          <w:p w14:paraId="5AE5EA98" w14:textId="77777777" w:rsidR="00221D6D" w:rsidRPr="00221D6D" w:rsidRDefault="00221D6D" w:rsidP="00221D6D">
            <w:pPr>
              <w:jc w:val="center"/>
              <w:rPr>
                <w:rFonts w:eastAsia="Arial Unicode MS"/>
                <w:sz w:val="20"/>
                <w:szCs w:val="20"/>
              </w:rPr>
            </w:pPr>
            <w:r w:rsidRPr="00221D6D">
              <w:rPr>
                <w:sz w:val="20"/>
                <w:szCs w:val="20"/>
              </w:rPr>
              <w:t>0,1</w:t>
            </w:r>
          </w:p>
        </w:tc>
        <w:tc>
          <w:tcPr>
            <w:tcW w:w="610" w:type="dxa"/>
            <w:vAlign w:val="bottom"/>
          </w:tcPr>
          <w:p w14:paraId="4165A947"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rPr>
              <w:t>0,1</w:t>
            </w:r>
          </w:p>
        </w:tc>
        <w:tc>
          <w:tcPr>
            <w:tcW w:w="609" w:type="dxa"/>
            <w:vAlign w:val="bottom"/>
          </w:tcPr>
          <w:p w14:paraId="741BDD62" w14:textId="77777777" w:rsidR="00221D6D" w:rsidRPr="00221D6D" w:rsidRDefault="00221D6D" w:rsidP="00221D6D">
            <w:pPr>
              <w:jc w:val="center"/>
              <w:rPr>
                <w:rFonts w:eastAsia="Arial Unicode MS"/>
                <w:sz w:val="20"/>
                <w:szCs w:val="20"/>
              </w:rPr>
            </w:pPr>
            <w:r w:rsidRPr="00221D6D">
              <w:rPr>
                <w:sz w:val="20"/>
                <w:szCs w:val="20"/>
              </w:rPr>
              <w:t>0,1</w:t>
            </w:r>
          </w:p>
        </w:tc>
        <w:tc>
          <w:tcPr>
            <w:tcW w:w="610" w:type="dxa"/>
            <w:vAlign w:val="bottom"/>
          </w:tcPr>
          <w:p w14:paraId="6C08FB93" w14:textId="77777777" w:rsidR="00221D6D" w:rsidRPr="00221D6D" w:rsidRDefault="00221D6D" w:rsidP="00221D6D">
            <w:pPr>
              <w:jc w:val="center"/>
              <w:rPr>
                <w:sz w:val="20"/>
                <w:szCs w:val="20"/>
                <w:lang w:val="en-US"/>
              </w:rPr>
            </w:pPr>
            <w:r w:rsidRPr="00221D6D">
              <w:rPr>
                <w:sz w:val="20"/>
                <w:szCs w:val="20"/>
                <w:lang w:val="en-US"/>
              </w:rPr>
              <w:t>0,1</w:t>
            </w:r>
          </w:p>
        </w:tc>
        <w:tc>
          <w:tcPr>
            <w:tcW w:w="609" w:type="dxa"/>
            <w:vAlign w:val="bottom"/>
          </w:tcPr>
          <w:p w14:paraId="2FA823B9" w14:textId="77777777" w:rsidR="00221D6D" w:rsidRPr="00221D6D" w:rsidRDefault="00221D6D" w:rsidP="00221D6D">
            <w:pPr>
              <w:jc w:val="center"/>
              <w:rPr>
                <w:sz w:val="20"/>
                <w:szCs w:val="20"/>
                <w:lang w:val="en-US"/>
              </w:rPr>
            </w:pPr>
            <w:r w:rsidRPr="00221D6D">
              <w:rPr>
                <w:sz w:val="20"/>
                <w:szCs w:val="20"/>
                <w:lang w:val="en-US"/>
              </w:rPr>
              <w:t>0,1</w:t>
            </w:r>
          </w:p>
        </w:tc>
        <w:tc>
          <w:tcPr>
            <w:tcW w:w="610" w:type="dxa"/>
            <w:vAlign w:val="bottom"/>
          </w:tcPr>
          <w:p w14:paraId="606F4AA5"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2</w:t>
            </w:r>
          </w:p>
        </w:tc>
        <w:tc>
          <w:tcPr>
            <w:tcW w:w="609" w:type="dxa"/>
            <w:vAlign w:val="bottom"/>
          </w:tcPr>
          <w:p w14:paraId="288F7F00"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3</w:t>
            </w:r>
          </w:p>
        </w:tc>
        <w:tc>
          <w:tcPr>
            <w:tcW w:w="610" w:type="dxa"/>
            <w:vAlign w:val="bottom"/>
          </w:tcPr>
          <w:p w14:paraId="2407DB6C" w14:textId="77777777" w:rsidR="00221D6D" w:rsidRPr="00221D6D" w:rsidRDefault="00221D6D" w:rsidP="00221D6D">
            <w:pPr>
              <w:jc w:val="center"/>
              <w:rPr>
                <w:sz w:val="20"/>
                <w:szCs w:val="20"/>
              </w:rPr>
            </w:pPr>
            <w:r w:rsidRPr="00221D6D">
              <w:rPr>
                <w:sz w:val="20"/>
                <w:szCs w:val="20"/>
              </w:rPr>
              <w:t>0,3</w:t>
            </w:r>
          </w:p>
        </w:tc>
      </w:tr>
      <w:tr w:rsidR="00221D6D" w:rsidRPr="00221D6D" w14:paraId="628D4EDE" w14:textId="77777777" w:rsidTr="005C2605">
        <w:trPr>
          <w:trHeight w:val="20"/>
        </w:trPr>
        <w:tc>
          <w:tcPr>
            <w:tcW w:w="3119" w:type="dxa"/>
          </w:tcPr>
          <w:p w14:paraId="3E815172" w14:textId="77777777" w:rsidR="00221D6D" w:rsidRPr="00221D6D" w:rsidRDefault="00221D6D" w:rsidP="00A911FD">
            <w:pPr>
              <w:rPr>
                <w:sz w:val="20"/>
                <w:szCs w:val="20"/>
              </w:rPr>
            </w:pPr>
            <w:r w:rsidRPr="00221D6D">
              <w:rPr>
                <w:sz w:val="20"/>
                <w:szCs w:val="20"/>
              </w:rPr>
              <w:t>1003 Социальное обеспечение населения</w:t>
            </w:r>
          </w:p>
        </w:tc>
        <w:tc>
          <w:tcPr>
            <w:tcW w:w="609" w:type="dxa"/>
            <w:vAlign w:val="bottom"/>
          </w:tcPr>
          <w:p w14:paraId="021E695F" w14:textId="77777777" w:rsidR="00221D6D" w:rsidRPr="00221D6D" w:rsidRDefault="00221D6D" w:rsidP="00221D6D">
            <w:pPr>
              <w:jc w:val="center"/>
              <w:rPr>
                <w:rFonts w:eastAsia="Arial Unicode MS"/>
                <w:sz w:val="20"/>
                <w:szCs w:val="20"/>
              </w:rPr>
            </w:pPr>
            <w:r w:rsidRPr="00221D6D">
              <w:rPr>
                <w:rFonts w:eastAsia="Arial Unicode MS"/>
                <w:sz w:val="20"/>
                <w:szCs w:val="20"/>
              </w:rPr>
              <w:t>0,4</w:t>
            </w:r>
          </w:p>
        </w:tc>
        <w:tc>
          <w:tcPr>
            <w:tcW w:w="610" w:type="dxa"/>
            <w:vAlign w:val="bottom"/>
          </w:tcPr>
          <w:p w14:paraId="63BD04A7"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lang w:val="en-US"/>
              </w:rPr>
              <w:t>0,1</w:t>
            </w:r>
          </w:p>
        </w:tc>
        <w:tc>
          <w:tcPr>
            <w:tcW w:w="609" w:type="dxa"/>
            <w:vAlign w:val="bottom"/>
          </w:tcPr>
          <w:p w14:paraId="65685BC7" w14:textId="77777777" w:rsidR="00221D6D" w:rsidRPr="00221D6D" w:rsidRDefault="00221D6D" w:rsidP="00221D6D">
            <w:pPr>
              <w:jc w:val="center"/>
              <w:rPr>
                <w:rFonts w:eastAsia="Arial Unicode MS"/>
                <w:sz w:val="20"/>
                <w:szCs w:val="20"/>
              </w:rPr>
            </w:pPr>
            <w:r w:rsidRPr="00221D6D">
              <w:rPr>
                <w:sz w:val="20"/>
                <w:szCs w:val="20"/>
              </w:rPr>
              <w:t>0,2</w:t>
            </w:r>
          </w:p>
        </w:tc>
        <w:tc>
          <w:tcPr>
            <w:tcW w:w="610" w:type="dxa"/>
            <w:vAlign w:val="bottom"/>
          </w:tcPr>
          <w:p w14:paraId="6F95BB5B" w14:textId="77777777" w:rsidR="00221D6D" w:rsidRPr="00221D6D" w:rsidRDefault="00221D6D" w:rsidP="00221D6D">
            <w:pPr>
              <w:jc w:val="center"/>
              <w:rPr>
                <w:rFonts w:eastAsia="Arial Unicode MS"/>
                <w:sz w:val="20"/>
                <w:szCs w:val="20"/>
              </w:rPr>
            </w:pPr>
            <w:r w:rsidRPr="00221D6D">
              <w:rPr>
                <w:rFonts w:eastAsia="Arial Unicode MS"/>
                <w:sz w:val="20"/>
                <w:szCs w:val="20"/>
                <w:lang w:val="en-US"/>
              </w:rPr>
              <w:t>0,</w:t>
            </w:r>
            <w:r w:rsidRPr="00221D6D">
              <w:rPr>
                <w:rFonts w:eastAsia="Arial Unicode MS"/>
                <w:sz w:val="20"/>
                <w:szCs w:val="20"/>
              </w:rPr>
              <w:t>3</w:t>
            </w:r>
          </w:p>
        </w:tc>
        <w:tc>
          <w:tcPr>
            <w:tcW w:w="609" w:type="dxa"/>
            <w:vAlign w:val="bottom"/>
          </w:tcPr>
          <w:p w14:paraId="5E4178A2" w14:textId="77777777" w:rsidR="00221D6D" w:rsidRPr="00221D6D" w:rsidRDefault="00221D6D" w:rsidP="00221D6D">
            <w:pPr>
              <w:jc w:val="center"/>
              <w:rPr>
                <w:rFonts w:eastAsia="Arial Unicode MS"/>
                <w:sz w:val="20"/>
                <w:szCs w:val="20"/>
              </w:rPr>
            </w:pPr>
            <w:r w:rsidRPr="00221D6D">
              <w:rPr>
                <w:sz w:val="20"/>
                <w:szCs w:val="20"/>
              </w:rPr>
              <w:t>0,4</w:t>
            </w:r>
          </w:p>
        </w:tc>
        <w:tc>
          <w:tcPr>
            <w:tcW w:w="610" w:type="dxa"/>
            <w:vAlign w:val="bottom"/>
          </w:tcPr>
          <w:p w14:paraId="10BDD252" w14:textId="77777777" w:rsidR="00221D6D" w:rsidRPr="00221D6D" w:rsidRDefault="00221D6D" w:rsidP="00221D6D">
            <w:pPr>
              <w:jc w:val="center"/>
              <w:rPr>
                <w:sz w:val="20"/>
                <w:szCs w:val="20"/>
                <w:lang w:val="en-US"/>
              </w:rPr>
            </w:pPr>
            <w:r w:rsidRPr="00221D6D">
              <w:rPr>
                <w:sz w:val="20"/>
                <w:szCs w:val="20"/>
                <w:lang w:val="en-US"/>
              </w:rPr>
              <w:t>0,4</w:t>
            </w:r>
          </w:p>
        </w:tc>
        <w:tc>
          <w:tcPr>
            <w:tcW w:w="609" w:type="dxa"/>
            <w:vAlign w:val="bottom"/>
          </w:tcPr>
          <w:p w14:paraId="5D3A43BE"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8</w:t>
            </w:r>
          </w:p>
        </w:tc>
        <w:tc>
          <w:tcPr>
            <w:tcW w:w="610" w:type="dxa"/>
            <w:vAlign w:val="bottom"/>
          </w:tcPr>
          <w:p w14:paraId="1F45B375"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3</w:t>
            </w:r>
          </w:p>
        </w:tc>
        <w:tc>
          <w:tcPr>
            <w:tcW w:w="609" w:type="dxa"/>
            <w:vAlign w:val="bottom"/>
          </w:tcPr>
          <w:p w14:paraId="50024467"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3</w:t>
            </w:r>
          </w:p>
        </w:tc>
        <w:tc>
          <w:tcPr>
            <w:tcW w:w="610" w:type="dxa"/>
            <w:vAlign w:val="bottom"/>
          </w:tcPr>
          <w:p w14:paraId="02070667" w14:textId="77777777" w:rsidR="00221D6D" w:rsidRPr="00221D6D" w:rsidRDefault="00221D6D" w:rsidP="00221D6D">
            <w:pPr>
              <w:jc w:val="center"/>
              <w:rPr>
                <w:sz w:val="20"/>
                <w:szCs w:val="20"/>
              </w:rPr>
            </w:pPr>
            <w:r w:rsidRPr="00221D6D">
              <w:rPr>
                <w:sz w:val="20"/>
                <w:szCs w:val="20"/>
              </w:rPr>
              <w:t>0,3</w:t>
            </w:r>
          </w:p>
        </w:tc>
      </w:tr>
      <w:tr w:rsidR="00221D6D" w:rsidRPr="00221D6D" w14:paraId="39EE70B5" w14:textId="77777777" w:rsidTr="005C2605">
        <w:trPr>
          <w:trHeight w:val="20"/>
        </w:trPr>
        <w:tc>
          <w:tcPr>
            <w:tcW w:w="3119" w:type="dxa"/>
          </w:tcPr>
          <w:p w14:paraId="6217965B" w14:textId="77777777" w:rsidR="00221D6D" w:rsidRPr="00221D6D" w:rsidRDefault="00221D6D" w:rsidP="00A911FD">
            <w:pPr>
              <w:rPr>
                <w:sz w:val="20"/>
                <w:szCs w:val="20"/>
              </w:rPr>
            </w:pPr>
            <w:r w:rsidRPr="00221D6D">
              <w:rPr>
                <w:sz w:val="20"/>
                <w:szCs w:val="20"/>
                <w:lang w:val="en-US"/>
              </w:rPr>
              <w:t xml:space="preserve">1004 </w:t>
            </w:r>
            <w:r w:rsidRPr="00221D6D">
              <w:rPr>
                <w:sz w:val="20"/>
                <w:szCs w:val="20"/>
              </w:rPr>
              <w:t>Охрана семьи и детства</w:t>
            </w:r>
          </w:p>
        </w:tc>
        <w:tc>
          <w:tcPr>
            <w:tcW w:w="609" w:type="dxa"/>
            <w:vAlign w:val="bottom"/>
          </w:tcPr>
          <w:p w14:paraId="3DF00DA1" w14:textId="77777777" w:rsidR="00221D6D" w:rsidRPr="00221D6D" w:rsidRDefault="00221D6D" w:rsidP="00221D6D">
            <w:pPr>
              <w:jc w:val="center"/>
              <w:rPr>
                <w:rFonts w:eastAsia="Arial Unicode MS"/>
                <w:sz w:val="20"/>
                <w:szCs w:val="20"/>
              </w:rPr>
            </w:pPr>
            <w:r w:rsidRPr="00221D6D">
              <w:rPr>
                <w:rFonts w:eastAsia="Arial Unicode MS"/>
                <w:sz w:val="20"/>
                <w:szCs w:val="20"/>
                <w:lang w:val="en-US"/>
              </w:rPr>
              <w:t>&lt;0,1</w:t>
            </w:r>
          </w:p>
        </w:tc>
        <w:tc>
          <w:tcPr>
            <w:tcW w:w="610" w:type="dxa"/>
            <w:vAlign w:val="bottom"/>
          </w:tcPr>
          <w:p w14:paraId="3D47BAE5"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lang w:val="en-US"/>
              </w:rPr>
              <w:t>&lt;0,1</w:t>
            </w:r>
          </w:p>
        </w:tc>
        <w:tc>
          <w:tcPr>
            <w:tcW w:w="609" w:type="dxa"/>
            <w:vAlign w:val="bottom"/>
          </w:tcPr>
          <w:p w14:paraId="03D9C221" w14:textId="77777777" w:rsidR="00221D6D" w:rsidRPr="00221D6D" w:rsidRDefault="00221D6D" w:rsidP="00221D6D">
            <w:pPr>
              <w:jc w:val="center"/>
              <w:rPr>
                <w:sz w:val="20"/>
                <w:szCs w:val="20"/>
              </w:rPr>
            </w:pPr>
            <w:r w:rsidRPr="00221D6D">
              <w:rPr>
                <w:rFonts w:eastAsia="Arial Unicode MS"/>
                <w:sz w:val="20"/>
                <w:szCs w:val="20"/>
                <w:lang w:val="en-US"/>
              </w:rPr>
              <w:t>&lt;0,1</w:t>
            </w:r>
          </w:p>
        </w:tc>
        <w:tc>
          <w:tcPr>
            <w:tcW w:w="610" w:type="dxa"/>
            <w:vAlign w:val="bottom"/>
          </w:tcPr>
          <w:p w14:paraId="53F924C8"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lang w:val="en-US"/>
              </w:rPr>
              <w:t>&lt;0,1</w:t>
            </w:r>
          </w:p>
        </w:tc>
        <w:tc>
          <w:tcPr>
            <w:tcW w:w="609" w:type="dxa"/>
            <w:vAlign w:val="bottom"/>
          </w:tcPr>
          <w:p w14:paraId="180500B9" w14:textId="77777777" w:rsidR="00221D6D" w:rsidRPr="00221D6D" w:rsidRDefault="00221D6D" w:rsidP="00221D6D">
            <w:pPr>
              <w:jc w:val="center"/>
              <w:rPr>
                <w:sz w:val="20"/>
                <w:szCs w:val="20"/>
              </w:rPr>
            </w:pPr>
            <w:r w:rsidRPr="00221D6D">
              <w:rPr>
                <w:rFonts w:eastAsia="Arial Unicode MS"/>
                <w:sz w:val="20"/>
                <w:szCs w:val="20"/>
                <w:lang w:val="en-US"/>
              </w:rPr>
              <w:t>&lt;0,1</w:t>
            </w:r>
          </w:p>
        </w:tc>
        <w:tc>
          <w:tcPr>
            <w:tcW w:w="610" w:type="dxa"/>
            <w:vAlign w:val="bottom"/>
          </w:tcPr>
          <w:p w14:paraId="12F97A8C"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lang w:val="en-US"/>
              </w:rPr>
              <w:t>&lt;0,1</w:t>
            </w:r>
          </w:p>
        </w:tc>
        <w:tc>
          <w:tcPr>
            <w:tcW w:w="609" w:type="dxa"/>
            <w:vAlign w:val="bottom"/>
          </w:tcPr>
          <w:p w14:paraId="07DF0F53" w14:textId="77777777" w:rsidR="00221D6D" w:rsidRPr="00221D6D" w:rsidRDefault="00221D6D" w:rsidP="00221D6D">
            <w:pPr>
              <w:jc w:val="center"/>
              <w:rPr>
                <w:rFonts w:eastAsia="Arial Unicode MS"/>
                <w:sz w:val="20"/>
                <w:szCs w:val="20"/>
              </w:rPr>
            </w:pPr>
            <w:r w:rsidRPr="00221D6D">
              <w:rPr>
                <w:rFonts w:eastAsia="Arial Unicode MS"/>
                <w:sz w:val="20"/>
                <w:szCs w:val="20"/>
                <w:lang w:val="en-US"/>
              </w:rPr>
              <w:t>0,</w:t>
            </w:r>
            <w:r w:rsidRPr="00221D6D">
              <w:rPr>
                <w:rFonts w:eastAsia="Arial Unicode MS"/>
                <w:sz w:val="20"/>
                <w:szCs w:val="20"/>
              </w:rPr>
              <w:t>3</w:t>
            </w:r>
          </w:p>
        </w:tc>
        <w:tc>
          <w:tcPr>
            <w:tcW w:w="610" w:type="dxa"/>
            <w:vAlign w:val="bottom"/>
          </w:tcPr>
          <w:p w14:paraId="135B9B0D" w14:textId="77777777" w:rsidR="00221D6D" w:rsidRPr="00221D6D" w:rsidRDefault="00221D6D" w:rsidP="00221D6D">
            <w:pPr>
              <w:jc w:val="center"/>
              <w:rPr>
                <w:rFonts w:eastAsia="Arial Unicode MS"/>
                <w:sz w:val="20"/>
                <w:szCs w:val="20"/>
              </w:rPr>
            </w:pPr>
            <w:r w:rsidRPr="00221D6D">
              <w:rPr>
                <w:rFonts w:eastAsia="Arial Unicode MS"/>
                <w:sz w:val="20"/>
                <w:szCs w:val="20"/>
                <w:lang w:val="en-US"/>
              </w:rPr>
              <w:t>0,</w:t>
            </w:r>
            <w:r w:rsidRPr="00221D6D">
              <w:rPr>
                <w:rFonts w:eastAsia="Arial Unicode MS"/>
                <w:sz w:val="20"/>
                <w:szCs w:val="20"/>
              </w:rPr>
              <w:t>2</w:t>
            </w:r>
          </w:p>
        </w:tc>
        <w:tc>
          <w:tcPr>
            <w:tcW w:w="609" w:type="dxa"/>
            <w:vAlign w:val="bottom"/>
          </w:tcPr>
          <w:p w14:paraId="3C580888" w14:textId="77777777" w:rsidR="00221D6D" w:rsidRPr="00221D6D" w:rsidRDefault="00221D6D" w:rsidP="00221D6D">
            <w:pPr>
              <w:jc w:val="center"/>
              <w:rPr>
                <w:rFonts w:eastAsia="Arial Unicode MS"/>
                <w:sz w:val="20"/>
                <w:szCs w:val="20"/>
              </w:rPr>
            </w:pPr>
            <w:r w:rsidRPr="00221D6D">
              <w:rPr>
                <w:rFonts w:eastAsia="Arial Unicode MS"/>
                <w:sz w:val="20"/>
                <w:szCs w:val="20"/>
                <w:lang w:val="en-US"/>
              </w:rPr>
              <w:t>0,</w:t>
            </w:r>
            <w:r w:rsidRPr="00221D6D">
              <w:rPr>
                <w:rFonts w:eastAsia="Arial Unicode MS"/>
                <w:sz w:val="20"/>
                <w:szCs w:val="20"/>
              </w:rPr>
              <w:t>2</w:t>
            </w:r>
          </w:p>
        </w:tc>
        <w:tc>
          <w:tcPr>
            <w:tcW w:w="610" w:type="dxa"/>
            <w:vAlign w:val="bottom"/>
          </w:tcPr>
          <w:p w14:paraId="184C15D6" w14:textId="77777777" w:rsidR="00221D6D" w:rsidRPr="00221D6D" w:rsidRDefault="00221D6D" w:rsidP="00221D6D">
            <w:pPr>
              <w:jc w:val="center"/>
              <w:rPr>
                <w:rFonts w:eastAsia="Arial Unicode MS"/>
                <w:sz w:val="20"/>
                <w:szCs w:val="20"/>
              </w:rPr>
            </w:pPr>
            <w:r w:rsidRPr="00221D6D">
              <w:rPr>
                <w:rFonts w:eastAsia="Arial Unicode MS"/>
                <w:sz w:val="20"/>
                <w:szCs w:val="20"/>
              </w:rPr>
              <w:t>0,2</w:t>
            </w:r>
          </w:p>
        </w:tc>
      </w:tr>
      <w:tr w:rsidR="00221D6D" w:rsidRPr="00221D6D" w14:paraId="1910208A" w14:textId="77777777" w:rsidTr="005C2605">
        <w:trPr>
          <w:trHeight w:val="20"/>
        </w:trPr>
        <w:tc>
          <w:tcPr>
            <w:tcW w:w="3119" w:type="dxa"/>
          </w:tcPr>
          <w:p w14:paraId="0B66B1EA" w14:textId="77777777" w:rsidR="00221D6D" w:rsidRPr="00221D6D" w:rsidRDefault="00221D6D" w:rsidP="00A911FD">
            <w:pPr>
              <w:rPr>
                <w:sz w:val="20"/>
                <w:szCs w:val="20"/>
              </w:rPr>
            </w:pPr>
            <w:r w:rsidRPr="00221D6D">
              <w:rPr>
                <w:sz w:val="20"/>
                <w:szCs w:val="20"/>
              </w:rPr>
              <w:t>1100 ФИЗИЧЕСКАЯ КУЛЬТУРА И СПОРТ</w:t>
            </w:r>
          </w:p>
        </w:tc>
        <w:tc>
          <w:tcPr>
            <w:tcW w:w="609" w:type="dxa"/>
            <w:vAlign w:val="bottom"/>
          </w:tcPr>
          <w:p w14:paraId="7DC40F88" w14:textId="77777777" w:rsidR="00221D6D" w:rsidRPr="00221D6D" w:rsidRDefault="00221D6D" w:rsidP="00221D6D">
            <w:pPr>
              <w:jc w:val="center"/>
              <w:rPr>
                <w:rFonts w:eastAsia="Arial Unicode MS"/>
                <w:sz w:val="20"/>
                <w:szCs w:val="20"/>
              </w:rPr>
            </w:pPr>
            <w:r w:rsidRPr="00221D6D">
              <w:rPr>
                <w:rFonts w:eastAsia="Arial Unicode MS"/>
                <w:sz w:val="20"/>
                <w:szCs w:val="20"/>
              </w:rPr>
              <w:t>0,3</w:t>
            </w:r>
          </w:p>
        </w:tc>
        <w:tc>
          <w:tcPr>
            <w:tcW w:w="610" w:type="dxa"/>
            <w:vAlign w:val="bottom"/>
          </w:tcPr>
          <w:p w14:paraId="6594D714"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lang w:val="en-US"/>
              </w:rPr>
              <w:t>0,3</w:t>
            </w:r>
          </w:p>
        </w:tc>
        <w:tc>
          <w:tcPr>
            <w:tcW w:w="609" w:type="dxa"/>
            <w:vAlign w:val="bottom"/>
          </w:tcPr>
          <w:p w14:paraId="1A0C1214" w14:textId="77777777" w:rsidR="00221D6D" w:rsidRPr="00221D6D" w:rsidRDefault="00221D6D" w:rsidP="00221D6D">
            <w:pPr>
              <w:jc w:val="center"/>
              <w:rPr>
                <w:sz w:val="20"/>
                <w:szCs w:val="20"/>
                <w:lang w:val="en-US"/>
              </w:rPr>
            </w:pPr>
            <w:r w:rsidRPr="00221D6D">
              <w:rPr>
                <w:sz w:val="20"/>
                <w:szCs w:val="20"/>
                <w:lang w:val="en-US"/>
              </w:rPr>
              <w:t>0,</w:t>
            </w:r>
            <w:r w:rsidRPr="00221D6D">
              <w:rPr>
                <w:sz w:val="20"/>
                <w:szCs w:val="20"/>
              </w:rPr>
              <w:t>2</w:t>
            </w:r>
          </w:p>
        </w:tc>
        <w:tc>
          <w:tcPr>
            <w:tcW w:w="610" w:type="dxa"/>
            <w:vAlign w:val="bottom"/>
          </w:tcPr>
          <w:p w14:paraId="5C1E4DC0"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lang w:val="en-US"/>
              </w:rPr>
              <w:t>0,3</w:t>
            </w:r>
          </w:p>
        </w:tc>
        <w:tc>
          <w:tcPr>
            <w:tcW w:w="609" w:type="dxa"/>
            <w:vAlign w:val="bottom"/>
          </w:tcPr>
          <w:p w14:paraId="11999957"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2</w:t>
            </w:r>
          </w:p>
        </w:tc>
        <w:tc>
          <w:tcPr>
            <w:tcW w:w="610" w:type="dxa"/>
            <w:vAlign w:val="bottom"/>
          </w:tcPr>
          <w:p w14:paraId="4C9C693C"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lang w:val="en-US"/>
              </w:rPr>
              <w:t>0,4</w:t>
            </w:r>
          </w:p>
        </w:tc>
        <w:tc>
          <w:tcPr>
            <w:tcW w:w="609" w:type="dxa"/>
            <w:vAlign w:val="bottom"/>
          </w:tcPr>
          <w:p w14:paraId="277DF957"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lang w:val="en-US"/>
              </w:rPr>
              <w:t>0,4</w:t>
            </w:r>
          </w:p>
        </w:tc>
        <w:tc>
          <w:tcPr>
            <w:tcW w:w="610" w:type="dxa"/>
            <w:vAlign w:val="bottom"/>
          </w:tcPr>
          <w:p w14:paraId="26D35094" w14:textId="77777777" w:rsidR="00221D6D" w:rsidRPr="00221D6D" w:rsidRDefault="00221D6D" w:rsidP="00221D6D">
            <w:pPr>
              <w:jc w:val="center"/>
              <w:rPr>
                <w:rFonts w:eastAsia="Arial Unicode MS"/>
                <w:sz w:val="20"/>
                <w:szCs w:val="20"/>
              </w:rPr>
            </w:pPr>
            <w:r w:rsidRPr="00221D6D">
              <w:rPr>
                <w:rFonts w:eastAsia="Arial Unicode MS"/>
                <w:sz w:val="20"/>
                <w:szCs w:val="20"/>
                <w:lang w:val="en-US"/>
              </w:rPr>
              <w:t>0,</w:t>
            </w:r>
            <w:r w:rsidRPr="00221D6D">
              <w:rPr>
                <w:rFonts w:eastAsia="Arial Unicode MS"/>
                <w:sz w:val="20"/>
                <w:szCs w:val="20"/>
              </w:rPr>
              <w:t>3</w:t>
            </w:r>
          </w:p>
        </w:tc>
        <w:tc>
          <w:tcPr>
            <w:tcW w:w="609" w:type="dxa"/>
            <w:vAlign w:val="bottom"/>
          </w:tcPr>
          <w:p w14:paraId="13C70CAB" w14:textId="77777777" w:rsidR="00221D6D" w:rsidRPr="00221D6D" w:rsidRDefault="00221D6D" w:rsidP="00221D6D">
            <w:pPr>
              <w:jc w:val="center"/>
              <w:rPr>
                <w:rFonts w:eastAsia="Arial Unicode MS"/>
                <w:sz w:val="20"/>
                <w:szCs w:val="20"/>
              </w:rPr>
            </w:pPr>
            <w:r w:rsidRPr="00221D6D">
              <w:rPr>
                <w:rFonts w:eastAsia="Arial Unicode MS"/>
                <w:sz w:val="20"/>
                <w:szCs w:val="20"/>
                <w:lang w:val="en-US"/>
              </w:rPr>
              <w:t>0,</w:t>
            </w:r>
            <w:r w:rsidRPr="00221D6D">
              <w:rPr>
                <w:rFonts w:eastAsia="Arial Unicode MS"/>
                <w:sz w:val="20"/>
                <w:szCs w:val="20"/>
              </w:rPr>
              <w:t>3</w:t>
            </w:r>
          </w:p>
        </w:tc>
        <w:tc>
          <w:tcPr>
            <w:tcW w:w="610" w:type="dxa"/>
            <w:vAlign w:val="bottom"/>
          </w:tcPr>
          <w:p w14:paraId="563DB9DC" w14:textId="77777777" w:rsidR="00221D6D" w:rsidRPr="00221D6D" w:rsidRDefault="00221D6D" w:rsidP="00221D6D">
            <w:pPr>
              <w:jc w:val="center"/>
              <w:rPr>
                <w:rFonts w:eastAsia="Arial Unicode MS"/>
                <w:sz w:val="20"/>
                <w:szCs w:val="20"/>
              </w:rPr>
            </w:pPr>
            <w:r w:rsidRPr="00221D6D">
              <w:rPr>
                <w:rFonts w:eastAsia="Arial Unicode MS"/>
                <w:sz w:val="20"/>
                <w:szCs w:val="20"/>
              </w:rPr>
              <w:t>0,3</w:t>
            </w:r>
          </w:p>
        </w:tc>
      </w:tr>
      <w:tr w:rsidR="00221D6D" w:rsidRPr="00221D6D" w14:paraId="19FFC5B0" w14:textId="77777777" w:rsidTr="005C2605">
        <w:trPr>
          <w:trHeight w:val="20"/>
        </w:trPr>
        <w:tc>
          <w:tcPr>
            <w:tcW w:w="3119" w:type="dxa"/>
          </w:tcPr>
          <w:p w14:paraId="1ABD0C07" w14:textId="77777777" w:rsidR="00221D6D" w:rsidRPr="00221D6D" w:rsidRDefault="00221D6D" w:rsidP="00A911FD">
            <w:pPr>
              <w:rPr>
                <w:sz w:val="20"/>
                <w:szCs w:val="20"/>
              </w:rPr>
            </w:pPr>
            <w:r w:rsidRPr="00221D6D">
              <w:rPr>
                <w:sz w:val="20"/>
                <w:szCs w:val="20"/>
              </w:rPr>
              <w:t>1101 Физическая культура</w:t>
            </w:r>
          </w:p>
        </w:tc>
        <w:tc>
          <w:tcPr>
            <w:tcW w:w="609" w:type="dxa"/>
            <w:vAlign w:val="bottom"/>
          </w:tcPr>
          <w:p w14:paraId="61831D5E" w14:textId="77777777" w:rsidR="00221D6D" w:rsidRPr="00221D6D" w:rsidRDefault="00221D6D" w:rsidP="00221D6D">
            <w:pPr>
              <w:jc w:val="center"/>
              <w:rPr>
                <w:rFonts w:eastAsia="Arial Unicode MS"/>
                <w:sz w:val="20"/>
                <w:szCs w:val="20"/>
              </w:rPr>
            </w:pPr>
            <w:r w:rsidRPr="00221D6D">
              <w:rPr>
                <w:rFonts w:eastAsia="Arial Unicode MS"/>
                <w:sz w:val="20"/>
                <w:szCs w:val="20"/>
              </w:rPr>
              <w:t>6,9</w:t>
            </w:r>
          </w:p>
        </w:tc>
        <w:tc>
          <w:tcPr>
            <w:tcW w:w="610" w:type="dxa"/>
            <w:vAlign w:val="bottom"/>
          </w:tcPr>
          <w:p w14:paraId="7E0A7B28" w14:textId="77777777" w:rsidR="00221D6D" w:rsidRPr="00221D6D" w:rsidRDefault="00221D6D" w:rsidP="00221D6D">
            <w:pPr>
              <w:jc w:val="center"/>
              <w:rPr>
                <w:rFonts w:eastAsia="Arial Unicode MS"/>
                <w:sz w:val="20"/>
                <w:szCs w:val="20"/>
              </w:rPr>
            </w:pPr>
            <w:r w:rsidRPr="00221D6D">
              <w:rPr>
                <w:rFonts w:eastAsia="Arial Unicode MS"/>
                <w:sz w:val="20"/>
                <w:szCs w:val="20"/>
              </w:rPr>
              <w:t>7</w:t>
            </w:r>
            <w:r w:rsidRPr="00221D6D">
              <w:rPr>
                <w:rFonts w:eastAsia="Arial Unicode MS"/>
                <w:sz w:val="20"/>
                <w:szCs w:val="20"/>
                <w:lang w:val="en-US"/>
              </w:rPr>
              <w:t>,</w:t>
            </w:r>
            <w:r w:rsidRPr="00221D6D">
              <w:rPr>
                <w:rFonts w:eastAsia="Arial Unicode MS"/>
                <w:sz w:val="20"/>
                <w:szCs w:val="20"/>
              </w:rPr>
              <w:t>6</w:t>
            </w:r>
          </w:p>
        </w:tc>
        <w:tc>
          <w:tcPr>
            <w:tcW w:w="609" w:type="dxa"/>
            <w:vAlign w:val="bottom"/>
          </w:tcPr>
          <w:p w14:paraId="7323AFD4" w14:textId="77777777" w:rsidR="00221D6D" w:rsidRPr="00221D6D" w:rsidRDefault="00221D6D" w:rsidP="00221D6D">
            <w:pPr>
              <w:jc w:val="center"/>
              <w:rPr>
                <w:sz w:val="20"/>
                <w:szCs w:val="20"/>
              </w:rPr>
            </w:pPr>
            <w:r w:rsidRPr="00221D6D">
              <w:rPr>
                <w:sz w:val="20"/>
                <w:szCs w:val="20"/>
              </w:rPr>
              <w:t>3</w:t>
            </w:r>
            <w:r w:rsidRPr="00221D6D">
              <w:rPr>
                <w:sz w:val="20"/>
                <w:szCs w:val="20"/>
                <w:lang w:val="en-US"/>
              </w:rPr>
              <w:t>,</w:t>
            </w:r>
            <w:r w:rsidRPr="00221D6D">
              <w:rPr>
                <w:sz w:val="20"/>
                <w:szCs w:val="20"/>
              </w:rPr>
              <w:t>8</w:t>
            </w:r>
          </w:p>
        </w:tc>
        <w:tc>
          <w:tcPr>
            <w:tcW w:w="610" w:type="dxa"/>
            <w:vAlign w:val="bottom"/>
          </w:tcPr>
          <w:p w14:paraId="3B1D536C" w14:textId="77777777" w:rsidR="00221D6D" w:rsidRPr="00221D6D" w:rsidRDefault="00221D6D" w:rsidP="00221D6D">
            <w:pPr>
              <w:jc w:val="center"/>
              <w:rPr>
                <w:rFonts w:eastAsia="Arial Unicode MS"/>
                <w:sz w:val="20"/>
                <w:szCs w:val="20"/>
              </w:rPr>
            </w:pPr>
            <w:r w:rsidRPr="00221D6D">
              <w:rPr>
                <w:rFonts w:eastAsia="Arial Unicode MS"/>
                <w:sz w:val="20"/>
                <w:szCs w:val="20"/>
              </w:rPr>
              <w:t>3</w:t>
            </w:r>
            <w:r w:rsidRPr="00221D6D">
              <w:rPr>
                <w:rFonts w:eastAsia="Arial Unicode MS"/>
                <w:sz w:val="20"/>
                <w:szCs w:val="20"/>
                <w:lang w:val="en-US"/>
              </w:rPr>
              <w:t>,</w:t>
            </w:r>
            <w:r w:rsidRPr="00221D6D">
              <w:rPr>
                <w:rFonts w:eastAsia="Arial Unicode MS"/>
                <w:sz w:val="20"/>
                <w:szCs w:val="20"/>
              </w:rPr>
              <w:t>6</w:t>
            </w:r>
          </w:p>
        </w:tc>
        <w:tc>
          <w:tcPr>
            <w:tcW w:w="609" w:type="dxa"/>
            <w:vAlign w:val="bottom"/>
          </w:tcPr>
          <w:p w14:paraId="6F16365D" w14:textId="77777777" w:rsidR="00221D6D" w:rsidRPr="00221D6D" w:rsidRDefault="00221D6D" w:rsidP="00221D6D">
            <w:pPr>
              <w:jc w:val="center"/>
              <w:rPr>
                <w:sz w:val="20"/>
                <w:szCs w:val="20"/>
              </w:rPr>
            </w:pPr>
            <w:r w:rsidRPr="00221D6D">
              <w:rPr>
                <w:sz w:val="20"/>
                <w:szCs w:val="20"/>
              </w:rPr>
              <w:t>5</w:t>
            </w:r>
            <w:r w:rsidRPr="00221D6D">
              <w:rPr>
                <w:sz w:val="20"/>
                <w:szCs w:val="20"/>
                <w:lang w:val="en-US"/>
              </w:rPr>
              <w:t>,</w:t>
            </w:r>
            <w:r w:rsidRPr="00221D6D">
              <w:rPr>
                <w:sz w:val="20"/>
                <w:szCs w:val="20"/>
              </w:rPr>
              <w:t>2</w:t>
            </w:r>
          </w:p>
        </w:tc>
        <w:tc>
          <w:tcPr>
            <w:tcW w:w="610" w:type="dxa"/>
            <w:vAlign w:val="bottom"/>
          </w:tcPr>
          <w:p w14:paraId="42308FB6" w14:textId="77777777" w:rsidR="00221D6D" w:rsidRPr="00221D6D" w:rsidRDefault="00221D6D" w:rsidP="00221D6D">
            <w:pPr>
              <w:jc w:val="center"/>
              <w:rPr>
                <w:sz w:val="20"/>
                <w:szCs w:val="20"/>
                <w:lang w:val="en-US"/>
              </w:rPr>
            </w:pPr>
            <w:r w:rsidRPr="00221D6D">
              <w:rPr>
                <w:sz w:val="20"/>
                <w:szCs w:val="20"/>
                <w:lang w:val="en-US"/>
              </w:rPr>
              <w:t>5,7</w:t>
            </w:r>
          </w:p>
        </w:tc>
        <w:tc>
          <w:tcPr>
            <w:tcW w:w="609" w:type="dxa"/>
            <w:vAlign w:val="bottom"/>
          </w:tcPr>
          <w:p w14:paraId="5C0611C2" w14:textId="77777777" w:rsidR="00221D6D" w:rsidRPr="00221D6D" w:rsidRDefault="00221D6D" w:rsidP="00221D6D">
            <w:pPr>
              <w:jc w:val="center"/>
              <w:rPr>
                <w:sz w:val="20"/>
                <w:szCs w:val="20"/>
                <w:lang w:val="en-US"/>
              </w:rPr>
            </w:pPr>
            <w:r w:rsidRPr="00221D6D">
              <w:rPr>
                <w:sz w:val="20"/>
                <w:szCs w:val="20"/>
                <w:lang w:val="en-US"/>
              </w:rPr>
              <w:t>5,8</w:t>
            </w:r>
          </w:p>
        </w:tc>
        <w:tc>
          <w:tcPr>
            <w:tcW w:w="610" w:type="dxa"/>
            <w:vAlign w:val="bottom"/>
          </w:tcPr>
          <w:p w14:paraId="6FE414BE" w14:textId="77777777" w:rsidR="00221D6D" w:rsidRPr="00221D6D" w:rsidRDefault="00221D6D" w:rsidP="00221D6D">
            <w:pPr>
              <w:jc w:val="center"/>
              <w:rPr>
                <w:sz w:val="20"/>
                <w:szCs w:val="20"/>
              </w:rPr>
            </w:pPr>
            <w:r w:rsidRPr="00221D6D">
              <w:rPr>
                <w:sz w:val="20"/>
                <w:szCs w:val="20"/>
              </w:rPr>
              <w:t>4</w:t>
            </w:r>
            <w:r w:rsidRPr="00221D6D">
              <w:rPr>
                <w:sz w:val="20"/>
                <w:szCs w:val="20"/>
                <w:lang w:val="en-US"/>
              </w:rPr>
              <w:t>,</w:t>
            </w:r>
            <w:r w:rsidRPr="00221D6D">
              <w:rPr>
                <w:sz w:val="20"/>
                <w:szCs w:val="20"/>
              </w:rPr>
              <w:t>8</w:t>
            </w:r>
          </w:p>
        </w:tc>
        <w:tc>
          <w:tcPr>
            <w:tcW w:w="609" w:type="dxa"/>
            <w:vAlign w:val="bottom"/>
          </w:tcPr>
          <w:p w14:paraId="1BFCB1FD" w14:textId="77777777" w:rsidR="00221D6D" w:rsidRPr="00221D6D" w:rsidRDefault="00221D6D" w:rsidP="00221D6D">
            <w:pPr>
              <w:jc w:val="center"/>
              <w:rPr>
                <w:sz w:val="20"/>
                <w:szCs w:val="20"/>
              </w:rPr>
            </w:pPr>
            <w:r w:rsidRPr="00221D6D">
              <w:rPr>
                <w:sz w:val="20"/>
                <w:szCs w:val="20"/>
                <w:lang w:val="en-US"/>
              </w:rPr>
              <w:t>5,</w:t>
            </w:r>
            <w:r w:rsidRPr="00221D6D">
              <w:rPr>
                <w:sz w:val="20"/>
                <w:szCs w:val="20"/>
              </w:rPr>
              <w:t>0</w:t>
            </w:r>
          </w:p>
        </w:tc>
        <w:tc>
          <w:tcPr>
            <w:tcW w:w="610" w:type="dxa"/>
            <w:vAlign w:val="bottom"/>
          </w:tcPr>
          <w:p w14:paraId="4844FF37" w14:textId="77777777" w:rsidR="00221D6D" w:rsidRPr="00221D6D" w:rsidRDefault="00221D6D" w:rsidP="00221D6D">
            <w:pPr>
              <w:jc w:val="center"/>
              <w:rPr>
                <w:sz w:val="20"/>
                <w:szCs w:val="20"/>
              </w:rPr>
            </w:pPr>
            <w:r w:rsidRPr="00221D6D">
              <w:rPr>
                <w:sz w:val="20"/>
                <w:szCs w:val="20"/>
              </w:rPr>
              <w:t>5,0</w:t>
            </w:r>
          </w:p>
        </w:tc>
      </w:tr>
      <w:tr w:rsidR="00221D6D" w:rsidRPr="00221D6D" w14:paraId="6EAC5F0D" w14:textId="77777777" w:rsidTr="005C2605">
        <w:trPr>
          <w:trHeight w:val="20"/>
        </w:trPr>
        <w:tc>
          <w:tcPr>
            <w:tcW w:w="3119" w:type="dxa"/>
          </w:tcPr>
          <w:p w14:paraId="044FA936" w14:textId="77777777" w:rsidR="00221D6D" w:rsidRPr="00221D6D" w:rsidRDefault="00221D6D" w:rsidP="00A911FD">
            <w:pPr>
              <w:ind w:left="435" w:hanging="435"/>
              <w:rPr>
                <w:sz w:val="20"/>
                <w:szCs w:val="20"/>
              </w:rPr>
            </w:pPr>
            <w:r w:rsidRPr="00221D6D">
              <w:rPr>
                <w:sz w:val="20"/>
                <w:szCs w:val="20"/>
              </w:rPr>
              <w:t>1200 СРЕДСТВА МАССОВОЙ ИНФОРМАЦИИ</w:t>
            </w:r>
          </w:p>
        </w:tc>
        <w:tc>
          <w:tcPr>
            <w:tcW w:w="609" w:type="dxa"/>
            <w:vAlign w:val="bottom"/>
          </w:tcPr>
          <w:p w14:paraId="7F1B3FE6" w14:textId="77777777" w:rsidR="00221D6D" w:rsidRPr="00221D6D" w:rsidRDefault="00221D6D" w:rsidP="00221D6D">
            <w:pPr>
              <w:jc w:val="center"/>
              <w:rPr>
                <w:rFonts w:eastAsia="Arial Unicode MS"/>
                <w:sz w:val="20"/>
                <w:szCs w:val="20"/>
              </w:rPr>
            </w:pPr>
            <w:r w:rsidRPr="00221D6D">
              <w:rPr>
                <w:rFonts w:eastAsia="Arial Unicode MS"/>
                <w:sz w:val="20"/>
                <w:szCs w:val="20"/>
              </w:rPr>
              <w:t>0,</w:t>
            </w:r>
            <w:r w:rsidRPr="00221D6D">
              <w:rPr>
                <w:rFonts w:eastAsia="Arial Unicode MS"/>
                <w:sz w:val="20"/>
                <w:szCs w:val="20"/>
                <w:lang w:val="en-US"/>
              </w:rPr>
              <w:t>4</w:t>
            </w:r>
          </w:p>
        </w:tc>
        <w:tc>
          <w:tcPr>
            <w:tcW w:w="610" w:type="dxa"/>
            <w:vAlign w:val="bottom"/>
          </w:tcPr>
          <w:p w14:paraId="536F5F1A" w14:textId="77777777" w:rsidR="00221D6D" w:rsidRPr="00221D6D" w:rsidRDefault="00221D6D" w:rsidP="00221D6D">
            <w:pPr>
              <w:jc w:val="center"/>
              <w:rPr>
                <w:rFonts w:eastAsia="Arial Unicode MS"/>
                <w:sz w:val="20"/>
                <w:szCs w:val="20"/>
                <w:lang w:val="en-US"/>
              </w:rPr>
            </w:pPr>
            <w:r w:rsidRPr="00221D6D">
              <w:rPr>
                <w:rFonts w:eastAsia="Arial Unicode MS"/>
                <w:sz w:val="20"/>
                <w:szCs w:val="20"/>
                <w:lang w:val="en-US"/>
              </w:rPr>
              <w:t>0,4</w:t>
            </w:r>
          </w:p>
        </w:tc>
        <w:tc>
          <w:tcPr>
            <w:tcW w:w="609" w:type="dxa"/>
            <w:vAlign w:val="bottom"/>
          </w:tcPr>
          <w:p w14:paraId="72A04EB8" w14:textId="77777777" w:rsidR="00221D6D" w:rsidRPr="00221D6D" w:rsidRDefault="00221D6D" w:rsidP="00221D6D">
            <w:pPr>
              <w:jc w:val="center"/>
              <w:rPr>
                <w:sz w:val="20"/>
                <w:szCs w:val="20"/>
                <w:lang w:val="en-US"/>
              </w:rPr>
            </w:pPr>
            <w:r w:rsidRPr="00221D6D">
              <w:rPr>
                <w:sz w:val="20"/>
                <w:szCs w:val="20"/>
                <w:lang w:val="en-US"/>
              </w:rPr>
              <w:t>0,3</w:t>
            </w:r>
          </w:p>
        </w:tc>
        <w:tc>
          <w:tcPr>
            <w:tcW w:w="610" w:type="dxa"/>
            <w:vAlign w:val="bottom"/>
          </w:tcPr>
          <w:p w14:paraId="0AF8E6BA" w14:textId="77777777" w:rsidR="00221D6D" w:rsidRPr="00221D6D" w:rsidRDefault="00221D6D" w:rsidP="00221D6D">
            <w:pPr>
              <w:jc w:val="center"/>
              <w:rPr>
                <w:rFonts w:eastAsia="Arial Unicode MS"/>
                <w:sz w:val="20"/>
                <w:szCs w:val="20"/>
              </w:rPr>
            </w:pPr>
            <w:r w:rsidRPr="00221D6D">
              <w:rPr>
                <w:rFonts w:eastAsia="Arial Unicode MS"/>
                <w:sz w:val="20"/>
                <w:szCs w:val="20"/>
              </w:rPr>
              <w:t>2</w:t>
            </w:r>
            <w:r w:rsidRPr="00221D6D">
              <w:rPr>
                <w:rFonts w:eastAsia="Arial Unicode MS"/>
                <w:sz w:val="20"/>
                <w:szCs w:val="20"/>
                <w:lang w:val="en-US"/>
              </w:rPr>
              <w:t>,</w:t>
            </w:r>
            <w:r w:rsidRPr="00221D6D">
              <w:rPr>
                <w:rFonts w:eastAsia="Arial Unicode MS"/>
                <w:sz w:val="20"/>
                <w:szCs w:val="20"/>
              </w:rPr>
              <w:t>2</w:t>
            </w:r>
          </w:p>
        </w:tc>
        <w:tc>
          <w:tcPr>
            <w:tcW w:w="609" w:type="dxa"/>
            <w:vAlign w:val="bottom"/>
          </w:tcPr>
          <w:p w14:paraId="09B8270B"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3</w:t>
            </w:r>
          </w:p>
        </w:tc>
        <w:tc>
          <w:tcPr>
            <w:tcW w:w="610" w:type="dxa"/>
            <w:vAlign w:val="bottom"/>
          </w:tcPr>
          <w:p w14:paraId="78BE90AF" w14:textId="77777777" w:rsidR="00221D6D" w:rsidRPr="00221D6D" w:rsidRDefault="00221D6D" w:rsidP="00221D6D">
            <w:pPr>
              <w:jc w:val="center"/>
              <w:rPr>
                <w:sz w:val="20"/>
                <w:szCs w:val="20"/>
                <w:lang w:val="en-US"/>
              </w:rPr>
            </w:pPr>
            <w:r w:rsidRPr="00221D6D">
              <w:rPr>
                <w:sz w:val="20"/>
                <w:szCs w:val="20"/>
                <w:lang w:val="en-US"/>
              </w:rPr>
              <w:t>0,3</w:t>
            </w:r>
          </w:p>
        </w:tc>
        <w:tc>
          <w:tcPr>
            <w:tcW w:w="609" w:type="dxa"/>
            <w:vAlign w:val="bottom"/>
          </w:tcPr>
          <w:p w14:paraId="41C1728D" w14:textId="77777777" w:rsidR="00221D6D" w:rsidRPr="00221D6D" w:rsidRDefault="00221D6D" w:rsidP="00221D6D">
            <w:pPr>
              <w:jc w:val="center"/>
              <w:rPr>
                <w:sz w:val="20"/>
                <w:szCs w:val="20"/>
                <w:lang w:val="en-US"/>
              </w:rPr>
            </w:pPr>
            <w:r w:rsidRPr="00221D6D">
              <w:rPr>
                <w:sz w:val="20"/>
                <w:szCs w:val="20"/>
                <w:lang w:val="en-US"/>
              </w:rPr>
              <w:t>0,4</w:t>
            </w:r>
          </w:p>
        </w:tc>
        <w:tc>
          <w:tcPr>
            <w:tcW w:w="610" w:type="dxa"/>
            <w:vAlign w:val="bottom"/>
          </w:tcPr>
          <w:p w14:paraId="35545122" w14:textId="77777777" w:rsidR="00221D6D" w:rsidRPr="00221D6D" w:rsidRDefault="00221D6D" w:rsidP="00221D6D">
            <w:pPr>
              <w:jc w:val="center"/>
              <w:rPr>
                <w:sz w:val="20"/>
                <w:szCs w:val="20"/>
              </w:rPr>
            </w:pPr>
            <w:r w:rsidRPr="00221D6D">
              <w:rPr>
                <w:sz w:val="20"/>
                <w:szCs w:val="20"/>
                <w:lang w:val="en-US"/>
              </w:rPr>
              <w:t>0,</w:t>
            </w:r>
            <w:r w:rsidRPr="00221D6D">
              <w:rPr>
                <w:sz w:val="20"/>
                <w:szCs w:val="20"/>
              </w:rPr>
              <w:t>5</w:t>
            </w:r>
          </w:p>
        </w:tc>
        <w:tc>
          <w:tcPr>
            <w:tcW w:w="609" w:type="dxa"/>
            <w:vAlign w:val="bottom"/>
          </w:tcPr>
          <w:p w14:paraId="7EB94AE2" w14:textId="77777777" w:rsidR="00221D6D" w:rsidRPr="00221D6D" w:rsidRDefault="00221D6D" w:rsidP="00221D6D">
            <w:pPr>
              <w:jc w:val="center"/>
              <w:rPr>
                <w:sz w:val="20"/>
                <w:szCs w:val="20"/>
                <w:lang w:val="en-US"/>
              </w:rPr>
            </w:pPr>
            <w:r w:rsidRPr="00221D6D">
              <w:rPr>
                <w:sz w:val="20"/>
                <w:szCs w:val="20"/>
                <w:lang w:val="en-US"/>
              </w:rPr>
              <w:t>0,4</w:t>
            </w:r>
          </w:p>
        </w:tc>
        <w:tc>
          <w:tcPr>
            <w:tcW w:w="610" w:type="dxa"/>
            <w:vAlign w:val="bottom"/>
          </w:tcPr>
          <w:p w14:paraId="257AAF86" w14:textId="77777777" w:rsidR="00221D6D" w:rsidRPr="00221D6D" w:rsidRDefault="00221D6D" w:rsidP="00221D6D">
            <w:pPr>
              <w:jc w:val="center"/>
              <w:rPr>
                <w:sz w:val="20"/>
                <w:szCs w:val="20"/>
              </w:rPr>
            </w:pPr>
            <w:r w:rsidRPr="00221D6D">
              <w:rPr>
                <w:sz w:val="20"/>
                <w:szCs w:val="20"/>
              </w:rPr>
              <w:t>0,4</w:t>
            </w:r>
          </w:p>
        </w:tc>
      </w:tr>
      <w:tr w:rsidR="00221D6D" w:rsidRPr="00221D6D" w14:paraId="36BD41EE" w14:textId="77777777" w:rsidTr="005C2605">
        <w:trPr>
          <w:trHeight w:val="20"/>
        </w:trPr>
        <w:tc>
          <w:tcPr>
            <w:tcW w:w="3119" w:type="dxa"/>
          </w:tcPr>
          <w:p w14:paraId="65C7587A" w14:textId="77777777" w:rsidR="00221D6D" w:rsidRPr="00221D6D" w:rsidRDefault="00221D6D" w:rsidP="00A911FD">
            <w:pPr>
              <w:rPr>
                <w:sz w:val="20"/>
                <w:szCs w:val="20"/>
              </w:rPr>
            </w:pPr>
            <w:r w:rsidRPr="00221D6D">
              <w:rPr>
                <w:sz w:val="20"/>
                <w:szCs w:val="20"/>
              </w:rPr>
              <w:t>1201 Телевидение и радиовещание</w:t>
            </w:r>
          </w:p>
        </w:tc>
        <w:tc>
          <w:tcPr>
            <w:tcW w:w="609" w:type="dxa"/>
            <w:vAlign w:val="bottom"/>
          </w:tcPr>
          <w:p w14:paraId="2B9A29BF" w14:textId="77777777" w:rsidR="00221D6D" w:rsidRPr="00221D6D" w:rsidRDefault="00221D6D" w:rsidP="00221D6D">
            <w:pPr>
              <w:jc w:val="center"/>
              <w:rPr>
                <w:sz w:val="20"/>
                <w:szCs w:val="20"/>
              </w:rPr>
            </w:pPr>
            <w:r w:rsidRPr="00221D6D">
              <w:rPr>
                <w:sz w:val="20"/>
                <w:szCs w:val="20"/>
              </w:rPr>
              <w:t>–</w:t>
            </w:r>
          </w:p>
        </w:tc>
        <w:tc>
          <w:tcPr>
            <w:tcW w:w="610" w:type="dxa"/>
            <w:vAlign w:val="bottom"/>
          </w:tcPr>
          <w:p w14:paraId="54404DAA" w14:textId="77777777" w:rsidR="00221D6D" w:rsidRPr="00221D6D" w:rsidRDefault="00221D6D" w:rsidP="00221D6D">
            <w:pPr>
              <w:jc w:val="center"/>
              <w:rPr>
                <w:sz w:val="20"/>
                <w:szCs w:val="20"/>
                <w:lang w:val="en-US"/>
              </w:rPr>
            </w:pPr>
            <w:r w:rsidRPr="00221D6D">
              <w:rPr>
                <w:sz w:val="20"/>
                <w:szCs w:val="20"/>
              </w:rPr>
              <w:t>–</w:t>
            </w:r>
          </w:p>
        </w:tc>
        <w:tc>
          <w:tcPr>
            <w:tcW w:w="609" w:type="dxa"/>
            <w:vAlign w:val="bottom"/>
          </w:tcPr>
          <w:p w14:paraId="41F06553" w14:textId="77777777" w:rsidR="00221D6D" w:rsidRPr="00221D6D" w:rsidRDefault="00221D6D" w:rsidP="00221D6D">
            <w:pPr>
              <w:jc w:val="center"/>
              <w:rPr>
                <w:rFonts w:eastAsia="Arial Unicode MS"/>
                <w:sz w:val="20"/>
                <w:szCs w:val="20"/>
                <w:lang w:val="en-US"/>
              </w:rPr>
            </w:pPr>
            <w:r w:rsidRPr="00221D6D">
              <w:rPr>
                <w:sz w:val="20"/>
                <w:szCs w:val="20"/>
              </w:rPr>
              <w:t>–</w:t>
            </w:r>
          </w:p>
        </w:tc>
        <w:tc>
          <w:tcPr>
            <w:tcW w:w="610" w:type="dxa"/>
            <w:vAlign w:val="bottom"/>
          </w:tcPr>
          <w:p w14:paraId="3E6BF094" w14:textId="77777777" w:rsidR="00221D6D" w:rsidRPr="00221D6D" w:rsidRDefault="00221D6D" w:rsidP="00221D6D">
            <w:pPr>
              <w:jc w:val="center"/>
              <w:rPr>
                <w:rFonts w:eastAsia="Arial Unicode MS"/>
                <w:sz w:val="20"/>
                <w:szCs w:val="20"/>
              </w:rPr>
            </w:pPr>
            <w:r w:rsidRPr="00221D6D">
              <w:rPr>
                <w:rFonts w:eastAsia="Arial Unicode MS"/>
                <w:sz w:val="20"/>
                <w:szCs w:val="20"/>
              </w:rPr>
              <w:t>–</w:t>
            </w:r>
          </w:p>
        </w:tc>
        <w:tc>
          <w:tcPr>
            <w:tcW w:w="609" w:type="dxa"/>
            <w:vAlign w:val="bottom"/>
          </w:tcPr>
          <w:p w14:paraId="4DF925EC" w14:textId="77777777" w:rsidR="00221D6D" w:rsidRPr="00221D6D" w:rsidRDefault="00221D6D" w:rsidP="00221D6D">
            <w:pPr>
              <w:jc w:val="center"/>
              <w:rPr>
                <w:sz w:val="20"/>
                <w:szCs w:val="20"/>
                <w:lang w:val="en-US"/>
              </w:rPr>
            </w:pPr>
            <w:r w:rsidRPr="00221D6D">
              <w:rPr>
                <w:sz w:val="20"/>
                <w:szCs w:val="20"/>
              </w:rPr>
              <w:t>–</w:t>
            </w:r>
          </w:p>
        </w:tc>
        <w:tc>
          <w:tcPr>
            <w:tcW w:w="610" w:type="dxa"/>
            <w:vAlign w:val="bottom"/>
          </w:tcPr>
          <w:p w14:paraId="6A30A580" w14:textId="77777777" w:rsidR="00221D6D" w:rsidRPr="00221D6D" w:rsidRDefault="00221D6D" w:rsidP="00221D6D">
            <w:pPr>
              <w:jc w:val="center"/>
              <w:rPr>
                <w:sz w:val="20"/>
                <w:szCs w:val="20"/>
              </w:rPr>
            </w:pPr>
            <w:r w:rsidRPr="00221D6D">
              <w:rPr>
                <w:sz w:val="20"/>
                <w:szCs w:val="20"/>
              </w:rPr>
              <w:t>–</w:t>
            </w:r>
          </w:p>
        </w:tc>
        <w:tc>
          <w:tcPr>
            <w:tcW w:w="609" w:type="dxa"/>
            <w:vAlign w:val="bottom"/>
          </w:tcPr>
          <w:p w14:paraId="674A0660" w14:textId="77777777" w:rsidR="00221D6D" w:rsidRPr="00221D6D" w:rsidRDefault="00221D6D" w:rsidP="00221D6D">
            <w:pPr>
              <w:jc w:val="center"/>
              <w:rPr>
                <w:sz w:val="20"/>
                <w:szCs w:val="20"/>
              </w:rPr>
            </w:pPr>
            <w:r w:rsidRPr="00221D6D">
              <w:rPr>
                <w:sz w:val="20"/>
                <w:szCs w:val="20"/>
              </w:rPr>
              <w:t>–</w:t>
            </w:r>
          </w:p>
        </w:tc>
        <w:tc>
          <w:tcPr>
            <w:tcW w:w="610" w:type="dxa"/>
            <w:vAlign w:val="bottom"/>
          </w:tcPr>
          <w:p w14:paraId="1DE379C7" w14:textId="77777777" w:rsidR="00221D6D" w:rsidRPr="00221D6D" w:rsidRDefault="00221D6D" w:rsidP="00221D6D">
            <w:pPr>
              <w:jc w:val="center"/>
              <w:rPr>
                <w:sz w:val="20"/>
                <w:szCs w:val="20"/>
              </w:rPr>
            </w:pPr>
            <w:r w:rsidRPr="00221D6D">
              <w:rPr>
                <w:sz w:val="20"/>
                <w:szCs w:val="20"/>
              </w:rPr>
              <w:t>0,2</w:t>
            </w:r>
          </w:p>
        </w:tc>
        <w:tc>
          <w:tcPr>
            <w:tcW w:w="609" w:type="dxa"/>
            <w:vAlign w:val="bottom"/>
          </w:tcPr>
          <w:p w14:paraId="3AC38629" w14:textId="77777777" w:rsidR="00221D6D" w:rsidRPr="00221D6D" w:rsidRDefault="00221D6D" w:rsidP="00221D6D">
            <w:pPr>
              <w:jc w:val="center"/>
              <w:rPr>
                <w:sz w:val="20"/>
                <w:szCs w:val="20"/>
              </w:rPr>
            </w:pPr>
            <w:r w:rsidRPr="00221D6D">
              <w:rPr>
                <w:sz w:val="20"/>
                <w:szCs w:val="20"/>
              </w:rPr>
              <w:t>–</w:t>
            </w:r>
          </w:p>
        </w:tc>
        <w:tc>
          <w:tcPr>
            <w:tcW w:w="610" w:type="dxa"/>
            <w:vAlign w:val="bottom"/>
          </w:tcPr>
          <w:p w14:paraId="79FE9594" w14:textId="77777777" w:rsidR="00221D6D" w:rsidRPr="00221D6D" w:rsidRDefault="00221D6D" w:rsidP="00221D6D">
            <w:pPr>
              <w:jc w:val="center"/>
              <w:rPr>
                <w:sz w:val="20"/>
                <w:szCs w:val="20"/>
              </w:rPr>
            </w:pPr>
            <w:r w:rsidRPr="00221D6D">
              <w:rPr>
                <w:sz w:val="20"/>
                <w:szCs w:val="20"/>
              </w:rPr>
              <w:softHyphen/>
              <w:t>–</w:t>
            </w:r>
          </w:p>
        </w:tc>
      </w:tr>
      <w:tr w:rsidR="00221D6D" w:rsidRPr="00221D6D" w14:paraId="593486B5" w14:textId="77777777" w:rsidTr="005C2605">
        <w:trPr>
          <w:trHeight w:val="20"/>
        </w:trPr>
        <w:tc>
          <w:tcPr>
            <w:tcW w:w="3119" w:type="dxa"/>
          </w:tcPr>
          <w:p w14:paraId="15972859" w14:textId="77777777" w:rsidR="00221D6D" w:rsidRPr="00221D6D" w:rsidRDefault="00221D6D" w:rsidP="00A911FD">
            <w:pPr>
              <w:rPr>
                <w:sz w:val="20"/>
                <w:szCs w:val="20"/>
              </w:rPr>
            </w:pPr>
            <w:r w:rsidRPr="00221D6D">
              <w:rPr>
                <w:sz w:val="20"/>
                <w:szCs w:val="20"/>
              </w:rPr>
              <w:t>1202 Периодическая печать и издательства</w:t>
            </w:r>
          </w:p>
        </w:tc>
        <w:tc>
          <w:tcPr>
            <w:tcW w:w="609" w:type="dxa"/>
            <w:vAlign w:val="bottom"/>
          </w:tcPr>
          <w:p w14:paraId="62F38C7C" w14:textId="77777777" w:rsidR="00221D6D" w:rsidRPr="00221D6D" w:rsidRDefault="00221D6D" w:rsidP="00221D6D">
            <w:pPr>
              <w:jc w:val="center"/>
              <w:rPr>
                <w:rFonts w:eastAsia="Arial Unicode MS"/>
                <w:sz w:val="20"/>
                <w:szCs w:val="20"/>
              </w:rPr>
            </w:pPr>
            <w:r w:rsidRPr="00221D6D">
              <w:rPr>
                <w:rFonts w:eastAsia="Arial Unicode MS"/>
                <w:sz w:val="20"/>
                <w:szCs w:val="20"/>
              </w:rPr>
              <w:t>5,0</w:t>
            </w:r>
          </w:p>
        </w:tc>
        <w:tc>
          <w:tcPr>
            <w:tcW w:w="610" w:type="dxa"/>
            <w:vAlign w:val="bottom"/>
          </w:tcPr>
          <w:p w14:paraId="34616D0E" w14:textId="77777777" w:rsidR="00221D6D" w:rsidRPr="00221D6D" w:rsidRDefault="00221D6D" w:rsidP="00221D6D">
            <w:pPr>
              <w:jc w:val="center"/>
              <w:rPr>
                <w:rFonts w:eastAsia="Arial Unicode MS"/>
                <w:sz w:val="20"/>
                <w:szCs w:val="20"/>
              </w:rPr>
            </w:pPr>
            <w:r w:rsidRPr="00221D6D">
              <w:rPr>
                <w:rFonts w:eastAsia="Arial Unicode MS"/>
                <w:sz w:val="20"/>
                <w:szCs w:val="20"/>
                <w:lang w:val="en-US"/>
              </w:rPr>
              <w:t>5,</w:t>
            </w:r>
            <w:r w:rsidRPr="00221D6D">
              <w:rPr>
                <w:rFonts w:eastAsia="Arial Unicode MS"/>
                <w:sz w:val="20"/>
                <w:szCs w:val="20"/>
              </w:rPr>
              <w:t>4</w:t>
            </w:r>
          </w:p>
        </w:tc>
        <w:tc>
          <w:tcPr>
            <w:tcW w:w="609" w:type="dxa"/>
            <w:vAlign w:val="bottom"/>
          </w:tcPr>
          <w:p w14:paraId="18A17D2B" w14:textId="77777777" w:rsidR="00221D6D" w:rsidRPr="00221D6D" w:rsidRDefault="00221D6D" w:rsidP="00221D6D">
            <w:pPr>
              <w:jc w:val="center"/>
              <w:rPr>
                <w:sz w:val="20"/>
                <w:szCs w:val="20"/>
              </w:rPr>
            </w:pPr>
            <w:r w:rsidRPr="00221D6D">
              <w:rPr>
                <w:sz w:val="20"/>
                <w:szCs w:val="20"/>
              </w:rPr>
              <w:t>4</w:t>
            </w:r>
            <w:r w:rsidRPr="00221D6D">
              <w:rPr>
                <w:sz w:val="20"/>
                <w:szCs w:val="20"/>
                <w:lang w:val="en-US"/>
              </w:rPr>
              <w:t>,</w:t>
            </w:r>
            <w:r w:rsidRPr="00221D6D">
              <w:rPr>
                <w:sz w:val="20"/>
                <w:szCs w:val="20"/>
              </w:rPr>
              <w:t>5</w:t>
            </w:r>
          </w:p>
        </w:tc>
        <w:tc>
          <w:tcPr>
            <w:tcW w:w="610" w:type="dxa"/>
            <w:vAlign w:val="bottom"/>
          </w:tcPr>
          <w:p w14:paraId="064B8E40" w14:textId="77777777" w:rsidR="00221D6D" w:rsidRPr="00221D6D" w:rsidRDefault="00221D6D" w:rsidP="00221D6D">
            <w:pPr>
              <w:jc w:val="center"/>
              <w:rPr>
                <w:rFonts w:eastAsia="Arial Unicode MS"/>
                <w:sz w:val="20"/>
                <w:szCs w:val="20"/>
              </w:rPr>
            </w:pPr>
            <w:r w:rsidRPr="00221D6D">
              <w:rPr>
                <w:rFonts w:eastAsia="Arial Unicode MS"/>
                <w:sz w:val="20"/>
                <w:szCs w:val="20"/>
                <w:lang w:val="en-US"/>
              </w:rPr>
              <w:t>5,</w:t>
            </w:r>
            <w:r w:rsidRPr="00221D6D">
              <w:rPr>
                <w:rFonts w:eastAsia="Arial Unicode MS"/>
                <w:sz w:val="20"/>
                <w:szCs w:val="20"/>
              </w:rPr>
              <w:t>1</w:t>
            </w:r>
          </w:p>
        </w:tc>
        <w:tc>
          <w:tcPr>
            <w:tcW w:w="609" w:type="dxa"/>
            <w:vAlign w:val="bottom"/>
          </w:tcPr>
          <w:p w14:paraId="1B9CE67F" w14:textId="77777777" w:rsidR="00221D6D" w:rsidRPr="00221D6D" w:rsidRDefault="00221D6D" w:rsidP="00221D6D">
            <w:pPr>
              <w:jc w:val="center"/>
              <w:rPr>
                <w:sz w:val="20"/>
                <w:szCs w:val="20"/>
              </w:rPr>
            </w:pPr>
            <w:r w:rsidRPr="00221D6D">
              <w:rPr>
                <w:sz w:val="20"/>
                <w:szCs w:val="20"/>
              </w:rPr>
              <w:t>5</w:t>
            </w:r>
            <w:r w:rsidRPr="00221D6D">
              <w:rPr>
                <w:sz w:val="20"/>
                <w:szCs w:val="20"/>
                <w:lang w:val="en-US"/>
              </w:rPr>
              <w:t>,</w:t>
            </w:r>
            <w:r w:rsidRPr="00221D6D">
              <w:rPr>
                <w:sz w:val="20"/>
                <w:szCs w:val="20"/>
              </w:rPr>
              <w:t>4</w:t>
            </w:r>
          </w:p>
        </w:tc>
        <w:tc>
          <w:tcPr>
            <w:tcW w:w="610" w:type="dxa"/>
            <w:vAlign w:val="bottom"/>
          </w:tcPr>
          <w:p w14:paraId="6D436748" w14:textId="77777777" w:rsidR="00221D6D" w:rsidRPr="00221D6D" w:rsidRDefault="00221D6D" w:rsidP="00221D6D">
            <w:pPr>
              <w:jc w:val="center"/>
              <w:rPr>
                <w:sz w:val="20"/>
                <w:szCs w:val="20"/>
                <w:lang w:val="en-US"/>
              </w:rPr>
            </w:pPr>
            <w:r w:rsidRPr="00221D6D">
              <w:rPr>
                <w:sz w:val="20"/>
                <w:szCs w:val="20"/>
                <w:lang w:val="en-US"/>
              </w:rPr>
              <w:t>5,3</w:t>
            </w:r>
          </w:p>
        </w:tc>
        <w:tc>
          <w:tcPr>
            <w:tcW w:w="609" w:type="dxa"/>
            <w:vAlign w:val="bottom"/>
          </w:tcPr>
          <w:p w14:paraId="4DDE2A7E" w14:textId="77777777" w:rsidR="00221D6D" w:rsidRPr="00221D6D" w:rsidRDefault="00221D6D" w:rsidP="00221D6D">
            <w:pPr>
              <w:jc w:val="center"/>
              <w:rPr>
                <w:sz w:val="20"/>
                <w:szCs w:val="20"/>
                <w:lang w:val="en-US"/>
              </w:rPr>
            </w:pPr>
            <w:r w:rsidRPr="00221D6D">
              <w:rPr>
                <w:sz w:val="20"/>
                <w:szCs w:val="20"/>
                <w:lang w:val="en-US"/>
              </w:rPr>
              <w:t>5,5</w:t>
            </w:r>
          </w:p>
        </w:tc>
        <w:tc>
          <w:tcPr>
            <w:tcW w:w="610" w:type="dxa"/>
            <w:vAlign w:val="bottom"/>
          </w:tcPr>
          <w:p w14:paraId="5F110EFF" w14:textId="77777777" w:rsidR="00221D6D" w:rsidRPr="00221D6D" w:rsidRDefault="00221D6D" w:rsidP="00221D6D">
            <w:pPr>
              <w:jc w:val="center"/>
              <w:rPr>
                <w:sz w:val="20"/>
                <w:szCs w:val="20"/>
              </w:rPr>
            </w:pPr>
            <w:r w:rsidRPr="00221D6D">
              <w:rPr>
                <w:sz w:val="20"/>
                <w:szCs w:val="20"/>
              </w:rPr>
              <w:t>5</w:t>
            </w:r>
            <w:r w:rsidRPr="00221D6D">
              <w:rPr>
                <w:sz w:val="20"/>
                <w:szCs w:val="20"/>
                <w:lang w:val="en-US"/>
              </w:rPr>
              <w:t>,</w:t>
            </w:r>
            <w:r w:rsidRPr="00221D6D">
              <w:rPr>
                <w:sz w:val="20"/>
                <w:szCs w:val="20"/>
              </w:rPr>
              <w:t>5</w:t>
            </w:r>
          </w:p>
        </w:tc>
        <w:tc>
          <w:tcPr>
            <w:tcW w:w="609" w:type="dxa"/>
            <w:vAlign w:val="bottom"/>
          </w:tcPr>
          <w:p w14:paraId="2C7923B4" w14:textId="77777777" w:rsidR="00221D6D" w:rsidRPr="00221D6D" w:rsidRDefault="00221D6D" w:rsidP="00221D6D">
            <w:pPr>
              <w:jc w:val="center"/>
              <w:rPr>
                <w:sz w:val="20"/>
                <w:szCs w:val="20"/>
              </w:rPr>
            </w:pPr>
            <w:r w:rsidRPr="00221D6D">
              <w:rPr>
                <w:sz w:val="20"/>
                <w:szCs w:val="20"/>
              </w:rPr>
              <w:t>5</w:t>
            </w:r>
            <w:r w:rsidRPr="00221D6D">
              <w:rPr>
                <w:sz w:val="20"/>
                <w:szCs w:val="20"/>
                <w:lang w:val="en-US"/>
              </w:rPr>
              <w:t>,</w:t>
            </w:r>
            <w:r w:rsidRPr="00221D6D">
              <w:rPr>
                <w:sz w:val="20"/>
                <w:szCs w:val="20"/>
              </w:rPr>
              <w:t>6</w:t>
            </w:r>
          </w:p>
        </w:tc>
        <w:tc>
          <w:tcPr>
            <w:tcW w:w="610" w:type="dxa"/>
            <w:vAlign w:val="bottom"/>
          </w:tcPr>
          <w:p w14:paraId="3E5B8CC7" w14:textId="77777777" w:rsidR="00221D6D" w:rsidRPr="00221D6D" w:rsidRDefault="00221D6D" w:rsidP="00221D6D">
            <w:pPr>
              <w:jc w:val="center"/>
              <w:rPr>
                <w:sz w:val="20"/>
                <w:szCs w:val="20"/>
              </w:rPr>
            </w:pPr>
            <w:r w:rsidRPr="00221D6D">
              <w:rPr>
                <w:sz w:val="20"/>
                <w:szCs w:val="20"/>
              </w:rPr>
              <w:t>5,8</w:t>
            </w:r>
          </w:p>
        </w:tc>
      </w:tr>
      <w:tr w:rsidR="00221D6D" w:rsidRPr="00221D6D" w14:paraId="3BFDE0C8" w14:textId="77777777" w:rsidTr="005C2605">
        <w:trPr>
          <w:trHeight w:val="20"/>
        </w:trPr>
        <w:tc>
          <w:tcPr>
            <w:tcW w:w="3119" w:type="dxa"/>
          </w:tcPr>
          <w:p w14:paraId="4F20B47B" w14:textId="77777777" w:rsidR="00221D6D" w:rsidRPr="00221D6D" w:rsidRDefault="00221D6D" w:rsidP="00A911FD">
            <w:pPr>
              <w:ind w:left="431" w:hanging="431"/>
              <w:rPr>
                <w:sz w:val="20"/>
                <w:szCs w:val="20"/>
              </w:rPr>
            </w:pPr>
            <w:r w:rsidRPr="00221D6D">
              <w:rPr>
                <w:sz w:val="20"/>
                <w:szCs w:val="20"/>
              </w:rPr>
              <w:t>1204 Другие вопросы в области средств массовой информации</w:t>
            </w:r>
          </w:p>
        </w:tc>
        <w:tc>
          <w:tcPr>
            <w:tcW w:w="609" w:type="dxa"/>
            <w:vAlign w:val="bottom"/>
          </w:tcPr>
          <w:p w14:paraId="34B8ADA6" w14:textId="77777777" w:rsidR="00221D6D" w:rsidRPr="00221D6D" w:rsidRDefault="00221D6D" w:rsidP="00221D6D">
            <w:pPr>
              <w:jc w:val="center"/>
              <w:rPr>
                <w:sz w:val="20"/>
                <w:szCs w:val="20"/>
              </w:rPr>
            </w:pPr>
            <w:r w:rsidRPr="00221D6D">
              <w:rPr>
                <w:sz w:val="20"/>
                <w:szCs w:val="20"/>
              </w:rPr>
              <w:t>–</w:t>
            </w:r>
          </w:p>
        </w:tc>
        <w:tc>
          <w:tcPr>
            <w:tcW w:w="610" w:type="dxa"/>
            <w:vAlign w:val="bottom"/>
          </w:tcPr>
          <w:p w14:paraId="2BEA806A" w14:textId="77777777" w:rsidR="00221D6D" w:rsidRPr="00221D6D" w:rsidRDefault="00221D6D" w:rsidP="00221D6D">
            <w:pPr>
              <w:jc w:val="center"/>
              <w:rPr>
                <w:sz w:val="20"/>
                <w:szCs w:val="20"/>
                <w:lang w:val="en-US"/>
              </w:rPr>
            </w:pPr>
            <w:r w:rsidRPr="00221D6D">
              <w:rPr>
                <w:sz w:val="20"/>
                <w:szCs w:val="20"/>
              </w:rPr>
              <w:t>–</w:t>
            </w:r>
          </w:p>
        </w:tc>
        <w:tc>
          <w:tcPr>
            <w:tcW w:w="609" w:type="dxa"/>
            <w:vAlign w:val="bottom"/>
          </w:tcPr>
          <w:p w14:paraId="5E4D2471" w14:textId="77777777" w:rsidR="00221D6D" w:rsidRPr="00221D6D" w:rsidRDefault="00221D6D" w:rsidP="00221D6D">
            <w:pPr>
              <w:jc w:val="center"/>
              <w:rPr>
                <w:rFonts w:eastAsia="Arial Unicode MS"/>
                <w:sz w:val="20"/>
                <w:szCs w:val="20"/>
                <w:lang w:val="en-US"/>
              </w:rPr>
            </w:pPr>
            <w:r w:rsidRPr="00221D6D">
              <w:rPr>
                <w:sz w:val="20"/>
                <w:szCs w:val="20"/>
              </w:rPr>
              <w:t>–</w:t>
            </w:r>
          </w:p>
        </w:tc>
        <w:tc>
          <w:tcPr>
            <w:tcW w:w="610" w:type="dxa"/>
            <w:vAlign w:val="bottom"/>
          </w:tcPr>
          <w:p w14:paraId="507BFD42" w14:textId="77777777" w:rsidR="00221D6D" w:rsidRPr="00221D6D" w:rsidRDefault="00221D6D" w:rsidP="00221D6D">
            <w:pPr>
              <w:jc w:val="center"/>
              <w:rPr>
                <w:rFonts w:eastAsia="Arial Unicode MS"/>
                <w:sz w:val="20"/>
                <w:szCs w:val="20"/>
              </w:rPr>
            </w:pPr>
            <w:r w:rsidRPr="00221D6D">
              <w:rPr>
                <w:rFonts w:eastAsia="Arial Unicode MS"/>
                <w:sz w:val="20"/>
                <w:szCs w:val="20"/>
              </w:rPr>
              <w:t>12</w:t>
            </w:r>
            <w:r w:rsidRPr="00221D6D">
              <w:rPr>
                <w:rFonts w:eastAsia="Arial Unicode MS"/>
                <w:sz w:val="20"/>
                <w:szCs w:val="20"/>
                <w:lang w:val="en-US"/>
              </w:rPr>
              <w:t>,</w:t>
            </w:r>
            <w:r w:rsidRPr="00221D6D">
              <w:rPr>
                <w:rFonts w:eastAsia="Arial Unicode MS"/>
                <w:sz w:val="20"/>
                <w:szCs w:val="20"/>
              </w:rPr>
              <w:t>9</w:t>
            </w:r>
          </w:p>
        </w:tc>
        <w:tc>
          <w:tcPr>
            <w:tcW w:w="609" w:type="dxa"/>
            <w:vAlign w:val="bottom"/>
          </w:tcPr>
          <w:p w14:paraId="3FAFB0A2" w14:textId="77777777" w:rsidR="00221D6D" w:rsidRPr="00221D6D" w:rsidRDefault="00221D6D" w:rsidP="00221D6D">
            <w:pPr>
              <w:jc w:val="center"/>
              <w:rPr>
                <w:sz w:val="20"/>
                <w:szCs w:val="20"/>
                <w:lang w:val="en-US"/>
              </w:rPr>
            </w:pPr>
            <w:r w:rsidRPr="00221D6D">
              <w:rPr>
                <w:sz w:val="20"/>
                <w:szCs w:val="20"/>
              </w:rPr>
              <w:t>–</w:t>
            </w:r>
          </w:p>
        </w:tc>
        <w:tc>
          <w:tcPr>
            <w:tcW w:w="610" w:type="dxa"/>
            <w:vAlign w:val="bottom"/>
          </w:tcPr>
          <w:p w14:paraId="521800A8" w14:textId="77777777" w:rsidR="00221D6D" w:rsidRPr="00221D6D" w:rsidRDefault="00221D6D" w:rsidP="00221D6D">
            <w:pPr>
              <w:jc w:val="center"/>
              <w:rPr>
                <w:sz w:val="20"/>
                <w:szCs w:val="20"/>
              </w:rPr>
            </w:pPr>
            <w:r w:rsidRPr="00221D6D">
              <w:rPr>
                <w:sz w:val="20"/>
                <w:szCs w:val="20"/>
              </w:rPr>
              <w:t>–</w:t>
            </w:r>
          </w:p>
        </w:tc>
        <w:tc>
          <w:tcPr>
            <w:tcW w:w="609" w:type="dxa"/>
            <w:vAlign w:val="bottom"/>
          </w:tcPr>
          <w:p w14:paraId="7DDE03A5" w14:textId="77777777" w:rsidR="00221D6D" w:rsidRPr="00221D6D" w:rsidRDefault="00221D6D" w:rsidP="00221D6D">
            <w:pPr>
              <w:jc w:val="center"/>
              <w:rPr>
                <w:sz w:val="20"/>
                <w:szCs w:val="20"/>
              </w:rPr>
            </w:pPr>
            <w:r w:rsidRPr="00221D6D">
              <w:rPr>
                <w:sz w:val="20"/>
                <w:szCs w:val="20"/>
              </w:rPr>
              <w:t>–</w:t>
            </w:r>
          </w:p>
        </w:tc>
        <w:tc>
          <w:tcPr>
            <w:tcW w:w="610" w:type="dxa"/>
            <w:vAlign w:val="bottom"/>
          </w:tcPr>
          <w:p w14:paraId="493ED03F" w14:textId="77777777" w:rsidR="00221D6D" w:rsidRPr="00221D6D" w:rsidRDefault="00221D6D" w:rsidP="00221D6D">
            <w:pPr>
              <w:jc w:val="center"/>
              <w:rPr>
                <w:sz w:val="20"/>
                <w:szCs w:val="20"/>
              </w:rPr>
            </w:pPr>
            <w:r w:rsidRPr="00221D6D">
              <w:rPr>
                <w:sz w:val="20"/>
                <w:szCs w:val="20"/>
              </w:rPr>
              <w:t>–</w:t>
            </w:r>
          </w:p>
        </w:tc>
        <w:tc>
          <w:tcPr>
            <w:tcW w:w="609" w:type="dxa"/>
            <w:vAlign w:val="bottom"/>
          </w:tcPr>
          <w:p w14:paraId="09C7CBBE" w14:textId="77777777" w:rsidR="00221D6D" w:rsidRPr="00221D6D" w:rsidRDefault="00221D6D" w:rsidP="00221D6D">
            <w:pPr>
              <w:jc w:val="center"/>
              <w:rPr>
                <w:sz w:val="20"/>
                <w:szCs w:val="20"/>
              </w:rPr>
            </w:pPr>
            <w:r w:rsidRPr="00221D6D">
              <w:rPr>
                <w:sz w:val="20"/>
                <w:szCs w:val="20"/>
              </w:rPr>
              <w:t>–</w:t>
            </w:r>
          </w:p>
        </w:tc>
        <w:tc>
          <w:tcPr>
            <w:tcW w:w="610" w:type="dxa"/>
            <w:vAlign w:val="bottom"/>
          </w:tcPr>
          <w:p w14:paraId="50DFFD1B" w14:textId="77777777" w:rsidR="00221D6D" w:rsidRPr="00221D6D" w:rsidRDefault="00221D6D" w:rsidP="00221D6D">
            <w:pPr>
              <w:jc w:val="center"/>
              <w:rPr>
                <w:sz w:val="20"/>
                <w:szCs w:val="20"/>
              </w:rPr>
            </w:pPr>
            <w:r w:rsidRPr="00221D6D">
              <w:rPr>
                <w:sz w:val="20"/>
                <w:szCs w:val="20"/>
              </w:rPr>
              <w:softHyphen/>
              <w:t>–</w:t>
            </w:r>
          </w:p>
        </w:tc>
      </w:tr>
    </w:tbl>
    <w:p w14:paraId="15A528AF" w14:textId="3A8BD5D9" w:rsidR="00221D6D" w:rsidRPr="009D5EDD" w:rsidRDefault="00221D6D" w:rsidP="00221D6D">
      <w:pPr>
        <w:keepLines/>
        <w:spacing w:after="60"/>
        <w:ind w:firstLine="709"/>
        <w:jc w:val="both"/>
        <w:rPr>
          <w:sz w:val="20"/>
          <w:szCs w:val="20"/>
        </w:rPr>
      </w:pPr>
      <w:r w:rsidRPr="009D5EDD">
        <w:rPr>
          <w:i/>
          <w:sz w:val="20"/>
          <w:szCs w:val="20"/>
        </w:rPr>
        <w:t>Источники</w:t>
      </w:r>
      <w:r w:rsidRPr="009D5EDD">
        <w:rPr>
          <w:sz w:val="20"/>
          <w:szCs w:val="20"/>
        </w:rPr>
        <w:t>: Для 2013–2017 гг. законы об исполнении федерального бюджета, для 2018 – законопроект 762700-7 об исполнении федерального бюджета за 2018 г., для 2019 – федеральный закон от 28.11.2018</w:t>
      </w:r>
      <w:r w:rsidRPr="009D5EDD">
        <w:rPr>
          <w:sz w:val="20"/>
          <w:szCs w:val="20"/>
          <w:lang w:val="en-US"/>
        </w:rPr>
        <w:t> </w:t>
      </w:r>
      <w:r w:rsidRPr="009D5EDD">
        <w:rPr>
          <w:sz w:val="20"/>
          <w:szCs w:val="20"/>
        </w:rPr>
        <w:t>г. № 459-ФЗ и данные Счетной палаты, для 2020–2022 гг. – законопроект 802503-7 о федеральном бюджете на 2020 год и плановый период 2021 и 2022 годов. Курсивом выделены данные в ранее действовавшей бюджетной классификации.</w:t>
      </w:r>
    </w:p>
    <w:p w14:paraId="7C1674BF" w14:textId="5EB4E386" w:rsidR="00221D6D" w:rsidRDefault="00221D6D" w:rsidP="00221D6D">
      <w:pPr>
        <w:spacing w:before="60"/>
        <w:ind w:firstLine="567"/>
        <w:jc w:val="both"/>
        <w:rPr>
          <w:szCs w:val="20"/>
        </w:rPr>
      </w:pPr>
      <w:r>
        <w:rPr>
          <w:szCs w:val="20"/>
        </w:rPr>
        <w:t>В 2020 г. закрытые ассигнования впервые появятся в подразделе «Телевидение и радиовещание» раздела «Средства массовой информации» классификации расходов, вернутся в подразделе «Связь и информатика» раздела «Национальная экономика» и многократно возрастут в подразделе «Прикладные научные исследования в области здравоохранения» раздела «Здравоохранение» и подразделе «Охрана семьи и детства» раздела «Социальная политика». Существенный рост степени закрытости расходов в подразделах «</w:t>
      </w:r>
      <w:r w:rsidRPr="00E94227">
        <w:rPr>
          <w:szCs w:val="20"/>
        </w:rPr>
        <w:t>Международные отношения и международное сотрудничество</w:t>
      </w:r>
      <w:r>
        <w:rPr>
          <w:szCs w:val="20"/>
        </w:rPr>
        <w:t>» и «</w:t>
      </w:r>
      <w:r w:rsidRPr="009A277C">
        <w:rPr>
          <w:szCs w:val="20"/>
        </w:rPr>
        <w:t>Прикладные научные исследования в области общегосударственных вопросов</w:t>
      </w:r>
      <w:r>
        <w:rPr>
          <w:szCs w:val="20"/>
        </w:rPr>
        <w:t xml:space="preserve">» раздела «Общегосударственные расходы» наблюдается в исполненных бюджетах, что свидетельствует о расширении практики отнесения расходов к категории «для служебного пользования», укладывающейся в общую тенденцию последних лет снижения эффективности расходов федерального бюджета из-за </w:t>
      </w:r>
      <w:r w:rsidR="00B85CB8">
        <w:rPr>
          <w:szCs w:val="20"/>
        </w:rPr>
        <w:t>ухудшения</w:t>
      </w:r>
      <w:r>
        <w:rPr>
          <w:szCs w:val="20"/>
        </w:rPr>
        <w:t xml:space="preserve"> бюджетной дисциплины и </w:t>
      </w:r>
      <w:r w:rsidR="00B85CB8">
        <w:rPr>
          <w:szCs w:val="20"/>
        </w:rPr>
        <w:t xml:space="preserve">смягчения </w:t>
      </w:r>
      <w:r>
        <w:rPr>
          <w:szCs w:val="20"/>
        </w:rPr>
        <w:t>государственного контроля.</w:t>
      </w:r>
    </w:p>
    <w:p w14:paraId="0489C5EA" w14:textId="77777777" w:rsidR="00221D6D" w:rsidRPr="009D5EDD" w:rsidRDefault="00221D6D" w:rsidP="00221D6D">
      <w:pPr>
        <w:spacing w:before="60"/>
        <w:ind w:firstLine="567"/>
        <w:jc w:val="both"/>
      </w:pPr>
      <w:r w:rsidRPr="003E647E">
        <w:rPr>
          <w:szCs w:val="20"/>
        </w:rPr>
        <w:t>Доля закрытых расходов в российском бюджете по-прежнему более чем на порядок превосходит аналогичные показатели государственных финансов в развитых странах. Сложившаяся практика засекречивания расходов федерального бюджета прямо противоречит статье 5 закона № 5485-1 от 21.07.1993 г. «О государственной тайне», допускающей секретность лишь для расходов бюджета «в области разведывательной, контрразведывательной и оперативно-розыскной деятельности, а также в области противодействия терроризму».</w:t>
      </w:r>
    </w:p>
    <w:p w14:paraId="480D61F9" w14:textId="77777777" w:rsidR="009F3C33" w:rsidRDefault="009F3C33" w:rsidP="00221D6D"/>
    <w:p w14:paraId="407A89FF" w14:textId="2AEF52C0" w:rsidR="0012375A" w:rsidRPr="008E6B24" w:rsidRDefault="00DB55F4" w:rsidP="00300800">
      <w:pPr>
        <w:keepNext/>
        <w:spacing w:before="60" w:after="60"/>
        <w:jc w:val="center"/>
        <w:outlineLvl w:val="2"/>
        <w:rPr>
          <w:b/>
          <w:szCs w:val="20"/>
        </w:rPr>
      </w:pPr>
      <w:bookmarkStart w:id="33" w:name="_Toc21436751"/>
      <w:r w:rsidRPr="001D3373">
        <w:rPr>
          <w:b/>
          <w:szCs w:val="20"/>
        </w:rPr>
        <w:t>Расходы на инфраструктуру</w:t>
      </w:r>
      <w:bookmarkEnd w:id="33"/>
    </w:p>
    <w:p w14:paraId="54753E1D" w14:textId="1C97B44C" w:rsidR="00404CCD" w:rsidRPr="00792BD8" w:rsidRDefault="00404CCD" w:rsidP="00404CCD">
      <w:pPr>
        <w:spacing w:after="60"/>
        <w:ind w:firstLine="709"/>
        <w:jc w:val="both"/>
        <w:rPr>
          <w:iCs/>
        </w:rPr>
      </w:pPr>
      <w:r>
        <w:t xml:space="preserve">Законопроект предполагает незначительное снижение расходов на </w:t>
      </w:r>
      <w:r w:rsidRPr="00044FB8">
        <w:t>транспорт</w:t>
      </w:r>
      <w:r>
        <w:t xml:space="preserve"> (РЗ 4, ПР 8)</w:t>
      </w:r>
      <w:r w:rsidRPr="00044FB8">
        <w:t>, дорожно</w:t>
      </w:r>
      <w:r>
        <w:t>е</w:t>
      </w:r>
      <w:r w:rsidRPr="00044FB8">
        <w:t xml:space="preserve"> хозяйств</w:t>
      </w:r>
      <w:r>
        <w:t>о (РЗ 4, ПР 9),</w:t>
      </w:r>
      <w:r w:rsidRPr="00044FB8">
        <w:t xml:space="preserve"> водно</w:t>
      </w:r>
      <w:r>
        <w:t>е</w:t>
      </w:r>
      <w:r w:rsidRPr="00044FB8">
        <w:t xml:space="preserve"> хозяйств</w:t>
      </w:r>
      <w:r>
        <w:t>о (РЗ 4, ПР 6)</w:t>
      </w:r>
      <w:r w:rsidRPr="00044FB8">
        <w:t xml:space="preserve">, связь и </w:t>
      </w:r>
      <w:r w:rsidRPr="00453DCE">
        <w:t>информатику</w:t>
      </w:r>
      <w:r>
        <w:t xml:space="preserve"> (РЗ 4, ПР 10)</w:t>
      </w:r>
      <w:r w:rsidRPr="00453DCE">
        <w:t xml:space="preserve"> </w:t>
      </w:r>
      <w:r>
        <w:t>в 2020 году до уровня 1 </w:t>
      </w:r>
      <w:r w:rsidRPr="00FA4D9B">
        <w:t>208,9 млрд руб. (-0,6% по сравнению с 2019 годом) с последующим значительным ростом (</w:t>
      </w:r>
      <w:r w:rsidR="00C84D38" w:rsidRPr="00C84D38">
        <w:rPr>
          <w:i/>
        </w:rPr>
        <w:t>таблица</w:t>
      </w:r>
      <w:r w:rsidR="00C84D38">
        <w:t xml:space="preserve"> </w:t>
      </w:r>
      <w:r w:rsidR="00C84D38">
        <w:rPr>
          <w:i/>
          <w:noProof/>
        </w:rPr>
        <w:t>17</w:t>
      </w:r>
      <w:r w:rsidRPr="00FA4D9B">
        <w:t>). Так, в 2021 году объём заложенных средств увеличивается на 15</w:t>
      </w:r>
      <w:r w:rsidR="001D3373" w:rsidRPr="00FA4D9B">
        <w:t>,</w:t>
      </w:r>
      <w:r w:rsidRPr="00FA4D9B">
        <w:t>1% к предыдущему году, а</w:t>
      </w:r>
      <w:r>
        <w:t xml:space="preserve"> в 2022 году рост составит 14,3</w:t>
      </w:r>
      <w:r w:rsidRPr="00743E43">
        <w:t>%</w:t>
      </w:r>
      <w:r>
        <w:t xml:space="preserve">. К концу планового периода ежегодные расходы на </w:t>
      </w:r>
      <w:r w:rsidRPr="00044FB8">
        <w:t>развитие транспорта, дорожного хозяйства, водного хозяйства</w:t>
      </w:r>
      <w:r>
        <w:t>,</w:t>
      </w:r>
      <w:r w:rsidRPr="00044FB8">
        <w:t xml:space="preserve"> а также связь и </w:t>
      </w:r>
      <w:r w:rsidRPr="00453DCE">
        <w:t xml:space="preserve">информатику </w:t>
      </w:r>
      <w:r>
        <w:t>составят 1 589 млрд руб., что больше уровня 2019 года на 373 млрд руб. (+30,7</w:t>
      </w:r>
      <w:r w:rsidRPr="00743E43">
        <w:t>%)</w:t>
      </w:r>
      <w:r>
        <w:t xml:space="preserve"> и уровня 2018 года на 611 млрд руб. (+62,3</w:t>
      </w:r>
      <w:r w:rsidRPr="00C5266D">
        <w:t>%</w:t>
      </w:r>
      <w:r>
        <w:t xml:space="preserve">). Расходы </w:t>
      </w:r>
      <w:r w:rsidR="001D3373">
        <w:t xml:space="preserve">на </w:t>
      </w:r>
      <w:r w:rsidRPr="00044FB8">
        <w:t>развитие транспорта, дорожного хозяйства, водного хозяйства</w:t>
      </w:r>
      <w:r>
        <w:t>,</w:t>
      </w:r>
      <w:r w:rsidRPr="00044FB8">
        <w:t xml:space="preserve"> а также связь и </w:t>
      </w:r>
      <w:r w:rsidRPr="00453DCE">
        <w:t xml:space="preserve">информатику </w:t>
      </w:r>
      <w:r>
        <w:t>на протяжении всего периода 2019-2022 годов составляют примерно половину от всех расходов по разделу «Национальная экономика». В 2020 году расходы по этому разделу составят 2 521,8 млрд руб., что на 27,5 млрд руб. ниже уровня 2019 года (-1,1</w:t>
      </w:r>
      <w:r w:rsidRPr="00B74D5E">
        <w:t>%</w:t>
      </w:r>
      <w:r>
        <w:t>). Расходы в 2021 и 2022 году составят 2754,5 млрд руб. и 3 152,2 млрд руб., демонстрируя ежегодный прирост в размере 9,2% и 14,4% соответственно. Совокупный прирост ежегодных расходов на национальную экономику за период 2019-2022 годов составит 23,7%.</w:t>
      </w:r>
    </w:p>
    <w:p w14:paraId="53C02695" w14:textId="620126BD" w:rsidR="00FA4D9B" w:rsidRPr="00600DF7" w:rsidRDefault="00FA4D9B" w:rsidP="00FA4D9B">
      <w:pPr>
        <w:spacing w:after="60"/>
        <w:jc w:val="right"/>
        <w:rPr>
          <w:i/>
        </w:rPr>
      </w:pPr>
      <w:r w:rsidRPr="00600DF7">
        <w:rPr>
          <w:i/>
        </w:rPr>
        <w:t>Таблица</w:t>
      </w:r>
      <w:r>
        <w:rPr>
          <w:i/>
        </w:rPr>
        <w:t xml:space="preserve"> </w:t>
      </w:r>
      <w:bookmarkStart w:id="34" w:name="_Ref21343066"/>
      <w:r w:rsidR="00C84D38">
        <w:rPr>
          <w:i/>
          <w:noProof/>
        </w:rPr>
        <w:t>17</w:t>
      </w:r>
      <w:bookmarkEnd w:id="34"/>
    </w:p>
    <w:p w14:paraId="1EBF6ADE" w14:textId="77777777" w:rsidR="00404CCD" w:rsidRPr="006D689A" w:rsidRDefault="00404CCD" w:rsidP="00404CCD">
      <w:pPr>
        <w:spacing w:before="60" w:after="120"/>
        <w:jc w:val="center"/>
        <w:rPr>
          <w:b/>
        </w:rPr>
      </w:pPr>
      <w:r w:rsidRPr="006D689A">
        <w:rPr>
          <w:b/>
        </w:rPr>
        <w:t xml:space="preserve">Параметры проекта </w:t>
      </w:r>
      <w:r>
        <w:rPr>
          <w:b/>
        </w:rPr>
        <w:t>бюджета</w:t>
      </w:r>
      <w:r w:rsidRPr="006D689A">
        <w:rPr>
          <w:b/>
        </w:rPr>
        <w:t xml:space="preserve"> в части расходов на </w:t>
      </w:r>
      <w:r w:rsidRPr="00C814B4">
        <w:rPr>
          <w:b/>
        </w:rPr>
        <w:t>инфраструктуру, транспорт, связь и информатику</w:t>
      </w:r>
      <w:r>
        <w:rPr>
          <w:b/>
        </w:rPr>
        <w:t>, млрд руб.</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240"/>
        <w:gridCol w:w="1240"/>
        <w:gridCol w:w="1240"/>
        <w:gridCol w:w="1241"/>
      </w:tblGrid>
      <w:tr w:rsidR="00404CCD" w14:paraId="58BCB548" w14:textId="77777777" w:rsidTr="00A46B79">
        <w:trPr>
          <w:trHeight w:val="260"/>
          <w:tblHeader/>
        </w:trPr>
        <w:tc>
          <w:tcPr>
            <w:tcW w:w="4106" w:type="dxa"/>
            <w:shd w:val="clear" w:color="auto" w:fill="auto"/>
            <w:noWrap/>
            <w:vAlign w:val="bottom"/>
            <w:hideMark/>
          </w:tcPr>
          <w:p w14:paraId="307390D4" w14:textId="77777777" w:rsidR="00404CCD" w:rsidRDefault="00404CCD" w:rsidP="001D3373">
            <w:pPr>
              <w:rPr>
                <w:color w:val="000000"/>
                <w:sz w:val="20"/>
                <w:szCs w:val="20"/>
              </w:rPr>
            </w:pPr>
            <w:r>
              <w:rPr>
                <w:color w:val="000000"/>
                <w:sz w:val="20"/>
                <w:szCs w:val="20"/>
              </w:rPr>
              <w:t> </w:t>
            </w:r>
          </w:p>
        </w:tc>
        <w:tc>
          <w:tcPr>
            <w:tcW w:w="1240" w:type="dxa"/>
            <w:shd w:val="clear" w:color="auto" w:fill="auto"/>
            <w:noWrap/>
            <w:vAlign w:val="center"/>
            <w:hideMark/>
          </w:tcPr>
          <w:p w14:paraId="5C87E81C" w14:textId="77777777" w:rsidR="00404CCD" w:rsidRPr="00404CCD" w:rsidRDefault="00404CCD" w:rsidP="001D3373">
            <w:pPr>
              <w:jc w:val="center"/>
              <w:rPr>
                <w:b/>
                <w:color w:val="000000"/>
                <w:sz w:val="20"/>
                <w:szCs w:val="20"/>
              </w:rPr>
            </w:pPr>
            <w:r w:rsidRPr="00404CCD">
              <w:rPr>
                <w:b/>
                <w:color w:val="000000"/>
                <w:sz w:val="20"/>
                <w:szCs w:val="20"/>
              </w:rPr>
              <w:t>2019 г.</w:t>
            </w:r>
          </w:p>
        </w:tc>
        <w:tc>
          <w:tcPr>
            <w:tcW w:w="1240" w:type="dxa"/>
            <w:shd w:val="clear" w:color="auto" w:fill="auto"/>
            <w:noWrap/>
            <w:vAlign w:val="center"/>
            <w:hideMark/>
          </w:tcPr>
          <w:p w14:paraId="64E064DE" w14:textId="77777777" w:rsidR="00404CCD" w:rsidRPr="00404CCD" w:rsidRDefault="00404CCD" w:rsidP="001D3373">
            <w:pPr>
              <w:jc w:val="center"/>
              <w:rPr>
                <w:b/>
                <w:color w:val="000000"/>
                <w:sz w:val="20"/>
                <w:szCs w:val="20"/>
              </w:rPr>
            </w:pPr>
            <w:r w:rsidRPr="00404CCD">
              <w:rPr>
                <w:b/>
                <w:color w:val="000000"/>
                <w:sz w:val="20"/>
                <w:szCs w:val="20"/>
              </w:rPr>
              <w:t>2020 г.</w:t>
            </w:r>
          </w:p>
        </w:tc>
        <w:tc>
          <w:tcPr>
            <w:tcW w:w="1240" w:type="dxa"/>
            <w:shd w:val="clear" w:color="auto" w:fill="auto"/>
            <w:noWrap/>
            <w:vAlign w:val="center"/>
            <w:hideMark/>
          </w:tcPr>
          <w:p w14:paraId="0F8A8BAB" w14:textId="77777777" w:rsidR="00404CCD" w:rsidRPr="00404CCD" w:rsidRDefault="00404CCD" w:rsidP="001D3373">
            <w:pPr>
              <w:jc w:val="center"/>
              <w:rPr>
                <w:b/>
                <w:color w:val="000000"/>
                <w:sz w:val="20"/>
                <w:szCs w:val="20"/>
              </w:rPr>
            </w:pPr>
            <w:r w:rsidRPr="00404CCD">
              <w:rPr>
                <w:b/>
                <w:color w:val="000000"/>
                <w:sz w:val="20"/>
                <w:szCs w:val="20"/>
              </w:rPr>
              <w:t>2021 г.</w:t>
            </w:r>
          </w:p>
        </w:tc>
        <w:tc>
          <w:tcPr>
            <w:tcW w:w="1241" w:type="dxa"/>
            <w:shd w:val="clear" w:color="auto" w:fill="auto"/>
            <w:noWrap/>
            <w:vAlign w:val="center"/>
            <w:hideMark/>
          </w:tcPr>
          <w:p w14:paraId="511CCBA1" w14:textId="77777777" w:rsidR="00404CCD" w:rsidRPr="00404CCD" w:rsidRDefault="00404CCD" w:rsidP="001D3373">
            <w:pPr>
              <w:jc w:val="center"/>
              <w:rPr>
                <w:b/>
                <w:color w:val="000000"/>
                <w:sz w:val="20"/>
                <w:szCs w:val="20"/>
              </w:rPr>
            </w:pPr>
            <w:r w:rsidRPr="00404CCD">
              <w:rPr>
                <w:b/>
                <w:color w:val="000000"/>
                <w:sz w:val="20"/>
                <w:szCs w:val="20"/>
              </w:rPr>
              <w:t>2022 г.</w:t>
            </w:r>
          </w:p>
        </w:tc>
      </w:tr>
      <w:tr w:rsidR="00404CCD" w14:paraId="4BA5B85A" w14:textId="77777777" w:rsidTr="00CA517E">
        <w:trPr>
          <w:trHeight w:val="260"/>
        </w:trPr>
        <w:tc>
          <w:tcPr>
            <w:tcW w:w="4106" w:type="dxa"/>
            <w:shd w:val="clear" w:color="auto" w:fill="auto"/>
            <w:noWrap/>
            <w:vAlign w:val="center"/>
            <w:hideMark/>
          </w:tcPr>
          <w:p w14:paraId="5A83642B" w14:textId="18428466" w:rsidR="00404CCD" w:rsidRDefault="00313A8F" w:rsidP="00A46B79">
            <w:pPr>
              <w:jc w:val="both"/>
              <w:rPr>
                <w:color w:val="000000"/>
                <w:sz w:val="20"/>
                <w:szCs w:val="20"/>
              </w:rPr>
            </w:pPr>
            <w:r>
              <w:rPr>
                <w:color w:val="000000"/>
                <w:sz w:val="20"/>
                <w:szCs w:val="20"/>
              </w:rPr>
              <w:t>Расходы на и</w:t>
            </w:r>
            <w:r w:rsidR="00404CCD" w:rsidRPr="00C814B4">
              <w:rPr>
                <w:color w:val="000000"/>
                <w:sz w:val="20"/>
                <w:szCs w:val="20"/>
              </w:rPr>
              <w:t>нфраструктуру, транспорт, связь и информатику</w:t>
            </w:r>
          </w:p>
        </w:tc>
        <w:tc>
          <w:tcPr>
            <w:tcW w:w="1240" w:type="dxa"/>
            <w:shd w:val="clear" w:color="auto" w:fill="auto"/>
            <w:noWrap/>
            <w:vAlign w:val="center"/>
            <w:hideMark/>
          </w:tcPr>
          <w:p w14:paraId="7DA6BDBA" w14:textId="77777777" w:rsidR="00404CCD" w:rsidRDefault="00404CCD" w:rsidP="001D3373">
            <w:pPr>
              <w:jc w:val="center"/>
              <w:rPr>
                <w:color w:val="000000"/>
                <w:sz w:val="20"/>
                <w:szCs w:val="20"/>
              </w:rPr>
            </w:pPr>
            <w:r>
              <w:rPr>
                <w:color w:val="000000"/>
                <w:sz w:val="20"/>
                <w:szCs w:val="20"/>
              </w:rPr>
              <w:t>1 216,5</w:t>
            </w:r>
          </w:p>
        </w:tc>
        <w:tc>
          <w:tcPr>
            <w:tcW w:w="1240" w:type="dxa"/>
            <w:shd w:val="clear" w:color="auto" w:fill="auto"/>
            <w:noWrap/>
            <w:vAlign w:val="center"/>
            <w:hideMark/>
          </w:tcPr>
          <w:p w14:paraId="00C98F4C" w14:textId="77777777" w:rsidR="00404CCD" w:rsidRDefault="00404CCD" w:rsidP="001D3373">
            <w:pPr>
              <w:jc w:val="center"/>
              <w:rPr>
                <w:color w:val="000000"/>
                <w:sz w:val="20"/>
                <w:szCs w:val="20"/>
              </w:rPr>
            </w:pPr>
            <w:r>
              <w:rPr>
                <w:color w:val="000000"/>
                <w:sz w:val="20"/>
                <w:szCs w:val="20"/>
              </w:rPr>
              <w:t>1 208,9</w:t>
            </w:r>
          </w:p>
        </w:tc>
        <w:tc>
          <w:tcPr>
            <w:tcW w:w="1240" w:type="dxa"/>
            <w:shd w:val="clear" w:color="auto" w:fill="auto"/>
            <w:noWrap/>
            <w:vAlign w:val="center"/>
            <w:hideMark/>
          </w:tcPr>
          <w:p w14:paraId="4F8AFA80" w14:textId="77777777" w:rsidR="00404CCD" w:rsidRDefault="00404CCD" w:rsidP="001D3373">
            <w:pPr>
              <w:jc w:val="center"/>
              <w:rPr>
                <w:color w:val="000000"/>
                <w:sz w:val="20"/>
                <w:szCs w:val="20"/>
              </w:rPr>
            </w:pPr>
            <w:r>
              <w:rPr>
                <w:color w:val="000000"/>
                <w:sz w:val="20"/>
                <w:szCs w:val="20"/>
              </w:rPr>
              <w:t>1 390,9</w:t>
            </w:r>
          </w:p>
        </w:tc>
        <w:tc>
          <w:tcPr>
            <w:tcW w:w="1241" w:type="dxa"/>
            <w:shd w:val="clear" w:color="auto" w:fill="auto"/>
            <w:noWrap/>
            <w:vAlign w:val="center"/>
            <w:hideMark/>
          </w:tcPr>
          <w:p w14:paraId="21B8DA91" w14:textId="77777777" w:rsidR="00404CCD" w:rsidRDefault="00404CCD" w:rsidP="001D3373">
            <w:pPr>
              <w:jc w:val="center"/>
              <w:rPr>
                <w:color w:val="000000"/>
                <w:sz w:val="20"/>
                <w:szCs w:val="20"/>
              </w:rPr>
            </w:pPr>
            <w:r>
              <w:rPr>
                <w:color w:val="000000"/>
                <w:sz w:val="20"/>
                <w:szCs w:val="20"/>
              </w:rPr>
              <w:t>1 589,5</w:t>
            </w:r>
          </w:p>
        </w:tc>
      </w:tr>
      <w:tr w:rsidR="00404CCD" w14:paraId="3490CDF2" w14:textId="77777777" w:rsidTr="00CA517E">
        <w:trPr>
          <w:trHeight w:val="260"/>
        </w:trPr>
        <w:tc>
          <w:tcPr>
            <w:tcW w:w="4106" w:type="dxa"/>
            <w:shd w:val="clear" w:color="auto" w:fill="auto"/>
            <w:noWrap/>
            <w:vAlign w:val="center"/>
            <w:hideMark/>
          </w:tcPr>
          <w:p w14:paraId="2F9E4012" w14:textId="77777777" w:rsidR="00404CCD" w:rsidRDefault="00404CCD" w:rsidP="001D3373">
            <w:pPr>
              <w:ind w:firstLineChars="100" w:firstLine="200"/>
              <w:rPr>
                <w:i/>
                <w:iCs/>
                <w:color w:val="000000"/>
                <w:sz w:val="20"/>
                <w:szCs w:val="20"/>
              </w:rPr>
            </w:pPr>
            <w:r>
              <w:rPr>
                <w:i/>
                <w:iCs/>
                <w:color w:val="000000"/>
                <w:sz w:val="20"/>
                <w:szCs w:val="20"/>
              </w:rPr>
              <w:t>% ВВП</w:t>
            </w:r>
          </w:p>
        </w:tc>
        <w:tc>
          <w:tcPr>
            <w:tcW w:w="1240" w:type="dxa"/>
            <w:shd w:val="clear" w:color="auto" w:fill="auto"/>
            <w:noWrap/>
            <w:vAlign w:val="center"/>
            <w:hideMark/>
          </w:tcPr>
          <w:p w14:paraId="650CB12D" w14:textId="40BD336E" w:rsidR="00404CCD" w:rsidRDefault="00404CCD" w:rsidP="001D3373">
            <w:pPr>
              <w:jc w:val="center"/>
              <w:rPr>
                <w:i/>
                <w:iCs/>
                <w:color w:val="000000"/>
                <w:sz w:val="20"/>
                <w:szCs w:val="20"/>
              </w:rPr>
            </w:pPr>
            <w:r>
              <w:rPr>
                <w:i/>
                <w:iCs/>
                <w:color w:val="000000"/>
                <w:sz w:val="20"/>
                <w:szCs w:val="20"/>
              </w:rPr>
              <w:t>1,1</w:t>
            </w:r>
          </w:p>
        </w:tc>
        <w:tc>
          <w:tcPr>
            <w:tcW w:w="1240" w:type="dxa"/>
            <w:shd w:val="clear" w:color="auto" w:fill="auto"/>
            <w:noWrap/>
            <w:vAlign w:val="center"/>
            <w:hideMark/>
          </w:tcPr>
          <w:p w14:paraId="32F605DB" w14:textId="5F9716CA" w:rsidR="00404CCD" w:rsidRDefault="00404CCD" w:rsidP="001D3373">
            <w:pPr>
              <w:jc w:val="center"/>
              <w:rPr>
                <w:i/>
                <w:iCs/>
                <w:color w:val="000000"/>
                <w:sz w:val="20"/>
                <w:szCs w:val="20"/>
              </w:rPr>
            </w:pPr>
            <w:r>
              <w:rPr>
                <w:i/>
                <w:iCs/>
                <w:color w:val="000000"/>
                <w:sz w:val="20"/>
                <w:szCs w:val="20"/>
              </w:rPr>
              <w:t>1,</w:t>
            </w:r>
            <w:r w:rsidR="00AA5ABD">
              <w:rPr>
                <w:i/>
                <w:iCs/>
                <w:color w:val="000000"/>
                <w:sz w:val="20"/>
                <w:szCs w:val="20"/>
              </w:rPr>
              <w:t>1</w:t>
            </w:r>
          </w:p>
        </w:tc>
        <w:tc>
          <w:tcPr>
            <w:tcW w:w="1240" w:type="dxa"/>
            <w:shd w:val="clear" w:color="auto" w:fill="auto"/>
            <w:noWrap/>
            <w:vAlign w:val="center"/>
            <w:hideMark/>
          </w:tcPr>
          <w:p w14:paraId="234B7BBA" w14:textId="663D2297" w:rsidR="00404CCD" w:rsidRDefault="00404CCD" w:rsidP="001D3373">
            <w:pPr>
              <w:jc w:val="center"/>
              <w:rPr>
                <w:i/>
                <w:iCs/>
                <w:color w:val="000000"/>
                <w:sz w:val="20"/>
                <w:szCs w:val="20"/>
              </w:rPr>
            </w:pPr>
            <w:r>
              <w:rPr>
                <w:i/>
                <w:iCs/>
                <w:color w:val="000000"/>
                <w:sz w:val="20"/>
                <w:szCs w:val="20"/>
              </w:rPr>
              <w:t>1,</w:t>
            </w:r>
            <w:r w:rsidR="00AA5ABD">
              <w:rPr>
                <w:i/>
                <w:iCs/>
                <w:color w:val="000000"/>
                <w:sz w:val="20"/>
                <w:szCs w:val="20"/>
              </w:rPr>
              <w:t>2</w:t>
            </w:r>
          </w:p>
        </w:tc>
        <w:tc>
          <w:tcPr>
            <w:tcW w:w="1241" w:type="dxa"/>
            <w:shd w:val="clear" w:color="auto" w:fill="auto"/>
            <w:noWrap/>
            <w:vAlign w:val="center"/>
            <w:hideMark/>
          </w:tcPr>
          <w:p w14:paraId="21D647E5" w14:textId="01C79C43" w:rsidR="00404CCD" w:rsidRDefault="00404CCD" w:rsidP="001D3373">
            <w:pPr>
              <w:jc w:val="center"/>
              <w:rPr>
                <w:i/>
                <w:iCs/>
                <w:color w:val="000000"/>
                <w:sz w:val="20"/>
                <w:szCs w:val="20"/>
              </w:rPr>
            </w:pPr>
            <w:r>
              <w:rPr>
                <w:i/>
                <w:iCs/>
                <w:color w:val="000000"/>
                <w:sz w:val="20"/>
                <w:szCs w:val="20"/>
              </w:rPr>
              <w:t>1,2</w:t>
            </w:r>
          </w:p>
        </w:tc>
      </w:tr>
      <w:tr w:rsidR="00404CCD" w14:paraId="0FABFC65" w14:textId="77777777" w:rsidTr="00CA517E">
        <w:trPr>
          <w:trHeight w:val="260"/>
        </w:trPr>
        <w:tc>
          <w:tcPr>
            <w:tcW w:w="4106" w:type="dxa"/>
            <w:shd w:val="clear" w:color="auto" w:fill="auto"/>
            <w:noWrap/>
            <w:vAlign w:val="center"/>
            <w:hideMark/>
          </w:tcPr>
          <w:p w14:paraId="323987C5" w14:textId="77777777" w:rsidR="00404CCD" w:rsidRDefault="00404CCD" w:rsidP="001D3373">
            <w:pPr>
              <w:ind w:firstLineChars="100" w:firstLine="200"/>
              <w:rPr>
                <w:i/>
                <w:iCs/>
                <w:color w:val="000000"/>
                <w:sz w:val="20"/>
                <w:szCs w:val="20"/>
              </w:rPr>
            </w:pPr>
            <w:r>
              <w:rPr>
                <w:i/>
                <w:iCs/>
                <w:color w:val="000000"/>
                <w:sz w:val="20"/>
                <w:szCs w:val="20"/>
              </w:rPr>
              <w:t>% от общего объема расходов</w:t>
            </w:r>
          </w:p>
        </w:tc>
        <w:tc>
          <w:tcPr>
            <w:tcW w:w="1240" w:type="dxa"/>
            <w:shd w:val="clear" w:color="auto" w:fill="auto"/>
            <w:noWrap/>
            <w:vAlign w:val="center"/>
            <w:hideMark/>
          </w:tcPr>
          <w:p w14:paraId="641A55A6" w14:textId="61C2677E" w:rsidR="00404CCD" w:rsidRDefault="00404CCD" w:rsidP="001D3373">
            <w:pPr>
              <w:jc w:val="center"/>
              <w:rPr>
                <w:i/>
                <w:iCs/>
                <w:color w:val="000000"/>
                <w:sz w:val="20"/>
                <w:szCs w:val="20"/>
              </w:rPr>
            </w:pPr>
            <w:r>
              <w:rPr>
                <w:i/>
                <w:iCs/>
                <w:color w:val="000000"/>
                <w:sz w:val="20"/>
                <w:szCs w:val="20"/>
              </w:rPr>
              <w:t>8,1</w:t>
            </w:r>
          </w:p>
        </w:tc>
        <w:tc>
          <w:tcPr>
            <w:tcW w:w="1240" w:type="dxa"/>
            <w:shd w:val="clear" w:color="auto" w:fill="auto"/>
            <w:noWrap/>
            <w:vAlign w:val="center"/>
            <w:hideMark/>
          </w:tcPr>
          <w:p w14:paraId="6154AD46" w14:textId="7A092C9B" w:rsidR="00404CCD" w:rsidRDefault="00404CCD" w:rsidP="001D3373">
            <w:pPr>
              <w:jc w:val="center"/>
              <w:rPr>
                <w:i/>
                <w:iCs/>
                <w:color w:val="000000"/>
                <w:sz w:val="20"/>
                <w:szCs w:val="20"/>
              </w:rPr>
            </w:pPr>
            <w:r>
              <w:rPr>
                <w:i/>
                <w:iCs/>
                <w:color w:val="000000"/>
                <w:sz w:val="20"/>
                <w:szCs w:val="20"/>
              </w:rPr>
              <w:t>7,5</w:t>
            </w:r>
          </w:p>
        </w:tc>
        <w:tc>
          <w:tcPr>
            <w:tcW w:w="1240" w:type="dxa"/>
            <w:shd w:val="clear" w:color="auto" w:fill="auto"/>
            <w:noWrap/>
            <w:vAlign w:val="center"/>
            <w:hideMark/>
          </w:tcPr>
          <w:p w14:paraId="08884CD2" w14:textId="4D01335D" w:rsidR="00404CCD" w:rsidRDefault="00404CCD" w:rsidP="001D3373">
            <w:pPr>
              <w:jc w:val="center"/>
              <w:rPr>
                <w:i/>
                <w:iCs/>
                <w:color w:val="000000"/>
                <w:sz w:val="20"/>
                <w:szCs w:val="20"/>
              </w:rPr>
            </w:pPr>
            <w:r>
              <w:rPr>
                <w:i/>
                <w:iCs/>
                <w:color w:val="000000"/>
                <w:sz w:val="20"/>
                <w:szCs w:val="20"/>
              </w:rPr>
              <w:t>8,3</w:t>
            </w:r>
          </w:p>
        </w:tc>
        <w:tc>
          <w:tcPr>
            <w:tcW w:w="1241" w:type="dxa"/>
            <w:shd w:val="clear" w:color="auto" w:fill="auto"/>
            <w:noWrap/>
            <w:vAlign w:val="center"/>
            <w:hideMark/>
          </w:tcPr>
          <w:p w14:paraId="6FF7C776" w14:textId="421C56C5" w:rsidR="00404CCD" w:rsidRDefault="00404CCD" w:rsidP="001D3373">
            <w:pPr>
              <w:jc w:val="center"/>
              <w:rPr>
                <w:i/>
                <w:iCs/>
                <w:color w:val="000000"/>
                <w:sz w:val="20"/>
                <w:szCs w:val="20"/>
              </w:rPr>
            </w:pPr>
            <w:r>
              <w:rPr>
                <w:i/>
                <w:iCs/>
                <w:color w:val="000000"/>
                <w:sz w:val="20"/>
                <w:szCs w:val="20"/>
              </w:rPr>
              <w:t>9,2</w:t>
            </w:r>
          </w:p>
        </w:tc>
      </w:tr>
      <w:tr w:rsidR="00404CCD" w14:paraId="2A76DEAE" w14:textId="77777777" w:rsidTr="00CA517E">
        <w:trPr>
          <w:trHeight w:val="260"/>
        </w:trPr>
        <w:tc>
          <w:tcPr>
            <w:tcW w:w="4106" w:type="dxa"/>
            <w:shd w:val="clear" w:color="auto" w:fill="auto"/>
            <w:noWrap/>
            <w:vAlign w:val="center"/>
            <w:hideMark/>
          </w:tcPr>
          <w:p w14:paraId="53FE725A" w14:textId="77777777" w:rsidR="00404CCD" w:rsidRDefault="00404CCD" w:rsidP="001D3373">
            <w:pPr>
              <w:rPr>
                <w:i/>
                <w:iCs/>
                <w:color w:val="000000"/>
                <w:sz w:val="20"/>
                <w:szCs w:val="20"/>
              </w:rPr>
            </w:pPr>
            <w:r>
              <w:rPr>
                <w:i/>
                <w:iCs/>
                <w:color w:val="000000"/>
                <w:sz w:val="20"/>
                <w:szCs w:val="20"/>
              </w:rPr>
              <w:t>в том числе:</w:t>
            </w:r>
          </w:p>
        </w:tc>
        <w:tc>
          <w:tcPr>
            <w:tcW w:w="1240" w:type="dxa"/>
            <w:shd w:val="clear" w:color="auto" w:fill="auto"/>
            <w:noWrap/>
            <w:vAlign w:val="center"/>
            <w:hideMark/>
          </w:tcPr>
          <w:p w14:paraId="6375C15B" w14:textId="77777777" w:rsidR="00404CCD" w:rsidRDefault="00404CCD" w:rsidP="001D3373">
            <w:pPr>
              <w:jc w:val="center"/>
              <w:rPr>
                <w:i/>
                <w:iCs/>
                <w:color w:val="000000"/>
                <w:sz w:val="20"/>
                <w:szCs w:val="20"/>
              </w:rPr>
            </w:pPr>
          </w:p>
        </w:tc>
        <w:tc>
          <w:tcPr>
            <w:tcW w:w="1240" w:type="dxa"/>
            <w:shd w:val="clear" w:color="auto" w:fill="auto"/>
            <w:noWrap/>
            <w:vAlign w:val="center"/>
            <w:hideMark/>
          </w:tcPr>
          <w:p w14:paraId="3787B805" w14:textId="77777777" w:rsidR="00404CCD" w:rsidRDefault="00404CCD" w:rsidP="001D3373">
            <w:pPr>
              <w:jc w:val="center"/>
              <w:rPr>
                <w:i/>
                <w:iCs/>
                <w:color w:val="000000"/>
                <w:sz w:val="20"/>
                <w:szCs w:val="20"/>
              </w:rPr>
            </w:pPr>
          </w:p>
        </w:tc>
        <w:tc>
          <w:tcPr>
            <w:tcW w:w="1240" w:type="dxa"/>
            <w:shd w:val="clear" w:color="auto" w:fill="auto"/>
            <w:noWrap/>
            <w:vAlign w:val="center"/>
            <w:hideMark/>
          </w:tcPr>
          <w:p w14:paraId="6CAB6A3C" w14:textId="77777777" w:rsidR="00404CCD" w:rsidRDefault="00404CCD" w:rsidP="001D3373">
            <w:pPr>
              <w:jc w:val="center"/>
              <w:rPr>
                <w:i/>
                <w:iCs/>
                <w:color w:val="000000"/>
                <w:sz w:val="20"/>
                <w:szCs w:val="20"/>
              </w:rPr>
            </w:pPr>
          </w:p>
        </w:tc>
        <w:tc>
          <w:tcPr>
            <w:tcW w:w="1241" w:type="dxa"/>
            <w:shd w:val="clear" w:color="auto" w:fill="auto"/>
            <w:noWrap/>
            <w:vAlign w:val="center"/>
            <w:hideMark/>
          </w:tcPr>
          <w:p w14:paraId="07177883" w14:textId="77777777" w:rsidR="00404CCD" w:rsidRDefault="00404CCD" w:rsidP="001D3373">
            <w:pPr>
              <w:jc w:val="center"/>
              <w:rPr>
                <w:i/>
                <w:iCs/>
                <w:color w:val="000000"/>
                <w:sz w:val="20"/>
                <w:szCs w:val="20"/>
              </w:rPr>
            </w:pPr>
          </w:p>
        </w:tc>
      </w:tr>
      <w:tr w:rsidR="00404CCD" w14:paraId="5852E166" w14:textId="77777777" w:rsidTr="00CA517E">
        <w:trPr>
          <w:trHeight w:val="260"/>
        </w:trPr>
        <w:tc>
          <w:tcPr>
            <w:tcW w:w="4106" w:type="dxa"/>
            <w:shd w:val="clear" w:color="auto" w:fill="auto"/>
            <w:noWrap/>
            <w:vAlign w:val="center"/>
            <w:hideMark/>
          </w:tcPr>
          <w:p w14:paraId="2D498FAE" w14:textId="77777777" w:rsidR="00404CCD" w:rsidRDefault="00404CCD" w:rsidP="001D3373">
            <w:pPr>
              <w:ind w:firstLineChars="100" w:firstLine="200"/>
              <w:rPr>
                <w:color w:val="000000"/>
                <w:sz w:val="20"/>
                <w:szCs w:val="20"/>
              </w:rPr>
            </w:pPr>
            <w:r>
              <w:rPr>
                <w:color w:val="000000"/>
                <w:sz w:val="20"/>
                <w:szCs w:val="20"/>
              </w:rPr>
              <w:t>Водное хозяйство</w:t>
            </w:r>
          </w:p>
        </w:tc>
        <w:tc>
          <w:tcPr>
            <w:tcW w:w="1240" w:type="dxa"/>
            <w:shd w:val="clear" w:color="auto" w:fill="auto"/>
            <w:noWrap/>
            <w:vAlign w:val="bottom"/>
            <w:hideMark/>
          </w:tcPr>
          <w:p w14:paraId="7A19D136" w14:textId="77777777" w:rsidR="00404CCD" w:rsidRDefault="00404CCD" w:rsidP="001D3373">
            <w:pPr>
              <w:jc w:val="center"/>
              <w:rPr>
                <w:color w:val="000000"/>
                <w:sz w:val="20"/>
                <w:szCs w:val="20"/>
              </w:rPr>
            </w:pPr>
            <w:r>
              <w:rPr>
                <w:color w:val="000000"/>
                <w:sz w:val="20"/>
                <w:szCs w:val="20"/>
              </w:rPr>
              <w:t>22,0</w:t>
            </w:r>
          </w:p>
        </w:tc>
        <w:tc>
          <w:tcPr>
            <w:tcW w:w="1240" w:type="dxa"/>
            <w:shd w:val="clear" w:color="auto" w:fill="auto"/>
            <w:noWrap/>
            <w:vAlign w:val="bottom"/>
            <w:hideMark/>
          </w:tcPr>
          <w:p w14:paraId="4B7BFE00" w14:textId="77777777" w:rsidR="00404CCD" w:rsidRDefault="00404CCD" w:rsidP="001D3373">
            <w:pPr>
              <w:jc w:val="center"/>
              <w:rPr>
                <w:color w:val="000000"/>
                <w:sz w:val="20"/>
                <w:szCs w:val="20"/>
              </w:rPr>
            </w:pPr>
            <w:r>
              <w:rPr>
                <w:color w:val="000000"/>
                <w:sz w:val="20"/>
                <w:szCs w:val="20"/>
              </w:rPr>
              <w:t>21,2</w:t>
            </w:r>
          </w:p>
        </w:tc>
        <w:tc>
          <w:tcPr>
            <w:tcW w:w="1240" w:type="dxa"/>
            <w:shd w:val="clear" w:color="auto" w:fill="auto"/>
            <w:noWrap/>
            <w:vAlign w:val="bottom"/>
            <w:hideMark/>
          </w:tcPr>
          <w:p w14:paraId="6ECC29BA" w14:textId="77777777" w:rsidR="00404CCD" w:rsidRDefault="00404CCD" w:rsidP="001D3373">
            <w:pPr>
              <w:jc w:val="center"/>
              <w:rPr>
                <w:color w:val="000000"/>
                <w:sz w:val="20"/>
                <w:szCs w:val="20"/>
              </w:rPr>
            </w:pPr>
            <w:r>
              <w:rPr>
                <w:color w:val="000000"/>
                <w:sz w:val="20"/>
                <w:szCs w:val="20"/>
              </w:rPr>
              <w:t>28,2</w:t>
            </w:r>
          </w:p>
        </w:tc>
        <w:tc>
          <w:tcPr>
            <w:tcW w:w="1241" w:type="dxa"/>
            <w:shd w:val="clear" w:color="auto" w:fill="auto"/>
            <w:noWrap/>
            <w:vAlign w:val="bottom"/>
            <w:hideMark/>
          </w:tcPr>
          <w:p w14:paraId="2969BBB5" w14:textId="77777777" w:rsidR="00404CCD" w:rsidRDefault="00404CCD" w:rsidP="001D3373">
            <w:pPr>
              <w:jc w:val="center"/>
              <w:rPr>
                <w:color w:val="000000"/>
                <w:sz w:val="20"/>
                <w:szCs w:val="20"/>
              </w:rPr>
            </w:pPr>
            <w:r>
              <w:rPr>
                <w:color w:val="000000"/>
                <w:sz w:val="20"/>
                <w:szCs w:val="20"/>
              </w:rPr>
              <w:t>21,5</w:t>
            </w:r>
          </w:p>
        </w:tc>
      </w:tr>
      <w:tr w:rsidR="00404CCD" w14:paraId="7B638076" w14:textId="77777777" w:rsidTr="00CA517E">
        <w:trPr>
          <w:trHeight w:val="260"/>
        </w:trPr>
        <w:tc>
          <w:tcPr>
            <w:tcW w:w="4106" w:type="dxa"/>
            <w:shd w:val="clear" w:color="auto" w:fill="auto"/>
            <w:noWrap/>
            <w:vAlign w:val="center"/>
            <w:hideMark/>
          </w:tcPr>
          <w:p w14:paraId="7E9DED4D" w14:textId="77777777" w:rsidR="00404CCD" w:rsidRDefault="00404CCD" w:rsidP="001D3373">
            <w:pPr>
              <w:ind w:firstLineChars="200" w:firstLine="400"/>
              <w:rPr>
                <w:i/>
                <w:iCs/>
                <w:color w:val="000000"/>
                <w:sz w:val="20"/>
                <w:szCs w:val="20"/>
              </w:rPr>
            </w:pPr>
            <w:r>
              <w:rPr>
                <w:i/>
                <w:iCs/>
                <w:color w:val="000000"/>
                <w:sz w:val="20"/>
                <w:szCs w:val="20"/>
              </w:rPr>
              <w:t>% ВВП</w:t>
            </w:r>
          </w:p>
        </w:tc>
        <w:tc>
          <w:tcPr>
            <w:tcW w:w="1240" w:type="dxa"/>
            <w:shd w:val="clear" w:color="auto" w:fill="auto"/>
            <w:noWrap/>
            <w:vAlign w:val="center"/>
            <w:hideMark/>
          </w:tcPr>
          <w:p w14:paraId="0BA5AEB8" w14:textId="54399131" w:rsidR="00404CCD" w:rsidRDefault="00404CCD" w:rsidP="001D3373">
            <w:pPr>
              <w:jc w:val="center"/>
              <w:rPr>
                <w:i/>
                <w:iCs/>
                <w:color w:val="000000"/>
                <w:sz w:val="20"/>
                <w:szCs w:val="20"/>
              </w:rPr>
            </w:pPr>
            <w:r>
              <w:rPr>
                <w:i/>
                <w:iCs/>
                <w:color w:val="000000"/>
                <w:sz w:val="20"/>
                <w:szCs w:val="20"/>
              </w:rPr>
              <w:t>0,0</w:t>
            </w:r>
          </w:p>
        </w:tc>
        <w:tc>
          <w:tcPr>
            <w:tcW w:w="1240" w:type="dxa"/>
            <w:shd w:val="clear" w:color="auto" w:fill="auto"/>
            <w:noWrap/>
            <w:vAlign w:val="center"/>
            <w:hideMark/>
          </w:tcPr>
          <w:p w14:paraId="6E2C732D" w14:textId="3F83E589" w:rsidR="00404CCD" w:rsidRDefault="00404CCD" w:rsidP="001D3373">
            <w:pPr>
              <w:jc w:val="center"/>
              <w:rPr>
                <w:i/>
                <w:iCs/>
                <w:color w:val="000000"/>
                <w:sz w:val="20"/>
                <w:szCs w:val="20"/>
              </w:rPr>
            </w:pPr>
            <w:r>
              <w:rPr>
                <w:i/>
                <w:iCs/>
                <w:color w:val="000000"/>
                <w:sz w:val="20"/>
                <w:szCs w:val="20"/>
              </w:rPr>
              <w:t>0,0</w:t>
            </w:r>
          </w:p>
        </w:tc>
        <w:tc>
          <w:tcPr>
            <w:tcW w:w="1240" w:type="dxa"/>
            <w:shd w:val="clear" w:color="auto" w:fill="auto"/>
            <w:noWrap/>
            <w:vAlign w:val="center"/>
            <w:hideMark/>
          </w:tcPr>
          <w:p w14:paraId="3A4B773D" w14:textId="42097F5A" w:rsidR="00404CCD" w:rsidRDefault="00404CCD" w:rsidP="001D3373">
            <w:pPr>
              <w:jc w:val="center"/>
              <w:rPr>
                <w:i/>
                <w:iCs/>
                <w:color w:val="000000"/>
                <w:sz w:val="20"/>
                <w:szCs w:val="20"/>
              </w:rPr>
            </w:pPr>
            <w:r>
              <w:rPr>
                <w:i/>
                <w:iCs/>
                <w:color w:val="000000"/>
                <w:sz w:val="20"/>
                <w:szCs w:val="20"/>
              </w:rPr>
              <w:t>0,0</w:t>
            </w:r>
          </w:p>
        </w:tc>
        <w:tc>
          <w:tcPr>
            <w:tcW w:w="1241" w:type="dxa"/>
            <w:shd w:val="clear" w:color="auto" w:fill="auto"/>
            <w:noWrap/>
            <w:vAlign w:val="center"/>
            <w:hideMark/>
          </w:tcPr>
          <w:p w14:paraId="7C2A3C98" w14:textId="01677D96" w:rsidR="00404CCD" w:rsidRDefault="00404CCD" w:rsidP="001D3373">
            <w:pPr>
              <w:jc w:val="center"/>
              <w:rPr>
                <w:i/>
                <w:iCs/>
                <w:color w:val="000000"/>
                <w:sz w:val="20"/>
                <w:szCs w:val="20"/>
              </w:rPr>
            </w:pPr>
            <w:r>
              <w:rPr>
                <w:i/>
                <w:iCs/>
                <w:color w:val="000000"/>
                <w:sz w:val="20"/>
                <w:szCs w:val="20"/>
              </w:rPr>
              <w:t>0,0</w:t>
            </w:r>
          </w:p>
        </w:tc>
      </w:tr>
      <w:tr w:rsidR="00404CCD" w14:paraId="3B5BA3E6" w14:textId="77777777" w:rsidTr="00CA517E">
        <w:trPr>
          <w:trHeight w:val="260"/>
        </w:trPr>
        <w:tc>
          <w:tcPr>
            <w:tcW w:w="4106" w:type="dxa"/>
            <w:shd w:val="clear" w:color="auto" w:fill="auto"/>
            <w:noWrap/>
            <w:vAlign w:val="center"/>
            <w:hideMark/>
          </w:tcPr>
          <w:p w14:paraId="334428C7" w14:textId="77777777" w:rsidR="00404CCD" w:rsidRDefault="00404CCD" w:rsidP="001D3373">
            <w:pPr>
              <w:ind w:firstLineChars="200" w:firstLine="400"/>
              <w:rPr>
                <w:i/>
                <w:iCs/>
                <w:color w:val="000000"/>
                <w:sz w:val="20"/>
                <w:szCs w:val="20"/>
              </w:rPr>
            </w:pPr>
            <w:r>
              <w:rPr>
                <w:i/>
                <w:iCs/>
                <w:color w:val="000000"/>
                <w:sz w:val="20"/>
                <w:szCs w:val="20"/>
              </w:rPr>
              <w:t>% от общего объема расходов</w:t>
            </w:r>
          </w:p>
        </w:tc>
        <w:tc>
          <w:tcPr>
            <w:tcW w:w="1240" w:type="dxa"/>
            <w:shd w:val="clear" w:color="auto" w:fill="auto"/>
            <w:noWrap/>
            <w:vAlign w:val="center"/>
            <w:hideMark/>
          </w:tcPr>
          <w:p w14:paraId="58DD2226" w14:textId="7A498774" w:rsidR="00404CCD" w:rsidRDefault="00404CCD" w:rsidP="001D3373">
            <w:pPr>
              <w:jc w:val="center"/>
              <w:rPr>
                <w:i/>
                <w:iCs/>
                <w:color w:val="000000"/>
                <w:sz w:val="20"/>
                <w:szCs w:val="20"/>
              </w:rPr>
            </w:pPr>
            <w:r>
              <w:rPr>
                <w:i/>
                <w:iCs/>
                <w:color w:val="000000"/>
                <w:sz w:val="20"/>
                <w:szCs w:val="20"/>
              </w:rPr>
              <w:t>0,1</w:t>
            </w:r>
          </w:p>
        </w:tc>
        <w:tc>
          <w:tcPr>
            <w:tcW w:w="1240" w:type="dxa"/>
            <w:shd w:val="clear" w:color="auto" w:fill="auto"/>
            <w:noWrap/>
            <w:vAlign w:val="center"/>
            <w:hideMark/>
          </w:tcPr>
          <w:p w14:paraId="3673ED10" w14:textId="71DE7489" w:rsidR="00404CCD" w:rsidRDefault="00404CCD" w:rsidP="001D3373">
            <w:pPr>
              <w:jc w:val="center"/>
              <w:rPr>
                <w:i/>
                <w:iCs/>
                <w:color w:val="000000"/>
                <w:sz w:val="20"/>
                <w:szCs w:val="20"/>
              </w:rPr>
            </w:pPr>
            <w:r>
              <w:rPr>
                <w:i/>
                <w:iCs/>
                <w:color w:val="000000"/>
                <w:sz w:val="20"/>
                <w:szCs w:val="20"/>
              </w:rPr>
              <w:t>0,1</w:t>
            </w:r>
          </w:p>
        </w:tc>
        <w:tc>
          <w:tcPr>
            <w:tcW w:w="1240" w:type="dxa"/>
            <w:shd w:val="clear" w:color="auto" w:fill="auto"/>
            <w:noWrap/>
            <w:vAlign w:val="center"/>
            <w:hideMark/>
          </w:tcPr>
          <w:p w14:paraId="185A4FD0" w14:textId="7E2999D6" w:rsidR="00404CCD" w:rsidRDefault="00404CCD" w:rsidP="001D3373">
            <w:pPr>
              <w:jc w:val="center"/>
              <w:rPr>
                <w:i/>
                <w:iCs/>
                <w:color w:val="000000"/>
                <w:sz w:val="20"/>
                <w:szCs w:val="20"/>
              </w:rPr>
            </w:pPr>
            <w:r>
              <w:rPr>
                <w:i/>
                <w:iCs/>
                <w:color w:val="000000"/>
                <w:sz w:val="20"/>
                <w:szCs w:val="20"/>
              </w:rPr>
              <w:t>0,2</w:t>
            </w:r>
          </w:p>
        </w:tc>
        <w:tc>
          <w:tcPr>
            <w:tcW w:w="1241" w:type="dxa"/>
            <w:shd w:val="clear" w:color="auto" w:fill="auto"/>
            <w:noWrap/>
            <w:vAlign w:val="center"/>
            <w:hideMark/>
          </w:tcPr>
          <w:p w14:paraId="5BB49F99" w14:textId="1CFFA081" w:rsidR="00404CCD" w:rsidRDefault="00404CCD" w:rsidP="001D3373">
            <w:pPr>
              <w:jc w:val="center"/>
              <w:rPr>
                <w:i/>
                <w:iCs/>
                <w:color w:val="000000"/>
                <w:sz w:val="20"/>
                <w:szCs w:val="20"/>
              </w:rPr>
            </w:pPr>
            <w:r>
              <w:rPr>
                <w:i/>
                <w:iCs/>
                <w:color w:val="000000"/>
                <w:sz w:val="20"/>
                <w:szCs w:val="20"/>
              </w:rPr>
              <w:t>0,1</w:t>
            </w:r>
          </w:p>
        </w:tc>
      </w:tr>
      <w:tr w:rsidR="00404CCD" w14:paraId="49E6814F" w14:textId="77777777" w:rsidTr="00CA517E">
        <w:trPr>
          <w:trHeight w:val="260"/>
        </w:trPr>
        <w:tc>
          <w:tcPr>
            <w:tcW w:w="4106" w:type="dxa"/>
            <w:shd w:val="clear" w:color="auto" w:fill="auto"/>
            <w:noWrap/>
            <w:vAlign w:val="center"/>
            <w:hideMark/>
          </w:tcPr>
          <w:p w14:paraId="45AB76EF" w14:textId="77777777" w:rsidR="00404CCD" w:rsidRDefault="00404CCD" w:rsidP="001D3373">
            <w:pPr>
              <w:ind w:firstLineChars="100" w:firstLine="200"/>
              <w:rPr>
                <w:color w:val="000000"/>
                <w:sz w:val="20"/>
                <w:szCs w:val="20"/>
              </w:rPr>
            </w:pPr>
            <w:r>
              <w:rPr>
                <w:color w:val="000000"/>
                <w:sz w:val="20"/>
                <w:szCs w:val="20"/>
              </w:rPr>
              <w:t>Транспорт</w:t>
            </w:r>
          </w:p>
        </w:tc>
        <w:tc>
          <w:tcPr>
            <w:tcW w:w="1240" w:type="dxa"/>
            <w:shd w:val="clear" w:color="auto" w:fill="auto"/>
            <w:noWrap/>
            <w:vAlign w:val="bottom"/>
            <w:hideMark/>
          </w:tcPr>
          <w:p w14:paraId="5DFE9A7F" w14:textId="77777777" w:rsidR="00404CCD" w:rsidRDefault="00404CCD" w:rsidP="001D3373">
            <w:pPr>
              <w:jc w:val="center"/>
              <w:rPr>
                <w:color w:val="000000"/>
                <w:sz w:val="20"/>
                <w:szCs w:val="20"/>
              </w:rPr>
            </w:pPr>
            <w:r>
              <w:rPr>
                <w:color w:val="000000"/>
                <w:sz w:val="20"/>
                <w:szCs w:val="20"/>
              </w:rPr>
              <w:t>238,8</w:t>
            </w:r>
          </w:p>
        </w:tc>
        <w:tc>
          <w:tcPr>
            <w:tcW w:w="1240" w:type="dxa"/>
            <w:shd w:val="clear" w:color="auto" w:fill="auto"/>
            <w:noWrap/>
            <w:vAlign w:val="bottom"/>
            <w:hideMark/>
          </w:tcPr>
          <w:p w14:paraId="0B79D4A7" w14:textId="77777777" w:rsidR="00404CCD" w:rsidRDefault="00404CCD" w:rsidP="001D3373">
            <w:pPr>
              <w:jc w:val="center"/>
              <w:rPr>
                <w:color w:val="000000"/>
                <w:sz w:val="20"/>
                <w:szCs w:val="20"/>
              </w:rPr>
            </w:pPr>
            <w:r>
              <w:rPr>
                <w:color w:val="000000"/>
                <w:sz w:val="20"/>
                <w:szCs w:val="20"/>
              </w:rPr>
              <w:t>283,2</w:t>
            </w:r>
          </w:p>
        </w:tc>
        <w:tc>
          <w:tcPr>
            <w:tcW w:w="1240" w:type="dxa"/>
            <w:shd w:val="clear" w:color="auto" w:fill="auto"/>
            <w:noWrap/>
            <w:vAlign w:val="bottom"/>
            <w:hideMark/>
          </w:tcPr>
          <w:p w14:paraId="5BDFCE54" w14:textId="77777777" w:rsidR="00404CCD" w:rsidRDefault="00404CCD" w:rsidP="001D3373">
            <w:pPr>
              <w:jc w:val="center"/>
              <w:rPr>
                <w:color w:val="000000"/>
                <w:sz w:val="20"/>
                <w:szCs w:val="20"/>
              </w:rPr>
            </w:pPr>
            <w:r>
              <w:rPr>
                <w:color w:val="000000"/>
                <w:sz w:val="20"/>
                <w:szCs w:val="20"/>
              </w:rPr>
              <w:t>282,6</w:t>
            </w:r>
          </w:p>
        </w:tc>
        <w:tc>
          <w:tcPr>
            <w:tcW w:w="1241" w:type="dxa"/>
            <w:shd w:val="clear" w:color="auto" w:fill="auto"/>
            <w:noWrap/>
            <w:vAlign w:val="bottom"/>
            <w:hideMark/>
          </w:tcPr>
          <w:p w14:paraId="33FB472E" w14:textId="77777777" w:rsidR="00404CCD" w:rsidRDefault="00404CCD" w:rsidP="001D3373">
            <w:pPr>
              <w:jc w:val="center"/>
              <w:rPr>
                <w:color w:val="000000"/>
                <w:sz w:val="20"/>
                <w:szCs w:val="20"/>
              </w:rPr>
            </w:pPr>
            <w:r>
              <w:rPr>
                <w:color w:val="000000"/>
                <w:sz w:val="20"/>
                <w:szCs w:val="20"/>
              </w:rPr>
              <w:t>339,9</w:t>
            </w:r>
          </w:p>
        </w:tc>
      </w:tr>
      <w:tr w:rsidR="00404CCD" w14:paraId="227255E6" w14:textId="77777777" w:rsidTr="00CA517E">
        <w:trPr>
          <w:trHeight w:val="260"/>
        </w:trPr>
        <w:tc>
          <w:tcPr>
            <w:tcW w:w="4106" w:type="dxa"/>
            <w:shd w:val="clear" w:color="auto" w:fill="auto"/>
            <w:noWrap/>
            <w:vAlign w:val="center"/>
            <w:hideMark/>
          </w:tcPr>
          <w:p w14:paraId="2AFB861F" w14:textId="77777777" w:rsidR="00404CCD" w:rsidRDefault="00404CCD" w:rsidP="001D3373">
            <w:pPr>
              <w:ind w:firstLineChars="200" w:firstLine="400"/>
              <w:rPr>
                <w:i/>
                <w:iCs/>
                <w:color w:val="000000"/>
                <w:sz w:val="20"/>
                <w:szCs w:val="20"/>
              </w:rPr>
            </w:pPr>
            <w:r>
              <w:rPr>
                <w:i/>
                <w:iCs/>
                <w:color w:val="000000"/>
                <w:sz w:val="20"/>
                <w:szCs w:val="20"/>
              </w:rPr>
              <w:t>% ВВП</w:t>
            </w:r>
          </w:p>
        </w:tc>
        <w:tc>
          <w:tcPr>
            <w:tcW w:w="1240" w:type="dxa"/>
            <w:shd w:val="clear" w:color="auto" w:fill="auto"/>
            <w:noWrap/>
            <w:vAlign w:val="center"/>
            <w:hideMark/>
          </w:tcPr>
          <w:p w14:paraId="0E55259C" w14:textId="15BD2EC9" w:rsidR="00404CCD" w:rsidRDefault="00404CCD" w:rsidP="001D3373">
            <w:pPr>
              <w:jc w:val="center"/>
              <w:rPr>
                <w:i/>
                <w:iCs/>
                <w:color w:val="000000"/>
                <w:sz w:val="20"/>
                <w:szCs w:val="20"/>
              </w:rPr>
            </w:pPr>
            <w:r>
              <w:rPr>
                <w:i/>
                <w:iCs/>
                <w:color w:val="000000"/>
                <w:sz w:val="20"/>
                <w:szCs w:val="20"/>
              </w:rPr>
              <w:t>0,2</w:t>
            </w:r>
          </w:p>
        </w:tc>
        <w:tc>
          <w:tcPr>
            <w:tcW w:w="1240" w:type="dxa"/>
            <w:shd w:val="clear" w:color="auto" w:fill="auto"/>
            <w:noWrap/>
            <w:vAlign w:val="center"/>
            <w:hideMark/>
          </w:tcPr>
          <w:p w14:paraId="73909D0C" w14:textId="15B89828" w:rsidR="00404CCD" w:rsidRDefault="00404CCD" w:rsidP="001D3373">
            <w:pPr>
              <w:jc w:val="center"/>
              <w:rPr>
                <w:i/>
                <w:iCs/>
                <w:color w:val="000000"/>
                <w:sz w:val="20"/>
                <w:szCs w:val="20"/>
              </w:rPr>
            </w:pPr>
            <w:r>
              <w:rPr>
                <w:i/>
                <w:iCs/>
                <w:color w:val="000000"/>
                <w:sz w:val="20"/>
                <w:szCs w:val="20"/>
              </w:rPr>
              <w:t>0,3</w:t>
            </w:r>
          </w:p>
        </w:tc>
        <w:tc>
          <w:tcPr>
            <w:tcW w:w="1240" w:type="dxa"/>
            <w:shd w:val="clear" w:color="auto" w:fill="auto"/>
            <w:noWrap/>
            <w:vAlign w:val="center"/>
            <w:hideMark/>
          </w:tcPr>
          <w:p w14:paraId="0DE5CB3A" w14:textId="65B206C7" w:rsidR="00404CCD" w:rsidRDefault="00404CCD" w:rsidP="001D3373">
            <w:pPr>
              <w:jc w:val="center"/>
              <w:rPr>
                <w:i/>
                <w:iCs/>
                <w:color w:val="000000"/>
                <w:sz w:val="20"/>
                <w:szCs w:val="20"/>
              </w:rPr>
            </w:pPr>
            <w:r>
              <w:rPr>
                <w:i/>
                <w:iCs/>
                <w:color w:val="000000"/>
                <w:sz w:val="20"/>
                <w:szCs w:val="20"/>
              </w:rPr>
              <w:t>0,2</w:t>
            </w:r>
          </w:p>
        </w:tc>
        <w:tc>
          <w:tcPr>
            <w:tcW w:w="1241" w:type="dxa"/>
            <w:shd w:val="clear" w:color="auto" w:fill="auto"/>
            <w:noWrap/>
            <w:vAlign w:val="center"/>
            <w:hideMark/>
          </w:tcPr>
          <w:p w14:paraId="43B218E8" w14:textId="79BAEEBC" w:rsidR="00404CCD" w:rsidRDefault="00404CCD" w:rsidP="001D3373">
            <w:pPr>
              <w:jc w:val="center"/>
              <w:rPr>
                <w:i/>
                <w:iCs/>
                <w:color w:val="000000"/>
                <w:sz w:val="20"/>
                <w:szCs w:val="20"/>
              </w:rPr>
            </w:pPr>
            <w:r>
              <w:rPr>
                <w:i/>
                <w:iCs/>
                <w:color w:val="000000"/>
                <w:sz w:val="20"/>
                <w:szCs w:val="20"/>
              </w:rPr>
              <w:t>0,3</w:t>
            </w:r>
          </w:p>
        </w:tc>
      </w:tr>
      <w:tr w:rsidR="00404CCD" w14:paraId="6FD360CF" w14:textId="77777777" w:rsidTr="00CA517E">
        <w:trPr>
          <w:trHeight w:val="260"/>
        </w:trPr>
        <w:tc>
          <w:tcPr>
            <w:tcW w:w="4106" w:type="dxa"/>
            <w:shd w:val="clear" w:color="auto" w:fill="auto"/>
            <w:noWrap/>
            <w:vAlign w:val="center"/>
            <w:hideMark/>
          </w:tcPr>
          <w:p w14:paraId="17561553" w14:textId="77777777" w:rsidR="00404CCD" w:rsidRDefault="00404CCD" w:rsidP="001D3373">
            <w:pPr>
              <w:ind w:firstLineChars="200" w:firstLine="400"/>
              <w:rPr>
                <w:i/>
                <w:iCs/>
                <w:color w:val="000000"/>
                <w:sz w:val="20"/>
                <w:szCs w:val="20"/>
              </w:rPr>
            </w:pPr>
            <w:r>
              <w:rPr>
                <w:i/>
                <w:iCs/>
                <w:color w:val="000000"/>
                <w:sz w:val="20"/>
                <w:szCs w:val="20"/>
              </w:rPr>
              <w:t>% от общего объема расходов</w:t>
            </w:r>
          </w:p>
        </w:tc>
        <w:tc>
          <w:tcPr>
            <w:tcW w:w="1240" w:type="dxa"/>
            <w:shd w:val="clear" w:color="auto" w:fill="auto"/>
            <w:noWrap/>
            <w:vAlign w:val="center"/>
            <w:hideMark/>
          </w:tcPr>
          <w:p w14:paraId="5C7CD08A" w14:textId="13659876" w:rsidR="00404CCD" w:rsidRDefault="00404CCD" w:rsidP="001D3373">
            <w:pPr>
              <w:jc w:val="center"/>
              <w:rPr>
                <w:i/>
                <w:iCs/>
                <w:color w:val="000000"/>
                <w:sz w:val="20"/>
                <w:szCs w:val="20"/>
              </w:rPr>
            </w:pPr>
            <w:r>
              <w:rPr>
                <w:i/>
                <w:iCs/>
                <w:color w:val="000000"/>
                <w:sz w:val="20"/>
                <w:szCs w:val="20"/>
              </w:rPr>
              <w:t>1,6</w:t>
            </w:r>
          </w:p>
        </w:tc>
        <w:tc>
          <w:tcPr>
            <w:tcW w:w="1240" w:type="dxa"/>
            <w:shd w:val="clear" w:color="auto" w:fill="auto"/>
            <w:noWrap/>
            <w:vAlign w:val="center"/>
            <w:hideMark/>
          </w:tcPr>
          <w:p w14:paraId="3B593199" w14:textId="3B96AB94" w:rsidR="00404CCD" w:rsidRDefault="00404CCD" w:rsidP="001D3373">
            <w:pPr>
              <w:jc w:val="center"/>
              <w:rPr>
                <w:i/>
                <w:iCs/>
                <w:color w:val="000000"/>
                <w:sz w:val="20"/>
                <w:szCs w:val="20"/>
              </w:rPr>
            </w:pPr>
            <w:r>
              <w:rPr>
                <w:i/>
                <w:iCs/>
                <w:color w:val="000000"/>
                <w:sz w:val="20"/>
                <w:szCs w:val="20"/>
              </w:rPr>
              <w:t>1,8</w:t>
            </w:r>
          </w:p>
        </w:tc>
        <w:tc>
          <w:tcPr>
            <w:tcW w:w="1240" w:type="dxa"/>
            <w:shd w:val="clear" w:color="auto" w:fill="auto"/>
            <w:noWrap/>
            <w:vAlign w:val="center"/>
            <w:hideMark/>
          </w:tcPr>
          <w:p w14:paraId="67D090E6" w14:textId="1E4115E6" w:rsidR="00404CCD" w:rsidRDefault="00404CCD" w:rsidP="001D3373">
            <w:pPr>
              <w:jc w:val="center"/>
              <w:rPr>
                <w:i/>
                <w:iCs/>
                <w:color w:val="000000"/>
                <w:sz w:val="20"/>
                <w:szCs w:val="20"/>
              </w:rPr>
            </w:pPr>
            <w:r>
              <w:rPr>
                <w:i/>
                <w:iCs/>
                <w:color w:val="000000"/>
                <w:sz w:val="20"/>
                <w:szCs w:val="20"/>
              </w:rPr>
              <w:t>1,7</w:t>
            </w:r>
          </w:p>
        </w:tc>
        <w:tc>
          <w:tcPr>
            <w:tcW w:w="1241" w:type="dxa"/>
            <w:shd w:val="clear" w:color="auto" w:fill="auto"/>
            <w:noWrap/>
            <w:vAlign w:val="center"/>
            <w:hideMark/>
          </w:tcPr>
          <w:p w14:paraId="4753AAFC" w14:textId="41F1D6D2" w:rsidR="00404CCD" w:rsidRDefault="00404CCD" w:rsidP="001D3373">
            <w:pPr>
              <w:jc w:val="center"/>
              <w:rPr>
                <w:i/>
                <w:iCs/>
                <w:color w:val="000000"/>
                <w:sz w:val="20"/>
                <w:szCs w:val="20"/>
              </w:rPr>
            </w:pPr>
            <w:r>
              <w:rPr>
                <w:i/>
                <w:iCs/>
                <w:color w:val="000000"/>
                <w:sz w:val="20"/>
                <w:szCs w:val="20"/>
              </w:rPr>
              <w:t>2,0</w:t>
            </w:r>
          </w:p>
        </w:tc>
      </w:tr>
      <w:tr w:rsidR="00404CCD" w14:paraId="7091E337" w14:textId="77777777" w:rsidTr="00CA517E">
        <w:trPr>
          <w:trHeight w:val="260"/>
        </w:trPr>
        <w:tc>
          <w:tcPr>
            <w:tcW w:w="4106" w:type="dxa"/>
            <w:shd w:val="clear" w:color="auto" w:fill="auto"/>
            <w:noWrap/>
            <w:vAlign w:val="center"/>
            <w:hideMark/>
          </w:tcPr>
          <w:p w14:paraId="1B35C82F" w14:textId="77777777" w:rsidR="00404CCD" w:rsidRDefault="00404CCD" w:rsidP="001D3373">
            <w:pPr>
              <w:ind w:firstLineChars="100" w:firstLine="200"/>
              <w:rPr>
                <w:color w:val="000000"/>
                <w:sz w:val="20"/>
                <w:szCs w:val="20"/>
              </w:rPr>
            </w:pPr>
            <w:r>
              <w:rPr>
                <w:color w:val="000000"/>
                <w:sz w:val="20"/>
                <w:szCs w:val="20"/>
              </w:rPr>
              <w:t>Дорожное хозяйство (дорожные фонды)</w:t>
            </w:r>
          </w:p>
        </w:tc>
        <w:tc>
          <w:tcPr>
            <w:tcW w:w="1240" w:type="dxa"/>
            <w:shd w:val="clear" w:color="auto" w:fill="auto"/>
            <w:noWrap/>
            <w:vAlign w:val="bottom"/>
            <w:hideMark/>
          </w:tcPr>
          <w:p w14:paraId="794D6499" w14:textId="77777777" w:rsidR="00404CCD" w:rsidRDefault="00404CCD" w:rsidP="001D3373">
            <w:pPr>
              <w:jc w:val="center"/>
              <w:rPr>
                <w:color w:val="000000"/>
                <w:sz w:val="20"/>
                <w:szCs w:val="20"/>
              </w:rPr>
            </w:pPr>
            <w:r>
              <w:rPr>
                <w:color w:val="000000"/>
                <w:sz w:val="20"/>
                <w:szCs w:val="20"/>
              </w:rPr>
              <w:t>809,0</w:t>
            </w:r>
          </w:p>
        </w:tc>
        <w:tc>
          <w:tcPr>
            <w:tcW w:w="1240" w:type="dxa"/>
            <w:shd w:val="clear" w:color="auto" w:fill="auto"/>
            <w:noWrap/>
            <w:vAlign w:val="bottom"/>
            <w:hideMark/>
          </w:tcPr>
          <w:p w14:paraId="29194442" w14:textId="77777777" w:rsidR="00404CCD" w:rsidRDefault="00404CCD" w:rsidP="001D3373">
            <w:pPr>
              <w:jc w:val="center"/>
              <w:rPr>
                <w:color w:val="000000"/>
                <w:sz w:val="20"/>
                <w:szCs w:val="20"/>
              </w:rPr>
            </w:pPr>
            <w:r>
              <w:rPr>
                <w:color w:val="000000"/>
                <w:sz w:val="20"/>
                <w:szCs w:val="20"/>
              </w:rPr>
              <w:t>784,5</w:t>
            </w:r>
          </w:p>
        </w:tc>
        <w:tc>
          <w:tcPr>
            <w:tcW w:w="1240" w:type="dxa"/>
            <w:shd w:val="clear" w:color="auto" w:fill="auto"/>
            <w:noWrap/>
            <w:vAlign w:val="bottom"/>
            <w:hideMark/>
          </w:tcPr>
          <w:p w14:paraId="495C696C" w14:textId="77777777" w:rsidR="00404CCD" w:rsidRDefault="00404CCD" w:rsidP="001D3373">
            <w:pPr>
              <w:jc w:val="center"/>
              <w:rPr>
                <w:color w:val="000000"/>
                <w:sz w:val="20"/>
                <w:szCs w:val="20"/>
              </w:rPr>
            </w:pPr>
            <w:r>
              <w:rPr>
                <w:color w:val="000000"/>
                <w:sz w:val="20"/>
                <w:szCs w:val="20"/>
              </w:rPr>
              <w:t>917,3</w:t>
            </w:r>
          </w:p>
        </w:tc>
        <w:tc>
          <w:tcPr>
            <w:tcW w:w="1241" w:type="dxa"/>
            <w:shd w:val="clear" w:color="auto" w:fill="auto"/>
            <w:noWrap/>
            <w:vAlign w:val="bottom"/>
            <w:hideMark/>
          </w:tcPr>
          <w:p w14:paraId="79453F14" w14:textId="77777777" w:rsidR="00404CCD" w:rsidRDefault="00404CCD" w:rsidP="001D3373">
            <w:pPr>
              <w:jc w:val="center"/>
              <w:rPr>
                <w:color w:val="000000"/>
                <w:sz w:val="20"/>
                <w:szCs w:val="20"/>
              </w:rPr>
            </w:pPr>
            <w:r>
              <w:rPr>
                <w:color w:val="000000"/>
                <w:sz w:val="20"/>
                <w:szCs w:val="20"/>
              </w:rPr>
              <w:t>1 011,2</w:t>
            </w:r>
          </w:p>
        </w:tc>
      </w:tr>
      <w:tr w:rsidR="00404CCD" w14:paraId="184241C9" w14:textId="77777777" w:rsidTr="00CA517E">
        <w:trPr>
          <w:trHeight w:val="260"/>
        </w:trPr>
        <w:tc>
          <w:tcPr>
            <w:tcW w:w="4106" w:type="dxa"/>
            <w:shd w:val="clear" w:color="auto" w:fill="auto"/>
            <w:noWrap/>
            <w:vAlign w:val="center"/>
            <w:hideMark/>
          </w:tcPr>
          <w:p w14:paraId="27C6A60D" w14:textId="77777777" w:rsidR="00404CCD" w:rsidRDefault="00404CCD" w:rsidP="001D3373">
            <w:pPr>
              <w:ind w:firstLineChars="200" w:firstLine="400"/>
              <w:rPr>
                <w:i/>
                <w:iCs/>
                <w:color w:val="000000"/>
                <w:sz w:val="20"/>
                <w:szCs w:val="20"/>
              </w:rPr>
            </w:pPr>
            <w:r>
              <w:rPr>
                <w:i/>
                <w:iCs/>
                <w:color w:val="000000"/>
                <w:sz w:val="20"/>
                <w:szCs w:val="20"/>
              </w:rPr>
              <w:t>% ВВП</w:t>
            </w:r>
          </w:p>
        </w:tc>
        <w:tc>
          <w:tcPr>
            <w:tcW w:w="1240" w:type="dxa"/>
            <w:shd w:val="clear" w:color="auto" w:fill="auto"/>
            <w:noWrap/>
            <w:vAlign w:val="center"/>
            <w:hideMark/>
          </w:tcPr>
          <w:p w14:paraId="0ADCF7F3" w14:textId="75CB0DF4" w:rsidR="00404CCD" w:rsidRDefault="00404CCD" w:rsidP="001D3373">
            <w:pPr>
              <w:jc w:val="center"/>
              <w:rPr>
                <w:i/>
                <w:iCs/>
                <w:color w:val="000000"/>
                <w:sz w:val="20"/>
                <w:szCs w:val="20"/>
              </w:rPr>
            </w:pPr>
            <w:r>
              <w:rPr>
                <w:i/>
                <w:iCs/>
                <w:color w:val="000000"/>
                <w:sz w:val="20"/>
                <w:szCs w:val="20"/>
              </w:rPr>
              <w:t>0,</w:t>
            </w:r>
            <w:r>
              <w:rPr>
                <w:i/>
                <w:iCs/>
                <w:color w:val="000000"/>
                <w:sz w:val="20"/>
                <w:szCs w:val="20"/>
                <w:lang w:val="en-US"/>
              </w:rPr>
              <w:t>7</w:t>
            </w:r>
          </w:p>
        </w:tc>
        <w:tc>
          <w:tcPr>
            <w:tcW w:w="1240" w:type="dxa"/>
            <w:shd w:val="clear" w:color="auto" w:fill="auto"/>
            <w:noWrap/>
            <w:vAlign w:val="center"/>
            <w:hideMark/>
          </w:tcPr>
          <w:p w14:paraId="5A20D3BB" w14:textId="09E3376A" w:rsidR="00404CCD" w:rsidRDefault="00404CCD" w:rsidP="001D3373">
            <w:pPr>
              <w:jc w:val="center"/>
              <w:rPr>
                <w:i/>
                <w:iCs/>
                <w:color w:val="000000"/>
                <w:sz w:val="20"/>
                <w:szCs w:val="20"/>
              </w:rPr>
            </w:pPr>
            <w:r>
              <w:rPr>
                <w:i/>
                <w:iCs/>
                <w:color w:val="000000"/>
                <w:sz w:val="20"/>
                <w:szCs w:val="20"/>
              </w:rPr>
              <w:t>0,7</w:t>
            </w:r>
          </w:p>
        </w:tc>
        <w:tc>
          <w:tcPr>
            <w:tcW w:w="1240" w:type="dxa"/>
            <w:shd w:val="clear" w:color="auto" w:fill="auto"/>
            <w:noWrap/>
            <w:vAlign w:val="center"/>
            <w:hideMark/>
          </w:tcPr>
          <w:p w14:paraId="38679E73" w14:textId="6CD19507" w:rsidR="00404CCD" w:rsidRDefault="00404CCD" w:rsidP="001D3373">
            <w:pPr>
              <w:jc w:val="center"/>
              <w:rPr>
                <w:i/>
                <w:iCs/>
                <w:color w:val="000000"/>
                <w:sz w:val="20"/>
                <w:szCs w:val="20"/>
              </w:rPr>
            </w:pPr>
            <w:r>
              <w:rPr>
                <w:i/>
                <w:iCs/>
                <w:color w:val="000000"/>
                <w:sz w:val="20"/>
                <w:szCs w:val="20"/>
              </w:rPr>
              <w:t>0,8</w:t>
            </w:r>
          </w:p>
        </w:tc>
        <w:tc>
          <w:tcPr>
            <w:tcW w:w="1241" w:type="dxa"/>
            <w:shd w:val="clear" w:color="auto" w:fill="auto"/>
            <w:noWrap/>
            <w:vAlign w:val="center"/>
            <w:hideMark/>
          </w:tcPr>
          <w:p w14:paraId="7A3682BB" w14:textId="3F4F1E3C" w:rsidR="00404CCD" w:rsidRDefault="00404CCD" w:rsidP="001D3373">
            <w:pPr>
              <w:jc w:val="center"/>
              <w:rPr>
                <w:i/>
                <w:iCs/>
                <w:color w:val="000000"/>
                <w:sz w:val="20"/>
                <w:szCs w:val="20"/>
              </w:rPr>
            </w:pPr>
            <w:r>
              <w:rPr>
                <w:i/>
                <w:iCs/>
                <w:color w:val="000000"/>
                <w:sz w:val="20"/>
                <w:szCs w:val="20"/>
              </w:rPr>
              <w:t>0,8</w:t>
            </w:r>
          </w:p>
        </w:tc>
      </w:tr>
      <w:tr w:rsidR="00404CCD" w14:paraId="70C581F7" w14:textId="77777777" w:rsidTr="00CA517E">
        <w:trPr>
          <w:trHeight w:val="260"/>
        </w:trPr>
        <w:tc>
          <w:tcPr>
            <w:tcW w:w="4106" w:type="dxa"/>
            <w:shd w:val="clear" w:color="auto" w:fill="auto"/>
            <w:noWrap/>
            <w:vAlign w:val="center"/>
            <w:hideMark/>
          </w:tcPr>
          <w:p w14:paraId="40E28D9E" w14:textId="77777777" w:rsidR="00404CCD" w:rsidRDefault="00404CCD" w:rsidP="001D3373">
            <w:pPr>
              <w:ind w:firstLineChars="200" w:firstLine="400"/>
              <w:rPr>
                <w:i/>
                <w:iCs/>
                <w:color w:val="000000"/>
                <w:sz w:val="20"/>
                <w:szCs w:val="20"/>
              </w:rPr>
            </w:pPr>
            <w:r>
              <w:rPr>
                <w:i/>
                <w:iCs/>
                <w:color w:val="000000"/>
                <w:sz w:val="20"/>
                <w:szCs w:val="20"/>
              </w:rPr>
              <w:t>% от общего объема расходов</w:t>
            </w:r>
          </w:p>
        </w:tc>
        <w:tc>
          <w:tcPr>
            <w:tcW w:w="1240" w:type="dxa"/>
            <w:shd w:val="clear" w:color="auto" w:fill="auto"/>
            <w:noWrap/>
            <w:vAlign w:val="center"/>
            <w:hideMark/>
          </w:tcPr>
          <w:p w14:paraId="4E5FB8D2" w14:textId="5947C4D4" w:rsidR="00404CCD" w:rsidRDefault="00404CCD" w:rsidP="001D3373">
            <w:pPr>
              <w:jc w:val="center"/>
              <w:rPr>
                <w:i/>
                <w:iCs/>
                <w:color w:val="000000"/>
                <w:sz w:val="20"/>
                <w:szCs w:val="20"/>
              </w:rPr>
            </w:pPr>
            <w:r>
              <w:rPr>
                <w:i/>
                <w:iCs/>
                <w:color w:val="000000"/>
                <w:sz w:val="20"/>
                <w:szCs w:val="20"/>
              </w:rPr>
              <w:t>5,4</w:t>
            </w:r>
          </w:p>
        </w:tc>
        <w:tc>
          <w:tcPr>
            <w:tcW w:w="1240" w:type="dxa"/>
            <w:shd w:val="clear" w:color="auto" w:fill="auto"/>
            <w:noWrap/>
            <w:vAlign w:val="center"/>
            <w:hideMark/>
          </w:tcPr>
          <w:p w14:paraId="494222A3" w14:textId="3156DB79" w:rsidR="00404CCD" w:rsidRDefault="00404CCD" w:rsidP="001D3373">
            <w:pPr>
              <w:jc w:val="center"/>
              <w:rPr>
                <w:i/>
                <w:iCs/>
                <w:color w:val="000000"/>
                <w:sz w:val="20"/>
                <w:szCs w:val="20"/>
              </w:rPr>
            </w:pPr>
            <w:r>
              <w:rPr>
                <w:i/>
                <w:iCs/>
                <w:color w:val="000000"/>
                <w:sz w:val="20"/>
                <w:szCs w:val="20"/>
              </w:rPr>
              <w:t>4,8</w:t>
            </w:r>
          </w:p>
        </w:tc>
        <w:tc>
          <w:tcPr>
            <w:tcW w:w="1240" w:type="dxa"/>
            <w:shd w:val="clear" w:color="auto" w:fill="auto"/>
            <w:noWrap/>
            <w:vAlign w:val="center"/>
            <w:hideMark/>
          </w:tcPr>
          <w:p w14:paraId="09379299" w14:textId="6C2E7E5B" w:rsidR="00404CCD" w:rsidRDefault="00404CCD" w:rsidP="001D3373">
            <w:pPr>
              <w:jc w:val="center"/>
              <w:rPr>
                <w:i/>
                <w:iCs/>
                <w:color w:val="000000"/>
                <w:sz w:val="20"/>
                <w:szCs w:val="20"/>
              </w:rPr>
            </w:pPr>
            <w:r>
              <w:rPr>
                <w:i/>
                <w:iCs/>
                <w:color w:val="000000"/>
                <w:sz w:val="20"/>
                <w:szCs w:val="20"/>
              </w:rPr>
              <w:t>5,5</w:t>
            </w:r>
          </w:p>
        </w:tc>
        <w:tc>
          <w:tcPr>
            <w:tcW w:w="1241" w:type="dxa"/>
            <w:shd w:val="clear" w:color="auto" w:fill="auto"/>
            <w:noWrap/>
            <w:vAlign w:val="center"/>
            <w:hideMark/>
          </w:tcPr>
          <w:p w14:paraId="33FFA0B8" w14:textId="4EB25B40" w:rsidR="00404CCD" w:rsidRDefault="00404CCD" w:rsidP="001D3373">
            <w:pPr>
              <w:jc w:val="center"/>
              <w:rPr>
                <w:i/>
                <w:iCs/>
                <w:color w:val="000000"/>
                <w:sz w:val="20"/>
                <w:szCs w:val="20"/>
              </w:rPr>
            </w:pPr>
            <w:r>
              <w:rPr>
                <w:i/>
                <w:iCs/>
                <w:color w:val="000000"/>
                <w:sz w:val="20"/>
                <w:szCs w:val="20"/>
              </w:rPr>
              <w:t>5,9</w:t>
            </w:r>
          </w:p>
        </w:tc>
      </w:tr>
      <w:tr w:rsidR="00404CCD" w14:paraId="05D2EEEB" w14:textId="77777777" w:rsidTr="00CA517E">
        <w:trPr>
          <w:trHeight w:val="260"/>
        </w:trPr>
        <w:tc>
          <w:tcPr>
            <w:tcW w:w="4106" w:type="dxa"/>
            <w:shd w:val="clear" w:color="auto" w:fill="auto"/>
            <w:noWrap/>
            <w:vAlign w:val="center"/>
            <w:hideMark/>
          </w:tcPr>
          <w:p w14:paraId="6417D9BD" w14:textId="77777777" w:rsidR="00404CCD" w:rsidRDefault="00404CCD" w:rsidP="001D3373">
            <w:pPr>
              <w:ind w:firstLineChars="100" w:firstLine="200"/>
              <w:rPr>
                <w:color w:val="000000"/>
                <w:sz w:val="20"/>
                <w:szCs w:val="20"/>
              </w:rPr>
            </w:pPr>
            <w:r>
              <w:rPr>
                <w:color w:val="000000"/>
                <w:sz w:val="20"/>
                <w:szCs w:val="20"/>
              </w:rPr>
              <w:t>Связь и информатика</w:t>
            </w:r>
          </w:p>
        </w:tc>
        <w:tc>
          <w:tcPr>
            <w:tcW w:w="1240" w:type="dxa"/>
            <w:shd w:val="clear" w:color="auto" w:fill="auto"/>
            <w:noWrap/>
            <w:vAlign w:val="bottom"/>
            <w:hideMark/>
          </w:tcPr>
          <w:p w14:paraId="02090EFE" w14:textId="77777777" w:rsidR="00404CCD" w:rsidRDefault="00404CCD" w:rsidP="001D3373">
            <w:pPr>
              <w:jc w:val="center"/>
              <w:rPr>
                <w:color w:val="000000"/>
                <w:sz w:val="20"/>
                <w:szCs w:val="20"/>
              </w:rPr>
            </w:pPr>
            <w:r>
              <w:rPr>
                <w:color w:val="000000"/>
                <w:sz w:val="20"/>
                <w:szCs w:val="20"/>
              </w:rPr>
              <w:t>146,6</w:t>
            </w:r>
          </w:p>
        </w:tc>
        <w:tc>
          <w:tcPr>
            <w:tcW w:w="1240" w:type="dxa"/>
            <w:shd w:val="clear" w:color="auto" w:fill="auto"/>
            <w:noWrap/>
            <w:vAlign w:val="bottom"/>
            <w:hideMark/>
          </w:tcPr>
          <w:p w14:paraId="3090C5E5" w14:textId="77777777" w:rsidR="00404CCD" w:rsidRDefault="00404CCD" w:rsidP="001D3373">
            <w:pPr>
              <w:jc w:val="center"/>
              <w:rPr>
                <w:color w:val="000000"/>
                <w:sz w:val="20"/>
                <w:szCs w:val="20"/>
              </w:rPr>
            </w:pPr>
            <w:r>
              <w:rPr>
                <w:color w:val="000000"/>
                <w:sz w:val="20"/>
                <w:szCs w:val="20"/>
              </w:rPr>
              <w:t>120,0</w:t>
            </w:r>
          </w:p>
        </w:tc>
        <w:tc>
          <w:tcPr>
            <w:tcW w:w="1240" w:type="dxa"/>
            <w:shd w:val="clear" w:color="auto" w:fill="auto"/>
            <w:noWrap/>
            <w:vAlign w:val="bottom"/>
            <w:hideMark/>
          </w:tcPr>
          <w:p w14:paraId="3D04AEB2" w14:textId="77777777" w:rsidR="00404CCD" w:rsidRDefault="00404CCD" w:rsidP="001D3373">
            <w:pPr>
              <w:jc w:val="center"/>
              <w:rPr>
                <w:color w:val="000000"/>
                <w:sz w:val="20"/>
                <w:szCs w:val="20"/>
              </w:rPr>
            </w:pPr>
            <w:r>
              <w:rPr>
                <w:color w:val="000000"/>
                <w:sz w:val="20"/>
                <w:szCs w:val="20"/>
              </w:rPr>
              <w:t>162,9</w:t>
            </w:r>
          </w:p>
        </w:tc>
        <w:tc>
          <w:tcPr>
            <w:tcW w:w="1241" w:type="dxa"/>
            <w:shd w:val="clear" w:color="auto" w:fill="auto"/>
            <w:noWrap/>
            <w:vAlign w:val="bottom"/>
            <w:hideMark/>
          </w:tcPr>
          <w:p w14:paraId="77AEBE99" w14:textId="77777777" w:rsidR="00404CCD" w:rsidRDefault="00404CCD" w:rsidP="001D3373">
            <w:pPr>
              <w:jc w:val="center"/>
              <w:rPr>
                <w:color w:val="000000"/>
                <w:sz w:val="20"/>
                <w:szCs w:val="20"/>
              </w:rPr>
            </w:pPr>
            <w:r>
              <w:rPr>
                <w:color w:val="000000"/>
                <w:sz w:val="20"/>
                <w:szCs w:val="20"/>
              </w:rPr>
              <w:t>216,8</w:t>
            </w:r>
          </w:p>
        </w:tc>
      </w:tr>
      <w:tr w:rsidR="00404CCD" w14:paraId="35BB4C8A" w14:textId="77777777" w:rsidTr="00CA517E">
        <w:trPr>
          <w:trHeight w:val="260"/>
        </w:trPr>
        <w:tc>
          <w:tcPr>
            <w:tcW w:w="4106" w:type="dxa"/>
            <w:shd w:val="clear" w:color="auto" w:fill="auto"/>
            <w:noWrap/>
            <w:vAlign w:val="center"/>
            <w:hideMark/>
          </w:tcPr>
          <w:p w14:paraId="08246040" w14:textId="77777777" w:rsidR="00404CCD" w:rsidRDefault="00404CCD" w:rsidP="001D3373">
            <w:pPr>
              <w:ind w:firstLineChars="200" w:firstLine="400"/>
              <w:rPr>
                <w:i/>
                <w:iCs/>
                <w:color w:val="000000"/>
                <w:sz w:val="20"/>
                <w:szCs w:val="20"/>
              </w:rPr>
            </w:pPr>
            <w:r>
              <w:rPr>
                <w:i/>
                <w:iCs/>
                <w:color w:val="000000"/>
                <w:sz w:val="20"/>
                <w:szCs w:val="20"/>
              </w:rPr>
              <w:t>% ВВП</w:t>
            </w:r>
          </w:p>
        </w:tc>
        <w:tc>
          <w:tcPr>
            <w:tcW w:w="1240" w:type="dxa"/>
            <w:shd w:val="clear" w:color="auto" w:fill="auto"/>
            <w:noWrap/>
            <w:vAlign w:val="center"/>
            <w:hideMark/>
          </w:tcPr>
          <w:p w14:paraId="768D3789" w14:textId="2B637932" w:rsidR="00404CCD" w:rsidRDefault="00404CCD" w:rsidP="001D3373">
            <w:pPr>
              <w:jc w:val="center"/>
              <w:rPr>
                <w:i/>
                <w:iCs/>
                <w:color w:val="000000"/>
                <w:sz w:val="20"/>
                <w:szCs w:val="20"/>
              </w:rPr>
            </w:pPr>
            <w:r>
              <w:rPr>
                <w:i/>
                <w:iCs/>
                <w:color w:val="000000"/>
                <w:sz w:val="20"/>
                <w:szCs w:val="20"/>
              </w:rPr>
              <w:t>0,1</w:t>
            </w:r>
          </w:p>
        </w:tc>
        <w:tc>
          <w:tcPr>
            <w:tcW w:w="1240" w:type="dxa"/>
            <w:shd w:val="clear" w:color="auto" w:fill="auto"/>
            <w:noWrap/>
            <w:vAlign w:val="center"/>
            <w:hideMark/>
          </w:tcPr>
          <w:p w14:paraId="22987D21" w14:textId="222D4FED" w:rsidR="00404CCD" w:rsidRDefault="00404CCD" w:rsidP="001D3373">
            <w:pPr>
              <w:jc w:val="center"/>
              <w:rPr>
                <w:i/>
                <w:iCs/>
                <w:color w:val="000000"/>
                <w:sz w:val="20"/>
                <w:szCs w:val="20"/>
              </w:rPr>
            </w:pPr>
            <w:r>
              <w:rPr>
                <w:i/>
                <w:iCs/>
                <w:color w:val="000000"/>
                <w:sz w:val="20"/>
                <w:szCs w:val="20"/>
              </w:rPr>
              <w:t>0,1</w:t>
            </w:r>
          </w:p>
        </w:tc>
        <w:tc>
          <w:tcPr>
            <w:tcW w:w="1240" w:type="dxa"/>
            <w:shd w:val="clear" w:color="auto" w:fill="auto"/>
            <w:noWrap/>
            <w:vAlign w:val="center"/>
            <w:hideMark/>
          </w:tcPr>
          <w:p w14:paraId="4F05264A" w14:textId="3F600BFE" w:rsidR="00404CCD" w:rsidRDefault="00404CCD" w:rsidP="001D3373">
            <w:pPr>
              <w:jc w:val="center"/>
              <w:rPr>
                <w:i/>
                <w:iCs/>
                <w:color w:val="000000"/>
                <w:sz w:val="20"/>
                <w:szCs w:val="20"/>
              </w:rPr>
            </w:pPr>
            <w:r>
              <w:rPr>
                <w:i/>
                <w:iCs/>
                <w:color w:val="000000"/>
                <w:sz w:val="20"/>
                <w:szCs w:val="20"/>
              </w:rPr>
              <w:t>0,1</w:t>
            </w:r>
          </w:p>
        </w:tc>
        <w:tc>
          <w:tcPr>
            <w:tcW w:w="1241" w:type="dxa"/>
            <w:shd w:val="clear" w:color="auto" w:fill="auto"/>
            <w:noWrap/>
            <w:vAlign w:val="center"/>
            <w:hideMark/>
          </w:tcPr>
          <w:p w14:paraId="139AD3C8" w14:textId="62B8E165" w:rsidR="00404CCD" w:rsidRDefault="00404CCD" w:rsidP="001D3373">
            <w:pPr>
              <w:jc w:val="center"/>
              <w:rPr>
                <w:i/>
                <w:iCs/>
                <w:color w:val="000000"/>
                <w:sz w:val="20"/>
                <w:szCs w:val="20"/>
              </w:rPr>
            </w:pPr>
            <w:r>
              <w:rPr>
                <w:i/>
                <w:iCs/>
                <w:color w:val="000000"/>
                <w:sz w:val="20"/>
                <w:szCs w:val="20"/>
              </w:rPr>
              <w:t>0,2</w:t>
            </w:r>
          </w:p>
        </w:tc>
      </w:tr>
      <w:tr w:rsidR="00404CCD" w14:paraId="1B7E092E" w14:textId="77777777" w:rsidTr="00CA517E">
        <w:trPr>
          <w:trHeight w:val="260"/>
        </w:trPr>
        <w:tc>
          <w:tcPr>
            <w:tcW w:w="4106" w:type="dxa"/>
            <w:shd w:val="clear" w:color="auto" w:fill="auto"/>
            <w:noWrap/>
            <w:vAlign w:val="center"/>
            <w:hideMark/>
          </w:tcPr>
          <w:p w14:paraId="6D741C67" w14:textId="77777777" w:rsidR="00404CCD" w:rsidRDefault="00404CCD" w:rsidP="001D3373">
            <w:pPr>
              <w:ind w:firstLineChars="200" w:firstLine="400"/>
              <w:rPr>
                <w:i/>
                <w:iCs/>
                <w:color w:val="000000"/>
                <w:sz w:val="20"/>
                <w:szCs w:val="20"/>
              </w:rPr>
            </w:pPr>
            <w:r>
              <w:rPr>
                <w:i/>
                <w:iCs/>
                <w:color w:val="000000"/>
                <w:sz w:val="20"/>
                <w:szCs w:val="20"/>
              </w:rPr>
              <w:t>% от общего объема расходов</w:t>
            </w:r>
          </w:p>
        </w:tc>
        <w:tc>
          <w:tcPr>
            <w:tcW w:w="1240" w:type="dxa"/>
            <w:shd w:val="clear" w:color="auto" w:fill="auto"/>
            <w:noWrap/>
            <w:vAlign w:val="center"/>
            <w:hideMark/>
          </w:tcPr>
          <w:p w14:paraId="1A728632" w14:textId="69ABBC86" w:rsidR="00404CCD" w:rsidRDefault="00404CCD" w:rsidP="001D3373">
            <w:pPr>
              <w:jc w:val="center"/>
              <w:rPr>
                <w:i/>
                <w:iCs/>
                <w:color w:val="000000"/>
                <w:sz w:val="20"/>
                <w:szCs w:val="20"/>
              </w:rPr>
            </w:pPr>
            <w:r>
              <w:rPr>
                <w:i/>
                <w:iCs/>
                <w:color w:val="000000"/>
                <w:sz w:val="20"/>
                <w:szCs w:val="20"/>
              </w:rPr>
              <w:t>1,0</w:t>
            </w:r>
          </w:p>
        </w:tc>
        <w:tc>
          <w:tcPr>
            <w:tcW w:w="1240" w:type="dxa"/>
            <w:shd w:val="clear" w:color="auto" w:fill="auto"/>
            <w:noWrap/>
            <w:vAlign w:val="center"/>
            <w:hideMark/>
          </w:tcPr>
          <w:p w14:paraId="3692D97F" w14:textId="7C6C62E7" w:rsidR="00404CCD" w:rsidRDefault="00404CCD" w:rsidP="001D3373">
            <w:pPr>
              <w:jc w:val="center"/>
              <w:rPr>
                <w:i/>
                <w:iCs/>
                <w:color w:val="000000"/>
                <w:sz w:val="20"/>
                <w:szCs w:val="20"/>
              </w:rPr>
            </w:pPr>
            <w:r>
              <w:rPr>
                <w:i/>
                <w:iCs/>
                <w:color w:val="000000"/>
                <w:sz w:val="20"/>
                <w:szCs w:val="20"/>
              </w:rPr>
              <w:t>0,7</w:t>
            </w:r>
          </w:p>
        </w:tc>
        <w:tc>
          <w:tcPr>
            <w:tcW w:w="1240" w:type="dxa"/>
            <w:shd w:val="clear" w:color="auto" w:fill="auto"/>
            <w:noWrap/>
            <w:vAlign w:val="center"/>
            <w:hideMark/>
          </w:tcPr>
          <w:p w14:paraId="3AAEB2DB" w14:textId="651B2C48" w:rsidR="00404CCD" w:rsidRDefault="00404CCD" w:rsidP="001D3373">
            <w:pPr>
              <w:jc w:val="center"/>
              <w:rPr>
                <w:i/>
                <w:iCs/>
                <w:color w:val="000000"/>
                <w:sz w:val="20"/>
                <w:szCs w:val="20"/>
              </w:rPr>
            </w:pPr>
            <w:r>
              <w:rPr>
                <w:i/>
                <w:iCs/>
                <w:color w:val="000000"/>
                <w:sz w:val="20"/>
                <w:szCs w:val="20"/>
              </w:rPr>
              <w:t>1,0</w:t>
            </w:r>
          </w:p>
        </w:tc>
        <w:tc>
          <w:tcPr>
            <w:tcW w:w="1241" w:type="dxa"/>
            <w:shd w:val="clear" w:color="auto" w:fill="auto"/>
            <w:noWrap/>
            <w:vAlign w:val="center"/>
            <w:hideMark/>
          </w:tcPr>
          <w:p w14:paraId="5B104D9B" w14:textId="5E7EA371" w:rsidR="00404CCD" w:rsidRDefault="00404CCD" w:rsidP="001D3373">
            <w:pPr>
              <w:jc w:val="center"/>
              <w:rPr>
                <w:i/>
                <w:iCs/>
                <w:color w:val="000000"/>
                <w:sz w:val="20"/>
                <w:szCs w:val="20"/>
              </w:rPr>
            </w:pPr>
            <w:r>
              <w:rPr>
                <w:i/>
                <w:iCs/>
                <w:color w:val="000000"/>
                <w:sz w:val="20"/>
                <w:szCs w:val="20"/>
              </w:rPr>
              <w:t>1,3</w:t>
            </w:r>
          </w:p>
        </w:tc>
      </w:tr>
      <w:tr w:rsidR="00404CCD" w:rsidRPr="00313A8F" w14:paraId="674368C5" w14:textId="77777777" w:rsidTr="00CA517E">
        <w:trPr>
          <w:trHeight w:val="260"/>
        </w:trPr>
        <w:tc>
          <w:tcPr>
            <w:tcW w:w="4106" w:type="dxa"/>
            <w:shd w:val="clear" w:color="auto" w:fill="auto"/>
            <w:noWrap/>
            <w:vAlign w:val="center"/>
            <w:hideMark/>
          </w:tcPr>
          <w:p w14:paraId="4D32E355" w14:textId="77777777" w:rsidR="00404CCD" w:rsidRPr="00A46B79" w:rsidRDefault="00404CCD" w:rsidP="001D3373">
            <w:pPr>
              <w:rPr>
                <w:b/>
                <w:color w:val="000000"/>
                <w:sz w:val="20"/>
                <w:szCs w:val="20"/>
              </w:rPr>
            </w:pPr>
            <w:r w:rsidRPr="00A46B79">
              <w:rPr>
                <w:b/>
                <w:color w:val="000000"/>
                <w:sz w:val="20"/>
                <w:szCs w:val="20"/>
              </w:rPr>
              <w:t>Всего по разделу "Национальная экономика"</w:t>
            </w:r>
          </w:p>
        </w:tc>
        <w:tc>
          <w:tcPr>
            <w:tcW w:w="1240" w:type="dxa"/>
            <w:shd w:val="clear" w:color="auto" w:fill="auto"/>
            <w:noWrap/>
            <w:vAlign w:val="bottom"/>
            <w:hideMark/>
          </w:tcPr>
          <w:p w14:paraId="34480181" w14:textId="77777777" w:rsidR="00404CCD" w:rsidRPr="00A46B79" w:rsidRDefault="00404CCD" w:rsidP="001D3373">
            <w:pPr>
              <w:jc w:val="center"/>
              <w:rPr>
                <w:b/>
                <w:color w:val="000000"/>
                <w:sz w:val="20"/>
                <w:szCs w:val="20"/>
              </w:rPr>
            </w:pPr>
            <w:r w:rsidRPr="00A46B79">
              <w:rPr>
                <w:b/>
                <w:color w:val="000000"/>
                <w:sz w:val="20"/>
                <w:szCs w:val="20"/>
              </w:rPr>
              <w:t>2 549,3</w:t>
            </w:r>
          </w:p>
        </w:tc>
        <w:tc>
          <w:tcPr>
            <w:tcW w:w="1240" w:type="dxa"/>
            <w:shd w:val="clear" w:color="auto" w:fill="auto"/>
            <w:noWrap/>
            <w:vAlign w:val="bottom"/>
            <w:hideMark/>
          </w:tcPr>
          <w:p w14:paraId="496E9298" w14:textId="77777777" w:rsidR="00404CCD" w:rsidRPr="00A46B79" w:rsidRDefault="00404CCD" w:rsidP="001D3373">
            <w:pPr>
              <w:jc w:val="center"/>
              <w:rPr>
                <w:b/>
                <w:color w:val="000000"/>
                <w:sz w:val="20"/>
                <w:szCs w:val="20"/>
              </w:rPr>
            </w:pPr>
            <w:r w:rsidRPr="00A46B79">
              <w:rPr>
                <w:b/>
                <w:color w:val="000000"/>
                <w:sz w:val="20"/>
                <w:szCs w:val="20"/>
              </w:rPr>
              <w:t>2 521,8</w:t>
            </w:r>
          </w:p>
        </w:tc>
        <w:tc>
          <w:tcPr>
            <w:tcW w:w="1240" w:type="dxa"/>
            <w:shd w:val="clear" w:color="auto" w:fill="auto"/>
            <w:noWrap/>
            <w:vAlign w:val="bottom"/>
            <w:hideMark/>
          </w:tcPr>
          <w:p w14:paraId="31FABE2A" w14:textId="77777777" w:rsidR="00404CCD" w:rsidRPr="00A46B79" w:rsidRDefault="00404CCD" w:rsidP="001D3373">
            <w:pPr>
              <w:jc w:val="center"/>
              <w:rPr>
                <w:b/>
                <w:color w:val="000000"/>
                <w:sz w:val="20"/>
                <w:szCs w:val="20"/>
              </w:rPr>
            </w:pPr>
            <w:r w:rsidRPr="00A46B79">
              <w:rPr>
                <w:b/>
                <w:color w:val="000000"/>
                <w:sz w:val="20"/>
                <w:szCs w:val="20"/>
              </w:rPr>
              <w:t>2 754,5</w:t>
            </w:r>
          </w:p>
        </w:tc>
        <w:tc>
          <w:tcPr>
            <w:tcW w:w="1241" w:type="dxa"/>
            <w:shd w:val="clear" w:color="auto" w:fill="auto"/>
            <w:noWrap/>
            <w:vAlign w:val="bottom"/>
            <w:hideMark/>
          </w:tcPr>
          <w:p w14:paraId="7B5E2F24" w14:textId="77777777" w:rsidR="00404CCD" w:rsidRPr="00A46B79" w:rsidRDefault="00404CCD" w:rsidP="001D3373">
            <w:pPr>
              <w:jc w:val="center"/>
              <w:rPr>
                <w:b/>
                <w:color w:val="000000"/>
                <w:sz w:val="20"/>
                <w:szCs w:val="20"/>
              </w:rPr>
            </w:pPr>
            <w:r w:rsidRPr="00A46B79">
              <w:rPr>
                <w:b/>
                <w:color w:val="000000"/>
                <w:sz w:val="20"/>
                <w:szCs w:val="20"/>
              </w:rPr>
              <w:t>3 152,2</w:t>
            </w:r>
          </w:p>
        </w:tc>
      </w:tr>
      <w:tr w:rsidR="00404CCD" w14:paraId="6AC4E74D" w14:textId="77777777" w:rsidTr="00CA517E">
        <w:trPr>
          <w:trHeight w:val="260"/>
        </w:trPr>
        <w:tc>
          <w:tcPr>
            <w:tcW w:w="4106" w:type="dxa"/>
            <w:shd w:val="clear" w:color="auto" w:fill="auto"/>
            <w:noWrap/>
            <w:vAlign w:val="center"/>
            <w:hideMark/>
          </w:tcPr>
          <w:p w14:paraId="20172E9A" w14:textId="77777777" w:rsidR="00404CCD" w:rsidRDefault="00404CCD" w:rsidP="001D3373">
            <w:pPr>
              <w:ind w:firstLineChars="100" w:firstLine="200"/>
              <w:rPr>
                <w:i/>
                <w:iCs/>
                <w:color w:val="000000"/>
                <w:sz w:val="20"/>
                <w:szCs w:val="20"/>
              </w:rPr>
            </w:pPr>
            <w:r>
              <w:rPr>
                <w:i/>
                <w:iCs/>
                <w:color w:val="000000"/>
                <w:sz w:val="20"/>
                <w:szCs w:val="20"/>
              </w:rPr>
              <w:t>% ВВП</w:t>
            </w:r>
          </w:p>
        </w:tc>
        <w:tc>
          <w:tcPr>
            <w:tcW w:w="1240" w:type="dxa"/>
            <w:shd w:val="clear" w:color="auto" w:fill="auto"/>
            <w:noWrap/>
            <w:vAlign w:val="center"/>
            <w:hideMark/>
          </w:tcPr>
          <w:p w14:paraId="3463860A" w14:textId="3B51055C" w:rsidR="00404CCD" w:rsidRDefault="00404CCD" w:rsidP="001D3373">
            <w:pPr>
              <w:jc w:val="center"/>
              <w:rPr>
                <w:i/>
                <w:iCs/>
                <w:color w:val="000000"/>
                <w:sz w:val="20"/>
                <w:szCs w:val="20"/>
              </w:rPr>
            </w:pPr>
            <w:r>
              <w:rPr>
                <w:i/>
                <w:iCs/>
                <w:color w:val="000000"/>
                <w:sz w:val="20"/>
                <w:szCs w:val="20"/>
              </w:rPr>
              <w:t>2,4</w:t>
            </w:r>
          </w:p>
        </w:tc>
        <w:tc>
          <w:tcPr>
            <w:tcW w:w="1240" w:type="dxa"/>
            <w:shd w:val="clear" w:color="auto" w:fill="auto"/>
            <w:noWrap/>
            <w:vAlign w:val="center"/>
            <w:hideMark/>
          </w:tcPr>
          <w:p w14:paraId="6919FB08" w14:textId="2E477610" w:rsidR="00404CCD" w:rsidRDefault="00404CCD" w:rsidP="001D3373">
            <w:pPr>
              <w:jc w:val="center"/>
              <w:rPr>
                <w:i/>
                <w:iCs/>
                <w:color w:val="000000"/>
                <w:sz w:val="20"/>
                <w:szCs w:val="20"/>
              </w:rPr>
            </w:pPr>
            <w:r>
              <w:rPr>
                <w:i/>
                <w:iCs/>
                <w:color w:val="000000"/>
                <w:sz w:val="20"/>
                <w:szCs w:val="20"/>
              </w:rPr>
              <w:t>2,2</w:t>
            </w:r>
          </w:p>
        </w:tc>
        <w:tc>
          <w:tcPr>
            <w:tcW w:w="1240" w:type="dxa"/>
            <w:shd w:val="clear" w:color="auto" w:fill="auto"/>
            <w:noWrap/>
            <w:vAlign w:val="center"/>
            <w:hideMark/>
          </w:tcPr>
          <w:p w14:paraId="24C05419" w14:textId="0688FCE9" w:rsidR="00404CCD" w:rsidRDefault="00404CCD" w:rsidP="001D3373">
            <w:pPr>
              <w:jc w:val="center"/>
              <w:rPr>
                <w:i/>
                <w:iCs/>
                <w:color w:val="000000"/>
                <w:sz w:val="20"/>
                <w:szCs w:val="20"/>
              </w:rPr>
            </w:pPr>
            <w:r>
              <w:rPr>
                <w:i/>
                <w:iCs/>
                <w:color w:val="000000"/>
                <w:sz w:val="20"/>
                <w:szCs w:val="20"/>
              </w:rPr>
              <w:t>2,3</w:t>
            </w:r>
          </w:p>
        </w:tc>
        <w:tc>
          <w:tcPr>
            <w:tcW w:w="1241" w:type="dxa"/>
            <w:shd w:val="clear" w:color="auto" w:fill="auto"/>
            <w:noWrap/>
            <w:vAlign w:val="center"/>
            <w:hideMark/>
          </w:tcPr>
          <w:p w14:paraId="01671608" w14:textId="505B39DB" w:rsidR="00404CCD" w:rsidRDefault="00404CCD" w:rsidP="001D3373">
            <w:pPr>
              <w:jc w:val="center"/>
              <w:rPr>
                <w:i/>
                <w:iCs/>
                <w:color w:val="000000"/>
                <w:sz w:val="20"/>
                <w:szCs w:val="20"/>
              </w:rPr>
            </w:pPr>
            <w:r>
              <w:rPr>
                <w:i/>
                <w:iCs/>
                <w:color w:val="000000"/>
                <w:sz w:val="20"/>
                <w:szCs w:val="20"/>
              </w:rPr>
              <w:t>2,5</w:t>
            </w:r>
          </w:p>
        </w:tc>
      </w:tr>
      <w:tr w:rsidR="00404CCD" w14:paraId="1512A209" w14:textId="77777777" w:rsidTr="00CA517E">
        <w:trPr>
          <w:trHeight w:val="260"/>
        </w:trPr>
        <w:tc>
          <w:tcPr>
            <w:tcW w:w="4106" w:type="dxa"/>
            <w:shd w:val="clear" w:color="auto" w:fill="auto"/>
            <w:noWrap/>
            <w:vAlign w:val="center"/>
            <w:hideMark/>
          </w:tcPr>
          <w:p w14:paraId="1EEA703C" w14:textId="77777777" w:rsidR="00404CCD" w:rsidRDefault="00404CCD" w:rsidP="001D3373">
            <w:pPr>
              <w:ind w:firstLineChars="100" w:firstLine="200"/>
              <w:rPr>
                <w:i/>
                <w:iCs/>
                <w:color w:val="000000"/>
                <w:sz w:val="20"/>
                <w:szCs w:val="20"/>
              </w:rPr>
            </w:pPr>
            <w:r>
              <w:rPr>
                <w:i/>
                <w:iCs/>
                <w:color w:val="000000"/>
                <w:sz w:val="20"/>
                <w:szCs w:val="20"/>
              </w:rPr>
              <w:t>% от общего объема расходов</w:t>
            </w:r>
          </w:p>
        </w:tc>
        <w:tc>
          <w:tcPr>
            <w:tcW w:w="1240" w:type="dxa"/>
            <w:shd w:val="clear" w:color="auto" w:fill="auto"/>
            <w:noWrap/>
            <w:vAlign w:val="center"/>
            <w:hideMark/>
          </w:tcPr>
          <w:p w14:paraId="22E0652C" w14:textId="56C75DC6" w:rsidR="00404CCD" w:rsidRDefault="00404CCD" w:rsidP="001D3373">
            <w:pPr>
              <w:jc w:val="center"/>
              <w:rPr>
                <w:i/>
                <w:iCs/>
                <w:color w:val="000000"/>
                <w:sz w:val="20"/>
                <w:szCs w:val="20"/>
              </w:rPr>
            </w:pPr>
            <w:r>
              <w:rPr>
                <w:i/>
                <w:iCs/>
                <w:color w:val="000000"/>
                <w:sz w:val="20"/>
                <w:szCs w:val="20"/>
              </w:rPr>
              <w:t>17,0</w:t>
            </w:r>
          </w:p>
        </w:tc>
        <w:tc>
          <w:tcPr>
            <w:tcW w:w="1240" w:type="dxa"/>
            <w:shd w:val="clear" w:color="auto" w:fill="auto"/>
            <w:noWrap/>
            <w:vAlign w:val="center"/>
            <w:hideMark/>
          </w:tcPr>
          <w:p w14:paraId="15960561" w14:textId="39655F41" w:rsidR="00404CCD" w:rsidRDefault="00404CCD" w:rsidP="001D3373">
            <w:pPr>
              <w:jc w:val="center"/>
              <w:rPr>
                <w:i/>
                <w:iCs/>
                <w:color w:val="000000"/>
                <w:sz w:val="20"/>
                <w:szCs w:val="20"/>
              </w:rPr>
            </w:pPr>
            <w:r>
              <w:rPr>
                <w:i/>
                <w:iCs/>
                <w:color w:val="000000"/>
                <w:sz w:val="20"/>
                <w:szCs w:val="20"/>
              </w:rPr>
              <w:t>15,6</w:t>
            </w:r>
          </w:p>
        </w:tc>
        <w:tc>
          <w:tcPr>
            <w:tcW w:w="1240" w:type="dxa"/>
            <w:shd w:val="clear" w:color="auto" w:fill="auto"/>
            <w:noWrap/>
            <w:vAlign w:val="center"/>
            <w:hideMark/>
          </w:tcPr>
          <w:p w14:paraId="37591D26" w14:textId="010410CA" w:rsidR="00404CCD" w:rsidRDefault="00404CCD" w:rsidP="001D3373">
            <w:pPr>
              <w:jc w:val="center"/>
              <w:rPr>
                <w:i/>
                <w:iCs/>
                <w:color w:val="000000"/>
                <w:sz w:val="20"/>
                <w:szCs w:val="20"/>
              </w:rPr>
            </w:pPr>
            <w:r>
              <w:rPr>
                <w:i/>
                <w:iCs/>
                <w:color w:val="000000"/>
                <w:sz w:val="20"/>
                <w:szCs w:val="20"/>
              </w:rPr>
              <w:t>16,4</w:t>
            </w:r>
          </w:p>
        </w:tc>
        <w:tc>
          <w:tcPr>
            <w:tcW w:w="1241" w:type="dxa"/>
            <w:shd w:val="clear" w:color="auto" w:fill="auto"/>
            <w:noWrap/>
            <w:vAlign w:val="center"/>
            <w:hideMark/>
          </w:tcPr>
          <w:p w14:paraId="70C01C82" w14:textId="1404D680" w:rsidR="00404CCD" w:rsidRDefault="00404CCD" w:rsidP="001D3373">
            <w:pPr>
              <w:jc w:val="center"/>
              <w:rPr>
                <w:i/>
                <w:iCs/>
                <w:color w:val="000000"/>
                <w:sz w:val="20"/>
                <w:szCs w:val="20"/>
              </w:rPr>
            </w:pPr>
            <w:r>
              <w:rPr>
                <w:i/>
                <w:iCs/>
                <w:color w:val="000000"/>
                <w:sz w:val="20"/>
                <w:szCs w:val="20"/>
              </w:rPr>
              <w:t>18,2</w:t>
            </w:r>
          </w:p>
        </w:tc>
      </w:tr>
    </w:tbl>
    <w:p w14:paraId="06DF0206" w14:textId="77777777" w:rsidR="00404CCD" w:rsidRPr="00F33898" w:rsidRDefault="00404CCD" w:rsidP="00404CCD">
      <w:pPr>
        <w:spacing w:after="60"/>
        <w:ind w:firstLine="709"/>
        <w:jc w:val="both"/>
        <w:rPr>
          <w:sz w:val="20"/>
        </w:rPr>
      </w:pPr>
      <w:r w:rsidRPr="00E06BB1">
        <w:rPr>
          <w:i/>
          <w:sz w:val="20"/>
        </w:rPr>
        <w:t>Источник</w:t>
      </w:r>
      <w:r w:rsidRPr="00F33898">
        <w:rPr>
          <w:sz w:val="20"/>
        </w:rPr>
        <w:t>: Приложение № 1</w:t>
      </w:r>
      <w:r>
        <w:rPr>
          <w:sz w:val="20"/>
        </w:rPr>
        <w:t>1</w:t>
      </w:r>
      <w:r w:rsidRPr="00F33898">
        <w:rPr>
          <w:sz w:val="20"/>
        </w:rPr>
        <w:t xml:space="preserve"> и Статья 1. Основные характеристики федерального бюджета на 20</w:t>
      </w:r>
      <w:r>
        <w:rPr>
          <w:sz w:val="20"/>
        </w:rPr>
        <w:t>20</w:t>
      </w:r>
      <w:r w:rsidRPr="00F33898">
        <w:rPr>
          <w:sz w:val="20"/>
        </w:rPr>
        <w:t xml:space="preserve"> год и на плановый период 202</w:t>
      </w:r>
      <w:r>
        <w:rPr>
          <w:sz w:val="20"/>
        </w:rPr>
        <w:t>1</w:t>
      </w:r>
      <w:r w:rsidRPr="00F33898">
        <w:rPr>
          <w:sz w:val="20"/>
        </w:rPr>
        <w:t xml:space="preserve"> и 202</w:t>
      </w:r>
      <w:r>
        <w:rPr>
          <w:sz w:val="20"/>
        </w:rPr>
        <w:t>2</w:t>
      </w:r>
      <w:r w:rsidRPr="00F33898">
        <w:rPr>
          <w:sz w:val="20"/>
        </w:rPr>
        <w:t xml:space="preserve"> годов проекта федерального закона «О федеральном бюджете на 20</w:t>
      </w:r>
      <w:r>
        <w:rPr>
          <w:sz w:val="20"/>
        </w:rPr>
        <w:t>20</w:t>
      </w:r>
      <w:r w:rsidRPr="00F33898">
        <w:rPr>
          <w:sz w:val="20"/>
        </w:rPr>
        <w:t xml:space="preserve"> год и на плановый период 202</w:t>
      </w:r>
      <w:r>
        <w:rPr>
          <w:sz w:val="20"/>
        </w:rPr>
        <w:t>1</w:t>
      </w:r>
      <w:r w:rsidRPr="00F33898">
        <w:rPr>
          <w:sz w:val="20"/>
        </w:rPr>
        <w:t xml:space="preserve"> и 202</w:t>
      </w:r>
      <w:r>
        <w:rPr>
          <w:sz w:val="20"/>
        </w:rPr>
        <w:t>2</w:t>
      </w:r>
      <w:r w:rsidRPr="00F33898">
        <w:rPr>
          <w:sz w:val="20"/>
        </w:rPr>
        <w:t xml:space="preserve"> годов».</w:t>
      </w:r>
    </w:p>
    <w:p w14:paraId="345D4FFC" w14:textId="18A59A0F" w:rsidR="00404CCD" w:rsidRPr="00404CCD" w:rsidRDefault="00404CCD" w:rsidP="00404CCD">
      <w:pPr>
        <w:spacing w:after="60"/>
        <w:ind w:firstLine="709"/>
        <w:jc w:val="both"/>
      </w:pPr>
      <w:bookmarkStart w:id="35" w:name="_Hlk526757591"/>
      <w:r>
        <w:t xml:space="preserve">Незначительное снижение расходов на </w:t>
      </w:r>
      <w:r w:rsidRPr="004E0991">
        <w:t>инфраструктуру, транспорт, связь и информатику</w:t>
      </w:r>
      <w:r>
        <w:t xml:space="preserve"> в 2020 году (на 7 млрд руб. или -0</w:t>
      </w:r>
      <w:r w:rsidR="001D3373">
        <w:t>,</w:t>
      </w:r>
      <w:r>
        <w:t>6% к предшествующему году) связано с тем, что, во-первых, происходит значительное сокращение расходов на связь и информатику (на 27 млрд руб., -18% к предшествующему году) и на дорожное хозяйство (на 24 млрд руб., -3%</w:t>
      </w:r>
      <w:r w:rsidRPr="004E0991">
        <w:t xml:space="preserve"> </w:t>
      </w:r>
      <w:r>
        <w:t xml:space="preserve">к предшествующему году). Во-вторых, сокращение этих расходов почти полностью компенсируется увеличением расходов на транспорт, которые вырастут на 44 млрд руб. (+18,6%). </w:t>
      </w:r>
    </w:p>
    <w:p w14:paraId="7AD24C09" w14:textId="24140136" w:rsidR="00404CCD" w:rsidRPr="00420B28" w:rsidRDefault="00404CCD" w:rsidP="00404CCD">
      <w:pPr>
        <w:spacing w:after="60"/>
        <w:ind w:firstLine="709"/>
        <w:jc w:val="both"/>
      </w:pPr>
      <w:r>
        <w:t>При этом в 2020 году доля расходов на инфраструктуру составит 1,07% от ВВП, что меньше по сравнению с 2019 годом, в котором эта доля составляет 1,1</w:t>
      </w:r>
      <w:r w:rsidRPr="00D05B96">
        <w:t>2</w:t>
      </w:r>
      <w:r>
        <w:t>% ВВП. Снижение доли рассматриваемой группы расходов в ВВП в 2020 году связано с тем, что на фоне прогнозируемого прироста ВВП в 4</w:t>
      </w:r>
      <w:r w:rsidR="001D3373">
        <w:t>,</w:t>
      </w:r>
      <w:r>
        <w:t xml:space="preserve">1% в номинальном выражении расходы на </w:t>
      </w:r>
      <w:r w:rsidRPr="004E0991">
        <w:t>инфраструктуру, транспорт, связь и информатику</w:t>
      </w:r>
      <w:r>
        <w:t xml:space="preserve"> подвергаются сокращению на 0,6%. В то же время, к концу планового периода доля расходов на инфраструктуру в ВВП составит 1,24% за счёт опережающего роста этих расходов в 2021 и 2022 году. Похожую характеристику имеет динамика доли расходов на </w:t>
      </w:r>
      <w:r w:rsidRPr="004E0991">
        <w:t>инфраструктуру, транспорт, связь и информатику</w:t>
      </w:r>
      <w:r>
        <w:t xml:space="preserve"> в общих расходах бюджета. В 2020 году произойдёт снижение этой доли с 8,1% до 7,5% в сравнении с 2019 годом. В 2021 и 2022 годах доля расходов на инфраструктуру в общих расходах бюджета вырастет до 8,3% и 9,2% соответственно.</w:t>
      </w:r>
    </w:p>
    <w:bookmarkEnd w:id="35"/>
    <w:p w14:paraId="70BBFF23" w14:textId="0BFEED8E" w:rsidR="00404CCD" w:rsidRDefault="00404CCD" w:rsidP="00404CCD">
      <w:pPr>
        <w:spacing w:after="60"/>
        <w:ind w:firstLine="709"/>
        <w:jc w:val="both"/>
      </w:pPr>
      <w:r>
        <w:t xml:space="preserve">Увеличение расходов на </w:t>
      </w:r>
      <w:r w:rsidRPr="004E0991">
        <w:t>инфраструктуру, транспорт, связь и информатику</w:t>
      </w:r>
      <w:r>
        <w:t xml:space="preserve"> в целом в 2020-2021 гг. сопровождается увеличением производительных расходов в номинальном выражении более высокими темпами, чем непроизводительных расходов. В частности, для производительных расходов в номинальном выражении увеличение год к году составит 14,6%, и 5,6%, а для непроизводительных – 4,1%, и 5,8% в 2020 и 2021 годах соответственно. Однако в 2022 году темпы роста производительных расходов заметно снизятся, запланирован их рост на 6,4%, а непроизводительных – на 7,5% к уровню 2021 года</w:t>
      </w:r>
      <w:r w:rsidR="001D3373">
        <w:t>,</w:t>
      </w:r>
      <w:r>
        <w:t xml:space="preserve"> соответственно. В результате общий объем производительных расходов в 2022 году в номинальном выражении вырастет на 28,8% по отношению к уровню 2019 года, в то время как общий объем непроизводительных расходов за соответствующий период увеличится на 18,4%.</w:t>
      </w:r>
    </w:p>
    <w:p w14:paraId="7737C3F1" w14:textId="77777777" w:rsidR="00404CCD" w:rsidRDefault="00404CCD" w:rsidP="00404CCD">
      <w:pPr>
        <w:spacing w:after="60"/>
        <w:ind w:firstLine="709"/>
        <w:jc w:val="both"/>
      </w:pPr>
      <w:r>
        <w:t>Расходы на связь и информатику испытают самый высокий темп роста за период 2020-2022 годов среди рассматриваемых категорий расходов: к концу планового периода они вырастут на 47,9% в сравнении с 2019 годом. Значительный рост достигается несмотря на снижение в 2020 году на 18,2% по сравнению с 2019 г. В 2021-2022 годах объём средств, выделяемый на связь и информатику, растёт ежегодно примерно на треть. Такое сильное изменение темпов роста в течение 3-х лет, в котором значительное снижение сменяется ещё более резким ростом, может оказать серьёзную нагрузку на распорядителей бюджетных средств, усложняя им выполнение поставленных целей, связанных с развитием связи и информатики.</w:t>
      </w:r>
    </w:p>
    <w:p w14:paraId="3164F9D9" w14:textId="77777777" w:rsidR="00404CCD" w:rsidRDefault="00404CCD" w:rsidP="00404CCD">
      <w:pPr>
        <w:spacing w:after="60"/>
        <w:ind w:firstLine="709"/>
        <w:jc w:val="both"/>
      </w:pPr>
      <w:r>
        <w:t>Почти такой же рост испытают за плановый период расходы на транспорт, которые в 2022 году будут выше уровня 2019 года на 42,3%. В 2020 году расходы вырастут 18,6%, затем в 2021 году они будут заморожены на том же уровне, но в 2022 году снова начнут увеличиваться, демонстрируя годовой темп прироста 20,3%.</w:t>
      </w:r>
    </w:p>
    <w:p w14:paraId="09D1D912" w14:textId="0C6E13F0" w:rsidR="00404CCD" w:rsidRPr="00762141" w:rsidRDefault="00404CCD" w:rsidP="00404CCD">
      <w:pPr>
        <w:spacing w:after="60"/>
        <w:ind w:firstLine="709"/>
        <w:jc w:val="both"/>
      </w:pPr>
      <w:r>
        <w:t>Расходы на дорожное хозяйство занимают две трети в общем объёме расходов на инфраструктуру, вместе с тем, они вырастут за период 2019-2022 годов на 25,0%, что ниже темпов роста расходов на транспорт, а также на связь и информатику. Тем не менее, накопленный рост расходов по этому направлению за рассматриваемый</w:t>
      </w:r>
      <w:r w:rsidR="001D3373">
        <w:t xml:space="preserve"> период</w:t>
      </w:r>
      <w:r>
        <w:t xml:space="preserve"> будет более значительным (в процентном выражении), чем общих расходов бюджета (15,2%) или ВВП в номинальном выражении (21,4%). Расходы на дорожное хозяйство имеют самую сбалансированную динамику, переживая самые низкие перепады в своём объёме год к году: в 2020 году снижение на 3%, в 2021 и в 2022 году рост на 16,9% и 10,2%</w:t>
      </w:r>
      <w:r w:rsidR="001D3373">
        <w:t>,</w:t>
      </w:r>
      <w:r>
        <w:t xml:space="preserve"> соответственно.</w:t>
      </w:r>
    </w:p>
    <w:p w14:paraId="528135D8" w14:textId="77777777" w:rsidR="00404CCD" w:rsidRDefault="00404CCD" w:rsidP="00404CCD">
      <w:pPr>
        <w:spacing w:after="60"/>
        <w:ind w:firstLine="709"/>
        <w:jc w:val="both"/>
      </w:pPr>
      <w:r>
        <w:t>Расходы на водное хозяйство имеют наименьший объём по сравнению с другими расходами на инфраструктуру, транспорт и связь. На протяжении всего периода между 2019 и 2022 годами они составляют около 21,5 млрд руб., за исключением 2021 года, в котором они переживают краткосрочное увеличение до 28,2 млрд руб.</w:t>
      </w:r>
    </w:p>
    <w:p w14:paraId="41FB830C" w14:textId="6FC70B5D" w:rsidR="00404CCD" w:rsidRDefault="00404CCD" w:rsidP="00404CCD">
      <w:pPr>
        <w:spacing w:after="60"/>
        <w:ind w:firstLine="709"/>
        <w:jc w:val="both"/>
      </w:pPr>
      <w:r>
        <w:t xml:space="preserve">По результатам анализа расходов на </w:t>
      </w:r>
      <w:r w:rsidRPr="00C82401">
        <w:t>инфраструктуру, транспорт, связь и информатику</w:t>
      </w:r>
      <w:r>
        <w:t xml:space="preserve"> в рассматриваемом законопроекте можно сделать следующие выводы. Во-первых, несмотря на некоторый рост в номинальном выражении, не происходит существенного роста доли расходов на инфраструктуру в ВВП в рамках рассматриваемого периода (прирост на 0,24 п</w:t>
      </w:r>
      <w:r w:rsidR="001D3373">
        <w:t>.</w:t>
      </w:r>
      <w:r>
        <w:t xml:space="preserve">п. за период 2019-2022 гг. до уровня 1,24% ВВП). Это даже с учетом расходов на </w:t>
      </w:r>
      <w:r w:rsidR="001D3373">
        <w:t xml:space="preserve">реализацию </w:t>
      </w:r>
      <w:r>
        <w:t xml:space="preserve">национальных проектов </w:t>
      </w:r>
      <w:r w:rsidRPr="00CA26E3">
        <w:t>(</w:t>
      </w:r>
      <w:r w:rsidRPr="00A46B79">
        <w:t xml:space="preserve">см. </w:t>
      </w:r>
      <w:r w:rsidR="001D3373" w:rsidRPr="00A46B79">
        <w:t>Р</w:t>
      </w:r>
      <w:r w:rsidRPr="00A46B79">
        <w:t>аздел 5.1 Реализация национальных проектов: первые итоги</w:t>
      </w:r>
      <w:r w:rsidRPr="00CA26E3">
        <w:t>)</w:t>
      </w:r>
      <w:r>
        <w:t xml:space="preserve"> не позволяет достичь уровня расходов на инфраструктуру стран сопоставимого уровня социально-экономического развития, где таковые составляют не менее 3% ВВП. Во-вторых, несмотря на некоторое превышение темпов роста производительных расходов по сравнению с непроизводительными в 2020 г. (14,6% против 4</w:t>
      </w:r>
      <w:r w:rsidR="001D3373">
        <w:t>,</w:t>
      </w:r>
      <w:r>
        <w:t xml:space="preserve">1%), в 2021-2022 гг. темпы роста последних снова выходят на более высокий уровень (чем для производительных), а к концу планового периода доля непроизводительных расходов в общем объеме расходов </w:t>
      </w:r>
      <w:r w:rsidR="005667D5">
        <w:t>федерального бюджета</w:t>
      </w:r>
      <w:r>
        <w:t xml:space="preserve"> по-прежнему будет намного более значительной (42,8% против 23,2% для производительных в 2022 г.). Все это в целом может оказывать сдерживающее влияние на достижение национальных целей, определенных Указом Президента Российской Федерации №</w:t>
      </w:r>
      <w:r w:rsidR="00AA5ABD">
        <w:t xml:space="preserve"> </w:t>
      </w:r>
      <w:r>
        <w:t>204.</w:t>
      </w:r>
    </w:p>
    <w:p w14:paraId="39B0FE36" w14:textId="77777777" w:rsidR="00FA4D9B" w:rsidRPr="00FA4D9B" w:rsidRDefault="00FA4D9B" w:rsidP="00FA4D9B">
      <w:pPr>
        <w:spacing w:after="60"/>
        <w:ind w:firstLine="709"/>
        <w:jc w:val="both"/>
        <w:rPr>
          <w:i/>
        </w:rPr>
      </w:pPr>
      <w:r w:rsidRPr="00FA4D9B">
        <w:rPr>
          <w:i/>
        </w:rPr>
        <w:t>Промышленность</w:t>
      </w:r>
    </w:p>
    <w:p w14:paraId="2C2CA1EB" w14:textId="5BD42B80" w:rsidR="00FA4D9B" w:rsidRDefault="00FA4D9B" w:rsidP="00FA4D9B">
      <w:pPr>
        <w:spacing w:after="60"/>
        <w:ind w:firstLine="709"/>
        <w:jc w:val="both"/>
      </w:pPr>
      <w:r w:rsidRPr="00965F5E">
        <w:t xml:space="preserve">Основным нормативно-правовым актом, определяющим </w:t>
      </w:r>
      <w:r>
        <w:t>ключевые</w:t>
      </w:r>
      <w:r w:rsidRPr="00965F5E">
        <w:t xml:space="preserve"> направления развития</w:t>
      </w:r>
      <w:r w:rsidRPr="00682E9D">
        <w:t xml:space="preserve"> </w:t>
      </w:r>
      <w:r>
        <w:t xml:space="preserve">промышленного комплекса </w:t>
      </w:r>
      <w:r w:rsidRPr="00FA4D9B">
        <w:t>России, порядок финансового обеспечения и механизмы реализации мероприятий государственной поддержки, является Государственная Программа РФ "Развитие промышленности и повышение ее конкурентоспособности"</w:t>
      </w:r>
      <w:r w:rsidRPr="00FA4D9B">
        <w:rPr>
          <w:rStyle w:val="aa"/>
        </w:rPr>
        <w:footnoteReference w:id="15"/>
      </w:r>
      <w:r w:rsidRPr="00FA4D9B">
        <w:t xml:space="preserve">. Из проекта бюджета следует, что общий объем бюджетных ассигнований на </w:t>
      </w:r>
      <w:r w:rsidRPr="00FA4D9B">
        <w:rPr>
          <w:shd w:val="clear" w:color="auto" w:fill="FFFFFF"/>
        </w:rPr>
        <w:t>2020 год превышает изначально запланированный объем средств в программе развития промышленности</w:t>
      </w:r>
      <w:r w:rsidRPr="00FA4D9B">
        <w:rPr>
          <w:rStyle w:val="aa"/>
          <w:shd w:val="clear" w:color="auto" w:fill="FFFFFF"/>
        </w:rPr>
        <w:footnoteReference w:id="16"/>
      </w:r>
      <w:r w:rsidRPr="00FA4D9B">
        <w:rPr>
          <w:shd w:val="clear" w:color="auto" w:fill="FFFFFF"/>
        </w:rPr>
        <w:t xml:space="preserve"> и заложенную в бюджет 2019 года цифру</w:t>
      </w:r>
      <w:r w:rsidRPr="00FA4D9B">
        <w:rPr>
          <w:rStyle w:val="aa"/>
          <w:shd w:val="clear" w:color="auto" w:fill="FFFFFF"/>
        </w:rPr>
        <w:footnoteReference w:id="17"/>
      </w:r>
      <w:r w:rsidRPr="00FA4D9B">
        <w:rPr>
          <w:shd w:val="clear" w:color="auto" w:fill="FFFFFF"/>
        </w:rPr>
        <w:t xml:space="preserve"> на 52</w:t>
      </w:r>
      <w:r>
        <w:rPr>
          <w:shd w:val="clear" w:color="auto" w:fill="FFFFFF"/>
        </w:rPr>
        <w:t>,</w:t>
      </w:r>
      <w:r w:rsidRPr="00FA4D9B">
        <w:rPr>
          <w:shd w:val="clear" w:color="auto" w:fill="FFFFFF"/>
        </w:rPr>
        <w:t>1%. Наибольшее увеличение финансирования предусмотрено по подпрограммам: развитие транспортного и специального машиностроения (+57,6%);</w:t>
      </w:r>
      <w:r w:rsidRPr="00FA4D9B">
        <w:t xml:space="preserve"> содействие проведению научных исследований и опытных разработок в гражданских отраслях промышленности (+54,2%); развитие промышленной инфраструктуры и инфраструктуры поддержки деятельности в </w:t>
      </w:r>
      <w:r w:rsidRPr="002A049E">
        <w:t xml:space="preserve">сфере промышленности </w:t>
      </w:r>
      <w:r>
        <w:t>(+</w:t>
      </w:r>
      <w:r w:rsidRPr="002A049E">
        <w:t>145,5</w:t>
      </w:r>
      <w:r>
        <w:t xml:space="preserve">%). </w:t>
      </w:r>
      <w:r>
        <w:rPr>
          <w:color w:val="22272F"/>
          <w:shd w:val="clear" w:color="auto" w:fill="FFFFFF"/>
        </w:rPr>
        <w:t>Одновременно с этим по ряду подпрограмм запланировано снижение финансирования:</w:t>
      </w:r>
      <w:r>
        <w:t xml:space="preserve"> р</w:t>
      </w:r>
      <w:r w:rsidRPr="002A049E">
        <w:t xml:space="preserve">азвитие производства средств производства </w:t>
      </w:r>
      <w:r>
        <w:t>(-</w:t>
      </w:r>
      <w:r w:rsidRPr="002A049E">
        <w:t>57,4%</w:t>
      </w:r>
      <w:r>
        <w:t>); р</w:t>
      </w:r>
      <w:r w:rsidRPr="002A049E">
        <w:t xml:space="preserve">азвитие легкой и текстильной промышленности, народных художественных промыслов, индустрии детских товаров </w:t>
      </w:r>
      <w:r>
        <w:t>(-</w:t>
      </w:r>
      <w:r w:rsidRPr="002A049E">
        <w:t>67,1</w:t>
      </w:r>
      <w:r w:rsidRPr="008865F6">
        <w:t>%);</w:t>
      </w:r>
      <w:r>
        <w:t xml:space="preserve"> р</w:t>
      </w:r>
      <w:r w:rsidRPr="002A049E">
        <w:t xml:space="preserve">азвитие производства традиционных и новых материалов </w:t>
      </w:r>
      <w:r>
        <w:t>(-</w:t>
      </w:r>
      <w:r w:rsidRPr="002A049E">
        <w:t>44,4</w:t>
      </w:r>
      <w:r>
        <w:t>%).</w:t>
      </w:r>
    </w:p>
    <w:p w14:paraId="474C72F0" w14:textId="77777777" w:rsidR="00FA4D9B" w:rsidRDefault="00FA4D9B" w:rsidP="00FA4D9B">
      <w:pPr>
        <w:spacing w:after="60"/>
        <w:ind w:firstLine="709"/>
        <w:jc w:val="both"/>
      </w:pPr>
      <w:r>
        <w:t>Причины пересмотра параметров финансового обеспечения в проекте бюджета остаются нераскрытыми. Лишь в некоторых случаях указано, что изменения объясняются уточнением прогнозов объемов производства, в то время как программой «Развитие промышленности» предусмотрен перечень целевых показателей</w:t>
      </w:r>
      <w:r>
        <w:rPr>
          <w:rStyle w:val="aa"/>
        </w:rPr>
        <w:footnoteReference w:id="18"/>
      </w:r>
      <w:r>
        <w:t xml:space="preserve">, которые должны отражать результативность применяемых мер. Целесообразно обоснование параметров финансирования госпрограммы на основе анализа динамики индикаторов по итогам прошедших периодов. </w:t>
      </w:r>
    </w:p>
    <w:p w14:paraId="5AE22E5D" w14:textId="737C30EB" w:rsidR="00FA4D9B" w:rsidRDefault="00FA4D9B" w:rsidP="00FA4D9B">
      <w:pPr>
        <w:spacing w:after="60"/>
        <w:ind w:firstLine="709"/>
        <w:jc w:val="both"/>
      </w:pPr>
      <w:r>
        <w:t xml:space="preserve">Материалы к проекту бюджета оставляют открытым </w:t>
      </w:r>
      <w:r w:rsidR="00ED5AC1">
        <w:t xml:space="preserve">и </w:t>
      </w:r>
      <w:r>
        <w:t>вопрос о взаимосвязи и согласованности аналогичных механизмов господдержки между Проектом и национальной программой «Производительность труда и поддержка занятости» в части субсидирования процентных ставок и предоставления льготных займов производителям.</w:t>
      </w:r>
    </w:p>
    <w:p w14:paraId="0373DE3A" w14:textId="77777777" w:rsidR="00FA4D9B" w:rsidRDefault="00FA4D9B" w:rsidP="00FA4D9B">
      <w:pPr>
        <w:spacing w:after="60"/>
        <w:ind w:firstLine="709"/>
        <w:jc w:val="both"/>
      </w:pPr>
    </w:p>
    <w:p w14:paraId="6304B01E" w14:textId="77777777" w:rsidR="00995E45" w:rsidRPr="008E6B24" w:rsidRDefault="00995E45" w:rsidP="0035761E">
      <w:pPr>
        <w:keepNext/>
        <w:spacing w:before="60" w:after="60"/>
        <w:jc w:val="center"/>
        <w:outlineLvl w:val="2"/>
        <w:rPr>
          <w:b/>
          <w:szCs w:val="20"/>
        </w:rPr>
      </w:pPr>
      <w:bookmarkStart w:id="36" w:name="_Toc465966607"/>
      <w:bookmarkStart w:id="37" w:name="_Toc21436752"/>
      <w:r w:rsidRPr="00021561">
        <w:rPr>
          <w:b/>
          <w:szCs w:val="20"/>
        </w:rPr>
        <w:t>Расходы на поддержку сельского хозяйства</w:t>
      </w:r>
      <w:bookmarkEnd w:id="36"/>
      <w:bookmarkEnd w:id="37"/>
    </w:p>
    <w:p w14:paraId="3AD2D7AC" w14:textId="17DCD405" w:rsidR="00CE6F4D" w:rsidRDefault="00CE6F4D" w:rsidP="00CE6F4D">
      <w:pPr>
        <w:autoSpaceDE w:val="0"/>
        <w:autoSpaceDN w:val="0"/>
        <w:adjustRightInd w:val="0"/>
        <w:spacing w:after="60"/>
        <w:ind w:firstLine="709"/>
        <w:jc w:val="both"/>
        <w:rPr>
          <w:color w:val="000000"/>
        </w:rPr>
      </w:pPr>
      <w:r w:rsidRPr="00883243">
        <w:rPr>
          <w:color w:val="000000"/>
        </w:rPr>
        <w:t xml:space="preserve">В </w:t>
      </w:r>
      <w:r w:rsidR="00ED5AC1">
        <w:rPr>
          <w:color w:val="000000"/>
        </w:rPr>
        <w:t>законо</w:t>
      </w:r>
      <w:r w:rsidRPr="00883243">
        <w:rPr>
          <w:color w:val="000000"/>
        </w:rPr>
        <w:t xml:space="preserve">проекте представлены основные расходы федерального бюджета в разрезе ведомственных структур, целевых статей и государственных программ. Госпрограммы – основной инструмент реализации экономической и социальной политики государства. В расходной части бюджета они </w:t>
      </w:r>
      <w:r w:rsidRPr="00CA26E3">
        <w:rPr>
          <w:color w:val="000000"/>
        </w:rPr>
        <w:t>занимали</w:t>
      </w:r>
      <w:r w:rsidR="00EF3C7D">
        <w:rPr>
          <w:color w:val="000000"/>
        </w:rPr>
        <w:t xml:space="preserve"> </w:t>
      </w:r>
      <w:r w:rsidR="00313A8F">
        <w:rPr>
          <w:color w:val="000000"/>
        </w:rPr>
        <w:t>78</w:t>
      </w:r>
      <w:r w:rsidRPr="00CA26E3">
        <w:rPr>
          <w:color w:val="000000"/>
        </w:rPr>
        <w:t>% всех расходов, а на период 2020-2022 на них приходится не менее 74%</w:t>
      </w:r>
      <w:r w:rsidRPr="00883243">
        <w:rPr>
          <w:color w:val="000000"/>
        </w:rPr>
        <w:t xml:space="preserve"> запланированных </w:t>
      </w:r>
      <w:r w:rsidRPr="00A46B79">
        <w:rPr>
          <w:color w:val="000000"/>
        </w:rPr>
        <w:t>общих расходов (</w:t>
      </w:r>
      <w:r w:rsidR="00A46B79" w:rsidRPr="00A46B79">
        <w:rPr>
          <w:i/>
          <w:color w:val="000000"/>
        </w:rPr>
        <w:t>таблица</w:t>
      </w:r>
      <w:r w:rsidR="00A46B79">
        <w:rPr>
          <w:color w:val="000000"/>
        </w:rPr>
        <w:t xml:space="preserve"> </w:t>
      </w:r>
      <w:r w:rsidR="00C84D38">
        <w:rPr>
          <w:i/>
          <w:noProof/>
        </w:rPr>
        <w:t>18</w:t>
      </w:r>
      <w:r w:rsidRPr="00A46B79">
        <w:rPr>
          <w:color w:val="000000"/>
        </w:rPr>
        <w:t>).</w:t>
      </w:r>
    </w:p>
    <w:p w14:paraId="45A8BA33" w14:textId="190E1BEB" w:rsidR="00CE6F4D" w:rsidRPr="00883243" w:rsidRDefault="00FE3BF7" w:rsidP="00CE6F4D">
      <w:pPr>
        <w:autoSpaceDE w:val="0"/>
        <w:autoSpaceDN w:val="0"/>
        <w:adjustRightInd w:val="0"/>
        <w:spacing w:after="60"/>
        <w:ind w:firstLine="709"/>
        <w:jc w:val="both"/>
        <w:rPr>
          <w:color w:val="000000"/>
        </w:rPr>
      </w:pPr>
      <w:r>
        <w:rPr>
          <w:color w:val="000000"/>
        </w:rPr>
        <w:t>Базовым</w:t>
      </w:r>
      <w:r w:rsidRPr="00883243">
        <w:rPr>
          <w:color w:val="000000"/>
        </w:rPr>
        <w:t xml:space="preserve"> </w:t>
      </w:r>
      <w:r w:rsidR="00CE6F4D" w:rsidRPr="00883243">
        <w:rPr>
          <w:color w:val="000000"/>
        </w:rPr>
        <w:t xml:space="preserve">документом, определяющим цели и основные направления развития сельского хозяйства и регулирования рынков сельскохозяйственного сырья и продовольствия на среднесрочный период, является Государственная программа развития сельского хозяйства и регулирования рынков сельскохозяйственной продукции, сырья и продовольствия (далее – Госпрограмма развития сельского хозяйства). С 2020 г. начинается реализация </w:t>
      </w:r>
      <w:r w:rsidR="00CE6F4D">
        <w:rPr>
          <w:color w:val="000000"/>
        </w:rPr>
        <w:t xml:space="preserve">и </w:t>
      </w:r>
      <w:r w:rsidR="00CE6F4D" w:rsidRPr="00883243">
        <w:rPr>
          <w:color w:val="000000"/>
        </w:rPr>
        <w:t xml:space="preserve">тесно связанной с развитием сельского хозяйства Государственной программы "Комплексное развитие сельских территорий." В 2019 г. ВЦП "Устойчивое развитие сельских территорий" входила в структуру Госпрограммы развития сельского хозяйства и регулирования рынков сельскохозяйственной продукции, сырья и продовольствия. </w:t>
      </w:r>
    </w:p>
    <w:p w14:paraId="74FC12C3" w14:textId="79F15AC2" w:rsidR="00CE6F4D" w:rsidRDefault="00CE6F4D" w:rsidP="00CE6F4D">
      <w:pPr>
        <w:autoSpaceDE w:val="0"/>
        <w:autoSpaceDN w:val="0"/>
        <w:adjustRightInd w:val="0"/>
        <w:spacing w:after="60"/>
        <w:ind w:firstLine="709"/>
        <w:jc w:val="both"/>
        <w:rPr>
          <w:color w:val="000000"/>
        </w:rPr>
      </w:pPr>
      <w:r w:rsidRPr="00883243">
        <w:rPr>
          <w:color w:val="000000"/>
        </w:rPr>
        <w:t>В общей структуре расходов на Госпрограммы развития сельского хозяйства и Комплексного развития сельских территорий приходится всего 1,7% общих расходов бюджета, в т</w:t>
      </w:r>
      <w:r w:rsidR="006C4CD2">
        <w:rPr>
          <w:color w:val="000000"/>
        </w:rPr>
        <w:t>ом числе</w:t>
      </w:r>
      <w:r w:rsidRPr="00883243">
        <w:rPr>
          <w:color w:val="000000"/>
        </w:rPr>
        <w:t xml:space="preserve"> на комплексное развитие сельских территорий, </w:t>
      </w:r>
      <w:r w:rsidR="006C4CD2">
        <w:rPr>
          <w:color w:val="000000"/>
        </w:rPr>
        <w:t>–</w:t>
      </w:r>
      <w:r w:rsidRPr="00883243">
        <w:rPr>
          <w:color w:val="000000"/>
        </w:rPr>
        <w:t xml:space="preserve"> 0,2% и эта доля планируется постоянной на трех</w:t>
      </w:r>
      <w:r>
        <w:rPr>
          <w:color w:val="000000"/>
        </w:rPr>
        <w:t>летнем периоде</w:t>
      </w:r>
      <w:r w:rsidRPr="00A46B79">
        <w:rPr>
          <w:color w:val="000000"/>
        </w:rPr>
        <w:t>, что</w:t>
      </w:r>
      <w:r>
        <w:rPr>
          <w:color w:val="000000"/>
        </w:rPr>
        <w:t xml:space="preserve"> не соответствует ни вкладу отрасли в ВДС (</w:t>
      </w:r>
      <w:r w:rsidRPr="00883243">
        <w:rPr>
          <w:color w:val="000000"/>
        </w:rPr>
        <w:t>3,1% всей валовой добавленной стоимости (2018 г.)</w:t>
      </w:r>
      <w:r>
        <w:rPr>
          <w:color w:val="000000"/>
        </w:rPr>
        <w:t>), ни масштабам проблем, связанных с сельским развитием, обеспечением продовольственной безопасности, которые гораздо шире по значению, чем просто вклад отрасли в валовой продукт.</w:t>
      </w:r>
    </w:p>
    <w:p w14:paraId="62D7D30D" w14:textId="0D470E04" w:rsidR="00CE2F2B" w:rsidRPr="00600DF7" w:rsidRDefault="00CE2F2B" w:rsidP="00CE2F2B">
      <w:pPr>
        <w:spacing w:after="60"/>
        <w:jc w:val="right"/>
        <w:rPr>
          <w:i/>
        </w:rPr>
      </w:pPr>
      <w:r w:rsidRPr="00600DF7">
        <w:rPr>
          <w:i/>
        </w:rPr>
        <w:t>Таблица</w:t>
      </w:r>
      <w:r>
        <w:rPr>
          <w:i/>
        </w:rPr>
        <w:t xml:space="preserve"> </w:t>
      </w:r>
      <w:bookmarkStart w:id="38" w:name="_Ref21361316"/>
      <w:r w:rsidR="00C84D38">
        <w:rPr>
          <w:i/>
          <w:noProof/>
        </w:rPr>
        <w:t>18</w:t>
      </w:r>
      <w:bookmarkEnd w:id="38"/>
    </w:p>
    <w:p w14:paraId="0CC88CF8" w14:textId="77777777" w:rsidR="00CE2F2B" w:rsidRPr="00A46B79" w:rsidRDefault="00CE2F2B" w:rsidP="00CE2F2B">
      <w:pPr>
        <w:autoSpaceDE w:val="0"/>
        <w:autoSpaceDN w:val="0"/>
        <w:adjustRightInd w:val="0"/>
        <w:spacing w:after="60"/>
        <w:jc w:val="center"/>
        <w:rPr>
          <w:b/>
          <w:color w:val="000000"/>
        </w:rPr>
      </w:pPr>
      <w:r w:rsidRPr="00A46B79">
        <w:rPr>
          <w:b/>
          <w:color w:val="000000"/>
        </w:rPr>
        <w:t>Доля расходов на реализацию Госпрограмм от общих расходов бюджета, %</w:t>
      </w:r>
    </w:p>
    <w:tbl>
      <w:tblPr>
        <w:tblW w:w="8969" w:type="dxa"/>
        <w:tblInd w:w="98" w:type="dxa"/>
        <w:tblLayout w:type="fixed"/>
        <w:tblLook w:val="04A0" w:firstRow="1" w:lastRow="0" w:firstColumn="1" w:lastColumn="0" w:noHBand="0" w:noVBand="1"/>
      </w:tblPr>
      <w:tblGrid>
        <w:gridCol w:w="3441"/>
        <w:gridCol w:w="1247"/>
        <w:gridCol w:w="1427"/>
        <w:gridCol w:w="1427"/>
        <w:gridCol w:w="1427"/>
      </w:tblGrid>
      <w:tr w:rsidR="00CE2F2B" w:rsidRPr="004A52CD" w14:paraId="2BFAF7C0" w14:textId="77777777" w:rsidTr="000419EA">
        <w:trPr>
          <w:trHeight w:val="20"/>
          <w:tblHeader/>
        </w:trPr>
        <w:tc>
          <w:tcPr>
            <w:tcW w:w="34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D4B826" w14:textId="77777777" w:rsidR="00CE2F2B" w:rsidRPr="00A46B79" w:rsidRDefault="00CE2F2B" w:rsidP="00CE2F2B">
            <w:pPr>
              <w:spacing w:after="60"/>
              <w:jc w:val="center"/>
              <w:rPr>
                <w:b/>
                <w:color w:val="000000"/>
                <w:sz w:val="20"/>
                <w:szCs w:val="20"/>
              </w:rPr>
            </w:pPr>
            <w:r w:rsidRPr="00A46B79">
              <w:rPr>
                <w:b/>
                <w:color w:val="000000"/>
                <w:sz w:val="20"/>
                <w:szCs w:val="20"/>
              </w:rPr>
              <w:t>Доля расходов на реализацию Госпрограмм от общих расходов бюджета</w:t>
            </w:r>
          </w:p>
        </w:tc>
        <w:tc>
          <w:tcPr>
            <w:tcW w:w="1247" w:type="dxa"/>
            <w:vMerge w:val="restart"/>
            <w:tcBorders>
              <w:top w:val="single" w:sz="4" w:space="0" w:color="auto"/>
              <w:left w:val="nil"/>
              <w:right w:val="single" w:sz="4" w:space="0" w:color="auto"/>
            </w:tcBorders>
            <w:shd w:val="clear" w:color="auto" w:fill="auto"/>
            <w:noWrap/>
            <w:vAlign w:val="center"/>
          </w:tcPr>
          <w:p w14:paraId="6FA94A2A" w14:textId="69715EF2" w:rsidR="00CE2F2B" w:rsidRPr="00A46B79" w:rsidRDefault="00CE2F2B" w:rsidP="00CE2F2B">
            <w:pPr>
              <w:spacing w:after="60"/>
              <w:jc w:val="center"/>
              <w:rPr>
                <w:b/>
                <w:color w:val="000000"/>
                <w:sz w:val="20"/>
                <w:szCs w:val="20"/>
              </w:rPr>
            </w:pPr>
            <w:r w:rsidRPr="00A46B79">
              <w:rPr>
                <w:b/>
                <w:color w:val="000000"/>
                <w:sz w:val="20"/>
                <w:szCs w:val="20"/>
              </w:rPr>
              <w:t>2019 г</w:t>
            </w:r>
            <w:r>
              <w:rPr>
                <w:b/>
                <w:color w:val="000000"/>
                <w:sz w:val="20"/>
                <w:szCs w:val="20"/>
              </w:rPr>
              <w:t>.</w:t>
            </w:r>
          </w:p>
        </w:tc>
        <w:tc>
          <w:tcPr>
            <w:tcW w:w="4281" w:type="dxa"/>
            <w:gridSpan w:val="3"/>
            <w:tcBorders>
              <w:top w:val="single" w:sz="4" w:space="0" w:color="auto"/>
              <w:left w:val="nil"/>
              <w:bottom w:val="single" w:sz="4" w:space="0" w:color="auto"/>
              <w:right w:val="single" w:sz="4" w:space="0" w:color="auto"/>
            </w:tcBorders>
            <w:shd w:val="clear" w:color="auto" w:fill="auto"/>
            <w:noWrap/>
            <w:vAlign w:val="center"/>
          </w:tcPr>
          <w:p w14:paraId="4C8F2E95" w14:textId="77777777" w:rsidR="00CE2F2B" w:rsidRPr="00A46B79" w:rsidRDefault="00CE2F2B" w:rsidP="00CE2F2B">
            <w:pPr>
              <w:spacing w:after="60"/>
              <w:jc w:val="center"/>
              <w:rPr>
                <w:b/>
                <w:color w:val="000000"/>
                <w:sz w:val="20"/>
                <w:szCs w:val="20"/>
              </w:rPr>
            </w:pPr>
            <w:r w:rsidRPr="00A46B79">
              <w:rPr>
                <w:b/>
                <w:color w:val="000000"/>
                <w:sz w:val="20"/>
                <w:szCs w:val="20"/>
              </w:rPr>
              <w:t>Законопроект</w:t>
            </w:r>
          </w:p>
        </w:tc>
      </w:tr>
      <w:tr w:rsidR="00CE2F2B" w:rsidRPr="004A52CD" w14:paraId="4DCAF43E" w14:textId="77777777" w:rsidTr="000419EA">
        <w:trPr>
          <w:trHeight w:val="20"/>
          <w:tblHeader/>
        </w:trPr>
        <w:tc>
          <w:tcPr>
            <w:tcW w:w="344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FF509F" w14:textId="77777777" w:rsidR="00CE2F2B" w:rsidRPr="00CB4E04" w:rsidRDefault="00CE2F2B" w:rsidP="00CE2F2B">
            <w:pPr>
              <w:spacing w:after="60"/>
              <w:jc w:val="both"/>
              <w:rPr>
                <w:color w:val="000000"/>
                <w:sz w:val="20"/>
                <w:szCs w:val="20"/>
              </w:rPr>
            </w:pPr>
          </w:p>
        </w:tc>
        <w:tc>
          <w:tcPr>
            <w:tcW w:w="1247" w:type="dxa"/>
            <w:vMerge/>
            <w:tcBorders>
              <w:left w:val="nil"/>
              <w:bottom w:val="single" w:sz="4" w:space="0" w:color="auto"/>
              <w:right w:val="single" w:sz="4" w:space="0" w:color="auto"/>
            </w:tcBorders>
            <w:shd w:val="clear" w:color="auto" w:fill="auto"/>
            <w:noWrap/>
            <w:vAlign w:val="center"/>
          </w:tcPr>
          <w:p w14:paraId="3EC4D5BA" w14:textId="77777777" w:rsidR="00CE2F2B" w:rsidRPr="00CB4E04" w:rsidRDefault="00CE2F2B" w:rsidP="00CE2F2B">
            <w:pPr>
              <w:spacing w:after="60"/>
              <w:jc w:val="center"/>
              <w:rPr>
                <w:b/>
                <w:color w:val="000000"/>
                <w:sz w:val="20"/>
                <w:szCs w:val="20"/>
              </w:rPr>
            </w:pPr>
          </w:p>
        </w:tc>
        <w:tc>
          <w:tcPr>
            <w:tcW w:w="1427" w:type="dxa"/>
            <w:tcBorders>
              <w:top w:val="single" w:sz="4" w:space="0" w:color="auto"/>
              <w:left w:val="nil"/>
              <w:bottom w:val="single" w:sz="4" w:space="0" w:color="auto"/>
              <w:right w:val="single" w:sz="4" w:space="0" w:color="auto"/>
            </w:tcBorders>
            <w:shd w:val="clear" w:color="auto" w:fill="auto"/>
            <w:noWrap/>
            <w:vAlign w:val="center"/>
          </w:tcPr>
          <w:p w14:paraId="204824FA" w14:textId="77777777" w:rsidR="00CE2F2B" w:rsidRPr="00A46B79" w:rsidRDefault="00CE2F2B" w:rsidP="00CE2F2B">
            <w:pPr>
              <w:spacing w:after="60"/>
              <w:jc w:val="center"/>
              <w:rPr>
                <w:b/>
                <w:color w:val="000000"/>
                <w:sz w:val="20"/>
                <w:szCs w:val="20"/>
              </w:rPr>
            </w:pPr>
            <w:r w:rsidRPr="00CB4E04">
              <w:rPr>
                <w:b/>
                <w:color w:val="000000"/>
                <w:sz w:val="20"/>
                <w:szCs w:val="20"/>
              </w:rPr>
              <w:t>2020</w:t>
            </w:r>
            <w:r>
              <w:rPr>
                <w:b/>
                <w:color w:val="000000"/>
                <w:sz w:val="20"/>
                <w:szCs w:val="20"/>
              </w:rPr>
              <w:t xml:space="preserve"> г.</w:t>
            </w:r>
          </w:p>
        </w:tc>
        <w:tc>
          <w:tcPr>
            <w:tcW w:w="1427" w:type="dxa"/>
            <w:tcBorders>
              <w:top w:val="single" w:sz="4" w:space="0" w:color="auto"/>
              <w:left w:val="nil"/>
              <w:bottom w:val="single" w:sz="4" w:space="0" w:color="auto"/>
              <w:right w:val="single" w:sz="4" w:space="0" w:color="auto"/>
            </w:tcBorders>
            <w:shd w:val="clear" w:color="auto" w:fill="auto"/>
            <w:noWrap/>
            <w:vAlign w:val="center"/>
          </w:tcPr>
          <w:p w14:paraId="0ABF4D96" w14:textId="77777777" w:rsidR="00CE2F2B" w:rsidRPr="00A46B79" w:rsidRDefault="00CE2F2B" w:rsidP="00CE2F2B">
            <w:pPr>
              <w:spacing w:after="60"/>
              <w:jc w:val="center"/>
              <w:rPr>
                <w:b/>
                <w:color w:val="000000"/>
                <w:sz w:val="20"/>
                <w:szCs w:val="20"/>
              </w:rPr>
            </w:pPr>
            <w:r w:rsidRPr="00A46B79">
              <w:rPr>
                <w:b/>
                <w:color w:val="000000"/>
                <w:sz w:val="20"/>
                <w:szCs w:val="20"/>
              </w:rPr>
              <w:t>2021</w:t>
            </w:r>
            <w:r>
              <w:rPr>
                <w:b/>
                <w:color w:val="000000"/>
                <w:sz w:val="20"/>
                <w:szCs w:val="20"/>
              </w:rPr>
              <w:t xml:space="preserve"> г.</w:t>
            </w:r>
          </w:p>
        </w:tc>
        <w:tc>
          <w:tcPr>
            <w:tcW w:w="1427" w:type="dxa"/>
            <w:tcBorders>
              <w:top w:val="nil"/>
              <w:left w:val="nil"/>
              <w:bottom w:val="single" w:sz="4" w:space="0" w:color="auto"/>
              <w:right w:val="single" w:sz="4" w:space="0" w:color="auto"/>
            </w:tcBorders>
            <w:shd w:val="clear" w:color="auto" w:fill="auto"/>
            <w:noWrap/>
            <w:vAlign w:val="center"/>
          </w:tcPr>
          <w:p w14:paraId="681020E6" w14:textId="77777777" w:rsidR="00CE2F2B" w:rsidRPr="00A46B79" w:rsidRDefault="00CE2F2B" w:rsidP="00CE2F2B">
            <w:pPr>
              <w:spacing w:after="60"/>
              <w:jc w:val="center"/>
              <w:rPr>
                <w:b/>
                <w:color w:val="000000"/>
                <w:sz w:val="20"/>
                <w:szCs w:val="20"/>
              </w:rPr>
            </w:pPr>
            <w:r w:rsidRPr="00A46B79">
              <w:rPr>
                <w:b/>
                <w:color w:val="000000"/>
                <w:sz w:val="20"/>
                <w:szCs w:val="20"/>
              </w:rPr>
              <w:t>2022</w:t>
            </w:r>
            <w:r>
              <w:rPr>
                <w:b/>
                <w:color w:val="000000"/>
                <w:sz w:val="20"/>
                <w:szCs w:val="20"/>
              </w:rPr>
              <w:t xml:space="preserve"> г.</w:t>
            </w:r>
          </w:p>
        </w:tc>
      </w:tr>
      <w:tr w:rsidR="00CE2F2B" w:rsidRPr="004A52CD" w14:paraId="56A0812E" w14:textId="77777777" w:rsidTr="000419EA">
        <w:trPr>
          <w:trHeight w:val="20"/>
        </w:trPr>
        <w:tc>
          <w:tcPr>
            <w:tcW w:w="3441" w:type="dxa"/>
            <w:tcBorders>
              <w:top w:val="nil"/>
              <w:left w:val="single" w:sz="4" w:space="0" w:color="auto"/>
              <w:bottom w:val="single" w:sz="4" w:space="0" w:color="auto"/>
              <w:right w:val="single" w:sz="4" w:space="0" w:color="auto"/>
            </w:tcBorders>
            <w:shd w:val="clear" w:color="auto" w:fill="auto"/>
            <w:vAlign w:val="center"/>
            <w:hideMark/>
          </w:tcPr>
          <w:p w14:paraId="7E08BC72" w14:textId="77777777" w:rsidR="00CE2F2B" w:rsidRPr="00A46B79" w:rsidRDefault="00CE2F2B" w:rsidP="00CE2F2B">
            <w:pPr>
              <w:spacing w:after="60"/>
              <w:jc w:val="both"/>
              <w:rPr>
                <w:color w:val="000000"/>
                <w:sz w:val="20"/>
                <w:szCs w:val="20"/>
              </w:rPr>
            </w:pPr>
            <w:r w:rsidRPr="00A46B79">
              <w:rPr>
                <w:color w:val="000000"/>
                <w:sz w:val="20"/>
                <w:szCs w:val="20"/>
              </w:rPr>
              <w:t xml:space="preserve">Всех Госпрограмм </w:t>
            </w:r>
          </w:p>
        </w:tc>
        <w:tc>
          <w:tcPr>
            <w:tcW w:w="1247" w:type="dxa"/>
            <w:tcBorders>
              <w:top w:val="nil"/>
              <w:left w:val="nil"/>
              <w:bottom w:val="single" w:sz="4" w:space="0" w:color="auto"/>
              <w:right w:val="single" w:sz="4" w:space="0" w:color="auto"/>
            </w:tcBorders>
            <w:shd w:val="clear" w:color="auto" w:fill="auto"/>
            <w:noWrap/>
            <w:vAlign w:val="center"/>
            <w:hideMark/>
          </w:tcPr>
          <w:p w14:paraId="30325E05" w14:textId="77777777" w:rsidR="00CE2F2B" w:rsidRPr="00A46B79" w:rsidRDefault="00CE2F2B" w:rsidP="00CE2F2B">
            <w:pPr>
              <w:spacing w:after="60"/>
              <w:jc w:val="center"/>
              <w:rPr>
                <w:bCs/>
                <w:color w:val="000000"/>
                <w:sz w:val="20"/>
                <w:szCs w:val="20"/>
              </w:rPr>
            </w:pPr>
            <w:r>
              <w:rPr>
                <w:bCs/>
                <w:color w:val="000000"/>
                <w:sz w:val="20"/>
                <w:szCs w:val="20"/>
              </w:rPr>
              <w:t>78</w:t>
            </w:r>
            <w:r w:rsidRPr="00A46B79">
              <w:rPr>
                <w:bCs/>
                <w:color w:val="000000"/>
                <w:sz w:val="20"/>
                <w:szCs w:val="20"/>
              </w:rPr>
              <w:t>,0</w:t>
            </w:r>
          </w:p>
        </w:tc>
        <w:tc>
          <w:tcPr>
            <w:tcW w:w="1427" w:type="dxa"/>
            <w:tcBorders>
              <w:top w:val="nil"/>
              <w:left w:val="nil"/>
              <w:bottom w:val="single" w:sz="4" w:space="0" w:color="auto"/>
              <w:right w:val="single" w:sz="4" w:space="0" w:color="auto"/>
            </w:tcBorders>
            <w:shd w:val="clear" w:color="auto" w:fill="auto"/>
            <w:noWrap/>
            <w:vAlign w:val="center"/>
            <w:hideMark/>
          </w:tcPr>
          <w:p w14:paraId="174DC25B" w14:textId="77777777" w:rsidR="00CE2F2B" w:rsidRPr="00A46B79" w:rsidRDefault="00CE2F2B" w:rsidP="00CE2F2B">
            <w:pPr>
              <w:spacing w:after="60"/>
              <w:jc w:val="center"/>
              <w:rPr>
                <w:bCs/>
                <w:color w:val="000000"/>
                <w:sz w:val="20"/>
                <w:szCs w:val="20"/>
              </w:rPr>
            </w:pPr>
            <w:r w:rsidRPr="00A46B79">
              <w:rPr>
                <w:bCs/>
                <w:color w:val="000000"/>
                <w:sz w:val="20"/>
                <w:szCs w:val="20"/>
              </w:rPr>
              <w:t>75,1</w:t>
            </w:r>
          </w:p>
        </w:tc>
        <w:tc>
          <w:tcPr>
            <w:tcW w:w="1427" w:type="dxa"/>
            <w:tcBorders>
              <w:top w:val="nil"/>
              <w:left w:val="nil"/>
              <w:bottom w:val="single" w:sz="4" w:space="0" w:color="auto"/>
              <w:right w:val="single" w:sz="4" w:space="0" w:color="auto"/>
            </w:tcBorders>
            <w:shd w:val="clear" w:color="auto" w:fill="auto"/>
            <w:noWrap/>
            <w:vAlign w:val="center"/>
            <w:hideMark/>
          </w:tcPr>
          <w:p w14:paraId="1D25DD0D" w14:textId="77777777" w:rsidR="00CE2F2B" w:rsidRPr="00A46B79" w:rsidRDefault="00CE2F2B" w:rsidP="00CE2F2B">
            <w:pPr>
              <w:spacing w:after="60"/>
              <w:jc w:val="center"/>
              <w:rPr>
                <w:bCs/>
                <w:color w:val="000000"/>
                <w:sz w:val="20"/>
                <w:szCs w:val="20"/>
              </w:rPr>
            </w:pPr>
            <w:r w:rsidRPr="00A46B79">
              <w:rPr>
                <w:bCs/>
                <w:color w:val="000000"/>
                <w:sz w:val="20"/>
                <w:szCs w:val="20"/>
              </w:rPr>
              <w:t>74,0</w:t>
            </w:r>
          </w:p>
        </w:tc>
        <w:tc>
          <w:tcPr>
            <w:tcW w:w="1427" w:type="dxa"/>
            <w:tcBorders>
              <w:top w:val="nil"/>
              <w:left w:val="nil"/>
              <w:bottom w:val="single" w:sz="4" w:space="0" w:color="auto"/>
              <w:right w:val="single" w:sz="4" w:space="0" w:color="auto"/>
            </w:tcBorders>
            <w:shd w:val="clear" w:color="auto" w:fill="auto"/>
            <w:noWrap/>
            <w:vAlign w:val="center"/>
            <w:hideMark/>
          </w:tcPr>
          <w:p w14:paraId="509DF3D8" w14:textId="77777777" w:rsidR="00CE2F2B" w:rsidRPr="00A46B79" w:rsidRDefault="00CE2F2B" w:rsidP="00CE2F2B">
            <w:pPr>
              <w:spacing w:after="60"/>
              <w:jc w:val="center"/>
              <w:rPr>
                <w:bCs/>
                <w:color w:val="000000"/>
                <w:sz w:val="20"/>
                <w:szCs w:val="20"/>
              </w:rPr>
            </w:pPr>
            <w:r w:rsidRPr="00A46B79">
              <w:rPr>
                <w:bCs/>
                <w:color w:val="000000"/>
                <w:sz w:val="20"/>
                <w:szCs w:val="20"/>
              </w:rPr>
              <w:t>74,1</w:t>
            </w:r>
          </w:p>
        </w:tc>
      </w:tr>
      <w:tr w:rsidR="00CE2F2B" w:rsidRPr="004A52CD" w14:paraId="26016AD3" w14:textId="77777777" w:rsidTr="000419EA">
        <w:trPr>
          <w:trHeight w:val="20"/>
        </w:trPr>
        <w:tc>
          <w:tcPr>
            <w:tcW w:w="3441" w:type="dxa"/>
            <w:tcBorders>
              <w:top w:val="nil"/>
              <w:left w:val="single" w:sz="4" w:space="0" w:color="auto"/>
              <w:bottom w:val="single" w:sz="4" w:space="0" w:color="auto"/>
              <w:right w:val="single" w:sz="4" w:space="0" w:color="auto"/>
            </w:tcBorders>
            <w:shd w:val="clear" w:color="auto" w:fill="auto"/>
            <w:vAlign w:val="center"/>
            <w:hideMark/>
          </w:tcPr>
          <w:p w14:paraId="6688A823" w14:textId="77777777" w:rsidR="00CE2F2B" w:rsidRPr="00A46B79" w:rsidRDefault="00CE2F2B" w:rsidP="00CE2F2B">
            <w:pPr>
              <w:spacing w:after="60"/>
              <w:jc w:val="both"/>
              <w:rPr>
                <w:color w:val="000000"/>
                <w:sz w:val="20"/>
                <w:szCs w:val="20"/>
              </w:rPr>
            </w:pPr>
            <w:r w:rsidRPr="00A46B79">
              <w:rPr>
                <w:color w:val="000000"/>
                <w:sz w:val="20"/>
                <w:szCs w:val="20"/>
              </w:rPr>
              <w:t>Госпрограммы развития сельского хозяйства</w:t>
            </w:r>
          </w:p>
        </w:tc>
        <w:tc>
          <w:tcPr>
            <w:tcW w:w="1247" w:type="dxa"/>
            <w:tcBorders>
              <w:top w:val="nil"/>
              <w:left w:val="nil"/>
              <w:bottom w:val="single" w:sz="4" w:space="0" w:color="auto"/>
              <w:right w:val="single" w:sz="4" w:space="0" w:color="auto"/>
            </w:tcBorders>
            <w:shd w:val="clear" w:color="auto" w:fill="auto"/>
            <w:noWrap/>
            <w:vAlign w:val="center"/>
            <w:hideMark/>
          </w:tcPr>
          <w:p w14:paraId="23A72C2B" w14:textId="77777777" w:rsidR="00CE2F2B" w:rsidRPr="00A46B79" w:rsidRDefault="00CE2F2B" w:rsidP="00CE2F2B">
            <w:pPr>
              <w:spacing w:after="60"/>
              <w:jc w:val="center"/>
              <w:rPr>
                <w:bCs/>
                <w:color w:val="000000"/>
                <w:sz w:val="20"/>
                <w:szCs w:val="20"/>
              </w:rPr>
            </w:pPr>
            <w:r w:rsidRPr="00A46B79">
              <w:rPr>
                <w:bCs/>
                <w:color w:val="000000"/>
                <w:sz w:val="20"/>
                <w:szCs w:val="20"/>
              </w:rPr>
              <w:t>1,7</w:t>
            </w:r>
          </w:p>
        </w:tc>
        <w:tc>
          <w:tcPr>
            <w:tcW w:w="1427" w:type="dxa"/>
            <w:tcBorders>
              <w:top w:val="nil"/>
              <w:left w:val="nil"/>
              <w:bottom w:val="single" w:sz="4" w:space="0" w:color="auto"/>
              <w:right w:val="single" w:sz="4" w:space="0" w:color="auto"/>
            </w:tcBorders>
            <w:shd w:val="clear" w:color="auto" w:fill="auto"/>
            <w:noWrap/>
            <w:vAlign w:val="center"/>
            <w:hideMark/>
          </w:tcPr>
          <w:p w14:paraId="5F564536" w14:textId="77777777" w:rsidR="00CE2F2B" w:rsidRPr="00A46B79" w:rsidRDefault="00CE2F2B" w:rsidP="00CE2F2B">
            <w:pPr>
              <w:spacing w:after="60"/>
              <w:jc w:val="center"/>
              <w:rPr>
                <w:bCs/>
                <w:color w:val="000000"/>
                <w:sz w:val="20"/>
                <w:szCs w:val="20"/>
              </w:rPr>
            </w:pPr>
            <w:r w:rsidRPr="00A46B79">
              <w:rPr>
                <w:bCs/>
                <w:color w:val="000000"/>
                <w:sz w:val="20"/>
                <w:szCs w:val="20"/>
              </w:rPr>
              <w:t>1,5</w:t>
            </w:r>
          </w:p>
        </w:tc>
        <w:tc>
          <w:tcPr>
            <w:tcW w:w="1427" w:type="dxa"/>
            <w:tcBorders>
              <w:top w:val="nil"/>
              <w:left w:val="nil"/>
              <w:bottom w:val="single" w:sz="4" w:space="0" w:color="auto"/>
              <w:right w:val="single" w:sz="4" w:space="0" w:color="auto"/>
            </w:tcBorders>
            <w:shd w:val="clear" w:color="auto" w:fill="auto"/>
            <w:noWrap/>
            <w:vAlign w:val="center"/>
            <w:hideMark/>
          </w:tcPr>
          <w:p w14:paraId="0BAA0F6C" w14:textId="77777777" w:rsidR="00CE2F2B" w:rsidRPr="00A46B79" w:rsidRDefault="00CE2F2B" w:rsidP="00CE2F2B">
            <w:pPr>
              <w:spacing w:after="60"/>
              <w:jc w:val="center"/>
              <w:rPr>
                <w:bCs/>
                <w:color w:val="000000"/>
                <w:sz w:val="20"/>
                <w:szCs w:val="20"/>
              </w:rPr>
            </w:pPr>
            <w:r w:rsidRPr="00A46B79">
              <w:rPr>
                <w:bCs/>
                <w:color w:val="000000"/>
                <w:sz w:val="20"/>
                <w:szCs w:val="20"/>
              </w:rPr>
              <w:t>1,4</w:t>
            </w:r>
          </w:p>
        </w:tc>
        <w:tc>
          <w:tcPr>
            <w:tcW w:w="1427" w:type="dxa"/>
            <w:tcBorders>
              <w:top w:val="nil"/>
              <w:left w:val="nil"/>
              <w:bottom w:val="single" w:sz="4" w:space="0" w:color="auto"/>
              <w:right w:val="single" w:sz="4" w:space="0" w:color="auto"/>
            </w:tcBorders>
            <w:shd w:val="clear" w:color="auto" w:fill="auto"/>
            <w:noWrap/>
            <w:vAlign w:val="center"/>
            <w:hideMark/>
          </w:tcPr>
          <w:p w14:paraId="161E5DCE" w14:textId="77777777" w:rsidR="00CE2F2B" w:rsidRPr="00A46B79" w:rsidRDefault="00CE2F2B" w:rsidP="00CE2F2B">
            <w:pPr>
              <w:spacing w:after="60"/>
              <w:jc w:val="center"/>
              <w:rPr>
                <w:bCs/>
                <w:color w:val="000000"/>
                <w:sz w:val="20"/>
                <w:szCs w:val="20"/>
              </w:rPr>
            </w:pPr>
            <w:r w:rsidRPr="00A46B79">
              <w:rPr>
                <w:bCs/>
                <w:color w:val="000000"/>
                <w:sz w:val="20"/>
                <w:szCs w:val="20"/>
              </w:rPr>
              <w:t>1,5</w:t>
            </w:r>
          </w:p>
        </w:tc>
      </w:tr>
      <w:tr w:rsidR="00CE2F2B" w:rsidRPr="004A52CD" w14:paraId="327D5308" w14:textId="77777777" w:rsidTr="000419EA">
        <w:trPr>
          <w:trHeight w:val="20"/>
        </w:trPr>
        <w:tc>
          <w:tcPr>
            <w:tcW w:w="3441" w:type="dxa"/>
            <w:tcBorders>
              <w:top w:val="nil"/>
              <w:left w:val="single" w:sz="4" w:space="0" w:color="auto"/>
              <w:bottom w:val="single" w:sz="4" w:space="0" w:color="auto"/>
              <w:right w:val="single" w:sz="4" w:space="0" w:color="auto"/>
            </w:tcBorders>
            <w:shd w:val="clear" w:color="auto" w:fill="auto"/>
            <w:vAlign w:val="center"/>
            <w:hideMark/>
          </w:tcPr>
          <w:p w14:paraId="1F6BE2F7" w14:textId="77777777" w:rsidR="00CE2F2B" w:rsidRPr="00A46B79" w:rsidRDefault="00CE2F2B" w:rsidP="00CE2F2B">
            <w:pPr>
              <w:spacing w:after="60"/>
              <w:jc w:val="both"/>
              <w:rPr>
                <w:color w:val="000000"/>
                <w:sz w:val="20"/>
                <w:szCs w:val="20"/>
              </w:rPr>
            </w:pPr>
            <w:r w:rsidRPr="00A46B79">
              <w:rPr>
                <w:color w:val="000000"/>
                <w:sz w:val="20"/>
                <w:szCs w:val="20"/>
              </w:rPr>
              <w:t>Госпрограммы «Комплексного развития сельских территорий»</w:t>
            </w:r>
          </w:p>
        </w:tc>
        <w:tc>
          <w:tcPr>
            <w:tcW w:w="1247" w:type="dxa"/>
            <w:tcBorders>
              <w:top w:val="nil"/>
              <w:left w:val="nil"/>
              <w:bottom w:val="single" w:sz="4" w:space="0" w:color="auto"/>
              <w:right w:val="single" w:sz="4" w:space="0" w:color="auto"/>
            </w:tcBorders>
            <w:shd w:val="clear" w:color="auto" w:fill="auto"/>
            <w:noWrap/>
            <w:vAlign w:val="center"/>
            <w:hideMark/>
          </w:tcPr>
          <w:p w14:paraId="08EEEE0F" w14:textId="77777777" w:rsidR="00CE2F2B" w:rsidRPr="00A46B79" w:rsidRDefault="00CE2F2B" w:rsidP="00CE2F2B">
            <w:pPr>
              <w:spacing w:after="60"/>
              <w:jc w:val="center"/>
              <w:rPr>
                <w:bCs/>
                <w:color w:val="000000"/>
                <w:sz w:val="20"/>
                <w:szCs w:val="20"/>
              </w:rPr>
            </w:pPr>
          </w:p>
        </w:tc>
        <w:tc>
          <w:tcPr>
            <w:tcW w:w="1427" w:type="dxa"/>
            <w:tcBorders>
              <w:top w:val="nil"/>
              <w:left w:val="nil"/>
              <w:bottom w:val="single" w:sz="4" w:space="0" w:color="auto"/>
              <w:right w:val="single" w:sz="4" w:space="0" w:color="auto"/>
            </w:tcBorders>
            <w:shd w:val="clear" w:color="auto" w:fill="auto"/>
            <w:noWrap/>
            <w:vAlign w:val="center"/>
            <w:hideMark/>
          </w:tcPr>
          <w:p w14:paraId="512F5E22" w14:textId="77777777" w:rsidR="00CE2F2B" w:rsidRPr="00A46B79" w:rsidRDefault="00CE2F2B" w:rsidP="00CE2F2B">
            <w:pPr>
              <w:spacing w:after="60"/>
              <w:jc w:val="center"/>
              <w:rPr>
                <w:bCs/>
                <w:color w:val="000000"/>
                <w:sz w:val="20"/>
                <w:szCs w:val="20"/>
              </w:rPr>
            </w:pPr>
            <w:r w:rsidRPr="00A46B79">
              <w:rPr>
                <w:bCs/>
                <w:color w:val="000000"/>
                <w:sz w:val="20"/>
                <w:szCs w:val="20"/>
              </w:rPr>
              <w:t>0,2</w:t>
            </w:r>
          </w:p>
        </w:tc>
        <w:tc>
          <w:tcPr>
            <w:tcW w:w="1427" w:type="dxa"/>
            <w:tcBorders>
              <w:top w:val="nil"/>
              <w:left w:val="nil"/>
              <w:bottom w:val="single" w:sz="4" w:space="0" w:color="auto"/>
              <w:right w:val="single" w:sz="4" w:space="0" w:color="auto"/>
            </w:tcBorders>
            <w:shd w:val="clear" w:color="auto" w:fill="auto"/>
            <w:noWrap/>
            <w:vAlign w:val="center"/>
            <w:hideMark/>
          </w:tcPr>
          <w:p w14:paraId="213B3065" w14:textId="77777777" w:rsidR="00CE2F2B" w:rsidRPr="00A46B79" w:rsidRDefault="00CE2F2B" w:rsidP="00CE2F2B">
            <w:pPr>
              <w:spacing w:after="60"/>
              <w:jc w:val="center"/>
              <w:rPr>
                <w:bCs/>
                <w:color w:val="000000"/>
                <w:sz w:val="20"/>
                <w:szCs w:val="20"/>
              </w:rPr>
            </w:pPr>
            <w:r w:rsidRPr="00A46B79">
              <w:rPr>
                <w:bCs/>
                <w:color w:val="000000"/>
                <w:sz w:val="20"/>
                <w:szCs w:val="20"/>
              </w:rPr>
              <w:t>0,2</w:t>
            </w:r>
          </w:p>
        </w:tc>
        <w:tc>
          <w:tcPr>
            <w:tcW w:w="1427" w:type="dxa"/>
            <w:tcBorders>
              <w:top w:val="nil"/>
              <w:left w:val="nil"/>
              <w:bottom w:val="single" w:sz="4" w:space="0" w:color="auto"/>
              <w:right w:val="single" w:sz="4" w:space="0" w:color="auto"/>
            </w:tcBorders>
            <w:shd w:val="clear" w:color="auto" w:fill="auto"/>
            <w:noWrap/>
            <w:vAlign w:val="center"/>
            <w:hideMark/>
          </w:tcPr>
          <w:p w14:paraId="76BC57B3" w14:textId="77777777" w:rsidR="00CE2F2B" w:rsidRPr="00A46B79" w:rsidRDefault="00CE2F2B" w:rsidP="00CE2F2B">
            <w:pPr>
              <w:spacing w:after="60"/>
              <w:jc w:val="center"/>
              <w:rPr>
                <w:bCs/>
                <w:color w:val="000000"/>
                <w:sz w:val="20"/>
                <w:szCs w:val="20"/>
              </w:rPr>
            </w:pPr>
            <w:r w:rsidRPr="00A46B79">
              <w:rPr>
                <w:bCs/>
                <w:color w:val="000000"/>
                <w:sz w:val="20"/>
                <w:szCs w:val="20"/>
              </w:rPr>
              <w:t>0,2</w:t>
            </w:r>
          </w:p>
        </w:tc>
      </w:tr>
      <w:tr w:rsidR="00CE2F2B" w:rsidRPr="004A52CD" w14:paraId="45DD43F0" w14:textId="77777777" w:rsidTr="000419EA">
        <w:trPr>
          <w:trHeight w:val="20"/>
        </w:trPr>
        <w:tc>
          <w:tcPr>
            <w:tcW w:w="3441" w:type="dxa"/>
            <w:tcBorders>
              <w:top w:val="nil"/>
              <w:left w:val="single" w:sz="4" w:space="0" w:color="auto"/>
              <w:bottom w:val="single" w:sz="4" w:space="0" w:color="auto"/>
              <w:right w:val="single" w:sz="4" w:space="0" w:color="auto"/>
            </w:tcBorders>
            <w:shd w:val="clear" w:color="auto" w:fill="auto"/>
            <w:vAlign w:val="center"/>
            <w:hideMark/>
          </w:tcPr>
          <w:p w14:paraId="0CE72E0E" w14:textId="77777777" w:rsidR="00CE2F2B" w:rsidRPr="00A46B79" w:rsidRDefault="00CE2F2B" w:rsidP="00CE2F2B">
            <w:pPr>
              <w:spacing w:after="60"/>
              <w:jc w:val="both"/>
              <w:rPr>
                <w:color w:val="000000"/>
                <w:sz w:val="20"/>
                <w:szCs w:val="20"/>
              </w:rPr>
            </w:pPr>
            <w:r w:rsidRPr="00A46B79">
              <w:rPr>
                <w:color w:val="000000"/>
                <w:sz w:val="20"/>
                <w:szCs w:val="20"/>
              </w:rPr>
              <w:t>Госпрограмм развития сельского хозяйства и «Комплексного развития сельских территорий»</w:t>
            </w:r>
          </w:p>
        </w:tc>
        <w:tc>
          <w:tcPr>
            <w:tcW w:w="1247" w:type="dxa"/>
            <w:tcBorders>
              <w:top w:val="nil"/>
              <w:left w:val="nil"/>
              <w:bottom w:val="single" w:sz="4" w:space="0" w:color="auto"/>
              <w:right w:val="single" w:sz="4" w:space="0" w:color="auto"/>
            </w:tcBorders>
            <w:shd w:val="clear" w:color="auto" w:fill="auto"/>
            <w:noWrap/>
            <w:vAlign w:val="center"/>
            <w:hideMark/>
          </w:tcPr>
          <w:p w14:paraId="1BDE81E4" w14:textId="77777777" w:rsidR="00CE2F2B" w:rsidRPr="00A46B79" w:rsidRDefault="00CE2F2B" w:rsidP="00CE2F2B">
            <w:pPr>
              <w:spacing w:after="60"/>
              <w:jc w:val="center"/>
              <w:rPr>
                <w:bCs/>
                <w:color w:val="000000"/>
                <w:sz w:val="20"/>
                <w:szCs w:val="20"/>
              </w:rPr>
            </w:pPr>
            <w:r w:rsidRPr="00A46B79">
              <w:rPr>
                <w:bCs/>
                <w:color w:val="000000"/>
                <w:sz w:val="20"/>
                <w:szCs w:val="20"/>
              </w:rPr>
              <w:t>1,7</w:t>
            </w:r>
          </w:p>
        </w:tc>
        <w:tc>
          <w:tcPr>
            <w:tcW w:w="1427" w:type="dxa"/>
            <w:tcBorders>
              <w:top w:val="nil"/>
              <w:left w:val="nil"/>
              <w:bottom w:val="single" w:sz="4" w:space="0" w:color="auto"/>
              <w:right w:val="single" w:sz="4" w:space="0" w:color="auto"/>
            </w:tcBorders>
            <w:shd w:val="clear" w:color="auto" w:fill="auto"/>
            <w:noWrap/>
            <w:vAlign w:val="center"/>
            <w:hideMark/>
          </w:tcPr>
          <w:p w14:paraId="4229C126" w14:textId="77777777" w:rsidR="00CE2F2B" w:rsidRPr="00A46B79" w:rsidRDefault="00CE2F2B" w:rsidP="00CE2F2B">
            <w:pPr>
              <w:spacing w:after="60"/>
              <w:jc w:val="center"/>
              <w:rPr>
                <w:bCs/>
                <w:color w:val="000000"/>
                <w:sz w:val="20"/>
                <w:szCs w:val="20"/>
              </w:rPr>
            </w:pPr>
            <w:r w:rsidRPr="00A46B79">
              <w:rPr>
                <w:bCs/>
                <w:color w:val="000000"/>
                <w:sz w:val="20"/>
                <w:szCs w:val="20"/>
              </w:rPr>
              <w:t>1,7</w:t>
            </w:r>
          </w:p>
        </w:tc>
        <w:tc>
          <w:tcPr>
            <w:tcW w:w="1427" w:type="dxa"/>
            <w:tcBorders>
              <w:top w:val="nil"/>
              <w:left w:val="nil"/>
              <w:bottom w:val="single" w:sz="4" w:space="0" w:color="auto"/>
              <w:right w:val="single" w:sz="4" w:space="0" w:color="auto"/>
            </w:tcBorders>
            <w:shd w:val="clear" w:color="auto" w:fill="auto"/>
            <w:noWrap/>
            <w:vAlign w:val="center"/>
            <w:hideMark/>
          </w:tcPr>
          <w:p w14:paraId="56E3A6EB" w14:textId="77777777" w:rsidR="00CE2F2B" w:rsidRPr="00A46B79" w:rsidRDefault="00CE2F2B" w:rsidP="00CE2F2B">
            <w:pPr>
              <w:spacing w:after="60"/>
              <w:jc w:val="center"/>
              <w:rPr>
                <w:bCs/>
                <w:color w:val="000000"/>
                <w:sz w:val="20"/>
                <w:szCs w:val="20"/>
              </w:rPr>
            </w:pPr>
            <w:r w:rsidRPr="00A46B79">
              <w:rPr>
                <w:bCs/>
                <w:color w:val="000000"/>
                <w:sz w:val="20"/>
                <w:szCs w:val="20"/>
              </w:rPr>
              <w:t>1,6</w:t>
            </w:r>
          </w:p>
        </w:tc>
        <w:tc>
          <w:tcPr>
            <w:tcW w:w="1427" w:type="dxa"/>
            <w:tcBorders>
              <w:top w:val="nil"/>
              <w:left w:val="nil"/>
              <w:bottom w:val="single" w:sz="4" w:space="0" w:color="auto"/>
              <w:right w:val="single" w:sz="4" w:space="0" w:color="auto"/>
            </w:tcBorders>
            <w:shd w:val="clear" w:color="auto" w:fill="auto"/>
            <w:noWrap/>
            <w:vAlign w:val="center"/>
            <w:hideMark/>
          </w:tcPr>
          <w:p w14:paraId="76877696" w14:textId="77777777" w:rsidR="00CE2F2B" w:rsidRPr="00A46B79" w:rsidRDefault="00CE2F2B" w:rsidP="00CE2F2B">
            <w:pPr>
              <w:spacing w:after="60"/>
              <w:jc w:val="center"/>
              <w:rPr>
                <w:bCs/>
                <w:color w:val="000000"/>
                <w:sz w:val="20"/>
                <w:szCs w:val="20"/>
              </w:rPr>
            </w:pPr>
            <w:r w:rsidRPr="00A46B79">
              <w:rPr>
                <w:bCs/>
                <w:color w:val="000000"/>
                <w:sz w:val="20"/>
                <w:szCs w:val="20"/>
              </w:rPr>
              <w:t>1,7</w:t>
            </w:r>
          </w:p>
        </w:tc>
      </w:tr>
    </w:tbl>
    <w:p w14:paraId="61212378" w14:textId="77E452E8" w:rsidR="00ED5AC1" w:rsidRPr="009D5EDD" w:rsidRDefault="00ED5AC1" w:rsidP="00ED5AC1">
      <w:pPr>
        <w:keepLines/>
        <w:spacing w:after="60"/>
        <w:ind w:firstLine="709"/>
        <w:jc w:val="both"/>
        <w:rPr>
          <w:sz w:val="20"/>
          <w:szCs w:val="20"/>
        </w:rPr>
      </w:pPr>
      <w:r w:rsidRPr="009D5EDD">
        <w:rPr>
          <w:i/>
          <w:sz w:val="20"/>
          <w:szCs w:val="20"/>
        </w:rPr>
        <w:t>Источники</w:t>
      </w:r>
      <w:r w:rsidRPr="009D5EDD">
        <w:rPr>
          <w:sz w:val="20"/>
          <w:szCs w:val="20"/>
        </w:rPr>
        <w:t>:</w:t>
      </w:r>
      <w:r>
        <w:rPr>
          <w:sz w:val="20"/>
          <w:szCs w:val="20"/>
        </w:rPr>
        <w:t xml:space="preserve"> составлено авторами на основе данных законопроекта</w:t>
      </w:r>
      <w:r w:rsidRPr="009D5EDD">
        <w:rPr>
          <w:sz w:val="20"/>
          <w:szCs w:val="20"/>
        </w:rPr>
        <w:t>.</w:t>
      </w:r>
    </w:p>
    <w:p w14:paraId="0568B3B0" w14:textId="789CB8C9" w:rsidR="00CE6F4D" w:rsidRPr="00883243" w:rsidRDefault="00CE6F4D" w:rsidP="00CE2F2B">
      <w:pPr>
        <w:autoSpaceDE w:val="0"/>
        <w:autoSpaceDN w:val="0"/>
        <w:adjustRightInd w:val="0"/>
        <w:spacing w:before="120" w:after="60"/>
        <w:ind w:firstLine="709"/>
        <w:jc w:val="both"/>
        <w:rPr>
          <w:color w:val="000000"/>
        </w:rPr>
      </w:pPr>
      <w:r w:rsidRPr="00883243">
        <w:rPr>
          <w:color w:val="000000"/>
        </w:rPr>
        <w:t>С одной стороны</w:t>
      </w:r>
      <w:r w:rsidR="006C4CD2">
        <w:rPr>
          <w:color w:val="000000"/>
        </w:rPr>
        <w:t>,</w:t>
      </w:r>
      <w:r w:rsidRPr="00883243">
        <w:rPr>
          <w:color w:val="000000"/>
        </w:rPr>
        <w:t xml:space="preserve"> положительно можно оценить сам факт повышения статуса проблемы развития сельских территорий, </w:t>
      </w:r>
      <w:r w:rsidR="006C4CD2" w:rsidRPr="00883243">
        <w:rPr>
          <w:color w:val="000000"/>
        </w:rPr>
        <w:t>нашедш</w:t>
      </w:r>
      <w:r w:rsidR="006C4CD2">
        <w:rPr>
          <w:color w:val="000000"/>
        </w:rPr>
        <w:t>ий</w:t>
      </w:r>
      <w:r w:rsidR="006C4CD2" w:rsidRPr="00883243">
        <w:rPr>
          <w:color w:val="000000"/>
        </w:rPr>
        <w:t xml:space="preserve"> </w:t>
      </w:r>
      <w:r w:rsidRPr="00883243">
        <w:rPr>
          <w:color w:val="000000"/>
        </w:rPr>
        <w:t>отражение в принятии новой Государственной программы "Комплексное развитие сельских территорий</w:t>
      </w:r>
      <w:r w:rsidR="006C4CD2" w:rsidRPr="00883243">
        <w:rPr>
          <w:color w:val="000000"/>
        </w:rPr>
        <w:t>"</w:t>
      </w:r>
      <w:r w:rsidRPr="00883243">
        <w:rPr>
          <w:color w:val="000000"/>
        </w:rPr>
        <w:t xml:space="preserve"> вместо ранее действовавшей ВЦП "Устойчивое развитие сельских территорий" и планируемого удвоения ее финансирования с 17,7 до 35,8 млрд руб. в 2020 г. (</w:t>
      </w:r>
      <w:r w:rsidR="00D15FA6" w:rsidRPr="00CE2F2B">
        <w:rPr>
          <w:i/>
          <w:color w:val="000000"/>
        </w:rPr>
        <w:t>таблица</w:t>
      </w:r>
      <w:r w:rsidR="00D15FA6" w:rsidRPr="00CE2F2B">
        <w:rPr>
          <w:color w:val="000000"/>
        </w:rPr>
        <w:t xml:space="preserve"> </w:t>
      </w:r>
      <w:r w:rsidR="00C84D38">
        <w:rPr>
          <w:i/>
          <w:noProof/>
        </w:rPr>
        <w:t>19</w:t>
      </w:r>
      <w:r>
        <w:rPr>
          <w:color w:val="000000"/>
        </w:rPr>
        <w:t>)</w:t>
      </w:r>
      <w:r w:rsidR="006C4CD2">
        <w:rPr>
          <w:color w:val="000000"/>
        </w:rPr>
        <w:t>. Н</w:t>
      </w:r>
      <w:r w:rsidRPr="00883243">
        <w:rPr>
          <w:color w:val="000000"/>
        </w:rPr>
        <w:t>а селе проживает 37,3 млн чел</w:t>
      </w:r>
      <w:r w:rsidR="006C4CD2">
        <w:rPr>
          <w:color w:val="000000"/>
        </w:rPr>
        <w:t>.</w:t>
      </w:r>
      <w:r w:rsidRPr="00883243">
        <w:rPr>
          <w:color w:val="000000"/>
        </w:rPr>
        <w:t xml:space="preserve"> или, 25,6% всего населения</w:t>
      </w:r>
      <w:r w:rsidR="006C4CD2">
        <w:rPr>
          <w:color w:val="000000"/>
        </w:rPr>
        <w:t>,</w:t>
      </w:r>
      <w:r w:rsidRPr="00883243">
        <w:rPr>
          <w:color w:val="000000"/>
        </w:rPr>
        <w:t xml:space="preserve"> при этом из общего числа малоимущих домашних хозяйств в сельских поселениях проживало 51,4% (Росстат, 2017 г.)</w:t>
      </w:r>
      <w:r w:rsidR="006C4CD2">
        <w:rPr>
          <w:color w:val="000000"/>
        </w:rPr>
        <w:t>.</w:t>
      </w:r>
      <w:r w:rsidRPr="00883243">
        <w:rPr>
          <w:color w:val="000000"/>
        </w:rPr>
        <w:t xml:space="preserve"> </w:t>
      </w:r>
      <w:r w:rsidR="006C4CD2">
        <w:rPr>
          <w:color w:val="000000"/>
        </w:rPr>
        <w:t>П</w:t>
      </w:r>
      <w:r w:rsidRPr="00883243">
        <w:rPr>
          <w:color w:val="000000"/>
        </w:rPr>
        <w:t>о данным обследования рабочей силы Росстата</w:t>
      </w:r>
      <w:r w:rsidR="006C4CD2">
        <w:rPr>
          <w:color w:val="000000"/>
        </w:rPr>
        <w:t>,</w:t>
      </w:r>
      <w:r w:rsidRPr="00883243">
        <w:rPr>
          <w:color w:val="000000"/>
        </w:rPr>
        <w:t xml:space="preserve"> 74,8% занятых в отрасли сельское, лесное хозяйство, рыболовство и рыбоводство</w:t>
      </w:r>
      <w:r>
        <w:rPr>
          <w:color w:val="000000"/>
        </w:rPr>
        <w:t xml:space="preserve"> проживали именно в сельских поселениях</w:t>
      </w:r>
      <w:r w:rsidRPr="00883243">
        <w:rPr>
          <w:color w:val="000000"/>
        </w:rPr>
        <w:t>. Таким образом, улучшение условий жизни в сельской местности способствует развитию и сельского хозяйства. С другой стороны</w:t>
      </w:r>
      <w:r>
        <w:rPr>
          <w:color w:val="000000"/>
        </w:rPr>
        <w:t>, отметим еще раз, что</w:t>
      </w:r>
      <w:r w:rsidRPr="00883243">
        <w:rPr>
          <w:color w:val="000000"/>
        </w:rPr>
        <w:t xml:space="preserve"> суммы, выделенные по программе "Комплексное развитие сельских территорий</w:t>
      </w:r>
      <w:r w:rsidR="006C4CD2" w:rsidRPr="00883243">
        <w:rPr>
          <w:color w:val="000000"/>
        </w:rPr>
        <w:t>"</w:t>
      </w:r>
      <w:r w:rsidRPr="00883243">
        <w:rPr>
          <w:color w:val="000000"/>
        </w:rPr>
        <w:t xml:space="preserve"> явно не соответствуют масштабам проблемы</w:t>
      </w:r>
      <w:r>
        <w:rPr>
          <w:color w:val="000000"/>
        </w:rPr>
        <w:t xml:space="preserve"> сельской бедности, низкой обеспеченности социальной и бытовой инфраструктурой</w:t>
      </w:r>
      <w:r w:rsidRPr="00883243">
        <w:rPr>
          <w:color w:val="000000"/>
        </w:rPr>
        <w:t>.</w:t>
      </w:r>
    </w:p>
    <w:p w14:paraId="75E9AE7E" w14:textId="6D156C5C" w:rsidR="00ED5AC1" w:rsidRDefault="00CE6F4D" w:rsidP="00CE6F4D">
      <w:pPr>
        <w:autoSpaceDE w:val="0"/>
        <w:autoSpaceDN w:val="0"/>
        <w:adjustRightInd w:val="0"/>
        <w:spacing w:after="60"/>
        <w:ind w:firstLine="709"/>
        <w:jc w:val="both"/>
        <w:rPr>
          <w:color w:val="000000"/>
        </w:rPr>
      </w:pPr>
      <w:r w:rsidRPr="00AE1216">
        <w:rPr>
          <w:color w:val="000000"/>
        </w:rPr>
        <w:t>Законопроект принят исходя из инфляции (декабрь к декабрю предыдущего года) 3% в 2020, и по 4% в 2021 и 2022 гг</w:t>
      </w:r>
      <w:r w:rsidR="00126F91">
        <w:rPr>
          <w:color w:val="000000"/>
        </w:rPr>
        <w:t>.</w:t>
      </w:r>
      <w:r w:rsidRPr="00AE1216">
        <w:rPr>
          <w:color w:val="000000"/>
        </w:rPr>
        <w:t>, итого общая инфляция за период 2020-2022 гг. - 11% к уровню 2019 г.  Запланированные расходы федерального бюджета растут выше инфляции (</w:t>
      </w:r>
      <w:r w:rsidRPr="00CE2F2B">
        <w:rPr>
          <w:i/>
          <w:color w:val="000000"/>
        </w:rPr>
        <w:t>таблица</w:t>
      </w:r>
      <w:r w:rsidRPr="00CE2F2B">
        <w:rPr>
          <w:color w:val="000000"/>
        </w:rPr>
        <w:t xml:space="preserve"> </w:t>
      </w:r>
      <w:r w:rsidR="00C84D38">
        <w:rPr>
          <w:i/>
          <w:noProof/>
        </w:rPr>
        <w:t>19</w:t>
      </w:r>
      <w:r w:rsidRPr="00CE2F2B">
        <w:rPr>
          <w:color w:val="000000"/>
        </w:rPr>
        <w:t xml:space="preserve">). Однако расходы на Госпрограмму развития сельского хозяйства в 2020 г., напротив, планируется снизить на 5,8%. При оценке без учета ВЦП «Устойчивое развитие сельских территорий» в 2019 г., расходы на Госпрограмму развития сельского хозяйства останутся в 2020 и 2021 гг. на уровне 2019 г., т.е. фактически объемы поддержки отрасли снизятся. </w:t>
      </w:r>
    </w:p>
    <w:p w14:paraId="66186282" w14:textId="61B7A5FC" w:rsidR="00CE6F4D" w:rsidRDefault="00CE6F4D" w:rsidP="00CE6F4D">
      <w:pPr>
        <w:autoSpaceDE w:val="0"/>
        <w:autoSpaceDN w:val="0"/>
        <w:adjustRightInd w:val="0"/>
        <w:spacing w:after="60"/>
        <w:ind w:firstLine="709"/>
        <w:jc w:val="both"/>
        <w:rPr>
          <w:color w:val="000000"/>
        </w:rPr>
      </w:pPr>
      <w:r w:rsidRPr="00CE2F2B">
        <w:rPr>
          <w:color w:val="000000"/>
        </w:rPr>
        <w:t>В то же время в отрасли имеется целый ряд острых проблем, требующих финансирования. Так, до сих пор не принята программа продовольственной помощи малоимущим, что сдерживает потребительский спрос, нет поддержки сертификации экологической продукции (есть только господдержка организаций в целях компенсации части затрат, связанных с сертификацией продукции АПК только на внешних рынках), и др. В 2022 г. по сравнению с 2021 г. планируется рост финансирования на 12% (</w:t>
      </w:r>
      <w:r w:rsidR="00CE2F2B" w:rsidRPr="00CE2F2B">
        <w:rPr>
          <w:i/>
          <w:color w:val="000000"/>
        </w:rPr>
        <w:t>таблица</w:t>
      </w:r>
      <w:r w:rsidR="00CE2F2B" w:rsidRPr="00CE2F2B">
        <w:rPr>
          <w:color w:val="000000"/>
        </w:rPr>
        <w:t xml:space="preserve"> </w:t>
      </w:r>
      <w:r w:rsidR="00C84D38">
        <w:rPr>
          <w:i/>
          <w:noProof/>
        </w:rPr>
        <w:t>19</w:t>
      </w:r>
      <w:r w:rsidRPr="00CE2F2B">
        <w:rPr>
          <w:color w:val="000000"/>
        </w:rPr>
        <w:t>), связанный</w:t>
      </w:r>
      <w:r w:rsidR="000026E2" w:rsidRPr="00CE2F2B">
        <w:rPr>
          <w:color w:val="000000"/>
        </w:rPr>
        <w:t>,</w:t>
      </w:r>
      <w:r w:rsidRPr="00CE2F2B">
        <w:rPr>
          <w:color w:val="000000"/>
        </w:rPr>
        <w:t xml:space="preserve"> главным образом</w:t>
      </w:r>
      <w:r w:rsidR="000026E2" w:rsidRPr="00CE2F2B">
        <w:rPr>
          <w:color w:val="000000"/>
        </w:rPr>
        <w:t>,</w:t>
      </w:r>
      <w:r w:rsidRPr="00CE2F2B">
        <w:rPr>
          <w:color w:val="000000"/>
        </w:rPr>
        <w:t xml:space="preserve"> с увеличением финансирования Федерального проекта</w:t>
      </w:r>
      <w:r>
        <w:rPr>
          <w:color w:val="000000"/>
        </w:rPr>
        <w:t xml:space="preserve"> «</w:t>
      </w:r>
      <w:r w:rsidRPr="0028101C">
        <w:rPr>
          <w:color w:val="000000"/>
        </w:rPr>
        <w:t>Экспорт продукции агропромышленного комплекса</w:t>
      </w:r>
      <w:r>
        <w:rPr>
          <w:color w:val="000000"/>
        </w:rPr>
        <w:t xml:space="preserve">» на 28,5 млрд руб. Причем планируется поддерживать экспорт сельхозпродуктов и продовольствия в условиях </w:t>
      </w:r>
      <w:r w:rsidR="006C4CD2">
        <w:rPr>
          <w:color w:val="000000"/>
        </w:rPr>
        <w:t>сокращения</w:t>
      </w:r>
      <w:r>
        <w:rPr>
          <w:color w:val="000000"/>
        </w:rPr>
        <w:t xml:space="preserve"> </w:t>
      </w:r>
      <w:r w:rsidR="006C4CD2">
        <w:rPr>
          <w:color w:val="000000"/>
        </w:rPr>
        <w:t xml:space="preserve">платежеспособного </w:t>
      </w:r>
      <w:r>
        <w:rPr>
          <w:color w:val="000000"/>
        </w:rPr>
        <w:t>спрос</w:t>
      </w:r>
      <w:r w:rsidR="006C4CD2">
        <w:rPr>
          <w:color w:val="000000"/>
        </w:rPr>
        <w:t>а</w:t>
      </w:r>
      <w:r>
        <w:rPr>
          <w:color w:val="000000"/>
        </w:rPr>
        <w:t xml:space="preserve"> и </w:t>
      </w:r>
      <w:r w:rsidR="006C4CD2">
        <w:rPr>
          <w:color w:val="000000"/>
        </w:rPr>
        <w:t xml:space="preserve">появления излишков </w:t>
      </w:r>
      <w:r>
        <w:rPr>
          <w:color w:val="000000"/>
        </w:rPr>
        <w:t xml:space="preserve">продовольствия, например, по молоку. </w:t>
      </w:r>
      <w:r w:rsidR="00ED5AC1">
        <w:rPr>
          <w:color w:val="000000"/>
        </w:rPr>
        <w:t xml:space="preserve">В </w:t>
      </w:r>
      <w:r>
        <w:rPr>
          <w:color w:val="000000"/>
        </w:rPr>
        <w:t xml:space="preserve">этих условиях </w:t>
      </w:r>
      <w:r w:rsidR="00ED5AC1">
        <w:rPr>
          <w:color w:val="000000"/>
        </w:rPr>
        <w:t xml:space="preserve">возможно лучшим решением была бы поддержка не </w:t>
      </w:r>
      <w:r>
        <w:rPr>
          <w:color w:val="000000"/>
        </w:rPr>
        <w:t>вывоз</w:t>
      </w:r>
      <w:r w:rsidR="00ED5AC1">
        <w:rPr>
          <w:color w:val="000000"/>
        </w:rPr>
        <w:t>а</w:t>
      </w:r>
      <w:r>
        <w:rPr>
          <w:color w:val="000000"/>
        </w:rPr>
        <w:t xml:space="preserve"> молока, а </w:t>
      </w:r>
      <w:r w:rsidR="00ED5AC1">
        <w:rPr>
          <w:color w:val="000000"/>
        </w:rPr>
        <w:t>неимущего населения</w:t>
      </w:r>
      <w:r>
        <w:rPr>
          <w:color w:val="000000"/>
        </w:rPr>
        <w:t xml:space="preserve"> в виде молочных талонов/карточек</w:t>
      </w:r>
      <w:r w:rsidR="00ED5AC1">
        <w:rPr>
          <w:color w:val="000000"/>
        </w:rPr>
        <w:t>.</w:t>
      </w:r>
    </w:p>
    <w:p w14:paraId="1B419186" w14:textId="5AC4DDCA" w:rsidR="00A46B79" w:rsidRPr="00600DF7" w:rsidRDefault="00A46B79" w:rsidP="00A46B79">
      <w:pPr>
        <w:spacing w:after="60"/>
        <w:jc w:val="right"/>
        <w:rPr>
          <w:i/>
        </w:rPr>
      </w:pPr>
      <w:r w:rsidRPr="00600DF7">
        <w:rPr>
          <w:i/>
        </w:rPr>
        <w:t>Таблица</w:t>
      </w:r>
      <w:r w:rsidR="00CE2F2B">
        <w:rPr>
          <w:i/>
        </w:rPr>
        <w:t xml:space="preserve"> </w:t>
      </w:r>
      <w:bookmarkStart w:id="39" w:name="_Ref21344166"/>
      <w:r w:rsidR="00C84D38">
        <w:rPr>
          <w:i/>
          <w:noProof/>
        </w:rPr>
        <w:t>19</w:t>
      </w:r>
      <w:bookmarkEnd w:id="39"/>
    </w:p>
    <w:p w14:paraId="5087FAD4" w14:textId="2D7FA5AB" w:rsidR="00CE6F4D" w:rsidRPr="00A46B79" w:rsidRDefault="00CE6F4D" w:rsidP="00A46B79">
      <w:pPr>
        <w:autoSpaceDE w:val="0"/>
        <w:autoSpaceDN w:val="0"/>
        <w:adjustRightInd w:val="0"/>
        <w:spacing w:after="60"/>
        <w:jc w:val="center"/>
        <w:rPr>
          <w:b/>
          <w:color w:val="000000"/>
        </w:rPr>
      </w:pPr>
      <w:r w:rsidRPr="00A46B79">
        <w:rPr>
          <w:b/>
          <w:color w:val="000000"/>
        </w:rPr>
        <w:t xml:space="preserve">Рост расходов на реализацию </w:t>
      </w:r>
      <w:r w:rsidR="006C4CD2">
        <w:rPr>
          <w:b/>
          <w:color w:val="000000"/>
        </w:rPr>
        <w:t>г</w:t>
      </w:r>
      <w:r w:rsidRPr="00A46B79">
        <w:rPr>
          <w:b/>
          <w:color w:val="000000"/>
        </w:rPr>
        <w:t>осударственных программ</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7"/>
        <w:gridCol w:w="1418"/>
        <w:gridCol w:w="1417"/>
        <w:gridCol w:w="1418"/>
      </w:tblGrid>
      <w:tr w:rsidR="00CE6F4D" w:rsidRPr="00AA5ABD" w14:paraId="36E60928" w14:textId="77777777" w:rsidTr="00CE2F2B">
        <w:trPr>
          <w:trHeight w:val="315"/>
          <w:tblHeader/>
        </w:trPr>
        <w:tc>
          <w:tcPr>
            <w:tcW w:w="3402" w:type="dxa"/>
            <w:shd w:val="clear" w:color="auto" w:fill="auto"/>
            <w:vAlign w:val="center"/>
            <w:hideMark/>
          </w:tcPr>
          <w:p w14:paraId="0BAE7C8C" w14:textId="24F3AF6B" w:rsidR="00CE6F4D" w:rsidRPr="00A46B79" w:rsidRDefault="00CE6F4D" w:rsidP="00A46B79">
            <w:pPr>
              <w:jc w:val="center"/>
              <w:rPr>
                <w:b/>
                <w:color w:val="000000"/>
                <w:sz w:val="20"/>
                <w:szCs w:val="20"/>
              </w:rPr>
            </w:pPr>
          </w:p>
        </w:tc>
        <w:tc>
          <w:tcPr>
            <w:tcW w:w="1417" w:type="dxa"/>
            <w:shd w:val="clear" w:color="auto" w:fill="auto"/>
            <w:vAlign w:val="center"/>
            <w:hideMark/>
          </w:tcPr>
          <w:p w14:paraId="3FECBF0E" w14:textId="339D5D0F" w:rsidR="00CE6F4D" w:rsidRPr="00A46B79" w:rsidRDefault="00CE6F4D">
            <w:pPr>
              <w:jc w:val="center"/>
              <w:rPr>
                <w:b/>
                <w:color w:val="000000"/>
                <w:sz w:val="20"/>
                <w:szCs w:val="20"/>
              </w:rPr>
            </w:pPr>
            <w:r w:rsidRPr="00A46B79">
              <w:rPr>
                <w:b/>
                <w:color w:val="000000"/>
                <w:sz w:val="20"/>
                <w:szCs w:val="20"/>
              </w:rPr>
              <w:t>2019 г</w:t>
            </w:r>
            <w:r w:rsidR="000026E2" w:rsidRPr="00AA5ABD">
              <w:rPr>
                <w:b/>
                <w:color w:val="000000"/>
                <w:sz w:val="20"/>
                <w:szCs w:val="20"/>
              </w:rPr>
              <w:t>.</w:t>
            </w:r>
          </w:p>
        </w:tc>
        <w:tc>
          <w:tcPr>
            <w:tcW w:w="1418" w:type="dxa"/>
            <w:shd w:val="clear" w:color="auto" w:fill="auto"/>
            <w:vAlign w:val="center"/>
            <w:hideMark/>
          </w:tcPr>
          <w:p w14:paraId="786A5EC3" w14:textId="438E0027" w:rsidR="00CE6F4D" w:rsidRPr="00A46B79" w:rsidRDefault="00CE6F4D">
            <w:pPr>
              <w:jc w:val="center"/>
              <w:rPr>
                <w:b/>
                <w:color w:val="000000"/>
                <w:sz w:val="20"/>
                <w:szCs w:val="20"/>
              </w:rPr>
            </w:pPr>
            <w:r w:rsidRPr="00A46B79">
              <w:rPr>
                <w:b/>
                <w:color w:val="000000"/>
                <w:sz w:val="20"/>
                <w:szCs w:val="20"/>
              </w:rPr>
              <w:t>2020</w:t>
            </w:r>
            <w:r w:rsidR="000026E2" w:rsidRPr="00AA5ABD">
              <w:rPr>
                <w:b/>
                <w:color w:val="000000"/>
                <w:sz w:val="20"/>
                <w:szCs w:val="20"/>
              </w:rPr>
              <w:t xml:space="preserve"> г.</w:t>
            </w:r>
          </w:p>
        </w:tc>
        <w:tc>
          <w:tcPr>
            <w:tcW w:w="1417" w:type="dxa"/>
            <w:shd w:val="clear" w:color="auto" w:fill="auto"/>
            <w:vAlign w:val="center"/>
            <w:hideMark/>
          </w:tcPr>
          <w:p w14:paraId="23C26783" w14:textId="190F3966" w:rsidR="00CE6F4D" w:rsidRPr="00A46B79" w:rsidRDefault="00CE6F4D">
            <w:pPr>
              <w:jc w:val="center"/>
              <w:rPr>
                <w:b/>
                <w:color w:val="000000"/>
                <w:sz w:val="20"/>
                <w:szCs w:val="20"/>
              </w:rPr>
            </w:pPr>
            <w:r w:rsidRPr="00A46B79">
              <w:rPr>
                <w:b/>
                <w:color w:val="000000"/>
                <w:sz w:val="20"/>
                <w:szCs w:val="20"/>
              </w:rPr>
              <w:t>2021</w:t>
            </w:r>
            <w:r w:rsidR="000026E2" w:rsidRPr="00AA5ABD">
              <w:rPr>
                <w:b/>
                <w:color w:val="000000"/>
                <w:sz w:val="20"/>
                <w:szCs w:val="20"/>
              </w:rPr>
              <w:t xml:space="preserve"> г.</w:t>
            </w:r>
          </w:p>
        </w:tc>
        <w:tc>
          <w:tcPr>
            <w:tcW w:w="1418" w:type="dxa"/>
            <w:shd w:val="clear" w:color="auto" w:fill="auto"/>
            <w:vAlign w:val="center"/>
            <w:hideMark/>
          </w:tcPr>
          <w:p w14:paraId="7409CC0D" w14:textId="0FC49D2A" w:rsidR="00CE6F4D" w:rsidRPr="00A46B79" w:rsidRDefault="00CE6F4D">
            <w:pPr>
              <w:jc w:val="center"/>
              <w:rPr>
                <w:b/>
                <w:color w:val="000000"/>
                <w:sz w:val="20"/>
                <w:szCs w:val="20"/>
              </w:rPr>
            </w:pPr>
            <w:r w:rsidRPr="00A46B79">
              <w:rPr>
                <w:b/>
                <w:color w:val="000000"/>
                <w:sz w:val="20"/>
                <w:szCs w:val="20"/>
              </w:rPr>
              <w:t>2022</w:t>
            </w:r>
            <w:r w:rsidR="000026E2" w:rsidRPr="00AA5ABD">
              <w:rPr>
                <w:b/>
                <w:color w:val="000000"/>
                <w:sz w:val="20"/>
                <w:szCs w:val="20"/>
              </w:rPr>
              <w:t xml:space="preserve"> г.</w:t>
            </w:r>
          </w:p>
        </w:tc>
      </w:tr>
      <w:tr w:rsidR="00CE6F4D" w:rsidRPr="00AA5ABD" w14:paraId="1D1AC750" w14:textId="77777777" w:rsidTr="00CE2F2B">
        <w:trPr>
          <w:trHeight w:val="300"/>
        </w:trPr>
        <w:tc>
          <w:tcPr>
            <w:tcW w:w="3402" w:type="dxa"/>
            <w:shd w:val="clear" w:color="auto" w:fill="auto"/>
            <w:vAlign w:val="center"/>
            <w:hideMark/>
          </w:tcPr>
          <w:p w14:paraId="31FA15E1" w14:textId="77777777" w:rsidR="00CE6F4D" w:rsidRPr="00A46B79" w:rsidRDefault="00CE6F4D" w:rsidP="00CE6F4D">
            <w:pPr>
              <w:jc w:val="both"/>
              <w:rPr>
                <w:i/>
                <w:color w:val="000000"/>
                <w:sz w:val="20"/>
                <w:szCs w:val="20"/>
              </w:rPr>
            </w:pPr>
            <w:r w:rsidRPr="00A46B79">
              <w:rPr>
                <w:i/>
                <w:color w:val="000000"/>
                <w:sz w:val="20"/>
                <w:szCs w:val="20"/>
              </w:rPr>
              <w:t>Инфляция, %</w:t>
            </w:r>
          </w:p>
        </w:tc>
        <w:tc>
          <w:tcPr>
            <w:tcW w:w="1417" w:type="dxa"/>
            <w:shd w:val="clear" w:color="auto" w:fill="auto"/>
            <w:vAlign w:val="center"/>
            <w:hideMark/>
          </w:tcPr>
          <w:p w14:paraId="6226241D" w14:textId="2A048B16" w:rsidR="00CE6F4D" w:rsidRPr="00AA5ABD" w:rsidRDefault="00CE6F4D" w:rsidP="00CE6F4D">
            <w:pPr>
              <w:jc w:val="center"/>
              <w:rPr>
                <w:i/>
                <w:color w:val="000000"/>
                <w:sz w:val="20"/>
                <w:szCs w:val="20"/>
              </w:rPr>
            </w:pPr>
          </w:p>
        </w:tc>
        <w:tc>
          <w:tcPr>
            <w:tcW w:w="1418" w:type="dxa"/>
            <w:shd w:val="clear" w:color="auto" w:fill="auto"/>
            <w:vAlign w:val="center"/>
            <w:hideMark/>
          </w:tcPr>
          <w:p w14:paraId="6C446265" w14:textId="77777777" w:rsidR="00CE6F4D" w:rsidRPr="00AA5ABD" w:rsidRDefault="00CE6F4D" w:rsidP="00CE6F4D">
            <w:pPr>
              <w:jc w:val="center"/>
              <w:rPr>
                <w:i/>
                <w:color w:val="000000"/>
                <w:sz w:val="20"/>
                <w:szCs w:val="20"/>
              </w:rPr>
            </w:pPr>
            <w:r w:rsidRPr="00AA5ABD">
              <w:rPr>
                <w:i/>
                <w:color w:val="000000"/>
                <w:sz w:val="20"/>
                <w:szCs w:val="20"/>
              </w:rPr>
              <w:t>3</w:t>
            </w:r>
          </w:p>
        </w:tc>
        <w:tc>
          <w:tcPr>
            <w:tcW w:w="1417" w:type="dxa"/>
            <w:shd w:val="clear" w:color="auto" w:fill="auto"/>
            <w:vAlign w:val="center"/>
            <w:hideMark/>
          </w:tcPr>
          <w:p w14:paraId="167FB22F" w14:textId="77777777" w:rsidR="00CE6F4D" w:rsidRPr="00AA5ABD" w:rsidRDefault="00CE6F4D" w:rsidP="00CE6F4D">
            <w:pPr>
              <w:jc w:val="center"/>
              <w:rPr>
                <w:i/>
                <w:color w:val="000000"/>
                <w:sz w:val="20"/>
                <w:szCs w:val="20"/>
              </w:rPr>
            </w:pPr>
            <w:r w:rsidRPr="00AA5ABD">
              <w:rPr>
                <w:i/>
                <w:color w:val="000000"/>
                <w:sz w:val="20"/>
                <w:szCs w:val="20"/>
              </w:rPr>
              <w:t>4</w:t>
            </w:r>
          </w:p>
        </w:tc>
        <w:tc>
          <w:tcPr>
            <w:tcW w:w="1418" w:type="dxa"/>
            <w:shd w:val="clear" w:color="auto" w:fill="auto"/>
            <w:vAlign w:val="center"/>
            <w:hideMark/>
          </w:tcPr>
          <w:p w14:paraId="3BE3615B" w14:textId="77777777" w:rsidR="00CE6F4D" w:rsidRPr="00AA5ABD" w:rsidRDefault="00CE6F4D" w:rsidP="00CE6F4D">
            <w:pPr>
              <w:jc w:val="center"/>
              <w:rPr>
                <w:i/>
                <w:color w:val="000000"/>
                <w:sz w:val="20"/>
                <w:szCs w:val="20"/>
              </w:rPr>
            </w:pPr>
            <w:r w:rsidRPr="00AA5ABD">
              <w:rPr>
                <w:i/>
                <w:color w:val="000000"/>
                <w:sz w:val="20"/>
                <w:szCs w:val="20"/>
              </w:rPr>
              <w:t>4</w:t>
            </w:r>
          </w:p>
        </w:tc>
      </w:tr>
      <w:tr w:rsidR="00CE6F4D" w:rsidRPr="00AA5ABD" w14:paraId="267A6B5B" w14:textId="77777777" w:rsidTr="00CE2F2B">
        <w:trPr>
          <w:trHeight w:val="435"/>
        </w:trPr>
        <w:tc>
          <w:tcPr>
            <w:tcW w:w="3402" w:type="dxa"/>
            <w:shd w:val="clear" w:color="auto" w:fill="auto"/>
            <w:vAlign w:val="center"/>
            <w:hideMark/>
          </w:tcPr>
          <w:p w14:paraId="275D0714" w14:textId="44A940BE" w:rsidR="00CE6F4D" w:rsidRPr="00A46B79" w:rsidRDefault="00CE6F4D" w:rsidP="00CE6F4D">
            <w:pPr>
              <w:jc w:val="both"/>
              <w:rPr>
                <w:b/>
                <w:color w:val="000000"/>
                <w:sz w:val="20"/>
                <w:szCs w:val="20"/>
              </w:rPr>
            </w:pPr>
            <w:r w:rsidRPr="00A46B79">
              <w:rPr>
                <w:b/>
                <w:color w:val="000000"/>
                <w:sz w:val="20"/>
                <w:szCs w:val="20"/>
              </w:rPr>
              <w:t>Общие расходы бюджета, мл</w:t>
            </w:r>
            <w:r w:rsidR="00383EDD">
              <w:rPr>
                <w:b/>
                <w:color w:val="000000"/>
                <w:sz w:val="20"/>
                <w:szCs w:val="20"/>
              </w:rPr>
              <w:t>рд</w:t>
            </w:r>
            <w:r w:rsidRPr="00A46B79">
              <w:rPr>
                <w:b/>
                <w:color w:val="000000"/>
                <w:sz w:val="20"/>
                <w:szCs w:val="20"/>
              </w:rPr>
              <w:t xml:space="preserve"> руб</w:t>
            </w:r>
            <w:r w:rsidR="000026E2" w:rsidRPr="00A46B79">
              <w:rPr>
                <w:b/>
                <w:color w:val="000000"/>
                <w:sz w:val="20"/>
                <w:szCs w:val="20"/>
              </w:rPr>
              <w:t>.</w:t>
            </w:r>
          </w:p>
        </w:tc>
        <w:tc>
          <w:tcPr>
            <w:tcW w:w="1417" w:type="dxa"/>
            <w:shd w:val="clear" w:color="auto" w:fill="auto"/>
            <w:noWrap/>
            <w:vAlign w:val="center"/>
            <w:hideMark/>
          </w:tcPr>
          <w:p w14:paraId="36E55AE4" w14:textId="27BA7434" w:rsidR="00CE6F4D" w:rsidRPr="00AA5ABD" w:rsidRDefault="00CE6F4D" w:rsidP="00CE6F4D">
            <w:pPr>
              <w:jc w:val="center"/>
              <w:rPr>
                <w:b/>
                <w:bCs/>
                <w:color w:val="000000"/>
                <w:sz w:val="20"/>
                <w:szCs w:val="20"/>
              </w:rPr>
            </w:pPr>
            <w:r w:rsidRPr="00AA5ABD">
              <w:rPr>
                <w:b/>
                <w:bCs/>
                <w:color w:val="000000"/>
                <w:sz w:val="20"/>
                <w:szCs w:val="20"/>
              </w:rPr>
              <w:t>18</w:t>
            </w:r>
            <w:r w:rsidR="00383EDD">
              <w:rPr>
                <w:b/>
                <w:bCs/>
                <w:color w:val="000000"/>
                <w:sz w:val="20"/>
                <w:szCs w:val="20"/>
              </w:rPr>
              <w:t> </w:t>
            </w:r>
            <w:r w:rsidRPr="00AA5ABD">
              <w:rPr>
                <w:b/>
                <w:bCs/>
                <w:color w:val="000000"/>
                <w:sz w:val="20"/>
                <w:szCs w:val="20"/>
              </w:rPr>
              <w:t>293</w:t>
            </w:r>
            <w:r w:rsidR="00383EDD">
              <w:rPr>
                <w:b/>
                <w:bCs/>
                <w:color w:val="000000"/>
                <w:sz w:val="20"/>
                <w:szCs w:val="20"/>
              </w:rPr>
              <w:t>,</w:t>
            </w:r>
            <w:r w:rsidRPr="00AA5ABD">
              <w:rPr>
                <w:b/>
                <w:bCs/>
                <w:color w:val="000000"/>
                <w:sz w:val="20"/>
                <w:szCs w:val="20"/>
              </w:rPr>
              <w:t>7</w:t>
            </w:r>
          </w:p>
        </w:tc>
        <w:tc>
          <w:tcPr>
            <w:tcW w:w="1418" w:type="dxa"/>
            <w:shd w:val="clear" w:color="auto" w:fill="auto"/>
            <w:noWrap/>
            <w:vAlign w:val="center"/>
            <w:hideMark/>
          </w:tcPr>
          <w:p w14:paraId="17DCA164" w14:textId="1C06F178" w:rsidR="00CE6F4D" w:rsidRPr="00AA5ABD" w:rsidRDefault="00CE6F4D" w:rsidP="00CE6F4D">
            <w:pPr>
              <w:jc w:val="center"/>
              <w:rPr>
                <w:b/>
                <w:bCs/>
                <w:color w:val="000000"/>
                <w:sz w:val="20"/>
                <w:szCs w:val="20"/>
              </w:rPr>
            </w:pPr>
            <w:bookmarkStart w:id="40" w:name="OLE_LINK13"/>
            <w:r w:rsidRPr="00AA5ABD">
              <w:rPr>
                <w:b/>
                <w:bCs/>
                <w:color w:val="000000"/>
                <w:sz w:val="20"/>
                <w:szCs w:val="20"/>
              </w:rPr>
              <w:t>19</w:t>
            </w:r>
            <w:r w:rsidR="00383EDD">
              <w:rPr>
                <w:b/>
                <w:bCs/>
                <w:color w:val="000000"/>
                <w:sz w:val="20"/>
                <w:szCs w:val="20"/>
              </w:rPr>
              <w:t> </w:t>
            </w:r>
            <w:r w:rsidRPr="00AA5ABD">
              <w:rPr>
                <w:b/>
                <w:bCs/>
                <w:color w:val="000000"/>
                <w:sz w:val="20"/>
                <w:szCs w:val="20"/>
              </w:rPr>
              <w:t>503</w:t>
            </w:r>
            <w:r w:rsidR="00383EDD">
              <w:rPr>
                <w:b/>
                <w:bCs/>
                <w:color w:val="000000"/>
                <w:sz w:val="20"/>
                <w:szCs w:val="20"/>
              </w:rPr>
              <w:t>,</w:t>
            </w:r>
            <w:r w:rsidRPr="00AA5ABD">
              <w:rPr>
                <w:b/>
                <w:bCs/>
                <w:color w:val="000000"/>
                <w:sz w:val="20"/>
                <w:szCs w:val="20"/>
              </w:rPr>
              <w:t>3</w:t>
            </w:r>
            <w:bookmarkEnd w:id="40"/>
          </w:p>
        </w:tc>
        <w:tc>
          <w:tcPr>
            <w:tcW w:w="1417" w:type="dxa"/>
            <w:shd w:val="clear" w:color="auto" w:fill="auto"/>
            <w:noWrap/>
            <w:vAlign w:val="center"/>
            <w:hideMark/>
          </w:tcPr>
          <w:p w14:paraId="06283486" w14:textId="15024B02" w:rsidR="00CE6F4D" w:rsidRPr="00AA5ABD" w:rsidRDefault="00CE6F4D" w:rsidP="00CE6F4D">
            <w:pPr>
              <w:jc w:val="center"/>
              <w:rPr>
                <w:b/>
                <w:bCs/>
                <w:color w:val="000000"/>
                <w:sz w:val="20"/>
                <w:szCs w:val="20"/>
              </w:rPr>
            </w:pPr>
            <w:bookmarkStart w:id="41" w:name="RANGE!D4"/>
            <w:r w:rsidRPr="00AA5ABD">
              <w:rPr>
                <w:b/>
                <w:bCs/>
                <w:color w:val="000000"/>
                <w:sz w:val="20"/>
                <w:szCs w:val="20"/>
              </w:rPr>
              <w:t>20</w:t>
            </w:r>
            <w:r w:rsidR="00383EDD">
              <w:rPr>
                <w:b/>
                <w:bCs/>
                <w:color w:val="000000"/>
                <w:sz w:val="20"/>
                <w:szCs w:val="20"/>
              </w:rPr>
              <w:t> </w:t>
            </w:r>
            <w:r w:rsidRPr="00AA5ABD">
              <w:rPr>
                <w:b/>
                <w:bCs/>
                <w:color w:val="000000"/>
                <w:sz w:val="20"/>
                <w:szCs w:val="20"/>
              </w:rPr>
              <w:t>634</w:t>
            </w:r>
            <w:r w:rsidR="00383EDD">
              <w:rPr>
                <w:b/>
                <w:bCs/>
                <w:color w:val="000000"/>
                <w:sz w:val="20"/>
                <w:szCs w:val="20"/>
              </w:rPr>
              <w:t>,</w:t>
            </w:r>
            <w:r w:rsidRPr="00AA5ABD">
              <w:rPr>
                <w:b/>
                <w:bCs/>
                <w:color w:val="000000"/>
                <w:sz w:val="20"/>
                <w:szCs w:val="20"/>
              </w:rPr>
              <w:t>0</w:t>
            </w:r>
            <w:bookmarkEnd w:id="41"/>
          </w:p>
        </w:tc>
        <w:tc>
          <w:tcPr>
            <w:tcW w:w="1418" w:type="dxa"/>
            <w:shd w:val="clear" w:color="auto" w:fill="auto"/>
            <w:noWrap/>
            <w:vAlign w:val="center"/>
            <w:hideMark/>
          </w:tcPr>
          <w:p w14:paraId="4F73BF30" w14:textId="3030EDBA" w:rsidR="00CE6F4D" w:rsidRPr="00AA5ABD" w:rsidRDefault="00CE6F4D" w:rsidP="00CE6F4D">
            <w:pPr>
              <w:jc w:val="center"/>
              <w:rPr>
                <w:b/>
                <w:bCs/>
                <w:color w:val="000000"/>
                <w:sz w:val="20"/>
                <w:szCs w:val="20"/>
              </w:rPr>
            </w:pPr>
            <w:bookmarkStart w:id="42" w:name="OLE_LINK8"/>
            <w:bookmarkStart w:id="43" w:name="RANGE!E4"/>
            <w:r w:rsidRPr="00AA5ABD">
              <w:rPr>
                <w:b/>
                <w:bCs/>
                <w:color w:val="000000"/>
                <w:sz w:val="20"/>
                <w:szCs w:val="20"/>
              </w:rPr>
              <w:t>21</w:t>
            </w:r>
            <w:r w:rsidR="00383EDD">
              <w:rPr>
                <w:b/>
                <w:bCs/>
                <w:color w:val="000000"/>
                <w:sz w:val="20"/>
                <w:szCs w:val="20"/>
              </w:rPr>
              <w:t> </w:t>
            </w:r>
            <w:r w:rsidRPr="00AA5ABD">
              <w:rPr>
                <w:b/>
                <w:bCs/>
                <w:color w:val="000000"/>
                <w:sz w:val="20"/>
                <w:szCs w:val="20"/>
              </w:rPr>
              <w:t>763</w:t>
            </w:r>
            <w:r w:rsidR="00383EDD">
              <w:rPr>
                <w:b/>
                <w:bCs/>
                <w:color w:val="000000"/>
                <w:sz w:val="20"/>
                <w:szCs w:val="20"/>
              </w:rPr>
              <w:t>,</w:t>
            </w:r>
            <w:r w:rsidRPr="00AA5ABD">
              <w:rPr>
                <w:b/>
                <w:bCs/>
                <w:color w:val="000000"/>
                <w:sz w:val="20"/>
                <w:szCs w:val="20"/>
              </w:rPr>
              <w:t>3</w:t>
            </w:r>
            <w:bookmarkEnd w:id="42"/>
            <w:bookmarkEnd w:id="43"/>
          </w:p>
        </w:tc>
      </w:tr>
      <w:tr w:rsidR="00CE6F4D" w:rsidRPr="00AA5ABD" w14:paraId="061B3729" w14:textId="77777777" w:rsidTr="00CE2F2B">
        <w:trPr>
          <w:trHeight w:val="600"/>
        </w:trPr>
        <w:tc>
          <w:tcPr>
            <w:tcW w:w="3402" w:type="dxa"/>
            <w:shd w:val="clear" w:color="auto" w:fill="auto"/>
            <w:vAlign w:val="center"/>
            <w:hideMark/>
          </w:tcPr>
          <w:p w14:paraId="41755082" w14:textId="77777777" w:rsidR="00CE6F4D" w:rsidRPr="00A46B79" w:rsidRDefault="00CE6F4D" w:rsidP="00CE6F4D">
            <w:pPr>
              <w:jc w:val="both"/>
              <w:rPr>
                <w:color w:val="000000"/>
                <w:sz w:val="20"/>
                <w:szCs w:val="20"/>
              </w:rPr>
            </w:pPr>
            <w:r w:rsidRPr="00A46B79">
              <w:rPr>
                <w:color w:val="000000"/>
                <w:sz w:val="20"/>
                <w:szCs w:val="20"/>
              </w:rPr>
              <w:t>Расходы на реализацию государственных программ РФ, всего</w:t>
            </w:r>
          </w:p>
        </w:tc>
        <w:tc>
          <w:tcPr>
            <w:tcW w:w="1417" w:type="dxa"/>
            <w:shd w:val="clear" w:color="auto" w:fill="auto"/>
            <w:noWrap/>
            <w:vAlign w:val="center"/>
            <w:hideMark/>
          </w:tcPr>
          <w:p w14:paraId="4C9E6BE2" w14:textId="06AB4799" w:rsidR="00CE6F4D" w:rsidRPr="00A46B79" w:rsidRDefault="00CE6F4D" w:rsidP="00CE6F4D">
            <w:pPr>
              <w:jc w:val="center"/>
              <w:rPr>
                <w:bCs/>
                <w:color w:val="000000"/>
                <w:sz w:val="20"/>
                <w:szCs w:val="20"/>
              </w:rPr>
            </w:pPr>
            <w:r w:rsidRPr="00A46B79">
              <w:rPr>
                <w:bCs/>
                <w:color w:val="000000"/>
                <w:sz w:val="20"/>
                <w:szCs w:val="20"/>
              </w:rPr>
              <w:t>14 631</w:t>
            </w:r>
            <w:r w:rsidR="00383EDD">
              <w:rPr>
                <w:bCs/>
                <w:color w:val="000000"/>
                <w:sz w:val="20"/>
                <w:szCs w:val="20"/>
              </w:rPr>
              <w:t>,</w:t>
            </w:r>
            <w:r w:rsidRPr="00A46B79">
              <w:rPr>
                <w:bCs/>
                <w:color w:val="000000"/>
                <w:sz w:val="20"/>
                <w:szCs w:val="20"/>
              </w:rPr>
              <w:t>5</w:t>
            </w:r>
          </w:p>
        </w:tc>
        <w:tc>
          <w:tcPr>
            <w:tcW w:w="1418" w:type="dxa"/>
            <w:shd w:val="clear" w:color="auto" w:fill="auto"/>
            <w:noWrap/>
            <w:vAlign w:val="center"/>
            <w:hideMark/>
          </w:tcPr>
          <w:p w14:paraId="749DA313" w14:textId="1267C5A1" w:rsidR="00CE6F4D" w:rsidRPr="00A46B79" w:rsidRDefault="00CE6F4D" w:rsidP="00CE6F4D">
            <w:pPr>
              <w:jc w:val="center"/>
              <w:rPr>
                <w:bCs/>
                <w:color w:val="000000"/>
                <w:sz w:val="20"/>
                <w:szCs w:val="20"/>
              </w:rPr>
            </w:pPr>
            <w:r w:rsidRPr="00A46B79">
              <w:rPr>
                <w:bCs/>
                <w:color w:val="000000"/>
                <w:sz w:val="20"/>
                <w:szCs w:val="20"/>
              </w:rPr>
              <w:t>14</w:t>
            </w:r>
            <w:r w:rsidR="00383EDD">
              <w:rPr>
                <w:bCs/>
                <w:color w:val="000000"/>
                <w:sz w:val="20"/>
                <w:szCs w:val="20"/>
              </w:rPr>
              <w:t> </w:t>
            </w:r>
            <w:r w:rsidRPr="00A46B79">
              <w:rPr>
                <w:bCs/>
                <w:color w:val="000000"/>
                <w:sz w:val="20"/>
                <w:szCs w:val="20"/>
              </w:rPr>
              <w:t>639</w:t>
            </w:r>
            <w:r w:rsidR="00383EDD">
              <w:rPr>
                <w:bCs/>
                <w:color w:val="000000"/>
                <w:sz w:val="20"/>
                <w:szCs w:val="20"/>
              </w:rPr>
              <w:t>,8</w:t>
            </w:r>
          </w:p>
        </w:tc>
        <w:tc>
          <w:tcPr>
            <w:tcW w:w="1417" w:type="dxa"/>
            <w:shd w:val="clear" w:color="auto" w:fill="auto"/>
            <w:noWrap/>
            <w:vAlign w:val="center"/>
            <w:hideMark/>
          </w:tcPr>
          <w:p w14:paraId="5E861845" w14:textId="66ACD50D" w:rsidR="00CE6F4D" w:rsidRPr="00A46B79" w:rsidRDefault="00CE6F4D" w:rsidP="00CE6F4D">
            <w:pPr>
              <w:jc w:val="center"/>
              <w:rPr>
                <w:bCs/>
                <w:color w:val="000000"/>
                <w:sz w:val="20"/>
                <w:szCs w:val="20"/>
              </w:rPr>
            </w:pPr>
            <w:r w:rsidRPr="00A46B79">
              <w:rPr>
                <w:bCs/>
                <w:color w:val="000000"/>
                <w:sz w:val="20"/>
                <w:szCs w:val="20"/>
              </w:rPr>
              <w:t>15</w:t>
            </w:r>
            <w:r w:rsidR="00383EDD">
              <w:rPr>
                <w:bCs/>
                <w:color w:val="000000"/>
                <w:sz w:val="20"/>
                <w:szCs w:val="20"/>
              </w:rPr>
              <w:t> </w:t>
            </w:r>
            <w:r w:rsidRPr="00A46B79">
              <w:rPr>
                <w:bCs/>
                <w:color w:val="000000"/>
                <w:sz w:val="20"/>
                <w:szCs w:val="20"/>
              </w:rPr>
              <w:t>274</w:t>
            </w:r>
            <w:r w:rsidR="00383EDD">
              <w:rPr>
                <w:bCs/>
                <w:color w:val="000000"/>
                <w:sz w:val="20"/>
                <w:szCs w:val="20"/>
              </w:rPr>
              <w:t>,2</w:t>
            </w:r>
          </w:p>
        </w:tc>
        <w:tc>
          <w:tcPr>
            <w:tcW w:w="1418" w:type="dxa"/>
            <w:shd w:val="clear" w:color="auto" w:fill="auto"/>
            <w:noWrap/>
            <w:vAlign w:val="center"/>
            <w:hideMark/>
          </w:tcPr>
          <w:p w14:paraId="595DFF62" w14:textId="65C80375" w:rsidR="00CE6F4D" w:rsidRPr="00A46B79" w:rsidRDefault="00CE6F4D" w:rsidP="00CE6F4D">
            <w:pPr>
              <w:jc w:val="center"/>
              <w:rPr>
                <w:bCs/>
                <w:color w:val="000000"/>
                <w:sz w:val="20"/>
                <w:szCs w:val="20"/>
              </w:rPr>
            </w:pPr>
            <w:r w:rsidRPr="00A46B79">
              <w:rPr>
                <w:bCs/>
                <w:color w:val="000000"/>
                <w:sz w:val="20"/>
                <w:szCs w:val="20"/>
              </w:rPr>
              <w:t>16</w:t>
            </w:r>
            <w:r w:rsidR="00383EDD">
              <w:rPr>
                <w:bCs/>
                <w:color w:val="000000"/>
                <w:sz w:val="20"/>
                <w:szCs w:val="20"/>
              </w:rPr>
              <w:t> </w:t>
            </w:r>
            <w:r w:rsidRPr="00A46B79">
              <w:rPr>
                <w:bCs/>
                <w:color w:val="000000"/>
                <w:sz w:val="20"/>
                <w:szCs w:val="20"/>
              </w:rPr>
              <w:t>134</w:t>
            </w:r>
            <w:r w:rsidR="00383EDD">
              <w:rPr>
                <w:bCs/>
                <w:color w:val="000000"/>
                <w:sz w:val="20"/>
                <w:szCs w:val="20"/>
              </w:rPr>
              <w:t>,7</w:t>
            </w:r>
          </w:p>
        </w:tc>
      </w:tr>
      <w:tr w:rsidR="00CE6F4D" w:rsidRPr="00AA5ABD" w14:paraId="3BE8451C" w14:textId="77777777" w:rsidTr="00CE2F2B">
        <w:trPr>
          <w:trHeight w:val="435"/>
        </w:trPr>
        <w:tc>
          <w:tcPr>
            <w:tcW w:w="3402" w:type="dxa"/>
            <w:shd w:val="clear" w:color="auto" w:fill="auto"/>
            <w:vAlign w:val="center"/>
            <w:hideMark/>
          </w:tcPr>
          <w:p w14:paraId="5D1FCA3A" w14:textId="77777777" w:rsidR="00CE6F4D" w:rsidRPr="00A46B79" w:rsidRDefault="00CE6F4D" w:rsidP="00CE6F4D">
            <w:pPr>
              <w:jc w:val="both"/>
              <w:rPr>
                <w:color w:val="000000"/>
                <w:sz w:val="20"/>
                <w:szCs w:val="20"/>
              </w:rPr>
            </w:pPr>
            <w:r w:rsidRPr="00A46B79">
              <w:rPr>
                <w:color w:val="000000"/>
                <w:sz w:val="20"/>
                <w:szCs w:val="20"/>
              </w:rPr>
              <w:t xml:space="preserve">ГП развития сельского хозяйства </w:t>
            </w:r>
          </w:p>
        </w:tc>
        <w:tc>
          <w:tcPr>
            <w:tcW w:w="1417" w:type="dxa"/>
            <w:shd w:val="clear" w:color="auto" w:fill="auto"/>
            <w:noWrap/>
            <w:vAlign w:val="center"/>
            <w:hideMark/>
          </w:tcPr>
          <w:p w14:paraId="279E04F7" w14:textId="642CC884" w:rsidR="00CE6F4D" w:rsidRPr="00AA5ABD" w:rsidRDefault="00CE6F4D" w:rsidP="00CE6F4D">
            <w:pPr>
              <w:jc w:val="center"/>
              <w:rPr>
                <w:color w:val="000000"/>
                <w:sz w:val="20"/>
                <w:szCs w:val="20"/>
              </w:rPr>
            </w:pPr>
            <w:r w:rsidRPr="00AA5ABD">
              <w:rPr>
                <w:color w:val="000000"/>
                <w:sz w:val="20"/>
                <w:szCs w:val="20"/>
              </w:rPr>
              <w:t>307</w:t>
            </w:r>
            <w:r w:rsidR="00383EDD">
              <w:rPr>
                <w:color w:val="000000"/>
                <w:sz w:val="20"/>
                <w:szCs w:val="20"/>
              </w:rPr>
              <w:t>,</w:t>
            </w:r>
            <w:r w:rsidRPr="00AA5ABD">
              <w:rPr>
                <w:color w:val="000000"/>
                <w:sz w:val="20"/>
                <w:szCs w:val="20"/>
              </w:rPr>
              <w:t>9</w:t>
            </w:r>
          </w:p>
        </w:tc>
        <w:tc>
          <w:tcPr>
            <w:tcW w:w="1418" w:type="dxa"/>
            <w:shd w:val="clear" w:color="auto" w:fill="auto"/>
            <w:noWrap/>
            <w:vAlign w:val="center"/>
            <w:hideMark/>
          </w:tcPr>
          <w:p w14:paraId="74312ECD" w14:textId="516C12E1" w:rsidR="00CE6F4D" w:rsidRPr="00AA5ABD" w:rsidRDefault="00CE6F4D" w:rsidP="00CE6F4D">
            <w:pPr>
              <w:jc w:val="center"/>
              <w:rPr>
                <w:color w:val="000000"/>
                <w:sz w:val="20"/>
                <w:szCs w:val="20"/>
              </w:rPr>
            </w:pPr>
            <w:r w:rsidRPr="00AA5ABD">
              <w:rPr>
                <w:color w:val="000000"/>
                <w:sz w:val="20"/>
                <w:szCs w:val="20"/>
              </w:rPr>
              <w:t>290</w:t>
            </w:r>
            <w:r w:rsidR="00383EDD">
              <w:rPr>
                <w:color w:val="000000"/>
                <w:sz w:val="20"/>
                <w:szCs w:val="20"/>
              </w:rPr>
              <w:t>,</w:t>
            </w:r>
            <w:r w:rsidRPr="00AA5ABD">
              <w:rPr>
                <w:color w:val="000000"/>
                <w:sz w:val="20"/>
                <w:szCs w:val="20"/>
              </w:rPr>
              <w:t>1</w:t>
            </w:r>
          </w:p>
        </w:tc>
        <w:tc>
          <w:tcPr>
            <w:tcW w:w="1417" w:type="dxa"/>
            <w:shd w:val="clear" w:color="auto" w:fill="auto"/>
            <w:vAlign w:val="center"/>
            <w:hideMark/>
          </w:tcPr>
          <w:p w14:paraId="1DDD5BB8" w14:textId="0C97AD55" w:rsidR="00CE6F4D" w:rsidRPr="00AA5ABD" w:rsidRDefault="00CE6F4D" w:rsidP="00CE6F4D">
            <w:pPr>
              <w:jc w:val="center"/>
              <w:rPr>
                <w:color w:val="000000"/>
                <w:sz w:val="20"/>
                <w:szCs w:val="20"/>
              </w:rPr>
            </w:pPr>
            <w:r w:rsidRPr="00AA5ABD">
              <w:rPr>
                <w:color w:val="000000"/>
                <w:sz w:val="20"/>
                <w:szCs w:val="20"/>
              </w:rPr>
              <w:t>292</w:t>
            </w:r>
            <w:r w:rsidR="00383EDD">
              <w:rPr>
                <w:color w:val="000000"/>
                <w:sz w:val="20"/>
                <w:szCs w:val="20"/>
              </w:rPr>
              <w:t>,9</w:t>
            </w:r>
          </w:p>
        </w:tc>
        <w:tc>
          <w:tcPr>
            <w:tcW w:w="1418" w:type="dxa"/>
            <w:shd w:val="clear" w:color="auto" w:fill="auto"/>
            <w:vAlign w:val="center"/>
            <w:hideMark/>
          </w:tcPr>
          <w:p w14:paraId="50147563" w14:textId="2D969967" w:rsidR="00CE6F4D" w:rsidRPr="00AA5ABD" w:rsidRDefault="00CE6F4D" w:rsidP="00CE6F4D">
            <w:pPr>
              <w:jc w:val="center"/>
              <w:rPr>
                <w:color w:val="000000"/>
                <w:sz w:val="20"/>
                <w:szCs w:val="20"/>
              </w:rPr>
            </w:pPr>
            <w:r w:rsidRPr="00AA5ABD">
              <w:rPr>
                <w:color w:val="000000"/>
                <w:sz w:val="20"/>
                <w:szCs w:val="20"/>
              </w:rPr>
              <w:t>328</w:t>
            </w:r>
            <w:r w:rsidR="00383EDD">
              <w:rPr>
                <w:color w:val="000000"/>
                <w:sz w:val="20"/>
                <w:szCs w:val="20"/>
              </w:rPr>
              <w:t>,9</w:t>
            </w:r>
          </w:p>
        </w:tc>
      </w:tr>
      <w:tr w:rsidR="00CE6F4D" w:rsidRPr="00AA5ABD" w14:paraId="696B001C" w14:textId="77777777" w:rsidTr="00CE2F2B">
        <w:trPr>
          <w:trHeight w:val="570"/>
        </w:trPr>
        <w:tc>
          <w:tcPr>
            <w:tcW w:w="3402" w:type="dxa"/>
            <w:shd w:val="clear" w:color="auto" w:fill="auto"/>
            <w:vAlign w:val="center"/>
            <w:hideMark/>
          </w:tcPr>
          <w:p w14:paraId="58B01D76" w14:textId="77777777" w:rsidR="00CE6F4D" w:rsidRPr="00A46B79" w:rsidRDefault="00CE6F4D" w:rsidP="00CE6F4D">
            <w:pPr>
              <w:jc w:val="both"/>
              <w:rPr>
                <w:color w:val="000000"/>
                <w:sz w:val="20"/>
                <w:szCs w:val="20"/>
              </w:rPr>
            </w:pPr>
            <w:r w:rsidRPr="00A46B79">
              <w:rPr>
                <w:color w:val="000000"/>
                <w:sz w:val="20"/>
                <w:szCs w:val="20"/>
              </w:rPr>
              <w:t>ГП "Комплексное развитие сельских территорий"</w:t>
            </w:r>
          </w:p>
        </w:tc>
        <w:tc>
          <w:tcPr>
            <w:tcW w:w="1417" w:type="dxa"/>
            <w:shd w:val="clear" w:color="auto" w:fill="auto"/>
            <w:noWrap/>
            <w:vAlign w:val="center"/>
            <w:hideMark/>
          </w:tcPr>
          <w:p w14:paraId="77670CFC" w14:textId="0587BCFE" w:rsidR="00CE6F4D" w:rsidRPr="00AA5ABD" w:rsidRDefault="00CE6F4D" w:rsidP="00CE6F4D">
            <w:pPr>
              <w:jc w:val="center"/>
              <w:rPr>
                <w:color w:val="000000"/>
                <w:sz w:val="20"/>
                <w:szCs w:val="20"/>
              </w:rPr>
            </w:pPr>
            <w:r w:rsidRPr="00AA5ABD">
              <w:rPr>
                <w:color w:val="000000"/>
                <w:sz w:val="20"/>
                <w:szCs w:val="20"/>
              </w:rPr>
              <w:t>17</w:t>
            </w:r>
            <w:r w:rsidR="00383EDD">
              <w:rPr>
                <w:color w:val="000000"/>
                <w:sz w:val="20"/>
                <w:szCs w:val="20"/>
              </w:rPr>
              <w:t>,7</w:t>
            </w:r>
            <w:r w:rsidRPr="00AA5ABD">
              <w:rPr>
                <w:rStyle w:val="aa"/>
                <w:color w:val="000000"/>
                <w:sz w:val="20"/>
                <w:szCs w:val="20"/>
              </w:rPr>
              <w:footnoteReference w:id="19"/>
            </w:r>
          </w:p>
        </w:tc>
        <w:tc>
          <w:tcPr>
            <w:tcW w:w="1418" w:type="dxa"/>
            <w:shd w:val="clear" w:color="auto" w:fill="auto"/>
            <w:noWrap/>
            <w:vAlign w:val="center"/>
            <w:hideMark/>
          </w:tcPr>
          <w:p w14:paraId="476A0693" w14:textId="57B7213D" w:rsidR="00CE6F4D" w:rsidRPr="00AA5ABD" w:rsidRDefault="00CE6F4D" w:rsidP="00CE6F4D">
            <w:pPr>
              <w:jc w:val="center"/>
              <w:rPr>
                <w:color w:val="000000"/>
                <w:sz w:val="20"/>
                <w:szCs w:val="20"/>
              </w:rPr>
            </w:pPr>
            <w:r w:rsidRPr="00AA5ABD">
              <w:rPr>
                <w:color w:val="000000"/>
                <w:sz w:val="20"/>
                <w:szCs w:val="20"/>
              </w:rPr>
              <w:t>35</w:t>
            </w:r>
            <w:r w:rsidR="00383EDD">
              <w:rPr>
                <w:color w:val="000000"/>
                <w:sz w:val="20"/>
                <w:szCs w:val="20"/>
              </w:rPr>
              <w:t>,8</w:t>
            </w:r>
          </w:p>
        </w:tc>
        <w:tc>
          <w:tcPr>
            <w:tcW w:w="1417" w:type="dxa"/>
            <w:shd w:val="clear" w:color="auto" w:fill="auto"/>
            <w:vAlign w:val="center"/>
            <w:hideMark/>
          </w:tcPr>
          <w:p w14:paraId="498B05F3" w14:textId="04DD25A7" w:rsidR="00CE6F4D" w:rsidRPr="00AA5ABD" w:rsidRDefault="00CE6F4D" w:rsidP="00CE6F4D">
            <w:pPr>
              <w:jc w:val="center"/>
              <w:rPr>
                <w:color w:val="000000"/>
                <w:sz w:val="20"/>
                <w:szCs w:val="20"/>
              </w:rPr>
            </w:pPr>
            <w:r w:rsidRPr="00AA5ABD">
              <w:rPr>
                <w:color w:val="000000"/>
                <w:sz w:val="20"/>
                <w:szCs w:val="20"/>
              </w:rPr>
              <w:t>34</w:t>
            </w:r>
            <w:r w:rsidR="00383EDD">
              <w:rPr>
                <w:color w:val="000000"/>
                <w:sz w:val="20"/>
                <w:szCs w:val="20"/>
              </w:rPr>
              <w:t>,4</w:t>
            </w:r>
          </w:p>
        </w:tc>
        <w:tc>
          <w:tcPr>
            <w:tcW w:w="1418" w:type="dxa"/>
            <w:shd w:val="clear" w:color="auto" w:fill="auto"/>
            <w:vAlign w:val="center"/>
            <w:hideMark/>
          </w:tcPr>
          <w:p w14:paraId="75701F3B" w14:textId="0DD8ADB3" w:rsidR="00CE6F4D" w:rsidRPr="00AA5ABD" w:rsidRDefault="00CE6F4D" w:rsidP="00CE6F4D">
            <w:pPr>
              <w:jc w:val="center"/>
              <w:rPr>
                <w:color w:val="000000"/>
                <w:sz w:val="20"/>
                <w:szCs w:val="20"/>
              </w:rPr>
            </w:pPr>
            <w:r w:rsidRPr="00AA5ABD">
              <w:rPr>
                <w:color w:val="000000"/>
                <w:sz w:val="20"/>
                <w:szCs w:val="20"/>
              </w:rPr>
              <w:t>34</w:t>
            </w:r>
            <w:r w:rsidR="00383EDD">
              <w:rPr>
                <w:color w:val="000000"/>
                <w:sz w:val="20"/>
                <w:szCs w:val="20"/>
              </w:rPr>
              <w:t>,</w:t>
            </w:r>
            <w:r w:rsidRPr="00AA5ABD">
              <w:rPr>
                <w:color w:val="000000"/>
                <w:sz w:val="20"/>
                <w:szCs w:val="20"/>
              </w:rPr>
              <w:t>9</w:t>
            </w:r>
          </w:p>
        </w:tc>
      </w:tr>
      <w:tr w:rsidR="00CE6F4D" w:rsidRPr="00AA5ABD" w14:paraId="4D509E64" w14:textId="77777777" w:rsidTr="00CE2F2B">
        <w:trPr>
          <w:trHeight w:val="645"/>
        </w:trPr>
        <w:tc>
          <w:tcPr>
            <w:tcW w:w="3402" w:type="dxa"/>
            <w:shd w:val="clear" w:color="auto" w:fill="auto"/>
            <w:vAlign w:val="center"/>
            <w:hideMark/>
          </w:tcPr>
          <w:p w14:paraId="48F01EBE" w14:textId="77777777" w:rsidR="00CE6F4D" w:rsidRPr="00A46B79" w:rsidRDefault="00CE6F4D" w:rsidP="00CE6F4D">
            <w:pPr>
              <w:jc w:val="both"/>
              <w:rPr>
                <w:i/>
                <w:color w:val="000000"/>
                <w:sz w:val="20"/>
                <w:szCs w:val="20"/>
              </w:rPr>
            </w:pPr>
            <w:r w:rsidRPr="00A46B79">
              <w:rPr>
                <w:i/>
                <w:color w:val="000000"/>
                <w:sz w:val="20"/>
                <w:szCs w:val="20"/>
              </w:rPr>
              <w:t>Общие расходы бюджета к предыдущему году, %</w:t>
            </w:r>
          </w:p>
        </w:tc>
        <w:tc>
          <w:tcPr>
            <w:tcW w:w="1417" w:type="dxa"/>
            <w:shd w:val="clear" w:color="auto" w:fill="auto"/>
            <w:noWrap/>
            <w:vAlign w:val="center"/>
            <w:hideMark/>
          </w:tcPr>
          <w:p w14:paraId="3ED8406E" w14:textId="0B589EFE" w:rsidR="00CE6F4D" w:rsidRPr="00AA5ABD" w:rsidRDefault="00CE6F4D" w:rsidP="00CE6F4D">
            <w:pPr>
              <w:jc w:val="center"/>
              <w:rPr>
                <w:b/>
                <w:bCs/>
                <w:color w:val="000000"/>
                <w:sz w:val="20"/>
                <w:szCs w:val="20"/>
              </w:rPr>
            </w:pPr>
          </w:p>
        </w:tc>
        <w:tc>
          <w:tcPr>
            <w:tcW w:w="1418" w:type="dxa"/>
            <w:shd w:val="clear" w:color="auto" w:fill="auto"/>
            <w:noWrap/>
            <w:vAlign w:val="center"/>
            <w:hideMark/>
          </w:tcPr>
          <w:p w14:paraId="092C9AE6" w14:textId="4C8C67D2" w:rsidR="00CE6F4D" w:rsidRPr="00A46B79" w:rsidRDefault="00CE6F4D" w:rsidP="00CE6F4D">
            <w:pPr>
              <w:jc w:val="center"/>
              <w:rPr>
                <w:bCs/>
                <w:i/>
                <w:color w:val="000000"/>
                <w:sz w:val="20"/>
                <w:szCs w:val="20"/>
              </w:rPr>
            </w:pPr>
            <w:r w:rsidRPr="00A46B79">
              <w:rPr>
                <w:bCs/>
                <w:i/>
                <w:color w:val="000000"/>
                <w:sz w:val="20"/>
                <w:szCs w:val="20"/>
              </w:rPr>
              <w:t>106,6</w:t>
            </w:r>
          </w:p>
        </w:tc>
        <w:tc>
          <w:tcPr>
            <w:tcW w:w="1417" w:type="dxa"/>
            <w:shd w:val="clear" w:color="auto" w:fill="auto"/>
            <w:noWrap/>
            <w:vAlign w:val="center"/>
            <w:hideMark/>
          </w:tcPr>
          <w:p w14:paraId="0F3F225B" w14:textId="4177BB2E" w:rsidR="00CE6F4D" w:rsidRPr="00A46B79" w:rsidRDefault="00CE6F4D" w:rsidP="00CE6F4D">
            <w:pPr>
              <w:jc w:val="center"/>
              <w:rPr>
                <w:bCs/>
                <w:i/>
                <w:color w:val="000000"/>
                <w:sz w:val="20"/>
                <w:szCs w:val="20"/>
              </w:rPr>
            </w:pPr>
            <w:r w:rsidRPr="00A46B79">
              <w:rPr>
                <w:bCs/>
                <w:i/>
                <w:color w:val="000000"/>
                <w:sz w:val="20"/>
                <w:szCs w:val="20"/>
              </w:rPr>
              <w:t>105,8</w:t>
            </w:r>
          </w:p>
        </w:tc>
        <w:tc>
          <w:tcPr>
            <w:tcW w:w="1418" w:type="dxa"/>
            <w:shd w:val="clear" w:color="auto" w:fill="auto"/>
            <w:noWrap/>
            <w:vAlign w:val="center"/>
            <w:hideMark/>
          </w:tcPr>
          <w:p w14:paraId="0415A466" w14:textId="2954B006" w:rsidR="00CE6F4D" w:rsidRPr="00A46B79" w:rsidRDefault="00CE6F4D" w:rsidP="00CE6F4D">
            <w:pPr>
              <w:jc w:val="center"/>
              <w:rPr>
                <w:bCs/>
                <w:i/>
                <w:color w:val="000000"/>
                <w:sz w:val="20"/>
                <w:szCs w:val="20"/>
              </w:rPr>
            </w:pPr>
            <w:r w:rsidRPr="00A46B79">
              <w:rPr>
                <w:bCs/>
                <w:i/>
                <w:color w:val="000000"/>
                <w:sz w:val="20"/>
                <w:szCs w:val="20"/>
              </w:rPr>
              <w:t>105,</w:t>
            </w:r>
            <w:r w:rsidR="00AA5ABD">
              <w:rPr>
                <w:bCs/>
                <w:i/>
                <w:color w:val="000000"/>
                <w:sz w:val="20"/>
                <w:szCs w:val="20"/>
              </w:rPr>
              <w:t>5</w:t>
            </w:r>
          </w:p>
        </w:tc>
      </w:tr>
      <w:tr w:rsidR="00CE6F4D" w:rsidRPr="00AA5ABD" w14:paraId="16C6821B" w14:textId="77777777" w:rsidTr="00CE2F2B">
        <w:trPr>
          <w:trHeight w:val="180"/>
        </w:trPr>
        <w:tc>
          <w:tcPr>
            <w:tcW w:w="3402" w:type="dxa"/>
            <w:shd w:val="clear" w:color="auto" w:fill="auto"/>
            <w:vAlign w:val="center"/>
            <w:hideMark/>
          </w:tcPr>
          <w:p w14:paraId="28D94B28" w14:textId="30F1A7A1" w:rsidR="00CE6F4D" w:rsidRPr="00A46B79" w:rsidRDefault="00CE6F4D" w:rsidP="00CE6F4D">
            <w:pPr>
              <w:jc w:val="both"/>
              <w:rPr>
                <w:i/>
                <w:color w:val="000000"/>
                <w:sz w:val="20"/>
                <w:szCs w:val="20"/>
              </w:rPr>
            </w:pPr>
            <w:r w:rsidRPr="00A46B79">
              <w:rPr>
                <w:i/>
                <w:color w:val="000000"/>
                <w:sz w:val="20"/>
                <w:szCs w:val="20"/>
              </w:rPr>
              <w:t xml:space="preserve">Расходы на реализацию госпрограмм к </w:t>
            </w:r>
            <w:r w:rsidR="000026E2" w:rsidRPr="00A46B79">
              <w:rPr>
                <w:i/>
                <w:color w:val="000000"/>
                <w:sz w:val="20"/>
                <w:szCs w:val="20"/>
              </w:rPr>
              <w:t xml:space="preserve">предыдущему </w:t>
            </w:r>
            <w:r w:rsidRPr="00A46B79">
              <w:rPr>
                <w:i/>
                <w:color w:val="000000"/>
                <w:sz w:val="20"/>
                <w:szCs w:val="20"/>
              </w:rPr>
              <w:t>году, %</w:t>
            </w:r>
          </w:p>
        </w:tc>
        <w:tc>
          <w:tcPr>
            <w:tcW w:w="1417" w:type="dxa"/>
            <w:shd w:val="clear" w:color="auto" w:fill="auto"/>
            <w:noWrap/>
            <w:vAlign w:val="center"/>
            <w:hideMark/>
          </w:tcPr>
          <w:p w14:paraId="3324F56E" w14:textId="61D81B23" w:rsidR="00CE6F4D" w:rsidRPr="00AA5ABD" w:rsidRDefault="00CE6F4D" w:rsidP="00CE6F4D">
            <w:pPr>
              <w:jc w:val="center"/>
              <w:rPr>
                <w:b/>
                <w:bCs/>
                <w:color w:val="000000"/>
                <w:sz w:val="20"/>
                <w:szCs w:val="20"/>
              </w:rPr>
            </w:pPr>
          </w:p>
        </w:tc>
        <w:tc>
          <w:tcPr>
            <w:tcW w:w="1418" w:type="dxa"/>
            <w:shd w:val="clear" w:color="auto" w:fill="auto"/>
            <w:noWrap/>
            <w:vAlign w:val="center"/>
            <w:hideMark/>
          </w:tcPr>
          <w:p w14:paraId="2BE843C5" w14:textId="41B88FF9" w:rsidR="00CE6F4D" w:rsidRPr="00A46B79" w:rsidRDefault="00CE6F4D" w:rsidP="00CE6F4D">
            <w:pPr>
              <w:jc w:val="center"/>
              <w:rPr>
                <w:bCs/>
                <w:i/>
                <w:color w:val="000000"/>
                <w:sz w:val="20"/>
                <w:szCs w:val="20"/>
              </w:rPr>
            </w:pPr>
            <w:r w:rsidRPr="00A46B79">
              <w:rPr>
                <w:bCs/>
                <w:i/>
                <w:color w:val="000000"/>
                <w:sz w:val="20"/>
                <w:szCs w:val="20"/>
              </w:rPr>
              <w:t>100,</w:t>
            </w:r>
            <w:r w:rsidR="00AA5ABD">
              <w:rPr>
                <w:bCs/>
                <w:i/>
                <w:color w:val="000000"/>
                <w:sz w:val="20"/>
                <w:szCs w:val="20"/>
              </w:rPr>
              <w:t>1</w:t>
            </w:r>
          </w:p>
        </w:tc>
        <w:tc>
          <w:tcPr>
            <w:tcW w:w="1417" w:type="dxa"/>
            <w:shd w:val="clear" w:color="auto" w:fill="auto"/>
            <w:noWrap/>
            <w:vAlign w:val="center"/>
            <w:hideMark/>
          </w:tcPr>
          <w:p w14:paraId="087CA8FF" w14:textId="77777777" w:rsidR="00CE6F4D" w:rsidRPr="00A46B79" w:rsidRDefault="00CE6F4D" w:rsidP="00CE6F4D">
            <w:pPr>
              <w:jc w:val="center"/>
              <w:rPr>
                <w:bCs/>
                <w:i/>
                <w:color w:val="000000"/>
                <w:sz w:val="20"/>
                <w:szCs w:val="20"/>
              </w:rPr>
            </w:pPr>
            <w:r w:rsidRPr="00A46B79">
              <w:rPr>
                <w:bCs/>
                <w:i/>
                <w:color w:val="000000"/>
                <w:sz w:val="20"/>
                <w:szCs w:val="20"/>
              </w:rPr>
              <w:t>104,3</w:t>
            </w:r>
          </w:p>
        </w:tc>
        <w:tc>
          <w:tcPr>
            <w:tcW w:w="1418" w:type="dxa"/>
            <w:shd w:val="clear" w:color="auto" w:fill="auto"/>
            <w:noWrap/>
            <w:vAlign w:val="center"/>
            <w:hideMark/>
          </w:tcPr>
          <w:p w14:paraId="316BFC9B" w14:textId="77777777" w:rsidR="00CE6F4D" w:rsidRPr="00A46B79" w:rsidRDefault="00CE6F4D" w:rsidP="00CE6F4D">
            <w:pPr>
              <w:jc w:val="center"/>
              <w:rPr>
                <w:bCs/>
                <w:i/>
                <w:color w:val="000000"/>
                <w:sz w:val="20"/>
                <w:szCs w:val="20"/>
              </w:rPr>
            </w:pPr>
            <w:r w:rsidRPr="00A46B79">
              <w:rPr>
                <w:bCs/>
                <w:i/>
                <w:color w:val="000000"/>
                <w:sz w:val="20"/>
                <w:szCs w:val="20"/>
              </w:rPr>
              <w:t>105,6</w:t>
            </w:r>
          </w:p>
        </w:tc>
      </w:tr>
      <w:tr w:rsidR="00CE6F4D" w:rsidRPr="00AA5ABD" w14:paraId="77948E04" w14:textId="77777777" w:rsidTr="00CE2F2B">
        <w:trPr>
          <w:trHeight w:val="705"/>
        </w:trPr>
        <w:tc>
          <w:tcPr>
            <w:tcW w:w="3402" w:type="dxa"/>
            <w:shd w:val="clear" w:color="auto" w:fill="auto"/>
            <w:vAlign w:val="center"/>
            <w:hideMark/>
          </w:tcPr>
          <w:p w14:paraId="5879F756" w14:textId="77777777" w:rsidR="00CE6F4D" w:rsidRPr="00A46B79" w:rsidRDefault="00CE6F4D" w:rsidP="00CE6F4D">
            <w:pPr>
              <w:jc w:val="both"/>
              <w:rPr>
                <w:i/>
                <w:color w:val="000000"/>
                <w:sz w:val="20"/>
                <w:szCs w:val="20"/>
              </w:rPr>
            </w:pPr>
            <w:r w:rsidRPr="00A46B79">
              <w:rPr>
                <w:i/>
                <w:color w:val="000000"/>
                <w:sz w:val="20"/>
                <w:szCs w:val="20"/>
              </w:rPr>
              <w:t>Расходы на ГП развития сельского хозяйства в % к предыдущему году</w:t>
            </w:r>
          </w:p>
        </w:tc>
        <w:tc>
          <w:tcPr>
            <w:tcW w:w="1417" w:type="dxa"/>
            <w:shd w:val="clear" w:color="auto" w:fill="auto"/>
            <w:noWrap/>
            <w:vAlign w:val="center"/>
            <w:hideMark/>
          </w:tcPr>
          <w:p w14:paraId="5A127A8D" w14:textId="3A95F5A4" w:rsidR="00CE6F4D" w:rsidRPr="00AA5ABD" w:rsidRDefault="00CE6F4D" w:rsidP="00CE6F4D">
            <w:pPr>
              <w:jc w:val="center"/>
              <w:rPr>
                <w:b/>
                <w:bCs/>
                <w:color w:val="000000"/>
                <w:sz w:val="20"/>
                <w:szCs w:val="20"/>
              </w:rPr>
            </w:pPr>
          </w:p>
        </w:tc>
        <w:tc>
          <w:tcPr>
            <w:tcW w:w="1418" w:type="dxa"/>
            <w:shd w:val="clear" w:color="auto" w:fill="auto"/>
            <w:noWrap/>
            <w:vAlign w:val="center"/>
            <w:hideMark/>
          </w:tcPr>
          <w:p w14:paraId="11F46B09" w14:textId="60781E0B" w:rsidR="00CE6F4D" w:rsidRPr="00A46B79" w:rsidRDefault="00CE6F4D" w:rsidP="00CE6F4D">
            <w:pPr>
              <w:jc w:val="center"/>
              <w:rPr>
                <w:bCs/>
                <w:i/>
                <w:color w:val="000000"/>
                <w:sz w:val="20"/>
                <w:szCs w:val="20"/>
              </w:rPr>
            </w:pPr>
            <w:r w:rsidRPr="00A46B79">
              <w:rPr>
                <w:bCs/>
                <w:i/>
                <w:color w:val="000000"/>
                <w:sz w:val="20"/>
                <w:szCs w:val="20"/>
              </w:rPr>
              <w:t>94,2</w:t>
            </w:r>
          </w:p>
        </w:tc>
        <w:tc>
          <w:tcPr>
            <w:tcW w:w="1417" w:type="dxa"/>
            <w:shd w:val="clear" w:color="auto" w:fill="auto"/>
            <w:noWrap/>
            <w:vAlign w:val="center"/>
            <w:hideMark/>
          </w:tcPr>
          <w:p w14:paraId="68BAFCC0" w14:textId="7B257CFC" w:rsidR="00CE6F4D" w:rsidRPr="00A46B79" w:rsidRDefault="00CE6F4D" w:rsidP="00CE6F4D">
            <w:pPr>
              <w:jc w:val="center"/>
              <w:rPr>
                <w:bCs/>
                <w:i/>
                <w:color w:val="000000"/>
                <w:sz w:val="20"/>
                <w:szCs w:val="20"/>
              </w:rPr>
            </w:pPr>
            <w:r w:rsidRPr="00A46B79">
              <w:rPr>
                <w:bCs/>
                <w:i/>
                <w:color w:val="000000"/>
                <w:sz w:val="20"/>
                <w:szCs w:val="20"/>
              </w:rPr>
              <w:t>100,9</w:t>
            </w:r>
          </w:p>
        </w:tc>
        <w:tc>
          <w:tcPr>
            <w:tcW w:w="1418" w:type="dxa"/>
            <w:shd w:val="clear" w:color="auto" w:fill="auto"/>
            <w:noWrap/>
            <w:vAlign w:val="center"/>
            <w:hideMark/>
          </w:tcPr>
          <w:p w14:paraId="687F52B3" w14:textId="6838CC73" w:rsidR="00CE6F4D" w:rsidRPr="00A46B79" w:rsidRDefault="00CE6F4D" w:rsidP="00CE6F4D">
            <w:pPr>
              <w:jc w:val="center"/>
              <w:rPr>
                <w:bCs/>
                <w:i/>
                <w:color w:val="000000"/>
                <w:sz w:val="20"/>
                <w:szCs w:val="20"/>
              </w:rPr>
            </w:pPr>
            <w:r w:rsidRPr="00A46B79">
              <w:rPr>
                <w:bCs/>
                <w:i/>
                <w:color w:val="000000"/>
                <w:sz w:val="20"/>
                <w:szCs w:val="20"/>
              </w:rPr>
              <w:t>112,3</w:t>
            </w:r>
          </w:p>
        </w:tc>
      </w:tr>
      <w:tr w:rsidR="00CE6F4D" w:rsidRPr="00AA5ABD" w14:paraId="16769ECE" w14:textId="77777777" w:rsidTr="00CE2F2B">
        <w:trPr>
          <w:trHeight w:val="645"/>
        </w:trPr>
        <w:tc>
          <w:tcPr>
            <w:tcW w:w="3402" w:type="dxa"/>
            <w:shd w:val="clear" w:color="auto" w:fill="auto"/>
            <w:vAlign w:val="center"/>
            <w:hideMark/>
          </w:tcPr>
          <w:p w14:paraId="19192C5C" w14:textId="77777777" w:rsidR="00CE6F4D" w:rsidRPr="00A46B79" w:rsidRDefault="00CE6F4D" w:rsidP="00CE6F4D">
            <w:pPr>
              <w:jc w:val="both"/>
              <w:rPr>
                <w:i/>
                <w:color w:val="000000"/>
                <w:sz w:val="20"/>
                <w:szCs w:val="20"/>
              </w:rPr>
            </w:pPr>
            <w:r w:rsidRPr="00A46B79">
              <w:rPr>
                <w:i/>
                <w:color w:val="000000"/>
                <w:sz w:val="20"/>
                <w:szCs w:val="20"/>
              </w:rPr>
              <w:t>Расходы на ГП "Комплексное развитие сельских территорий" в % к предыдущему году</w:t>
            </w:r>
          </w:p>
        </w:tc>
        <w:tc>
          <w:tcPr>
            <w:tcW w:w="1417" w:type="dxa"/>
            <w:shd w:val="clear" w:color="auto" w:fill="auto"/>
            <w:noWrap/>
            <w:vAlign w:val="center"/>
            <w:hideMark/>
          </w:tcPr>
          <w:p w14:paraId="75C79777" w14:textId="25FD6BF2" w:rsidR="00CE6F4D" w:rsidRPr="00A46B79" w:rsidRDefault="00CE6F4D" w:rsidP="00CE6F4D">
            <w:pPr>
              <w:jc w:val="center"/>
              <w:rPr>
                <w:b/>
                <w:bCs/>
                <w:i/>
                <w:color w:val="000000"/>
                <w:sz w:val="20"/>
                <w:szCs w:val="20"/>
              </w:rPr>
            </w:pPr>
          </w:p>
        </w:tc>
        <w:tc>
          <w:tcPr>
            <w:tcW w:w="1418" w:type="dxa"/>
            <w:shd w:val="clear" w:color="auto" w:fill="auto"/>
            <w:noWrap/>
            <w:vAlign w:val="center"/>
            <w:hideMark/>
          </w:tcPr>
          <w:p w14:paraId="050AAC77" w14:textId="6608502F" w:rsidR="00CE6F4D" w:rsidRPr="00A46B79" w:rsidRDefault="00CE6F4D" w:rsidP="00CE6F4D">
            <w:pPr>
              <w:jc w:val="center"/>
              <w:rPr>
                <w:bCs/>
                <w:i/>
                <w:color w:val="000000"/>
                <w:sz w:val="20"/>
                <w:szCs w:val="20"/>
              </w:rPr>
            </w:pPr>
            <w:r w:rsidRPr="00A46B79">
              <w:rPr>
                <w:bCs/>
                <w:i/>
                <w:color w:val="000000"/>
                <w:sz w:val="20"/>
                <w:szCs w:val="20"/>
              </w:rPr>
              <w:t>202,</w:t>
            </w:r>
            <w:r w:rsidR="00AA5ABD">
              <w:rPr>
                <w:bCs/>
                <w:i/>
                <w:color w:val="000000"/>
                <w:sz w:val="20"/>
                <w:szCs w:val="20"/>
              </w:rPr>
              <w:t>6</w:t>
            </w:r>
          </w:p>
        </w:tc>
        <w:tc>
          <w:tcPr>
            <w:tcW w:w="1417" w:type="dxa"/>
            <w:shd w:val="clear" w:color="auto" w:fill="auto"/>
            <w:noWrap/>
            <w:vAlign w:val="center"/>
            <w:hideMark/>
          </w:tcPr>
          <w:p w14:paraId="05870B01" w14:textId="67F9174E" w:rsidR="00CE6F4D" w:rsidRPr="00A46B79" w:rsidRDefault="00CE6F4D" w:rsidP="00CE6F4D">
            <w:pPr>
              <w:jc w:val="center"/>
              <w:rPr>
                <w:bCs/>
                <w:i/>
                <w:color w:val="000000"/>
                <w:sz w:val="20"/>
                <w:szCs w:val="20"/>
              </w:rPr>
            </w:pPr>
            <w:r w:rsidRPr="00A46B79">
              <w:rPr>
                <w:bCs/>
                <w:i/>
                <w:color w:val="000000"/>
                <w:sz w:val="20"/>
                <w:szCs w:val="20"/>
              </w:rPr>
              <w:t>95,9</w:t>
            </w:r>
          </w:p>
        </w:tc>
        <w:tc>
          <w:tcPr>
            <w:tcW w:w="1418" w:type="dxa"/>
            <w:shd w:val="clear" w:color="auto" w:fill="auto"/>
            <w:noWrap/>
            <w:vAlign w:val="center"/>
            <w:hideMark/>
          </w:tcPr>
          <w:p w14:paraId="28BDDA90" w14:textId="59FFEB51" w:rsidR="00CE6F4D" w:rsidRPr="00A46B79" w:rsidRDefault="00CE6F4D" w:rsidP="00CE6F4D">
            <w:pPr>
              <w:jc w:val="center"/>
              <w:rPr>
                <w:bCs/>
                <w:i/>
                <w:color w:val="000000"/>
                <w:sz w:val="20"/>
                <w:szCs w:val="20"/>
              </w:rPr>
            </w:pPr>
            <w:r w:rsidRPr="00A46B79">
              <w:rPr>
                <w:bCs/>
                <w:i/>
                <w:color w:val="000000"/>
                <w:sz w:val="20"/>
                <w:szCs w:val="20"/>
              </w:rPr>
              <w:t>101,</w:t>
            </w:r>
            <w:r w:rsidR="00AA5ABD">
              <w:rPr>
                <w:bCs/>
                <w:i/>
                <w:color w:val="000000"/>
                <w:sz w:val="20"/>
                <w:szCs w:val="20"/>
              </w:rPr>
              <w:t>7</w:t>
            </w:r>
          </w:p>
        </w:tc>
      </w:tr>
    </w:tbl>
    <w:p w14:paraId="67DB99DE" w14:textId="77777777" w:rsidR="00ED5AC1" w:rsidRPr="009D5EDD" w:rsidRDefault="00ED5AC1" w:rsidP="00ED5AC1">
      <w:pPr>
        <w:keepLines/>
        <w:spacing w:after="60"/>
        <w:ind w:firstLine="709"/>
        <w:jc w:val="both"/>
        <w:rPr>
          <w:sz w:val="20"/>
          <w:szCs w:val="20"/>
        </w:rPr>
      </w:pPr>
      <w:r w:rsidRPr="009D5EDD">
        <w:rPr>
          <w:i/>
          <w:sz w:val="20"/>
          <w:szCs w:val="20"/>
        </w:rPr>
        <w:t>Источники</w:t>
      </w:r>
      <w:r w:rsidRPr="009D5EDD">
        <w:rPr>
          <w:sz w:val="20"/>
          <w:szCs w:val="20"/>
        </w:rPr>
        <w:t>:</w:t>
      </w:r>
      <w:r>
        <w:rPr>
          <w:sz w:val="20"/>
          <w:szCs w:val="20"/>
        </w:rPr>
        <w:t xml:space="preserve"> составлено авторами на основе данных законопроекта</w:t>
      </w:r>
      <w:r w:rsidRPr="009D5EDD">
        <w:rPr>
          <w:sz w:val="20"/>
          <w:szCs w:val="20"/>
        </w:rPr>
        <w:t>.</w:t>
      </w:r>
    </w:p>
    <w:p w14:paraId="0892D733" w14:textId="77777777" w:rsidR="00ED5AC1" w:rsidRDefault="00CE6F4D" w:rsidP="00DB5864">
      <w:pPr>
        <w:autoSpaceDE w:val="0"/>
        <w:autoSpaceDN w:val="0"/>
        <w:adjustRightInd w:val="0"/>
        <w:spacing w:before="120" w:after="60"/>
        <w:ind w:firstLine="709"/>
        <w:jc w:val="both"/>
        <w:rPr>
          <w:color w:val="000000"/>
        </w:rPr>
      </w:pPr>
      <w:r w:rsidRPr="0082128F">
        <w:rPr>
          <w:color w:val="000000"/>
        </w:rPr>
        <w:t xml:space="preserve">К декларируемому росту финансирования Госпрограммы развития сельского хозяйства в 2022 г. следует относиться осторожно, </w:t>
      </w:r>
      <w:r w:rsidR="000026E2">
        <w:rPr>
          <w:color w:val="000000"/>
        </w:rPr>
        <w:t>поскольку,</w:t>
      </w:r>
      <w:r w:rsidRPr="0082128F">
        <w:rPr>
          <w:color w:val="000000"/>
        </w:rPr>
        <w:t xml:space="preserve"> как правило, даже уже принятый бюджет в течение года неоднократно пересматривается. </w:t>
      </w:r>
      <w:r w:rsidRPr="00883243">
        <w:rPr>
          <w:color w:val="000000"/>
        </w:rPr>
        <w:t>При всей важности выделяемых объемов финансирования основную роль в эффективности расходов занимают конкретные направления поддержки, включенные в Госпрограмму проекты, программы, мероприятия</w:t>
      </w:r>
      <w:r w:rsidR="000026E2">
        <w:rPr>
          <w:color w:val="000000"/>
        </w:rPr>
        <w:t xml:space="preserve">, </w:t>
      </w:r>
      <w:r w:rsidRPr="00883243">
        <w:rPr>
          <w:color w:val="000000"/>
        </w:rPr>
        <w:t xml:space="preserve">от которых и зависит выполнение поставленных в ней целей развития сектора. </w:t>
      </w:r>
    </w:p>
    <w:p w14:paraId="0C5AA477" w14:textId="74EA7C80" w:rsidR="00CE6F4D" w:rsidRPr="00883243" w:rsidRDefault="00CE6F4D" w:rsidP="00DB5864">
      <w:pPr>
        <w:autoSpaceDE w:val="0"/>
        <w:autoSpaceDN w:val="0"/>
        <w:adjustRightInd w:val="0"/>
        <w:spacing w:before="120" w:after="60"/>
        <w:ind w:firstLine="709"/>
        <w:jc w:val="both"/>
        <w:rPr>
          <w:color w:val="000000"/>
        </w:rPr>
      </w:pPr>
      <w:r w:rsidRPr="00883243">
        <w:rPr>
          <w:color w:val="000000"/>
        </w:rPr>
        <w:t>Следует отметить, что структура Госпрограммы развития сельского хозяйства, цели, правила и механизмы господдержки постоянно меняются (с начала действия Госпрограммы в 2013 г., подготовлена уже 15-ая ее редакция, т.е. в среднем, основополагающий документ развития отрасли менялся 2 раза в год, в т</w:t>
      </w:r>
      <w:r w:rsidR="000026E2">
        <w:rPr>
          <w:color w:val="000000"/>
        </w:rPr>
        <w:t>ом числе</w:t>
      </w:r>
      <w:r w:rsidRPr="00883243">
        <w:rPr>
          <w:color w:val="000000"/>
        </w:rPr>
        <w:t xml:space="preserve"> кардинально). С 2020 г. снова изменятся правила распределения основных субсидий. В целом это негативная тенденция</w:t>
      </w:r>
      <w:r>
        <w:rPr>
          <w:color w:val="000000"/>
        </w:rPr>
        <w:t>,</w:t>
      </w:r>
      <w:r w:rsidR="00ED5AC1">
        <w:rPr>
          <w:color w:val="000000"/>
        </w:rPr>
        <w:t xml:space="preserve"> оказывающая дестабилизирующее влияние на </w:t>
      </w:r>
      <w:r w:rsidRPr="00883243">
        <w:rPr>
          <w:color w:val="000000"/>
        </w:rPr>
        <w:t xml:space="preserve">развитие отрасли. Госпрограмма </w:t>
      </w:r>
      <w:r w:rsidR="00ED5AC1">
        <w:rPr>
          <w:color w:val="000000"/>
        </w:rPr>
        <w:t xml:space="preserve">должна </w:t>
      </w:r>
      <w:r w:rsidRPr="00883243">
        <w:rPr>
          <w:color w:val="000000"/>
        </w:rPr>
        <w:t>явля</w:t>
      </w:r>
      <w:r w:rsidR="00ED5AC1">
        <w:rPr>
          <w:color w:val="000000"/>
        </w:rPr>
        <w:t>ть</w:t>
      </w:r>
      <w:r w:rsidRPr="00883243">
        <w:rPr>
          <w:color w:val="000000"/>
        </w:rPr>
        <w:t xml:space="preserve">ся </w:t>
      </w:r>
      <w:r w:rsidR="00ED5AC1">
        <w:rPr>
          <w:color w:val="000000"/>
        </w:rPr>
        <w:t xml:space="preserve">именно тем </w:t>
      </w:r>
      <w:r w:rsidRPr="00883243">
        <w:rPr>
          <w:color w:val="000000"/>
        </w:rPr>
        <w:t>документом среднесрочного планирования</w:t>
      </w:r>
      <w:r w:rsidR="00ED5AC1">
        <w:rPr>
          <w:color w:val="000000"/>
        </w:rPr>
        <w:t xml:space="preserve">, определяющим </w:t>
      </w:r>
      <w:r w:rsidRPr="00883243">
        <w:rPr>
          <w:color w:val="000000"/>
        </w:rPr>
        <w:t>стабильны</w:t>
      </w:r>
      <w:r w:rsidR="00ED5AC1">
        <w:rPr>
          <w:color w:val="000000"/>
        </w:rPr>
        <w:t>е</w:t>
      </w:r>
      <w:r w:rsidRPr="00883243">
        <w:rPr>
          <w:color w:val="000000"/>
        </w:rPr>
        <w:t xml:space="preserve"> правил</w:t>
      </w:r>
      <w:r w:rsidR="00ED5AC1">
        <w:rPr>
          <w:color w:val="000000"/>
        </w:rPr>
        <w:t>а</w:t>
      </w:r>
      <w:r w:rsidRPr="00883243">
        <w:rPr>
          <w:color w:val="000000"/>
        </w:rPr>
        <w:t xml:space="preserve"> государственной поддержки на всем периоде ее действия с пересмотром устаревших механизмом по окончании срока действия</w:t>
      </w:r>
      <w:r>
        <w:rPr>
          <w:color w:val="000000"/>
        </w:rPr>
        <w:t xml:space="preserve"> Госпрограммы</w:t>
      </w:r>
      <w:r w:rsidRPr="00883243">
        <w:rPr>
          <w:color w:val="000000"/>
        </w:rPr>
        <w:t xml:space="preserve">. </w:t>
      </w:r>
      <w:r w:rsidR="00ED5AC1">
        <w:rPr>
          <w:color w:val="000000"/>
        </w:rPr>
        <w:t>Другими словами, п</w:t>
      </w:r>
      <w:r w:rsidRPr="00883243">
        <w:rPr>
          <w:color w:val="000000"/>
        </w:rPr>
        <w:t>осле принятия</w:t>
      </w:r>
      <w:r w:rsidR="00ED5AC1">
        <w:rPr>
          <w:color w:val="000000"/>
        </w:rPr>
        <w:t xml:space="preserve"> Госпрограммы</w:t>
      </w:r>
      <w:r w:rsidRPr="00883243">
        <w:rPr>
          <w:color w:val="000000"/>
        </w:rPr>
        <w:t xml:space="preserve"> она должна меняться в исключительных случаях. </w:t>
      </w:r>
    </w:p>
    <w:p w14:paraId="0C6430B7" w14:textId="259B78BA" w:rsidR="00CE6F4D" w:rsidRDefault="00CE6F4D" w:rsidP="00CE6F4D">
      <w:pPr>
        <w:autoSpaceDE w:val="0"/>
        <w:autoSpaceDN w:val="0"/>
        <w:adjustRightInd w:val="0"/>
        <w:spacing w:after="60"/>
        <w:ind w:firstLine="709"/>
        <w:jc w:val="both"/>
        <w:rPr>
          <w:color w:val="000000"/>
        </w:rPr>
      </w:pPr>
      <w:r w:rsidRPr="00883243">
        <w:rPr>
          <w:color w:val="000000"/>
        </w:rPr>
        <w:t xml:space="preserve">По набору и суммам финансируемых направлений и мер Госпрограммы развития сельского хозяйства есть вопросы, в основном связанные с неравномерным финансированием одних и тех же мер по годам планового периода при предусматриваемом стабильном характере поддержки или недостаточным </w:t>
      </w:r>
      <w:r w:rsidRPr="00DB5864">
        <w:rPr>
          <w:color w:val="000000"/>
        </w:rPr>
        <w:t>финансированием (</w:t>
      </w:r>
      <w:r w:rsidRPr="00DB5864">
        <w:rPr>
          <w:i/>
          <w:color w:val="000000"/>
        </w:rPr>
        <w:t>таблица</w:t>
      </w:r>
      <w:r w:rsidRPr="00DB5864">
        <w:rPr>
          <w:color w:val="000000"/>
        </w:rPr>
        <w:t xml:space="preserve"> </w:t>
      </w:r>
      <w:r w:rsidR="00C84D38">
        <w:rPr>
          <w:i/>
          <w:noProof/>
        </w:rPr>
        <w:t>20</w:t>
      </w:r>
      <w:r w:rsidRPr="00DB5864">
        <w:rPr>
          <w:color w:val="000000"/>
        </w:rPr>
        <w:t>). Так,</w:t>
      </w:r>
      <w:r w:rsidRPr="00883243">
        <w:rPr>
          <w:color w:val="000000"/>
        </w:rPr>
        <w:t xml:space="preserve"> непонятно, зачем было инициировать </w:t>
      </w:r>
      <w:r>
        <w:rPr>
          <w:color w:val="000000"/>
        </w:rPr>
        <w:t xml:space="preserve">целый </w:t>
      </w:r>
      <w:r w:rsidRPr="00883243">
        <w:rPr>
          <w:color w:val="000000"/>
        </w:rPr>
        <w:t xml:space="preserve">Ведомственный проект "Цифровое сельское хозяйство", если выделяемое финансирование составит разовые </w:t>
      </w:r>
      <w:r w:rsidR="004D3F1C">
        <w:rPr>
          <w:color w:val="000000"/>
        </w:rPr>
        <w:t>0,</w:t>
      </w:r>
      <w:r w:rsidRPr="00883243">
        <w:rPr>
          <w:color w:val="000000"/>
        </w:rPr>
        <w:t>3</w:t>
      </w:r>
      <w:r w:rsidR="004D3F1C">
        <w:rPr>
          <w:color w:val="000000"/>
        </w:rPr>
        <w:t xml:space="preserve"> млрд </w:t>
      </w:r>
      <w:r w:rsidRPr="00883243">
        <w:rPr>
          <w:color w:val="000000"/>
        </w:rPr>
        <w:t xml:space="preserve">руб. в 2020 г. </w:t>
      </w:r>
      <w:r>
        <w:rPr>
          <w:color w:val="000000"/>
        </w:rPr>
        <w:t>«</w:t>
      </w:r>
      <w:r w:rsidRPr="00883243">
        <w:rPr>
          <w:color w:val="000000"/>
        </w:rPr>
        <w:t>на закупку товаров, работ, услуг в сфере информационно-коммуникационных технологий государственными органами</w:t>
      </w:r>
      <w:r>
        <w:rPr>
          <w:color w:val="000000"/>
        </w:rPr>
        <w:t>»</w:t>
      </w:r>
      <w:r w:rsidRPr="00883243">
        <w:rPr>
          <w:color w:val="000000"/>
        </w:rPr>
        <w:t xml:space="preserve">. </w:t>
      </w:r>
      <w:r>
        <w:rPr>
          <w:color w:val="000000"/>
        </w:rPr>
        <w:t>Скорее</w:t>
      </w:r>
      <w:r w:rsidR="00ED5AC1">
        <w:rPr>
          <w:color w:val="000000"/>
        </w:rPr>
        <w:t>,</w:t>
      </w:r>
      <w:r>
        <w:rPr>
          <w:color w:val="000000"/>
        </w:rPr>
        <w:t xml:space="preserve"> этот «проект» следует </w:t>
      </w:r>
      <w:r w:rsidRPr="00BE65E2">
        <w:rPr>
          <w:i/>
          <w:color w:val="000000"/>
        </w:rPr>
        <w:t>объединить</w:t>
      </w:r>
      <w:r>
        <w:rPr>
          <w:color w:val="000000"/>
        </w:rPr>
        <w:t xml:space="preserve"> </w:t>
      </w:r>
      <w:r w:rsidRPr="00BE65E2">
        <w:rPr>
          <w:i/>
          <w:color w:val="000000"/>
        </w:rPr>
        <w:t>с</w:t>
      </w:r>
      <w:r>
        <w:rPr>
          <w:color w:val="000000"/>
        </w:rPr>
        <w:t xml:space="preserve"> </w:t>
      </w:r>
      <w:r w:rsidRPr="00883243">
        <w:rPr>
          <w:i/>
          <w:color w:val="000000"/>
        </w:rPr>
        <w:t>Ведомственной целевой программ</w:t>
      </w:r>
      <w:r>
        <w:rPr>
          <w:i/>
          <w:color w:val="000000"/>
        </w:rPr>
        <w:t xml:space="preserve">ой </w:t>
      </w:r>
      <w:r w:rsidRPr="00883243">
        <w:rPr>
          <w:i/>
          <w:color w:val="000000"/>
        </w:rPr>
        <w:t>"Научно-техническое обеспечение развития отраслей агропромышленного комплекса</w:t>
      </w:r>
      <w:r w:rsidRPr="00883243">
        <w:rPr>
          <w:color w:val="000000"/>
        </w:rPr>
        <w:t>», также весьма скромно финансируемой</w:t>
      </w:r>
      <w:r>
        <w:rPr>
          <w:color w:val="000000"/>
        </w:rPr>
        <w:t xml:space="preserve"> несоразмерно с заявленным названием</w:t>
      </w:r>
      <w:r>
        <w:rPr>
          <w:i/>
          <w:color w:val="000000"/>
        </w:rPr>
        <w:t>.</w:t>
      </w:r>
    </w:p>
    <w:p w14:paraId="609F2DBE" w14:textId="70C17211" w:rsidR="00DB5864" w:rsidRPr="00600DF7" w:rsidRDefault="00DB5864" w:rsidP="00DB5864">
      <w:pPr>
        <w:spacing w:after="60"/>
        <w:jc w:val="right"/>
        <w:rPr>
          <w:i/>
        </w:rPr>
      </w:pPr>
      <w:r w:rsidRPr="00600DF7">
        <w:rPr>
          <w:i/>
        </w:rPr>
        <w:t>Таблица</w:t>
      </w:r>
      <w:r>
        <w:rPr>
          <w:i/>
        </w:rPr>
        <w:t xml:space="preserve"> </w:t>
      </w:r>
      <w:bookmarkStart w:id="44" w:name="_Ref21345144"/>
      <w:r w:rsidR="00C84D38">
        <w:rPr>
          <w:i/>
          <w:noProof/>
        </w:rPr>
        <w:t>20</w:t>
      </w:r>
      <w:bookmarkEnd w:id="44"/>
    </w:p>
    <w:p w14:paraId="3F3C9676" w14:textId="49699B3C" w:rsidR="00DB5864" w:rsidRPr="00BE65E2" w:rsidRDefault="00DB5864" w:rsidP="00DB5864">
      <w:pPr>
        <w:autoSpaceDE w:val="0"/>
        <w:autoSpaceDN w:val="0"/>
        <w:adjustRightInd w:val="0"/>
        <w:spacing w:after="60"/>
        <w:jc w:val="center"/>
        <w:rPr>
          <w:b/>
          <w:color w:val="000000"/>
        </w:rPr>
      </w:pPr>
      <w:r w:rsidRPr="00BE65E2">
        <w:rPr>
          <w:b/>
          <w:color w:val="000000"/>
        </w:rPr>
        <w:t xml:space="preserve">Финансирование мер Госпрограммы развития сельского хозяйства </w:t>
      </w:r>
      <w:r w:rsidR="00ED5AC1">
        <w:rPr>
          <w:b/>
          <w:color w:val="000000"/>
        </w:rPr>
        <w:t>в 2020-2022 гг.</w:t>
      </w:r>
      <w:r w:rsidRPr="00BE65E2">
        <w:rPr>
          <w:b/>
          <w:color w:val="000000"/>
        </w:rPr>
        <w:t xml:space="preserve">, </w:t>
      </w:r>
      <w:r w:rsidR="003D1B2E">
        <w:rPr>
          <w:b/>
          <w:color w:val="000000"/>
        </w:rPr>
        <w:t>млрд</w:t>
      </w:r>
      <w:r w:rsidRPr="00BE65E2">
        <w:rPr>
          <w:b/>
          <w:color w:val="000000"/>
        </w:rPr>
        <w:t xml:space="preserve"> руб.</w:t>
      </w:r>
    </w:p>
    <w:tbl>
      <w:tblPr>
        <w:tblW w:w="9072" w:type="dxa"/>
        <w:tblInd w:w="-5" w:type="dxa"/>
        <w:tblLayout w:type="fixed"/>
        <w:tblLook w:val="04A0" w:firstRow="1" w:lastRow="0" w:firstColumn="1" w:lastColumn="0" w:noHBand="0" w:noVBand="1"/>
      </w:tblPr>
      <w:tblGrid>
        <w:gridCol w:w="3261"/>
        <w:gridCol w:w="1162"/>
        <w:gridCol w:w="1162"/>
        <w:gridCol w:w="1162"/>
        <w:gridCol w:w="1162"/>
        <w:gridCol w:w="1163"/>
      </w:tblGrid>
      <w:tr w:rsidR="00DB5864" w:rsidRPr="004A52CD" w14:paraId="2E53C1CF" w14:textId="77777777" w:rsidTr="009A0C49">
        <w:trPr>
          <w:trHeight w:val="20"/>
          <w:tblHead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502E3" w14:textId="77777777" w:rsidR="00DB5864" w:rsidRPr="00BE65E2" w:rsidRDefault="00DB5864" w:rsidP="000419EA">
            <w:pPr>
              <w:jc w:val="center"/>
              <w:rPr>
                <w:b/>
                <w:color w:val="000000"/>
                <w:sz w:val="20"/>
                <w:szCs w:val="20"/>
              </w:rPr>
            </w:pPr>
            <w:r w:rsidRPr="00BE65E2">
              <w:rPr>
                <w:b/>
                <w:color w:val="000000"/>
                <w:sz w:val="20"/>
                <w:szCs w:val="20"/>
              </w:rPr>
              <w:t>Наименование</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482C8605" w14:textId="77777777" w:rsidR="00DB5864" w:rsidRPr="00BE65E2" w:rsidRDefault="00DB5864" w:rsidP="000419EA">
            <w:pPr>
              <w:jc w:val="center"/>
              <w:rPr>
                <w:b/>
                <w:color w:val="000000"/>
                <w:sz w:val="20"/>
                <w:szCs w:val="20"/>
              </w:rPr>
            </w:pPr>
            <w:r w:rsidRPr="00BE65E2">
              <w:rPr>
                <w:b/>
                <w:color w:val="000000"/>
                <w:sz w:val="20"/>
                <w:szCs w:val="20"/>
              </w:rPr>
              <w:t>2020 г.</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6F1E5990" w14:textId="77777777" w:rsidR="00DB5864" w:rsidRPr="00BE65E2" w:rsidRDefault="00DB5864" w:rsidP="000419EA">
            <w:pPr>
              <w:jc w:val="center"/>
              <w:rPr>
                <w:b/>
                <w:color w:val="000000"/>
                <w:sz w:val="20"/>
                <w:szCs w:val="20"/>
              </w:rPr>
            </w:pPr>
            <w:r w:rsidRPr="00BE65E2">
              <w:rPr>
                <w:b/>
                <w:color w:val="000000"/>
                <w:sz w:val="20"/>
                <w:szCs w:val="20"/>
              </w:rPr>
              <w:t>2021 г.</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7A5ECACA" w14:textId="77777777" w:rsidR="00DB5864" w:rsidRPr="00BE65E2" w:rsidRDefault="00DB5864" w:rsidP="000419EA">
            <w:pPr>
              <w:jc w:val="center"/>
              <w:rPr>
                <w:b/>
                <w:color w:val="000000"/>
                <w:sz w:val="20"/>
                <w:szCs w:val="20"/>
              </w:rPr>
            </w:pPr>
            <w:r w:rsidRPr="00BE65E2">
              <w:rPr>
                <w:b/>
                <w:color w:val="000000"/>
                <w:sz w:val="20"/>
                <w:szCs w:val="20"/>
              </w:rPr>
              <w:t>2022 г.</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2196B3BA" w14:textId="77777777" w:rsidR="00DB5864" w:rsidRPr="00BE65E2" w:rsidRDefault="00DB5864" w:rsidP="000419EA">
            <w:pPr>
              <w:jc w:val="center"/>
              <w:rPr>
                <w:b/>
                <w:i/>
                <w:color w:val="000000"/>
                <w:sz w:val="20"/>
                <w:szCs w:val="20"/>
              </w:rPr>
            </w:pPr>
            <w:r w:rsidRPr="00BE65E2">
              <w:rPr>
                <w:b/>
                <w:i/>
                <w:color w:val="000000"/>
                <w:sz w:val="20"/>
                <w:szCs w:val="20"/>
              </w:rPr>
              <w:t xml:space="preserve">2021 </w:t>
            </w:r>
            <w:r>
              <w:rPr>
                <w:b/>
                <w:i/>
                <w:color w:val="000000"/>
                <w:sz w:val="20"/>
                <w:szCs w:val="20"/>
              </w:rPr>
              <w:t xml:space="preserve">г. </w:t>
            </w:r>
            <w:r w:rsidRPr="00BE65E2">
              <w:rPr>
                <w:b/>
                <w:i/>
                <w:color w:val="000000"/>
                <w:sz w:val="20"/>
                <w:szCs w:val="20"/>
              </w:rPr>
              <w:t>к 2020</w:t>
            </w:r>
            <w:r>
              <w:rPr>
                <w:b/>
                <w:i/>
                <w:color w:val="000000"/>
                <w:sz w:val="20"/>
                <w:szCs w:val="20"/>
              </w:rPr>
              <w:t xml:space="preserve"> г.</w:t>
            </w:r>
            <w:r w:rsidRPr="00BE65E2">
              <w:rPr>
                <w:b/>
                <w:i/>
                <w:color w:val="000000"/>
                <w:sz w:val="20"/>
                <w:szCs w:val="20"/>
              </w:rPr>
              <w:t>, %</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2D79A24A" w14:textId="77777777" w:rsidR="00DB5864" w:rsidRPr="00BE65E2" w:rsidRDefault="00DB5864" w:rsidP="000419EA">
            <w:pPr>
              <w:jc w:val="center"/>
              <w:rPr>
                <w:b/>
                <w:i/>
                <w:color w:val="000000"/>
                <w:sz w:val="20"/>
                <w:szCs w:val="20"/>
              </w:rPr>
            </w:pPr>
            <w:r w:rsidRPr="00BE65E2">
              <w:rPr>
                <w:b/>
                <w:i/>
                <w:color w:val="000000"/>
                <w:sz w:val="20"/>
                <w:szCs w:val="20"/>
              </w:rPr>
              <w:t>2022</w:t>
            </w:r>
            <w:r>
              <w:rPr>
                <w:b/>
                <w:i/>
                <w:color w:val="000000"/>
                <w:sz w:val="20"/>
                <w:szCs w:val="20"/>
              </w:rPr>
              <w:t xml:space="preserve"> г.</w:t>
            </w:r>
            <w:r w:rsidRPr="00BE65E2">
              <w:rPr>
                <w:b/>
                <w:i/>
                <w:color w:val="000000"/>
                <w:sz w:val="20"/>
                <w:szCs w:val="20"/>
              </w:rPr>
              <w:t xml:space="preserve"> к 202</w:t>
            </w:r>
            <w:r>
              <w:rPr>
                <w:b/>
                <w:i/>
                <w:color w:val="000000"/>
                <w:sz w:val="20"/>
                <w:szCs w:val="20"/>
              </w:rPr>
              <w:t>1 г.</w:t>
            </w:r>
            <w:r w:rsidRPr="00BE65E2">
              <w:rPr>
                <w:b/>
                <w:i/>
                <w:color w:val="000000"/>
                <w:sz w:val="20"/>
                <w:szCs w:val="20"/>
              </w:rPr>
              <w:t>, %</w:t>
            </w:r>
          </w:p>
        </w:tc>
      </w:tr>
      <w:tr w:rsidR="003D1B2E" w:rsidRPr="004A52CD" w14:paraId="1B9583BC"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E3EDC44" w14:textId="77777777" w:rsidR="003D1B2E" w:rsidRPr="00BE65E2" w:rsidRDefault="003D1B2E" w:rsidP="003D1B2E">
            <w:pPr>
              <w:jc w:val="both"/>
              <w:rPr>
                <w:b/>
                <w:bCs/>
                <w:color w:val="000000"/>
                <w:sz w:val="20"/>
                <w:szCs w:val="20"/>
              </w:rPr>
            </w:pPr>
            <w:r w:rsidRPr="00BE65E2">
              <w:rPr>
                <w:b/>
                <w:bCs/>
                <w:color w:val="000000"/>
                <w:sz w:val="20"/>
                <w:szCs w:val="20"/>
              </w:rPr>
              <w:t>ГП итого</w:t>
            </w:r>
          </w:p>
        </w:tc>
        <w:tc>
          <w:tcPr>
            <w:tcW w:w="1162" w:type="dxa"/>
            <w:tcBorders>
              <w:top w:val="nil"/>
              <w:left w:val="nil"/>
              <w:bottom w:val="single" w:sz="4" w:space="0" w:color="auto"/>
              <w:right w:val="single" w:sz="4" w:space="0" w:color="auto"/>
            </w:tcBorders>
            <w:shd w:val="clear" w:color="auto" w:fill="auto"/>
            <w:vAlign w:val="center"/>
          </w:tcPr>
          <w:p w14:paraId="2C951424" w14:textId="5EC15904" w:rsidR="003D1B2E" w:rsidRPr="009A0C49" w:rsidRDefault="003D1B2E" w:rsidP="009A0C49">
            <w:pPr>
              <w:jc w:val="center"/>
              <w:rPr>
                <w:color w:val="000000"/>
                <w:sz w:val="20"/>
                <w:szCs w:val="20"/>
              </w:rPr>
            </w:pPr>
            <w:r w:rsidRPr="009A0C49">
              <w:rPr>
                <w:color w:val="000000"/>
                <w:sz w:val="20"/>
                <w:szCs w:val="20"/>
              </w:rPr>
              <w:t>290,1</w:t>
            </w:r>
          </w:p>
        </w:tc>
        <w:tc>
          <w:tcPr>
            <w:tcW w:w="1162" w:type="dxa"/>
            <w:tcBorders>
              <w:top w:val="nil"/>
              <w:left w:val="nil"/>
              <w:bottom w:val="single" w:sz="4" w:space="0" w:color="auto"/>
              <w:right w:val="single" w:sz="4" w:space="0" w:color="auto"/>
            </w:tcBorders>
            <w:shd w:val="clear" w:color="auto" w:fill="auto"/>
            <w:vAlign w:val="center"/>
          </w:tcPr>
          <w:p w14:paraId="6E327115" w14:textId="3A80DC86" w:rsidR="003D1B2E" w:rsidRPr="009A0C49" w:rsidRDefault="003D1B2E" w:rsidP="009A0C49">
            <w:pPr>
              <w:jc w:val="center"/>
              <w:rPr>
                <w:color w:val="000000"/>
                <w:sz w:val="20"/>
                <w:szCs w:val="20"/>
              </w:rPr>
            </w:pPr>
            <w:r w:rsidRPr="009A0C49">
              <w:rPr>
                <w:color w:val="000000"/>
                <w:sz w:val="20"/>
                <w:szCs w:val="20"/>
              </w:rPr>
              <w:t>292,9</w:t>
            </w:r>
          </w:p>
        </w:tc>
        <w:tc>
          <w:tcPr>
            <w:tcW w:w="1162" w:type="dxa"/>
            <w:tcBorders>
              <w:top w:val="nil"/>
              <w:left w:val="nil"/>
              <w:bottom w:val="single" w:sz="4" w:space="0" w:color="auto"/>
              <w:right w:val="single" w:sz="4" w:space="0" w:color="auto"/>
            </w:tcBorders>
            <w:shd w:val="clear" w:color="auto" w:fill="auto"/>
            <w:vAlign w:val="center"/>
          </w:tcPr>
          <w:p w14:paraId="202921D3" w14:textId="7C98D3FF" w:rsidR="003D1B2E" w:rsidRPr="009A0C49" w:rsidRDefault="003D1B2E" w:rsidP="009A0C49">
            <w:pPr>
              <w:jc w:val="center"/>
              <w:rPr>
                <w:color w:val="000000"/>
                <w:sz w:val="20"/>
                <w:szCs w:val="20"/>
              </w:rPr>
            </w:pPr>
            <w:r w:rsidRPr="009A0C49">
              <w:rPr>
                <w:color w:val="000000"/>
                <w:sz w:val="20"/>
                <w:szCs w:val="20"/>
              </w:rPr>
              <w:t>328,9</w:t>
            </w:r>
          </w:p>
        </w:tc>
        <w:tc>
          <w:tcPr>
            <w:tcW w:w="1162" w:type="dxa"/>
            <w:tcBorders>
              <w:top w:val="nil"/>
              <w:left w:val="nil"/>
              <w:bottom w:val="single" w:sz="4" w:space="0" w:color="auto"/>
              <w:right w:val="single" w:sz="4" w:space="0" w:color="auto"/>
            </w:tcBorders>
            <w:shd w:val="clear" w:color="auto" w:fill="auto"/>
            <w:vAlign w:val="center"/>
            <w:hideMark/>
          </w:tcPr>
          <w:p w14:paraId="65036468" w14:textId="77777777" w:rsidR="003D1B2E" w:rsidRPr="00BE65E2" w:rsidRDefault="003D1B2E" w:rsidP="003D1B2E">
            <w:pPr>
              <w:jc w:val="center"/>
              <w:rPr>
                <w:b/>
                <w:bCs/>
                <w:i/>
                <w:color w:val="000000"/>
                <w:sz w:val="20"/>
                <w:szCs w:val="20"/>
              </w:rPr>
            </w:pPr>
            <w:r w:rsidRPr="00BE65E2">
              <w:rPr>
                <w:b/>
                <w:bCs/>
                <w:i/>
                <w:color w:val="000000"/>
                <w:sz w:val="20"/>
                <w:szCs w:val="20"/>
              </w:rPr>
              <w:t>100,9</w:t>
            </w:r>
          </w:p>
        </w:tc>
        <w:tc>
          <w:tcPr>
            <w:tcW w:w="1163" w:type="dxa"/>
            <w:tcBorders>
              <w:top w:val="nil"/>
              <w:left w:val="nil"/>
              <w:bottom w:val="single" w:sz="4" w:space="0" w:color="auto"/>
              <w:right w:val="single" w:sz="4" w:space="0" w:color="auto"/>
            </w:tcBorders>
            <w:shd w:val="clear" w:color="auto" w:fill="auto"/>
            <w:vAlign w:val="center"/>
            <w:hideMark/>
          </w:tcPr>
          <w:p w14:paraId="4E2FD1EE" w14:textId="77777777" w:rsidR="003D1B2E" w:rsidRPr="00BE65E2" w:rsidRDefault="003D1B2E" w:rsidP="003D1B2E">
            <w:pPr>
              <w:jc w:val="center"/>
              <w:rPr>
                <w:b/>
                <w:bCs/>
                <w:i/>
                <w:color w:val="000000"/>
                <w:sz w:val="20"/>
                <w:szCs w:val="20"/>
              </w:rPr>
            </w:pPr>
            <w:r w:rsidRPr="00BE65E2">
              <w:rPr>
                <w:b/>
                <w:bCs/>
                <w:i/>
                <w:color w:val="000000"/>
                <w:sz w:val="20"/>
                <w:szCs w:val="20"/>
              </w:rPr>
              <w:t>112,3</w:t>
            </w:r>
          </w:p>
        </w:tc>
      </w:tr>
      <w:tr w:rsidR="003D1B2E" w:rsidRPr="004A52CD" w14:paraId="57B966CE"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1EB88D4" w14:textId="77777777" w:rsidR="003D1B2E" w:rsidRPr="00BE65E2" w:rsidRDefault="003D1B2E" w:rsidP="003D1B2E">
            <w:pPr>
              <w:jc w:val="both"/>
              <w:rPr>
                <w:color w:val="000000"/>
                <w:sz w:val="20"/>
                <w:szCs w:val="20"/>
              </w:rPr>
            </w:pPr>
            <w:r w:rsidRPr="00BE65E2">
              <w:rPr>
                <w:color w:val="000000"/>
                <w:sz w:val="20"/>
                <w:szCs w:val="20"/>
              </w:rPr>
              <w:t>Подпрограмма "Развитие отраслей агропромышленного комплекса"</w:t>
            </w:r>
          </w:p>
        </w:tc>
        <w:tc>
          <w:tcPr>
            <w:tcW w:w="1162" w:type="dxa"/>
            <w:tcBorders>
              <w:top w:val="nil"/>
              <w:left w:val="nil"/>
              <w:bottom w:val="single" w:sz="4" w:space="0" w:color="auto"/>
              <w:right w:val="single" w:sz="4" w:space="0" w:color="auto"/>
            </w:tcBorders>
            <w:shd w:val="clear" w:color="auto" w:fill="auto"/>
            <w:vAlign w:val="center"/>
          </w:tcPr>
          <w:p w14:paraId="53ED1C6F" w14:textId="0E09DD3E" w:rsidR="003D1B2E" w:rsidRPr="00BE65E2" w:rsidRDefault="003D1B2E" w:rsidP="009A0C49">
            <w:pPr>
              <w:jc w:val="center"/>
              <w:rPr>
                <w:color w:val="000000"/>
                <w:sz w:val="20"/>
                <w:szCs w:val="20"/>
              </w:rPr>
            </w:pPr>
            <w:r w:rsidRPr="009A0C49">
              <w:rPr>
                <w:color w:val="000000"/>
                <w:sz w:val="20"/>
                <w:szCs w:val="20"/>
              </w:rPr>
              <w:t>227,9</w:t>
            </w:r>
          </w:p>
        </w:tc>
        <w:tc>
          <w:tcPr>
            <w:tcW w:w="1162" w:type="dxa"/>
            <w:tcBorders>
              <w:top w:val="nil"/>
              <w:left w:val="nil"/>
              <w:bottom w:val="single" w:sz="4" w:space="0" w:color="auto"/>
              <w:right w:val="single" w:sz="4" w:space="0" w:color="auto"/>
            </w:tcBorders>
            <w:shd w:val="clear" w:color="auto" w:fill="auto"/>
            <w:vAlign w:val="center"/>
          </w:tcPr>
          <w:p w14:paraId="4A68ABFC" w14:textId="2B7953E3" w:rsidR="003D1B2E" w:rsidRPr="00BE65E2" w:rsidRDefault="003D1B2E" w:rsidP="009A0C49">
            <w:pPr>
              <w:jc w:val="center"/>
              <w:rPr>
                <w:color w:val="000000"/>
                <w:sz w:val="20"/>
                <w:szCs w:val="20"/>
              </w:rPr>
            </w:pPr>
            <w:r w:rsidRPr="009A0C49">
              <w:rPr>
                <w:color w:val="000000"/>
                <w:sz w:val="20"/>
                <w:szCs w:val="20"/>
              </w:rPr>
              <w:t>240,8</w:t>
            </w:r>
          </w:p>
        </w:tc>
        <w:tc>
          <w:tcPr>
            <w:tcW w:w="1162" w:type="dxa"/>
            <w:tcBorders>
              <w:top w:val="nil"/>
              <w:left w:val="nil"/>
              <w:bottom w:val="single" w:sz="4" w:space="0" w:color="auto"/>
              <w:right w:val="single" w:sz="4" w:space="0" w:color="auto"/>
            </w:tcBorders>
            <w:shd w:val="clear" w:color="auto" w:fill="auto"/>
            <w:vAlign w:val="center"/>
          </w:tcPr>
          <w:p w14:paraId="2C9ABE56" w14:textId="6894066D" w:rsidR="003D1B2E" w:rsidRPr="00BE65E2" w:rsidRDefault="003D1B2E" w:rsidP="009A0C49">
            <w:pPr>
              <w:jc w:val="center"/>
              <w:rPr>
                <w:color w:val="000000"/>
                <w:sz w:val="20"/>
                <w:szCs w:val="20"/>
              </w:rPr>
            </w:pPr>
            <w:r w:rsidRPr="009A0C49">
              <w:rPr>
                <w:color w:val="000000"/>
                <w:sz w:val="20"/>
                <w:szCs w:val="20"/>
              </w:rPr>
              <w:t>272,5</w:t>
            </w:r>
          </w:p>
        </w:tc>
        <w:tc>
          <w:tcPr>
            <w:tcW w:w="1162" w:type="dxa"/>
            <w:tcBorders>
              <w:top w:val="nil"/>
              <w:left w:val="nil"/>
              <w:bottom w:val="single" w:sz="4" w:space="0" w:color="auto"/>
              <w:right w:val="single" w:sz="4" w:space="0" w:color="auto"/>
            </w:tcBorders>
            <w:shd w:val="clear" w:color="auto" w:fill="auto"/>
            <w:vAlign w:val="center"/>
            <w:hideMark/>
          </w:tcPr>
          <w:p w14:paraId="4784B046" w14:textId="77777777" w:rsidR="003D1B2E" w:rsidRPr="00BE65E2" w:rsidRDefault="003D1B2E" w:rsidP="003D1B2E">
            <w:pPr>
              <w:jc w:val="center"/>
              <w:rPr>
                <w:bCs/>
                <w:i/>
                <w:color w:val="000000"/>
                <w:sz w:val="20"/>
                <w:szCs w:val="20"/>
              </w:rPr>
            </w:pPr>
            <w:r w:rsidRPr="00BE65E2">
              <w:rPr>
                <w:bCs/>
                <w:i/>
                <w:color w:val="000000"/>
                <w:sz w:val="20"/>
                <w:szCs w:val="20"/>
              </w:rPr>
              <w:t>105,7</w:t>
            </w:r>
          </w:p>
        </w:tc>
        <w:tc>
          <w:tcPr>
            <w:tcW w:w="1163" w:type="dxa"/>
            <w:tcBorders>
              <w:top w:val="nil"/>
              <w:left w:val="nil"/>
              <w:bottom w:val="single" w:sz="4" w:space="0" w:color="auto"/>
              <w:right w:val="single" w:sz="4" w:space="0" w:color="auto"/>
            </w:tcBorders>
            <w:shd w:val="clear" w:color="auto" w:fill="auto"/>
            <w:vAlign w:val="center"/>
            <w:hideMark/>
          </w:tcPr>
          <w:p w14:paraId="486B4EC3" w14:textId="77777777" w:rsidR="003D1B2E" w:rsidRPr="00BE65E2" w:rsidRDefault="003D1B2E" w:rsidP="003D1B2E">
            <w:pPr>
              <w:jc w:val="center"/>
              <w:rPr>
                <w:bCs/>
                <w:i/>
                <w:color w:val="000000"/>
                <w:sz w:val="20"/>
                <w:szCs w:val="20"/>
              </w:rPr>
            </w:pPr>
            <w:r w:rsidRPr="00BE65E2">
              <w:rPr>
                <w:bCs/>
                <w:i/>
                <w:color w:val="000000"/>
                <w:sz w:val="20"/>
                <w:szCs w:val="20"/>
              </w:rPr>
              <w:t>113,2</w:t>
            </w:r>
          </w:p>
        </w:tc>
      </w:tr>
      <w:tr w:rsidR="003D1B2E" w:rsidRPr="004A52CD" w14:paraId="23EE728D"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EA9D01D" w14:textId="77777777" w:rsidR="003D1B2E" w:rsidRPr="00BE65E2" w:rsidRDefault="003D1B2E" w:rsidP="003D1B2E">
            <w:pPr>
              <w:jc w:val="both"/>
              <w:rPr>
                <w:color w:val="000000"/>
                <w:sz w:val="20"/>
                <w:szCs w:val="20"/>
              </w:rPr>
            </w:pPr>
            <w:r w:rsidRPr="00BE65E2">
              <w:rPr>
                <w:color w:val="000000"/>
                <w:sz w:val="20"/>
                <w:szCs w:val="20"/>
              </w:rPr>
              <w:t>Федеральный проект "Создание системы поддержки фермеров и развитие сельской кооперации"</w:t>
            </w:r>
          </w:p>
        </w:tc>
        <w:tc>
          <w:tcPr>
            <w:tcW w:w="1162" w:type="dxa"/>
            <w:tcBorders>
              <w:top w:val="nil"/>
              <w:left w:val="nil"/>
              <w:bottom w:val="single" w:sz="4" w:space="0" w:color="auto"/>
              <w:right w:val="single" w:sz="4" w:space="0" w:color="auto"/>
            </w:tcBorders>
            <w:shd w:val="clear" w:color="auto" w:fill="auto"/>
            <w:vAlign w:val="center"/>
          </w:tcPr>
          <w:p w14:paraId="53A1DC39" w14:textId="11C77112" w:rsidR="003D1B2E" w:rsidRPr="00BE65E2" w:rsidRDefault="003D1B2E" w:rsidP="009A0C49">
            <w:pPr>
              <w:jc w:val="center"/>
              <w:rPr>
                <w:color w:val="000000"/>
                <w:sz w:val="20"/>
                <w:szCs w:val="20"/>
              </w:rPr>
            </w:pPr>
            <w:r w:rsidRPr="009A0C49">
              <w:rPr>
                <w:color w:val="000000"/>
                <w:sz w:val="20"/>
                <w:szCs w:val="20"/>
              </w:rPr>
              <w:t>3,8</w:t>
            </w:r>
          </w:p>
        </w:tc>
        <w:tc>
          <w:tcPr>
            <w:tcW w:w="1162" w:type="dxa"/>
            <w:tcBorders>
              <w:top w:val="nil"/>
              <w:left w:val="nil"/>
              <w:bottom w:val="single" w:sz="4" w:space="0" w:color="auto"/>
              <w:right w:val="single" w:sz="4" w:space="0" w:color="auto"/>
            </w:tcBorders>
            <w:shd w:val="clear" w:color="auto" w:fill="auto"/>
            <w:vAlign w:val="center"/>
          </w:tcPr>
          <w:p w14:paraId="038A61EF" w14:textId="2B49817A" w:rsidR="003D1B2E" w:rsidRPr="00BE65E2" w:rsidRDefault="003D1B2E" w:rsidP="009A0C49">
            <w:pPr>
              <w:jc w:val="center"/>
              <w:rPr>
                <w:color w:val="000000"/>
                <w:sz w:val="20"/>
                <w:szCs w:val="20"/>
              </w:rPr>
            </w:pPr>
            <w:r w:rsidRPr="009A0C49">
              <w:rPr>
                <w:color w:val="000000"/>
                <w:sz w:val="20"/>
                <w:szCs w:val="20"/>
              </w:rPr>
              <w:t>4,6</w:t>
            </w:r>
          </w:p>
        </w:tc>
        <w:tc>
          <w:tcPr>
            <w:tcW w:w="1162" w:type="dxa"/>
            <w:tcBorders>
              <w:top w:val="nil"/>
              <w:left w:val="nil"/>
              <w:bottom w:val="single" w:sz="4" w:space="0" w:color="auto"/>
              <w:right w:val="single" w:sz="4" w:space="0" w:color="auto"/>
            </w:tcBorders>
            <w:shd w:val="clear" w:color="auto" w:fill="auto"/>
            <w:vAlign w:val="center"/>
          </w:tcPr>
          <w:p w14:paraId="6EDBBE86" w14:textId="3DF8F92A" w:rsidR="003D1B2E" w:rsidRPr="00BE65E2" w:rsidRDefault="003D1B2E" w:rsidP="009A0C49">
            <w:pPr>
              <w:jc w:val="center"/>
              <w:rPr>
                <w:color w:val="000000"/>
                <w:sz w:val="20"/>
                <w:szCs w:val="20"/>
              </w:rPr>
            </w:pPr>
            <w:r w:rsidRPr="009A0C49">
              <w:rPr>
                <w:color w:val="000000"/>
                <w:sz w:val="20"/>
                <w:szCs w:val="20"/>
              </w:rPr>
              <w:t>5,9</w:t>
            </w:r>
          </w:p>
        </w:tc>
        <w:tc>
          <w:tcPr>
            <w:tcW w:w="1162" w:type="dxa"/>
            <w:tcBorders>
              <w:top w:val="nil"/>
              <w:left w:val="nil"/>
              <w:bottom w:val="single" w:sz="4" w:space="0" w:color="auto"/>
              <w:right w:val="single" w:sz="4" w:space="0" w:color="auto"/>
            </w:tcBorders>
            <w:shd w:val="clear" w:color="auto" w:fill="auto"/>
            <w:vAlign w:val="center"/>
            <w:hideMark/>
          </w:tcPr>
          <w:p w14:paraId="7F291D6D" w14:textId="77777777" w:rsidR="003D1B2E" w:rsidRPr="00BE65E2" w:rsidRDefault="003D1B2E" w:rsidP="003D1B2E">
            <w:pPr>
              <w:jc w:val="center"/>
              <w:rPr>
                <w:bCs/>
                <w:i/>
                <w:color w:val="000000"/>
                <w:sz w:val="20"/>
                <w:szCs w:val="20"/>
              </w:rPr>
            </w:pPr>
            <w:r w:rsidRPr="00BE65E2">
              <w:rPr>
                <w:bCs/>
                <w:i/>
                <w:color w:val="000000"/>
                <w:sz w:val="20"/>
                <w:szCs w:val="20"/>
              </w:rPr>
              <w:t>120,1</w:t>
            </w:r>
          </w:p>
        </w:tc>
        <w:tc>
          <w:tcPr>
            <w:tcW w:w="1163" w:type="dxa"/>
            <w:tcBorders>
              <w:top w:val="nil"/>
              <w:left w:val="nil"/>
              <w:bottom w:val="single" w:sz="4" w:space="0" w:color="auto"/>
              <w:right w:val="single" w:sz="4" w:space="0" w:color="auto"/>
            </w:tcBorders>
            <w:shd w:val="clear" w:color="auto" w:fill="auto"/>
            <w:vAlign w:val="center"/>
            <w:hideMark/>
          </w:tcPr>
          <w:p w14:paraId="675ADD73" w14:textId="77777777" w:rsidR="003D1B2E" w:rsidRPr="00BE65E2" w:rsidRDefault="003D1B2E" w:rsidP="003D1B2E">
            <w:pPr>
              <w:jc w:val="center"/>
              <w:rPr>
                <w:bCs/>
                <w:i/>
                <w:color w:val="000000"/>
                <w:sz w:val="20"/>
                <w:szCs w:val="20"/>
              </w:rPr>
            </w:pPr>
            <w:r w:rsidRPr="00BE65E2">
              <w:rPr>
                <w:bCs/>
                <w:i/>
                <w:color w:val="000000"/>
                <w:sz w:val="20"/>
                <w:szCs w:val="20"/>
              </w:rPr>
              <w:t>128,3</w:t>
            </w:r>
          </w:p>
        </w:tc>
      </w:tr>
      <w:tr w:rsidR="003D1B2E" w:rsidRPr="004A52CD" w14:paraId="76FA5FE9"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DAD42AC" w14:textId="77777777" w:rsidR="003D1B2E" w:rsidRPr="00BE65E2" w:rsidRDefault="003D1B2E" w:rsidP="003D1B2E">
            <w:pPr>
              <w:jc w:val="both"/>
              <w:rPr>
                <w:color w:val="000000"/>
                <w:sz w:val="20"/>
                <w:szCs w:val="20"/>
              </w:rPr>
            </w:pPr>
            <w:r w:rsidRPr="00BE65E2">
              <w:rPr>
                <w:color w:val="000000"/>
                <w:sz w:val="20"/>
                <w:szCs w:val="20"/>
              </w:rPr>
              <w:t>Федеральный проект "Экспорт продукции агропромышленного комплекса"</w:t>
            </w:r>
          </w:p>
        </w:tc>
        <w:tc>
          <w:tcPr>
            <w:tcW w:w="1162" w:type="dxa"/>
            <w:tcBorders>
              <w:top w:val="nil"/>
              <w:left w:val="nil"/>
              <w:bottom w:val="single" w:sz="4" w:space="0" w:color="auto"/>
              <w:right w:val="single" w:sz="4" w:space="0" w:color="auto"/>
            </w:tcBorders>
            <w:shd w:val="clear" w:color="auto" w:fill="auto"/>
            <w:vAlign w:val="center"/>
          </w:tcPr>
          <w:p w14:paraId="4AE383D8" w14:textId="137BA3EA" w:rsidR="003D1B2E" w:rsidRPr="00BE65E2" w:rsidRDefault="003D1B2E" w:rsidP="009A0C49">
            <w:pPr>
              <w:jc w:val="center"/>
              <w:rPr>
                <w:color w:val="000000"/>
                <w:sz w:val="20"/>
                <w:szCs w:val="20"/>
              </w:rPr>
            </w:pPr>
            <w:r w:rsidRPr="009A0C49">
              <w:rPr>
                <w:color w:val="000000"/>
                <w:sz w:val="20"/>
                <w:szCs w:val="20"/>
              </w:rPr>
              <w:t>33,8</w:t>
            </w:r>
          </w:p>
        </w:tc>
        <w:tc>
          <w:tcPr>
            <w:tcW w:w="1162" w:type="dxa"/>
            <w:tcBorders>
              <w:top w:val="nil"/>
              <w:left w:val="nil"/>
              <w:bottom w:val="single" w:sz="4" w:space="0" w:color="auto"/>
              <w:right w:val="single" w:sz="4" w:space="0" w:color="auto"/>
            </w:tcBorders>
            <w:shd w:val="clear" w:color="auto" w:fill="auto"/>
            <w:vAlign w:val="center"/>
          </w:tcPr>
          <w:p w14:paraId="1545DAA0" w14:textId="094C11D1" w:rsidR="003D1B2E" w:rsidRPr="00BE65E2" w:rsidRDefault="003D1B2E" w:rsidP="009A0C49">
            <w:pPr>
              <w:jc w:val="center"/>
              <w:rPr>
                <w:color w:val="000000"/>
                <w:sz w:val="20"/>
                <w:szCs w:val="20"/>
              </w:rPr>
            </w:pPr>
            <w:r w:rsidRPr="009A0C49">
              <w:rPr>
                <w:color w:val="000000"/>
                <w:sz w:val="20"/>
                <w:szCs w:val="20"/>
              </w:rPr>
              <w:t>66,5</w:t>
            </w:r>
          </w:p>
        </w:tc>
        <w:tc>
          <w:tcPr>
            <w:tcW w:w="1162" w:type="dxa"/>
            <w:tcBorders>
              <w:top w:val="nil"/>
              <w:left w:val="nil"/>
              <w:bottom w:val="single" w:sz="4" w:space="0" w:color="auto"/>
              <w:right w:val="single" w:sz="4" w:space="0" w:color="auto"/>
            </w:tcBorders>
            <w:shd w:val="clear" w:color="auto" w:fill="auto"/>
            <w:vAlign w:val="center"/>
          </w:tcPr>
          <w:p w14:paraId="33E0E7D8" w14:textId="46542F2E" w:rsidR="003D1B2E" w:rsidRPr="00BE65E2" w:rsidRDefault="003D1B2E" w:rsidP="009A0C49">
            <w:pPr>
              <w:jc w:val="center"/>
              <w:rPr>
                <w:color w:val="000000"/>
                <w:sz w:val="20"/>
                <w:szCs w:val="20"/>
              </w:rPr>
            </w:pPr>
            <w:r w:rsidRPr="009A0C49">
              <w:rPr>
                <w:color w:val="000000"/>
                <w:sz w:val="20"/>
                <w:szCs w:val="20"/>
              </w:rPr>
              <w:t>95,0</w:t>
            </w:r>
          </w:p>
        </w:tc>
        <w:tc>
          <w:tcPr>
            <w:tcW w:w="1162" w:type="dxa"/>
            <w:tcBorders>
              <w:top w:val="nil"/>
              <w:left w:val="nil"/>
              <w:bottom w:val="single" w:sz="4" w:space="0" w:color="auto"/>
              <w:right w:val="single" w:sz="4" w:space="0" w:color="auto"/>
            </w:tcBorders>
            <w:shd w:val="clear" w:color="auto" w:fill="auto"/>
            <w:vAlign w:val="center"/>
            <w:hideMark/>
          </w:tcPr>
          <w:p w14:paraId="562B1A64" w14:textId="77777777" w:rsidR="003D1B2E" w:rsidRPr="00BE65E2" w:rsidRDefault="003D1B2E" w:rsidP="003D1B2E">
            <w:pPr>
              <w:jc w:val="center"/>
              <w:rPr>
                <w:bCs/>
                <w:i/>
                <w:color w:val="000000"/>
                <w:sz w:val="20"/>
                <w:szCs w:val="20"/>
              </w:rPr>
            </w:pPr>
            <w:r w:rsidRPr="00BE65E2">
              <w:rPr>
                <w:bCs/>
                <w:i/>
                <w:color w:val="000000"/>
                <w:sz w:val="20"/>
                <w:szCs w:val="20"/>
              </w:rPr>
              <w:t>196,7</w:t>
            </w:r>
          </w:p>
        </w:tc>
        <w:tc>
          <w:tcPr>
            <w:tcW w:w="1163" w:type="dxa"/>
            <w:tcBorders>
              <w:top w:val="nil"/>
              <w:left w:val="nil"/>
              <w:bottom w:val="single" w:sz="4" w:space="0" w:color="auto"/>
              <w:right w:val="single" w:sz="4" w:space="0" w:color="auto"/>
            </w:tcBorders>
            <w:shd w:val="clear" w:color="auto" w:fill="auto"/>
            <w:vAlign w:val="center"/>
            <w:hideMark/>
          </w:tcPr>
          <w:p w14:paraId="4EA04EC3" w14:textId="77777777" w:rsidR="003D1B2E" w:rsidRPr="00BE65E2" w:rsidRDefault="003D1B2E" w:rsidP="003D1B2E">
            <w:pPr>
              <w:jc w:val="center"/>
              <w:rPr>
                <w:bCs/>
                <w:i/>
                <w:color w:val="000000"/>
                <w:sz w:val="20"/>
                <w:szCs w:val="20"/>
              </w:rPr>
            </w:pPr>
            <w:r w:rsidRPr="00BE65E2">
              <w:rPr>
                <w:bCs/>
                <w:i/>
                <w:color w:val="000000"/>
                <w:sz w:val="20"/>
                <w:szCs w:val="20"/>
              </w:rPr>
              <w:t>142,8</w:t>
            </w:r>
          </w:p>
        </w:tc>
      </w:tr>
      <w:tr w:rsidR="003D1B2E" w:rsidRPr="004A52CD" w14:paraId="18A587F4"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E3E5C03" w14:textId="77777777" w:rsidR="003D1B2E" w:rsidRPr="00BE65E2" w:rsidRDefault="003D1B2E" w:rsidP="003D1B2E">
            <w:pPr>
              <w:jc w:val="both"/>
              <w:rPr>
                <w:color w:val="000000"/>
                <w:sz w:val="20"/>
                <w:szCs w:val="20"/>
              </w:rPr>
            </w:pPr>
            <w:r w:rsidRPr="00BE65E2">
              <w:rPr>
                <w:color w:val="000000"/>
                <w:sz w:val="20"/>
                <w:szCs w:val="20"/>
              </w:rPr>
              <w:t>Реализация мер в области мелиорации земель с/х назначения (</w:t>
            </w:r>
            <w:r w:rsidRPr="00AC6D27">
              <w:rPr>
                <w:color w:val="000000"/>
              </w:rPr>
              <w:t>Б</w:t>
            </w:r>
            <w:r w:rsidRPr="00BE65E2">
              <w:rPr>
                <w:color w:val="000000"/>
                <w:sz w:val="20"/>
                <w:szCs w:val="20"/>
              </w:rPr>
              <w:t>юджетные инвестиции в объекты кап. строительства гос. собственности)</w:t>
            </w:r>
          </w:p>
        </w:tc>
        <w:tc>
          <w:tcPr>
            <w:tcW w:w="1162" w:type="dxa"/>
            <w:tcBorders>
              <w:top w:val="nil"/>
              <w:left w:val="nil"/>
              <w:bottom w:val="single" w:sz="4" w:space="0" w:color="auto"/>
              <w:right w:val="single" w:sz="4" w:space="0" w:color="auto"/>
            </w:tcBorders>
            <w:shd w:val="clear" w:color="auto" w:fill="auto"/>
            <w:vAlign w:val="center"/>
          </w:tcPr>
          <w:p w14:paraId="395CCE5C" w14:textId="26A2D0A7" w:rsidR="003D1B2E" w:rsidRPr="00BE65E2" w:rsidRDefault="003D1B2E" w:rsidP="009A0C49">
            <w:pPr>
              <w:jc w:val="center"/>
              <w:rPr>
                <w:color w:val="000000"/>
                <w:sz w:val="20"/>
                <w:szCs w:val="20"/>
              </w:rPr>
            </w:pPr>
            <w:r w:rsidRPr="009A0C49">
              <w:rPr>
                <w:color w:val="000000"/>
                <w:sz w:val="20"/>
                <w:szCs w:val="20"/>
              </w:rPr>
              <w:t>0,4</w:t>
            </w:r>
          </w:p>
        </w:tc>
        <w:tc>
          <w:tcPr>
            <w:tcW w:w="1162" w:type="dxa"/>
            <w:tcBorders>
              <w:top w:val="nil"/>
              <w:left w:val="nil"/>
              <w:bottom w:val="single" w:sz="4" w:space="0" w:color="auto"/>
              <w:right w:val="single" w:sz="4" w:space="0" w:color="auto"/>
            </w:tcBorders>
            <w:shd w:val="clear" w:color="auto" w:fill="auto"/>
            <w:vAlign w:val="center"/>
          </w:tcPr>
          <w:p w14:paraId="38656F39" w14:textId="4F2B6172" w:rsidR="003D1B2E" w:rsidRPr="00BE65E2" w:rsidRDefault="003D1B2E" w:rsidP="009A0C49">
            <w:pPr>
              <w:jc w:val="center"/>
              <w:rPr>
                <w:color w:val="000000"/>
                <w:sz w:val="20"/>
                <w:szCs w:val="20"/>
              </w:rPr>
            </w:pPr>
            <w:r w:rsidRPr="009A0C49">
              <w:rPr>
                <w:color w:val="000000"/>
                <w:sz w:val="20"/>
                <w:szCs w:val="20"/>
              </w:rPr>
              <w:t>4,4</w:t>
            </w:r>
          </w:p>
        </w:tc>
        <w:tc>
          <w:tcPr>
            <w:tcW w:w="1162" w:type="dxa"/>
            <w:tcBorders>
              <w:top w:val="nil"/>
              <w:left w:val="nil"/>
              <w:bottom w:val="single" w:sz="4" w:space="0" w:color="auto"/>
              <w:right w:val="single" w:sz="4" w:space="0" w:color="auto"/>
            </w:tcBorders>
            <w:shd w:val="clear" w:color="auto" w:fill="auto"/>
            <w:vAlign w:val="center"/>
          </w:tcPr>
          <w:p w14:paraId="2668A258" w14:textId="4E4636E4" w:rsidR="003D1B2E" w:rsidRPr="00BE65E2" w:rsidRDefault="003D1B2E" w:rsidP="009A0C49">
            <w:pPr>
              <w:jc w:val="center"/>
              <w:rPr>
                <w:color w:val="000000"/>
                <w:sz w:val="20"/>
                <w:szCs w:val="20"/>
              </w:rPr>
            </w:pPr>
            <w:r w:rsidRPr="009A0C49">
              <w:rPr>
                <w:color w:val="000000"/>
                <w:sz w:val="20"/>
                <w:szCs w:val="20"/>
              </w:rPr>
              <w:t>0,0</w:t>
            </w:r>
          </w:p>
        </w:tc>
        <w:tc>
          <w:tcPr>
            <w:tcW w:w="1162" w:type="dxa"/>
            <w:tcBorders>
              <w:top w:val="nil"/>
              <w:left w:val="nil"/>
              <w:bottom w:val="single" w:sz="4" w:space="0" w:color="auto"/>
              <w:right w:val="single" w:sz="4" w:space="0" w:color="auto"/>
            </w:tcBorders>
            <w:shd w:val="clear" w:color="auto" w:fill="auto"/>
            <w:vAlign w:val="center"/>
            <w:hideMark/>
          </w:tcPr>
          <w:p w14:paraId="1728CC22" w14:textId="77777777" w:rsidR="003D1B2E" w:rsidRPr="00BE65E2" w:rsidRDefault="003D1B2E" w:rsidP="003D1B2E">
            <w:pPr>
              <w:jc w:val="center"/>
              <w:rPr>
                <w:bCs/>
                <w:i/>
                <w:color w:val="000000"/>
                <w:sz w:val="20"/>
                <w:szCs w:val="20"/>
              </w:rPr>
            </w:pPr>
            <w:r w:rsidRPr="00BE65E2">
              <w:rPr>
                <w:bCs/>
                <w:i/>
                <w:color w:val="000000"/>
                <w:sz w:val="20"/>
                <w:szCs w:val="20"/>
              </w:rPr>
              <w:t>1013,7</w:t>
            </w:r>
          </w:p>
        </w:tc>
        <w:tc>
          <w:tcPr>
            <w:tcW w:w="1163" w:type="dxa"/>
            <w:tcBorders>
              <w:top w:val="nil"/>
              <w:left w:val="nil"/>
              <w:bottom w:val="single" w:sz="4" w:space="0" w:color="auto"/>
              <w:right w:val="single" w:sz="4" w:space="0" w:color="auto"/>
            </w:tcBorders>
            <w:shd w:val="clear" w:color="auto" w:fill="auto"/>
            <w:vAlign w:val="center"/>
            <w:hideMark/>
          </w:tcPr>
          <w:p w14:paraId="132BF6BE" w14:textId="77777777" w:rsidR="003D1B2E" w:rsidRPr="00BE65E2" w:rsidRDefault="003D1B2E" w:rsidP="003D1B2E">
            <w:pPr>
              <w:jc w:val="center"/>
              <w:rPr>
                <w:bCs/>
                <w:i/>
                <w:color w:val="000000"/>
                <w:sz w:val="20"/>
                <w:szCs w:val="20"/>
              </w:rPr>
            </w:pPr>
            <w:r w:rsidRPr="00BE65E2">
              <w:rPr>
                <w:bCs/>
                <w:i/>
                <w:color w:val="000000"/>
                <w:sz w:val="20"/>
                <w:szCs w:val="20"/>
              </w:rPr>
              <w:t>0,0</w:t>
            </w:r>
          </w:p>
        </w:tc>
      </w:tr>
      <w:tr w:rsidR="003D1B2E" w:rsidRPr="004A52CD" w14:paraId="3D2D1285"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15D6692" w14:textId="77777777" w:rsidR="003D1B2E" w:rsidRPr="00BE65E2" w:rsidRDefault="003D1B2E" w:rsidP="003D1B2E">
            <w:pPr>
              <w:jc w:val="both"/>
              <w:rPr>
                <w:color w:val="000000"/>
                <w:sz w:val="20"/>
                <w:szCs w:val="20"/>
              </w:rPr>
            </w:pPr>
            <w:r w:rsidRPr="00BE65E2">
              <w:rPr>
                <w:color w:val="000000"/>
                <w:sz w:val="20"/>
                <w:szCs w:val="20"/>
              </w:rPr>
              <w:t>Господдержка аккредитации ветеринарных лабораторий в национальной системе аккредитации</w:t>
            </w:r>
          </w:p>
        </w:tc>
        <w:tc>
          <w:tcPr>
            <w:tcW w:w="1162" w:type="dxa"/>
            <w:tcBorders>
              <w:top w:val="nil"/>
              <w:left w:val="nil"/>
              <w:bottom w:val="single" w:sz="4" w:space="0" w:color="auto"/>
              <w:right w:val="single" w:sz="4" w:space="0" w:color="auto"/>
            </w:tcBorders>
            <w:shd w:val="clear" w:color="auto" w:fill="auto"/>
            <w:vAlign w:val="center"/>
          </w:tcPr>
          <w:p w14:paraId="1734BB18" w14:textId="76B4B8EB" w:rsidR="003D1B2E" w:rsidRPr="00BE65E2" w:rsidRDefault="003D1B2E" w:rsidP="009A0C49">
            <w:pPr>
              <w:jc w:val="center"/>
              <w:rPr>
                <w:color w:val="000000"/>
                <w:sz w:val="20"/>
                <w:szCs w:val="20"/>
              </w:rPr>
            </w:pPr>
            <w:r w:rsidRPr="009A0C49">
              <w:rPr>
                <w:color w:val="000000"/>
                <w:sz w:val="20"/>
                <w:szCs w:val="20"/>
              </w:rPr>
              <w:t>0,0</w:t>
            </w:r>
          </w:p>
        </w:tc>
        <w:tc>
          <w:tcPr>
            <w:tcW w:w="1162" w:type="dxa"/>
            <w:tcBorders>
              <w:top w:val="nil"/>
              <w:left w:val="nil"/>
              <w:bottom w:val="single" w:sz="4" w:space="0" w:color="auto"/>
              <w:right w:val="single" w:sz="4" w:space="0" w:color="auto"/>
            </w:tcBorders>
            <w:shd w:val="clear" w:color="auto" w:fill="auto"/>
            <w:vAlign w:val="center"/>
          </w:tcPr>
          <w:p w14:paraId="5CFA4934" w14:textId="0E270563" w:rsidR="003D1B2E" w:rsidRPr="00BE65E2" w:rsidRDefault="003D1B2E" w:rsidP="009A0C49">
            <w:pPr>
              <w:jc w:val="center"/>
              <w:rPr>
                <w:color w:val="000000"/>
                <w:sz w:val="20"/>
                <w:szCs w:val="20"/>
              </w:rPr>
            </w:pPr>
            <w:r w:rsidRPr="009A0C49">
              <w:rPr>
                <w:color w:val="000000"/>
                <w:sz w:val="20"/>
                <w:szCs w:val="20"/>
              </w:rPr>
              <w:t>0,0</w:t>
            </w:r>
          </w:p>
        </w:tc>
        <w:tc>
          <w:tcPr>
            <w:tcW w:w="1162" w:type="dxa"/>
            <w:tcBorders>
              <w:top w:val="nil"/>
              <w:left w:val="nil"/>
              <w:bottom w:val="single" w:sz="4" w:space="0" w:color="auto"/>
              <w:right w:val="single" w:sz="4" w:space="0" w:color="auto"/>
            </w:tcBorders>
            <w:shd w:val="clear" w:color="auto" w:fill="auto"/>
            <w:vAlign w:val="center"/>
          </w:tcPr>
          <w:p w14:paraId="08D746A8" w14:textId="0A065DBE" w:rsidR="003D1B2E" w:rsidRPr="00BE65E2" w:rsidRDefault="003D1B2E" w:rsidP="009A0C49">
            <w:pPr>
              <w:jc w:val="center"/>
              <w:rPr>
                <w:color w:val="000000"/>
                <w:sz w:val="20"/>
                <w:szCs w:val="20"/>
              </w:rPr>
            </w:pPr>
            <w:r w:rsidRPr="009A0C49">
              <w:rPr>
                <w:color w:val="000000"/>
                <w:sz w:val="20"/>
                <w:szCs w:val="20"/>
              </w:rPr>
              <w:t>2,0</w:t>
            </w:r>
          </w:p>
        </w:tc>
        <w:tc>
          <w:tcPr>
            <w:tcW w:w="1162" w:type="dxa"/>
            <w:tcBorders>
              <w:top w:val="nil"/>
              <w:left w:val="nil"/>
              <w:bottom w:val="single" w:sz="4" w:space="0" w:color="auto"/>
              <w:right w:val="single" w:sz="4" w:space="0" w:color="auto"/>
            </w:tcBorders>
            <w:shd w:val="clear" w:color="auto" w:fill="auto"/>
            <w:vAlign w:val="center"/>
            <w:hideMark/>
          </w:tcPr>
          <w:p w14:paraId="45BE4AB0" w14:textId="77777777" w:rsidR="003D1B2E" w:rsidRPr="00BE65E2" w:rsidRDefault="003D1B2E" w:rsidP="003D1B2E">
            <w:pPr>
              <w:jc w:val="center"/>
              <w:rPr>
                <w:bCs/>
                <w:i/>
                <w:color w:val="000000"/>
                <w:sz w:val="20"/>
                <w:szCs w:val="20"/>
              </w:rPr>
            </w:pPr>
          </w:p>
        </w:tc>
        <w:tc>
          <w:tcPr>
            <w:tcW w:w="1163" w:type="dxa"/>
            <w:tcBorders>
              <w:top w:val="nil"/>
              <w:left w:val="nil"/>
              <w:bottom w:val="single" w:sz="4" w:space="0" w:color="auto"/>
              <w:right w:val="single" w:sz="4" w:space="0" w:color="auto"/>
            </w:tcBorders>
            <w:shd w:val="clear" w:color="auto" w:fill="auto"/>
            <w:vAlign w:val="center"/>
            <w:hideMark/>
          </w:tcPr>
          <w:p w14:paraId="3044097F" w14:textId="77777777" w:rsidR="003D1B2E" w:rsidRPr="00BE65E2" w:rsidRDefault="003D1B2E" w:rsidP="003D1B2E">
            <w:pPr>
              <w:jc w:val="center"/>
              <w:rPr>
                <w:bCs/>
                <w:i/>
                <w:color w:val="000000"/>
                <w:sz w:val="20"/>
                <w:szCs w:val="20"/>
              </w:rPr>
            </w:pPr>
          </w:p>
        </w:tc>
      </w:tr>
      <w:tr w:rsidR="003D1B2E" w:rsidRPr="004A52CD" w14:paraId="48F6FDDA"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52C59CD" w14:textId="77777777" w:rsidR="003D1B2E" w:rsidRPr="00BE65E2" w:rsidRDefault="003D1B2E" w:rsidP="003D1B2E">
            <w:pPr>
              <w:jc w:val="both"/>
              <w:rPr>
                <w:color w:val="000000"/>
                <w:sz w:val="20"/>
                <w:szCs w:val="20"/>
              </w:rPr>
            </w:pPr>
            <w:r w:rsidRPr="00BE65E2">
              <w:rPr>
                <w:color w:val="000000"/>
                <w:sz w:val="20"/>
                <w:szCs w:val="20"/>
              </w:rPr>
              <w:t xml:space="preserve">Возмещение части прямых понесенных затрат на создание и (или) модернизацию объектов АПК </w:t>
            </w:r>
          </w:p>
        </w:tc>
        <w:tc>
          <w:tcPr>
            <w:tcW w:w="1162" w:type="dxa"/>
            <w:tcBorders>
              <w:top w:val="nil"/>
              <w:left w:val="nil"/>
              <w:bottom w:val="single" w:sz="4" w:space="0" w:color="auto"/>
              <w:right w:val="single" w:sz="4" w:space="0" w:color="auto"/>
            </w:tcBorders>
            <w:shd w:val="clear" w:color="auto" w:fill="auto"/>
            <w:vAlign w:val="center"/>
          </w:tcPr>
          <w:p w14:paraId="117DCD04" w14:textId="3146ED09" w:rsidR="003D1B2E" w:rsidRPr="00BE65E2" w:rsidRDefault="003D1B2E" w:rsidP="009A0C49">
            <w:pPr>
              <w:jc w:val="center"/>
              <w:rPr>
                <w:color w:val="000000"/>
                <w:sz w:val="20"/>
                <w:szCs w:val="20"/>
              </w:rPr>
            </w:pPr>
            <w:r w:rsidRPr="009A0C49">
              <w:rPr>
                <w:color w:val="000000"/>
                <w:sz w:val="20"/>
                <w:szCs w:val="20"/>
              </w:rPr>
              <w:t>4,3</w:t>
            </w:r>
          </w:p>
        </w:tc>
        <w:tc>
          <w:tcPr>
            <w:tcW w:w="1162" w:type="dxa"/>
            <w:tcBorders>
              <w:top w:val="nil"/>
              <w:left w:val="nil"/>
              <w:bottom w:val="single" w:sz="4" w:space="0" w:color="auto"/>
              <w:right w:val="single" w:sz="4" w:space="0" w:color="auto"/>
            </w:tcBorders>
            <w:shd w:val="clear" w:color="auto" w:fill="auto"/>
            <w:vAlign w:val="center"/>
          </w:tcPr>
          <w:p w14:paraId="222EC721" w14:textId="09002FCA" w:rsidR="003D1B2E" w:rsidRPr="00BE65E2" w:rsidRDefault="003D1B2E" w:rsidP="009A0C49">
            <w:pPr>
              <w:jc w:val="center"/>
              <w:rPr>
                <w:color w:val="000000"/>
                <w:sz w:val="20"/>
                <w:szCs w:val="20"/>
              </w:rPr>
            </w:pPr>
            <w:r w:rsidRPr="009A0C49">
              <w:rPr>
                <w:color w:val="000000"/>
                <w:sz w:val="20"/>
                <w:szCs w:val="20"/>
              </w:rPr>
              <w:t>3,0</w:t>
            </w:r>
          </w:p>
        </w:tc>
        <w:tc>
          <w:tcPr>
            <w:tcW w:w="1162" w:type="dxa"/>
            <w:tcBorders>
              <w:top w:val="nil"/>
              <w:left w:val="nil"/>
              <w:bottom w:val="single" w:sz="4" w:space="0" w:color="auto"/>
              <w:right w:val="single" w:sz="4" w:space="0" w:color="auto"/>
            </w:tcBorders>
            <w:shd w:val="clear" w:color="auto" w:fill="auto"/>
            <w:vAlign w:val="center"/>
          </w:tcPr>
          <w:p w14:paraId="779A0B0F" w14:textId="673610BA" w:rsidR="003D1B2E" w:rsidRPr="00BE65E2" w:rsidRDefault="003D1B2E" w:rsidP="009A0C49">
            <w:pPr>
              <w:jc w:val="center"/>
              <w:rPr>
                <w:color w:val="000000"/>
                <w:sz w:val="20"/>
                <w:szCs w:val="20"/>
              </w:rPr>
            </w:pPr>
            <w:r w:rsidRPr="009A0C49">
              <w:rPr>
                <w:color w:val="000000"/>
                <w:sz w:val="20"/>
                <w:szCs w:val="20"/>
              </w:rPr>
              <w:t>0,7</w:t>
            </w:r>
          </w:p>
        </w:tc>
        <w:tc>
          <w:tcPr>
            <w:tcW w:w="1162" w:type="dxa"/>
            <w:tcBorders>
              <w:top w:val="nil"/>
              <w:left w:val="nil"/>
              <w:bottom w:val="single" w:sz="4" w:space="0" w:color="auto"/>
              <w:right w:val="single" w:sz="4" w:space="0" w:color="auto"/>
            </w:tcBorders>
            <w:shd w:val="clear" w:color="auto" w:fill="auto"/>
            <w:vAlign w:val="center"/>
            <w:hideMark/>
          </w:tcPr>
          <w:p w14:paraId="6BA748FD" w14:textId="77777777" w:rsidR="003D1B2E" w:rsidRPr="00BE65E2" w:rsidRDefault="003D1B2E" w:rsidP="003D1B2E">
            <w:pPr>
              <w:jc w:val="center"/>
              <w:rPr>
                <w:bCs/>
                <w:i/>
                <w:color w:val="000000"/>
                <w:sz w:val="20"/>
                <w:szCs w:val="20"/>
              </w:rPr>
            </w:pPr>
            <w:r w:rsidRPr="00BE65E2">
              <w:rPr>
                <w:bCs/>
                <w:i/>
                <w:color w:val="000000"/>
                <w:sz w:val="20"/>
                <w:szCs w:val="20"/>
              </w:rPr>
              <w:t>69,8</w:t>
            </w:r>
          </w:p>
        </w:tc>
        <w:tc>
          <w:tcPr>
            <w:tcW w:w="1163" w:type="dxa"/>
            <w:tcBorders>
              <w:top w:val="nil"/>
              <w:left w:val="nil"/>
              <w:bottom w:val="single" w:sz="4" w:space="0" w:color="auto"/>
              <w:right w:val="single" w:sz="4" w:space="0" w:color="auto"/>
            </w:tcBorders>
            <w:shd w:val="clear" w:color="auto" w:fill="auto"/>
            <w:vAlign w:val="center"/>
            <w:hideMark/>
          </w:tcPr>
          <w:p w14:paraId="0BA80C92" w14:textId="77777777" w:rsidR="003D1B2E" w:rsidRPr="00BE65E2" w:rsidRDefault="003D1B2E" w:rsidP="003D1B2E">
            <w:pPr>
              <w:jc w:val="center"/>
              <w:rPr>
                <w:bCs/>
                <w:i/>
                <w:color w:val="000000"/>
                <w:sz w:val="20"/>
                <w:szCs w:val="20"/>
              </w:rPr>
            </w:pPr>
            <w:r w:rsidRPr="00BE65E2">
              <w:rPr>
                <w:bCs/>
                <w:i/>
                <w:color w:val="000000"/>
                <w:sz w:val="20"/>
                <w:szCs w:val="20"/>
              </w:rPr>
              <w:t>22,6</w:t>
            </w:r>
          </w:p>
        </w:tc>
      </w:tr>
      <w:tr w:rsidR="003D1B2E" w:rsidRPr="004A52CD" w14:paraId="2150E08C"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675729B" w14:textId="77777777" w:rsidR="003D1B2E" w:rsidRPr="00BE65E2" w:rsidRDefault="003D1B2E" w:rsidP="003D1B2E">
            <w:pPr>
              <w:jc w:val="both"/>
              <w:rPr>
                <w:color w:val="000000"/>
                <w:sz w:val="20"/>
                <w:szCs w:val="20"/>
              </w:rPr>
            </w:pPr>
            <w:r w:rsidRPr="00BE65E2">
              <w:rPr>
                <w:color w:val="000000"/>
                <w:sz w:val="20"/>
                <w:szCs w:val="20"/>
              </w:rPr>
              <w:t>Реализация мер в области мелиорации земель с/х назначения (</w:t>
            </w:r>
            <w:r w:rsidRPr="00AC6D27">
              <w:rPr>
                <w:color w:val="000000"/>
              </w:rPr>
              <w:t>С</w:t>
            </w:r>
            <w:r w:rsidRPr="00BE65E2">
              <w:rPr>
                <w:color w:val="000000"/>
                <w:sz w:val="20"/>
                <w:szCs w:val="20"/>
              </w:rPr>
              <w:t>убсидии, за исключением субсидий на софинансирование кап. вложений в объекты гос. (муниципальной) собственности)</w:t>
            </w:r>
          </w:p>
        </w:tc>
        <w:tc>
          <w:tcPr>
            <w:tcW w:w="1162" w:type="dxa"/>
            <w:tcBorders>
              <w:top w:val="nil"/>
              <w:left w:val="nil"/>
              <w:bottom w:val="single" w:sz="4" w:space="0" w:color="auto"/>
              <w:right w:val="single" w:sz="4" w:space="0" w:color="auto"/>
            </w:tcBorders>
            <w:shd w:val="clear" w:color="auto" w:fill="auto"/>
            <w:vAlign w:val="center"/>
          </w:tcPr>
          <w:p w14:paraId="22BA790E" w14:textId="202CA031" w:rsidR="003D1B2E" w:rsidRPr="00BE65E2" w:rsidRDefault="003D1B2E" w:rsidP="009A0C49">
            <w:pPr>
              <w:jc w:val="center"/>
              <w:rPr>
                <w:color w:val="000000"/>
                <w:sz w:val="20"/>
                <w:szCs w:val="20"/>
              </w:rPr>
            </w:pPr>
            <w:r w:rsidRPr="009A0C49">
              <w:rPr>
                <w:color w:val="000000"/>
                <w:sz w:val="20"/>
                <w:szCs w:val="20"/>
              </w:rPr>
              <w:t>2,3</w:t>
            </w:r>
          </w:p>
        </w:tc>
        <w:tc>
          <w:tcPr>
            <w:tcW w:w="1162" w:type="dxa"/>
            <w:tcBorders>
              <w:top w:val="nil"/>
              <w:left w:val="nil"/>
              <w:bottom w:val="single" w:sz="4" w:space="0" w:color="auto"/>
              <w:right w:val="single" w:sz="4" w:space="0" w:color="auto"/>
            </w:tcBorders>
            <w:shd w:val="clear" w:color="auto" w:fill="auto"/>
            <w:vAlign w:val="center"/>
          </w:tcPr>
          <w:p w14:paraId="66C2D245" w14:textId="6B0A2B80" w:rsidR="003D1B2E" w:rsidRPr="00BE65E2" w:rsidRDefault="003D1B2E" w:rsidP="009A0C49">
            <w:pPr>
              <w:jc w:val="center"/>
              <w:rPr>
                <w:color w:val="000000"/>
                <w:sz w:val="20"/>
                <w:szCs w:val="20"/>
              </w:rPr>
            </w:pPr>
            <w:r w:rsidRPr="009A0C49">
              <w:rPr>
                <w:color w:val="000000"/>
                <w:sz w:val="20"/>
                <w:szCs w:val="20"/>
              </w:rPr>
              <w:t>1,4</w:t>
            </w:r>
          </w:p>
        </w:tc>
        <w:tc>
          <w:tcPr>
            <w:tcW w:w="1162" w:type="dxa"/>
            <w:tcBorders>
              <w:top w:val="nil"/>
              <w:left w:val="nil"/>
              <w:bottom w:val="single" w:sz="4" w:space="0" w:color="auto"/>
              <w:right w:val="single" w:sz="4" w:space="0" w:color="auto"/>
            </w:tcBorders>
            <w:shd w:val="clear" w:color="auto" w:fill="auto"/>
            <w:vAlign w:val="center"/>
          </w:tcPr>
          <w:p w14:paraId="5B098625" w14:textId="0033B415" w:rsidR="003D1B2E" w:rsidRPr="00BE65E2" w:rsidRDefault="003D1B2E" w:rsidP="009A0C49">
            <w:pPr>
              <w:jc w:val="center"/>
              <w:rPr>
                <w:color w:val="000000"/>
                <w:sz w:val="20"/>
                <w:szCs w:val="20"/>
              </w:rPr>
            </w:pPr>
            <w:r w:rsidRPr="009A0C49">
              <w:rPr>
                <w:color w:val="000000"/>
                <w:sz w:val="20"/>
                <w:szCs w:val="20"/>
              </w:rPr>
              <w:t>7,6</w:t>
            </w:r>
          </w:p>
        </w:tc>
        <w:tc>
          <w:tcPr>
            <w:tcW w:w="1162" w:type="dxa"/>
            <w:tcBorders>
              <w:top w:val="nil"/>
              <w:left w:val="nil"/>
              <w:bottom w:val="single" w:sz="4" w:space="0" w:color="auto"/>
              <w:right w:val="single" w:sz="4" w:space="0" w:color="auto"/>
            </w:tcBorders>
            <w:shd w:val="clear" w:color="auto" w:fill="auto"/>
            <w:vAlign w:val="center"/>
            <w:hideMark/>
          </w:tcPr>
          <w:p w14:paraId="176C148F" w14:textId="77777777" w:rsidR="003D1B2E" w:rsidRPr="00BE65E2" w:rsidRDefault="003D1B2E" w:rsidP="003D1B2E">
            <w:pPr>
              <w:jc w:val="center"/>
              <w:rPr>
                <w:bCs/>
                <w:i/>
                <w:color w:val="000000"/>
                <w:sz w:val="20"/>
                <w:szCs w:val="20"/>
              </w:rPr>
            </w:pPr>
            <w:r w:rsidRPr="00BE65E2">
              <w:rPr>
                <w:bCs/>
                <w:i/>
                <w:color w:val="000000"/>
                <w:sz w:val="20"/>
                <w:szCs w:val="20"/>
              </w:rPr>
              <w:t>61,8</w:t>
            </w:r>
          </w:p>
        </w:tc>
        <w:tc>
          <w:tcPr>
            <w:tcW w:w="1163" w:type="dxa"/>
            <w:tcBorders>
              <w:top w:val="nil"/>
              <w:left w:val="nil"/>
              <w:bottom w:val="single" w:sz="4" w:space="0" w:color="auto"/>
              <w:right w:val="single" w:sz="4" w:space="0" w:color="auto"/>
            </w:tcBorders>
            <w:shd w:val="clear" w:color="auto" w:fill="auto"/>
            <w:vAlign w:val="center"/>
            <w:hideMark/>
          </w:tcPr>
          <w:p w14:paraId="285D60A2" w14:textId="77777777" w:rsidR="003D1B2E" w:rsidRPr="00BE65E2" w:rsidRDefault="003D1B2E" w:rsidP="003D1B2E">
            <w:pPr>
              <w:jc w:val="center"/>
              <w:rPr>
                <w:bCs/>
                <w:i/>
                <w:color w:val="000000"/>
                <w:sz w:val="20"/>
                <w:szCs w:val="20"/>
              </w:rPr>
            </w:pPr>
            <w:r w:rsidRPr="00BE65E2">
              <w:rPr>
                <w:bCs/>
                <w:i/>
                <w:color w:val="000000"/>
                <w:sz w:val="20"/>
                <w:szCs w:val="20"/>
              </w:rPr>
              <w:t>532,7</w:t>
            </w:r>
          </w:p>
        </w:tc>
      </w:tr>
      <w:tr w:rsidR="003D1B2E" w:rsidRPr="004A52CD" w14:paraId="0053631F"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6C32F74" w14:textId="77777777" w:rsidR="003D1B2E" w:rsidRPr="00BE65E2" w:rsidRDefault="003D1B2E" w:rsidP="003D1B2E">
            <w:pPr>
              <w:jc w:val="both"/>
              <w:rPr>
                <w:color w:val="000000"/>
                <w:sz w:val="20"/>
                <w:szCs w:val="20"/>
              </w:rPr>
            </w:pPr>
            <w:r w:rsidRPr="00BE65E2">
              <w:rPr>
                <w:color w:val="000000"/>
                <w:sz w:val="20"/>
                <w:szCs w:val="20"/>
              </w:rPr>
              <w:t>Господдержка организаций в целях продвижения продукции АПК на внешние рынки (</w:t>
            </w:r>
            <w:r w:rsidRPr="00AC6D27">
              <w:rPr>
                <w:color w:val="000000"/>
              </w:rPr>
              <w:t>С</w:t>
            </w:r>
            <w:r w:rsidRPr="00BE65E2">
              <w:rPr>
                <w:color w:val="000000"/>
                <w:sz w:val="20"/>
                <w:szCs w:val="20"/>
              </w:rPr>
              <w:t xml:space="preserve">убсидии (гранты в форме субсидий) </w:t>
            </w:r>
          </w:p>
        </w:tc>
        <w:tc>
          <w:tcPr>
            <w:tcW w:w="1162" w:type="dxa"/>
            <w:tcBorders>
              <w:top w:val="nil"/>
              <w:left w:val="nil"/>
              <w:bottom w:val="single" w:sz="4" w:space="0" w:color="auto"/>
              <w:right w:val="single" w:sz="4" w:space="0" w:color="auto"/>
            </w:tcBorders>
            <w:shd w:val="clear" w:color="auto" w:fill="auto"/>
            <w:vAlign w:val="center"/>
          </w:tcPr>
          <w:p w14:paraId="790051C0" w14:textId="5A90305E" w:rsidR="003D1B2E" w:rsidRPr="00BE65E2" w:rsidRDefault="003D1B2E" w:rsidP="009A0C49">
            <w:pPr>
              <w:jc w:val="center"/>
              <w:rPr>
                <w:color w:val="000000"/>
                <w:sz w:val="20"/>
                <w:szCs w:val="20"/>
              </w:rPr>
            </w:pPr>
            <w:r w:rsidRPr="009A0C49">
              <w:rPr>
                <w:color w:val="000000"/>
                <w:sz w:val="20"/>
                <w:szCs w:val="20"/>
              </w:rPr>
              <w:t>0,3</w:t>
            </w:r>
          </w:p>
        </w:tc>
        <w:tc>
          <w:tcPr>
            <w:tcW w:w="1162" w:type="dxa"/>
            <w:tcBorders>
              <w:top w:val="nil"/>
              <w:left w:val="nil"/>
              <w:bottom w:val="single" w:sz="4" w:space="0" w:color="auto"/>
              <w:right w:val="single" w:sz="4" w:space="0" w:color="auto"/>
            </w:tcBorders>
            <w:shd w:val="clear" w:color="auto" w:fill="auto"/>
            <w:vAlign w:val="center"/>
          </w:tcPr>
          <w:p w14:paraId="1C4D2013" w14:textId="689C5C77" w:rsidR="003D1B2E" w:rsidRPr="00BE65E2" w:rsidRDefault="003D1B2E" w:rsidP="009A0C49">
            <w:pPr>
              <w:jc w:val="center"/>
              <w:rPr>
                <w:color w:val="000000"/>
                <w:sz w:val="20"/>
                <w:szCs w:val="20"/>
              </w:rPr>
            </w:pPr>
            <w:r w:rsidRPr="009A0C49">
              <w:rPr>
                <w:color w:val="000000"/>
                <w:sz w:val="20"/>
                <w:szCs w:val="20"/>
              </w:rPr>
              <w:t>0,3</w:t>
            </w:r>
          </w:p>
        </w:tc>
        <w:tc>
          <w:tcPr>
            <w:tcW w:w="1162" w:type="dxa"/>
            <w:tcBorders>
              <w:top w:val="nil"/>
              <w:left w:val="nil"/>
              <w:bottom w:val="single" w:sz="4" w:space="0" w:color="auto"/>
              <w:right w:val="single" w:sz="4" w:space="0" w:color="auto"/>
            </w:tcBorders>
            <w:shd w:val="clear" w:color="auto" w:fill="auto"/>
            <w:vAlign w:val="center"/>
          </w:tcPr>
          <w:p w14:paraId="55D42CFA" w14:textId="5194330C" w:rsidR="003D1B2E" w:rsidRPr="00BE65E2" w:rsidRDefault="003D1B2E" w:rsidP="009A0C49">
            <w:pPr>
              <w:jc w:val="center"/>
              <w:rPr>
                <w:color w:val="000000"/>
                <w:sz w:val="20"/>
                <w:szCs w:val="20"/>
              </w:rPr>
            </w:pPr>
            <w:r w:rsidRPr="009A0C49">
              <w:rPr>
                <w:color w:val="000000"/>
                <w:sz w:val="20"/>
                <w:szCs w:val="20"/>
              </w:rPr>
              <w:t>0,3</w:t>
            </w:r>
          </w:p>
        </w:tc>
        <w:tc>
          <w:tcPr>
            <w:tcW w:w="1162" w:type="dxa"/>
            <w:tcBorders>
              <w:top w:val="nil"/>
              <w:left w:val="nil"/>
              <w:bottom w:val="single" w:sz="4" w:space="0" w:color="auto"/>
              <w:right w:val="single" w:sz="4" w:space="0" w:color="auto"/>
            </w:tcBorders>
            <w:shd w:val="clear" w:color="auto" w:fill="auto"/>
            <w:vAlign w:val="center"/>
            <w:hideMark/>
          </w:tcPr>
          <w:p w14:paraId="47CE55E0" w14:textId="77777777" w:rsidR="003D1B2E" w:rsidRPr="00BE65E2" w:rsidRDefault="003D1B2E" w:rsidP="003D1B2E">
            <w:pPr>
              <w:jc w:val="center"/>
              <w:rPr>
                <w:bCs/>
                <w:i/>
                <w:color w:val="000000"/>
                <w:sz w:val="20"/>
                <w:szCs w:val="20"/>
              </w:rPr>
            </w:pPr>
            <w:r w:rsidRPr="00BE65E2">
              <w:rPr>
                <w:bCs/>
                <w:i/>
                <w:color w:val="000000"/>
                <w:sz w:val="20"/>
                <w:szCs w:val="20"/>
              </w:rPr>
              <w:t>112,1</w:t>
            </w:r>
          </w:p>
        </w:tc>
        <w:tc>
          <w:tcPr>
            <w:tcW w:w="1163" w:type="dxa"/>
            <w:tcBorders>
              <w:top w:val="nil"/>
              <w:left w:val="nil"/>
              <w:bottom w:val="single" w:sz="4" w:space="0" w:color="auto"/>
              <w:right w:val="single" w:sz="4" w:space="0" w:color="auto"/>
            </w:tcBorders>
            <w:shd w:val="clear" w:color="auto" w:fill="auto"/>
            <w:vAlign w:val="center"/>
            <w:hideMark/>
          </w:tcPr>
          <w:p w14:paraId="51C15129" w14:textId="77777777" w:rsidR="003D1B2E" w:rsidRPr="00BE65E2" w:rsidRDefault="003D1B2E" w:rsidP="003D1B2E">
            <w:pPr>
              <w:jc w:val="center"/>
              <w:rPr>
                <w:bCs/>
                <w:i/>
                <w:color w:val="000000"/>
                <w:sz w:val="20"/>
                <w:szCs w:val="20"/>
              </w:rPr>
            </w:pPr>
            <w:r w:rsidRPr="00BE65E2">
              <w:rPr>
                <w:bCs/>
                <w:i/>
                <w:color w:val="000000"/>
                <w:sz w:val="20"/>
                <w:szCs w:val="20"/>
              </w:rPr>
              <w:t>100,0</w:t>
            </w:r>
          </w:p>
        </w:tc>
      </w:tr>
      <w:tr w:rsidR="003D1B2E" w:rsidRPr="004A52CD" w14:paraId="38C8BECD"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A0E4BD8" w14:textId="77777777" w:rsidR="003D1B2E" w:rsidRPr="00BE65E2" w:rsidRDefault="003D1B2E" w:rsidP="003D1B2E">
            <w:pPr>
              <w:jc w:val="both"/>
              <w:rPr>
                <w:color w:val="000000"/>
                <w:sz w:val="20"/>
                <w:szCs w:val="20"/>
              </w:rPr>
            </w:pPr>
            <w:r w:rsidRPr="00BE65E2">
              <w:rPr>
                <w:color w:val="000000"/>
                <w:sz w:val="20"/>
                <w:szCs w:val="20"/>
              </w:rPr>
              <w:t xml:space="preserve">Господдержка организаций в целях компенсации части затрат, связанных с сертификацией продукции АПК на внешних рынках </w:t>
            </w:r>
          </w:p>
        </w:tc>
        <w:tc>
          <w:tcPr>
            <w:tcW w:w="1162" w:type="dxa"/>
            <w:tcBorders>
              <w:top w:val="nil"/>
              <w:left w:val="nil"/>
              <w:bottom w:val="single" w:sz="4" w:space="0" w:color="auto"/>
              <w:right w:val="single" w:sz="4" w:space="0" w:color="auto"/>
            </w:tcBorders>
            <w:shd w:val="clear" w:color="auto" w:fill="auto"/>
            <w:vAlign w:val="center"/>
          </w:tcPr>
          <w:p w14:paraId="31805E0F" w14:textId="3D7729D4" w:rsidR="003D1B2E" w:rsidRPr="00BE65E2" w:rsidRDefault="003D1B2E" w:rsidP="009A0C49">
            <w:pPr>
              <w:jc w:val="center"/>
              <w:rPr>
                <w:color w:val="000000"/>
                <w:sz w:val="20"/>
                <w:szCs w:val="20"/>
              </w:rPr>
            </w:pPr>
            <w:r w:rsidRPr="009A0C49">
              <w:rPr>
                <w:color w:val="000000"/>
                <w:sz w:val="20"/>
                <w:szCs w:val="20"/>
              </w:rPr>
              <w:t>0,4</w:t>
            </w:r>
          </w:p>
        </w:tc>
        <w:tc>
          <w:tcPr>
            <w:tcW w:w="1162" w:type="dxa"/>
            <w:tcBorders>
              <w:top w:val="nil"/>
              <w:left w:val="nil"/>
              <w:bottom w:val="single" w:sz="4" w:space="0" w:color="auto"/>
              <w:right w:val="single" w:sz="4" w:space="0" w:color="auto"/>
            </w:tcBorders>
            <w:shd w:val="clear" w:color="auto" w:fill="auto"/>
            <w:vAlign w:val="center"/>
          </w:tcPr>
          <w:p w14:paraId="24A53D53" w14:textId="1F8C7505" w:rsidR="003D1B2E" w:rsidRPr="00BE65E2" w:rsidRDefault="003D1B2E" w:rsidP="009A0C49">
            <w:pPr>
              <w:jc w:val="center"/>
              <w:rPr>
                <w:color w:val="000000"/>
                <w:sz w:val="20"/>
                <w:szCs w:val="20"/>
              </w:rPr>
            </w:pPr>
            <w:r w:rsidRPr="009A0C49">
              <w:rPr>
                <w:color w:val="000000"/>
                <w:sz w:val="20"/>
                <w:szCs w:val="20"/>
              </w:rPr>
              <w:t>0,4</w:t>
            </w:r>
          </w:p>
        </w:tc>
        <w:tc>
          <w:tcPr>
            <w:tcW w:w="1162" w:type="dxa"/>
            <w:tcBorders>
              <w:top w:val="nil"/>
              <w:left w:val="nil"/>
              <w:bottom w:val="single" w:sz="4" w:space="0" w:color="auto"/>
              <w:right w:val="single" w:sz="4" w:space="0" w:color="auto"/>
            </w:tcBorders>
            <w:shd w:val="clear" w:color="auto" w:fill="auto"/>
            <w:vAlign w:val="center"/>
          </w:tcPr>
          <w:p w14:paraId="722E56F7" w14:textId="6A7213D6" w:rsidR="003D1B2E" w:rsidRPr="00BE65E2" w:rsidRDefault="003D1B2E" w:rsidP="009A0C49">
            <w:pPr>
              <w:jc w:val="center"/>
              <w:rPr>
                <w:color w:val="000000"/>
                <w:sz w:val="20"/>
                <w:szCs w:val="20"/>
              </w:rPr>
            </w:pPr>
            <w:r w:rsidRPr="009A0C49">
              <w:rPr>
                <w:color w:val="000000"/>
                <w:sz w:val="20"/>
                <w:szCs w:val="20"/>
              </w:rPr>
              <w:t>0,5</w:t>
            </w:r>
          </w:p>
        </w:tc>
        <w:tc>
          <w:tcPr>
            <w:tcW w:w="1162" w:type="dxa"/>
            <w:tcBorders>
              <w:top w:val="nil"/>
              <w:left w:val="nil"/>
              <w:bottom w:val="single" w:sz="4" w:space="0" w:color="auto"/>
              <w:right w:val="single" w:sz="4" w:space="0" w:color="auto"/>
            </w:tcBorders>
            <w:shd w:val="clear" w:color="auto" w:fill="auto"/>
            <w:vAlign w:val="center"/>
            <w:hideMark/>
          </w:tcPr>
          <w:p w14:paraId="76CB3C4F" w14:textId="77777777" w:rsidR="003D1B2E" w:rsidRPr="00BE65E2" w:rsidRDefault="003D1B2E" w:rsidP="003D1B2E">
            <w:pPr>
              <w:jc w:val="center"/>
              <w:rPr>
                <w:bCs/>
                <w:i/>
                <w:color w:val="000000"/>
                <w:sz w:val="20"/>
                <w:szCs w:val="20"/>
              </w:rPr>
            </w:pPr>
            <w:r w:rsidRPr="00BE65E2">
              <w:rPr>
                <w:bCs/>
                <w:i/>
                <w:color w:val="000000"/>
                <w:sz w:val="20"/>
                <w:szCs w:val="20"/>
              </w:rPr>
              <w:t>112,0</w:t>
            </w:r>
          </w:p>
        </w:tc>
        <w:tc>
          <w:tcPr>
            <w:tcW w:w="1163" w:type="dxa"/>
            <w:tcBorders>
              <w:top w:val="nil"/>
              <w:left w:val="nil"/>
              <w:bottom w:val="single" w:sz="4" w:space="0" w:color="auto"/>
              <w:right w:val="single" w:sz="4" w:space="0" w:color="auto"/>
            </w:tcBorders>
            <w:shd w:val="clear" w:color="auto" w:fill="auto"/>
            <w:vAlign w:val="center"/>
            <w:hideMark/>
          </w:tcPr>
          <w:p w14:paraId="6DD5A931" w14:textId="77777777" w:rsidR="003D1B2E" w:rsidRPr="00BE65E2" w:rsidRDefault="003D1B2E" w:rsidP="003D1B2E">
            <w:pPr>
              <w:jc w:val="center"/>
              <w:rPr>
                <w:bCs/>
                <w:i/>
                <w:color w:val="000000"/>
                <w:sz w:val="20"/>
                <w:szCs w:val="20"/>
              </w:rPr>
            </w:pPr>
            <w:r w:rsidRPr="00BE65E2">
              <w:rPr>
                <w:bCs/>
                <w:i/>
                <w:color w:val="000000"/>
                <w:sz w:val="20"/>
                <w:szCs w:val="20"/>
              </w:rPr>
              <w:t>121,4</w:t>
            </w:r>
          </w:p>
        </w:tc>
      </w:tr>
      <w:tr w:rsidR="003D1B2E" w:rsidRPr="004A52CD" w14:paraId="26144400"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84C9E03" w14:textId="77777777" w:rsidR="003D1B2E" w:rsidRPr="00BE65E2" w:rsidRDefault="003D1B2E" w:rsidP="003D1B2E">
            <w:pPr>
              <w:jc w:val="both"/>
              <w:rPr>
                <w:color w:val="000000"/>
                <w:sz w:val="20"/>
                <w:szCs w:val="20"/>
              </w:rPr>
            </w:pPr>
            <w:r w:rsidRPr="00BE65E2">
              <w:rPr>
                <w:color w:val="000000"/>
                <w:sz w:val="20"/>
                <w:szCs w:val="20"/>
              </w:rPr>
              <w:t xml:space="preserve">Господдержка российских организаций в целях снижения затрат на транспортировку с/х и продовольственной продукции </w:t>
            </w:r>
          </w:p>
        </w:tc>
        <w:tc>
          <w:tcPr>
            <w:tcW w:w="1162" w:type="dxa"/>
            <w:tcBorders>
              <w:top w:val="nil"/>
              <w:left w:val="nil"/>
              <w:bottom w:val="single" w:sz="4" w:space="0" w:color="auto"/>
              <w:right w:val="single" w:sz="4" w:space="0" w:color="auto"/>
            </w:tcBorders>
            <w:shd w:val="clear" w:color="auto" w:fill="auto"/>
            <w:vAlign w:val="center"/>
          </w:tcPr>
          <w:p w14:paraId="7E567CE7" w14:textId="356FDC79" w:rsidR="003D1B2E" w:rsidRPr="00BE65E2" w:rsidRDefault="003D1B2E" w:rsidP="009A0C49">
            <w:pPr>
              <w:jc w:val="center"/>
              <w:rPr>
                <w:color w:val="000000"/>
                <w:sz w:val="20"/>
                <w:szCs w:val="20"/>
              </w:rPr>
            </w:pPr>
            <w:r w:rsidRPr="009A0C49">
              <w:rPr>
                <w:color w:val="000000"/>
                <w:sz w:val="20"/>
                <w:szCs w:val="20"/>
              </w:rPr>
              <w:t>2,3</w:t>
            </w:r>
          </w:p>
        </w:tc>
        <w:tc>
          <w:tcPr>
            <w:tcW w:w="1162" w:type="dxa"/>
            <w:tcBorders>
              <w:top w:val="nil"/>
              <w:left w:val="nil"/>
              <w:bottom w:val="single" w:sz="4" w:space="0" w:color="auto"/>
              <w:right w:val="single" w:sz="4" w:space="0" w:color="auto"/>
            </w:tcBorders>
            <w:shd w:val="clear" w:color="auto" w:fill="auto"/>
            <w:vAlign w:val="center"/>
          </w:tcPr>
          <w:p w14:paraId="5702A360" w14:textId="1F69DEBB" w:rsidR="003D1B2E" w:rsidRPr="00BE65E2" w:rsidRDefault="003D1B2E" w:rsidP="009A0C49">
            <w:pPr>
              <w:jc w:val="center"/>
              <w:rPr>
                <w:color w:val="000000"/>
                <w:sz w:val="20"/>
                <w:szCs w:val="20"/>
              </w:rPr>
            </w:pPr>
            <w:r w:rsidRPr="009A0C49">
              <w:rPr>
                <w:color w:val="000000"/>
                <w:sz w:val="20"/>
                <w:szCs w:val="20"/>
              </w:rPr>
              <w:t>3,4</w:t>
            </w:r>
          </w:p>
        </w:tc>
        <w:tc>
          <w:tcPr>
            <w:tcW w:w="1162" w:type="dxa"/>
            <w:tcBorders>
              <w:top w:val="nil"/>
              <w:left w:val="nil"/>
              <w:bottom w:val="single" w:sz="4" w:space="0" w:color="auto"/>
              <w:right w:val="single" w:sz="4" w:space="0" w:color="auto"/>
            </w:tcBorders>
            <w:shd w:val="clear" w:color="auto" w:fill="auto"/>
            <w:vAlign w:val="center"/>
          </w:tcPr>
          <w:p w14:paraId="1B4284A6" w14:textId="3B927E6E" w:rsidR="003D1B2E" w:rsidRPr="00BE65E2" w:rsidRDefault="003D1B2E" w:rsidP="009A0C49">
            <w:pPr>
              <w:jc w:val="center"/>
              <w:rPr>
                <w:color w:val="000000"/>
                <w:sz w:val="20"/>
                <w:szCs w:val="20"/>
              </w:rPr>
            </w:pPr>
            <w:r w:rsidRPr="009A0C49">
              <w:rPr>
                <w:color w:val="000000"/>
                <w:sz w:val="20"/>
                <w:szCs w:val="20"/>
              </w:rPr>
              <w:t>4,0</w:t>
            </w:r>
          </w:p>
        </w:tc>
        <w:tc>
          <w:tcPr>
            <w:tcW w:w="1162" w:type="dxa"/>
            <w:tcBorders>
              <w:top w:val="nil"/>
              <w:left w:val="nil"/>
              <w:bottom w:val="single" w:sz="4" w:space="0" w:color="auto"/>
              <w:right w:val="single" w:sz="4" w:space="0" w:color="auto"/>
            </w:tcBorders>
            <w:shd w:val="clear" w:color="auto" w:fill="auto"/>
            <w:vAlign w:val="center"/>
            <w:hideMark/>
          </w:tcPr>
          <w:p w14:paraId="61E7A7EC" w14:textId="77777777" w:rsidR="003D1B2E" w:rsidRPr="00BE65E2" w:rsidRDefault="003D1B2E" w:rsidP="003D1B2E">
            <w:pPr>
              <w:jc w:val="center"/>
              <w:rPr>
                <w:bCs/>
                <w:i/>
                <w:color w:val="000000"/>
                <w:sz w:val="20"/>
                <w:szCs w:val="20"/>
              </w:rPr>
            </w:pPr>
            <w:r w:rsidRPr="00BE65E2">
              <w:rPr>
                <w:bCs/>
                <w:i/>
                <w:color w:val="000000"/>
                <w:sz w:val="20"/>
                <w:szCs w:val="20"/>
              </w:rPr>
              <w:t>145,3</w:t>
            </w:r>
          </w:p>
        </w:tc>
        <w:tc>
          <w:tcPr>
            <w:tcW w:w="1163" w:type="dxa"/>
            <w:tcBorders>
              <w:top w:val="nil"/>
              <w:left w:val="nil"/>
              <w:bottom w:val="single" w:sz="4" w:space="0" w:color="auto"/>
              <w:right w:val="single" w:sz="4" w:space="0" w:color="auto"/>
            </w:tcBorders>
            <w:shd w:val="clear" w:color="auto" w:fill="auto"/>
            <w:vAlign w:val="center"/>
            <w:hideMark/>
          </w:tcPr>
          <w:p w14:paraId="0F21FDDA" w14:textId="77777777" w:rsidR="003D1B2E" w:rsidRPr="00BE65E2" w:rsidRDefault="003D1B2E" w:rsidP="003D1B2E">
            <w:pPr>
              <w:jc w:val="center"/>
              <w:rPr>
                <w:bCs/>
                <w:i/>
                <w:color w:val="000000"/>
                <w:sz w:val="20"/>
                <w:szCs w:val="20"/>
              </w:rPr>
            </w:pPr>
            <w:r w:rsidRPr="00BE65E2">
              <w:rPr>
                <w:bCs/>
                <w:i/>
                <w:color w:val="000000"/>
                <w:sz w:val="20"/>
                <w:szCs w:val="20"/>
              </w:rPr>
              <w:t>118,1</w:t>
            </w:r>
          </w:p>
        </w:tc>
      </w:tr>
      <w:tr w:rsidR="003D1B2E" w:rsidRPr="004A52CD" w14:paraId="314AC361"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81897E" w14:textId="77777777" w:rsidR="003D1B2E" w:rsidRPr="00BE65E2" w:rsidRDefault="003D1B2E" w:rsidP="003D1B2E">
            <w:pPr>
              <w:jc w:val="both"/>
              <w:rPr>
                <w:color w:val="000000"/>
                <w:sz w:val="20"/>
                <w:szCs w:val="20"/>
              </w:rPr>
            </w:pPr>
            <w:r w:rsidRPr="00BE65E2">
              <w:rPr>
                <w:color w:val="000000"/>
                <w:sz w:val="20"/>
                <w:szCs w:val="20"/>
              </w:rPr>
              <w:t>Взнос в уставный капитал АО "Россельхозбанк"</w:t>
            </w:r>
          </w:p>
        </w:tc>
        <w:tc>
          <w:tcPr>
            <w:tcW w:w="1162" w:type="dxa"/>
            <w:tcBorders>
              <w:top w:val="nil"/>
              <w:left w:val="nil"/>
              <w:bottom w:val="single" w:sz="4" w:space="0" w:color="auto"/>
              <w:right w:val="single" w:sz="4" w:space="0" w:color="auto"/>
            </w:tcBorders>
            <w:shd w:val="clear" w:color="auto" w:fill="auto"/>
            <w:vAlign w:val="center"/>
          </w:tcPr>
          <w:p w14:paraId="6E848A47" w14:textId="7E091B46" w:rsidR="003D1B2E" w:rsidRPr="00BE65E2" w:rsidRDefault="003D1B2E" w:rsidP="009A0C49">
            <w:pPr>
              <w:jc w:val="center"/>
              <w:rPr>
                <w:color w:val="000000"/>
                <w:sz w:val="20"/>
                <w:szCs w:val="20"/>
              </w:rPr>
            </w:pPr>
            <w:r w:rsidRPr="009A0C49">
              <w:rPr>
                <w:color w:val="000000"/>
                <w:sz w:val="20"/>
                <w:szCs w:val="20"/>
              </w:rPr>
              <w:t>10,0</w:t>
            </w:r>
          </w:p>
        </w:tc>
        <w:tc>
          <w:tcPr>
            <w:tcW w:w="1162" w:type="dxa"/>
            <w:tcBorders>
              <w:top w:val="nil"/>
              <w:left w:val="nil"/>
              <w:bottom w:val="single" w:sz="4" w:space="0" w:color="auto"/>
              <w:right w:val="single" w:sz="4" w:space="0" w:color="auto"/>
            </w:tcBorders>
            <w:shd w:val="clear" w:color="auto" w:fill="auto"/>
            <w:vAlign w:val="center"/>
          </w:tcPr>
          <w:p w14:paraId="6DB9A806" w14:textId="3E683A0D" w:rsidR="003D1B2E" w:rsidRPr="00BE65E2" w:rsidRDefault="003D1B2E" w:rsidP="009A0C49">
            <w:pPr>
              <w:jc w:val="center"/>
              <w:rPr>
                <w:color w:val="000000"/>
                <w:sz w:val="20"/>
                <w:szCs w:val="20"/>
              </w:rPr>
            </w:pPr>
            <w:r w:rsidRPr="009A0C49">
              <w:rPr>
                <w:color w:val="000000"/>
                <w:sz w:val="20"/>
                <w:szCs w:val="20"/>
              </w:rPr>
              <w:t>0,0</w:t>
            </w:r>
          </w:p>
        </w:tc>
        <w:tc>
          <w:tcPr>
            <w:tcW w:w="1162" w:type="dxa"/>
            <w:tcBorders>
              <w:top w:val="nil"/>
              <w:left w:val="nil"/>
              <w:bottom w:val="single" w:sz="4" w:space="0" w:color="auto"/>
              <w:right w:val="single" w:sz="4" w:space="0" w:color="auto"/>
            </w:tcBorders>
            <w:shd w:val="clear" w:color="auto" w:fill="auto"/>
            <w:vAlign w:val="center"/>
          </w:tcPr>
          <w:p w14:paraId="066FCD1E" w14:textId="3F87D4AC" w:rsidR="003D1B2E" w:rsidRPr="00BE65E2" w:rsidRDefault="003D1B2E" w:rsidP="009A0C49">
            <w:pPr>
              <w:jc w:val="center"/>
              <w:rPr>
                <w:color w:val="000000"/>
                <w:sz w:val="20"/>
                <w:szCs w:val="20"/>
              </w:rPr>
            </w:pPr>
            <w:r w:rsidRPr="009A0C49">
              <w:rPr>
                <w:color w:val="000000"/>
                <w:sz w:val="20"/>
                <w:szCs w:val="20"/>
              </w:rPr>
              <w:t>0,0</w:t>
            </w:r>
          </w:p>
        </w:tc>
        <w:tc>
          <w:tcPr>
            <w:tcW w:w="1162" w:type="dxa"/>
            <w:tcBorders>
              <w:top w:val="nil"/>
              <w:left w:val="nil"/>
              <w:bottom w:val="single" w:sz="4" w:space="0" w:color="auto"/>
              <w:right w:val="single" w:sz="4" w:space="0" w:color="auto"/>
            </w:tcBorders>
            <w:shd w:val="clear" w:color="auto" w:fill="auto"/>
            <w:vAlign w:val="center"/>
            <w:hideMark/>
          </w:tcPr>
          <w:p w14:paraId="0A1CB0C6" w14:textId="77777777" w:rsidR="003D1B2E" w:rsidRPr="00BE65E2" w:rsidRDefault="003D1B2E" w:rsidP="003D1B2E">
            <w:pPr>
              <w:jc w:val="center"/>
              <w:rPr>
                <w:bCs/>
                <w:i/>
                <w:color w:val="000000"/>
                <w:sz w:val="20"/>
                <w:szCs w:val="20"/>
              </w:rPr>
            </w:pPr>
            <w:r w:rsidRPr="00BE65E2">
              <w:rPr>
                <w:bCs/>
                <w:i/>
                <w:color w:val="000000"/>
                <w:sz w:val="20"/>
                <w:szCs w:val="20"/>
              </w:rPr>
              <w:t>0,0</w:t>
            </w:r>
          </w:p>
        </w:tc>
        <w:tc>
          <w:tcPr>
            <w:tcW w:w="1163" w:type="dxa"/>
            <w:tcBorders>
              <w:top w:val="nil"/>
              <w:left w:val="nil"/>
              <w:bottom w:val="single" w:sz="4" w:space="0" w:color="auto"/>
              <w:right w:val="single" w:sz="4" w:space="0" w:color="auto"/>
            </w:tcBorders>
            <w:shd w:val="clear" w:color="auto" w:fill="auto"/>
            <w:vAlign w:val="center"/>
            <w:hideMark/>
          </w:tcPr>
          <w:p w14:paraId="09B64A3D" w14:textId="77777777" w:rsidR="003D1B2E" w:rsidRPr="00BE65E2" w:rsidRDefault="003D1B2E" w:rsidP="003D1B2E">
            <w:pPr>
              <w:jc w:val="center"/>
              <w:rPr>
                <w:bCs/>
                <w:i/>
                <w:color w:val="000000"/>
                <w:sz w:val="20"/>
                <w:szCs w:val="20"/>
              </w:rPr>
            </w:pPr>
            <w:r w:rsidRPr="00BE65E2">
              <w:rPr>
                <w:bCs/>
                <w:i/>
                <w:color w:val="000000"/>
                <w:sz w:val="20"/>
                <w:szCs w:val="20"/>
              </w:rPr>
              <w:t>0</w:t>
            </w:r>
          </w:p>
        </w:tc>
      </w:tr>
      <w:tr w:rsidR="003D1B2E" w:rsidRPr="004A52CD" w14:paraId="6D16EEAB"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C362314" w14:textId="77777777" w:rsidR="003D1B2E" w:rsidRPr="00BE65E2" w:rsidRDefault="003D1B2E" w:rsidP="003D1B2E">
            <w:pPr>
              <w:jc w:val="both"/>
              <w:rPr>
                <w:color w:val="000000"/>
                <w:sz w:val="20"/>
                <w:szCs w:val="20"/>
              </w:rPr>
            </w:pPr>
            <w:r w:rsidRPr="00BE65E2">
              <w:rPr>
                <w:color w:val="000000"/>
                <w:sz w:val="20"/>
                <w:szCs w:val="20"/>
              </w:rPr>
              <w:t>Возмещение недополученных российскими кредитными организациями, международными финансовыми организациями и госкорпорацией развития "ВЭБ.РФ" доходов по кредитам, выданным с/х товаропроизводителям (за исключением с/х кредитных потребительских кооперативов), организациям и ИП, осуществляющим производство, первичную и (или) последующую (промышленную) переработку сельхоз продукции и ее реализацию, по льготной ставке</w:t>
            </w:r>
          </w:p>
        </w:tc>
        <w:tc>
          <w:tcPr>
            <w:tcW w:w="1162" w:type="dxa"/>
            <w:tcBorders>
              <w:top w:val="nil"/>
              <w:left w:val="nil"/>
              <w:bottom w:val="single" w:sz="4" w:space="0" w:color="auto"/>
              <w:right w:val="single" w:sz="4" w:space="0" w:color="auto"/>
            </w:tcBorders>
            <w:shd w:val="clear" w:color="auto" w:fill="auto"/>
            <w:vAlign w:val="center"/>
          </w:tcPr>
          <w:p w14:paraId="63EC6AA3" w14:textId="58F69D0E" w:rsidR="003D1B2E" w:rsidRPr="00BE65E2" w:rsidRDefault="003D1B2E" w:rsidP="009A0C49">
            <w:pPr>
              <w:jc w:val="center"/>
              <w:rPr>
                <w:color w:val="000000"/>
                <w:sz w:val="20"/>
                <w:szCs w:val="20"/>
              </w:rPr>
            </w:pPr>
            <w:r w:rsidRPr="009A0C49">
              <w:rPr>
                <w:color w:val="000000"/>
                <w:sz w:val="20"/>
                <w:szCs w:val="20"/>
              </w:rPr>
              <w:t>10,5</w:t>
            </w:r>
          </w:p>
        </w:tc>
        <w:tc>
          <w:tcPr>
            <w:tcW w:w="1162" w:type="dxa"/>
            <w:tcBorders>
              <w:top w:val="nil"/>
              <w:left w:val="nil"/>
              <w:bottom w:val="single" w:sz="4" w:space="0" w:color="auto"/>
              <w:right w:val="single" w:sz="4" w:space="0" w:color="auto"/>
            </w:tcBorders>
            <w:shd w:val="clear" w:color="auto" w:fill="auto"/>
            <w:vAlign w:val="center"/>
          </w:tcPr>
          <w:p w14:paraId="7FC3EE24" w14:textId="07F4025F" w:rsidR="003D1B2E" w:rsidRPr="00BE65E2" w:rsidRDefault="003D1B2E" w:rsidP="009A0C49">
            <w:pPr>
              <w:jc w:val="center"/>
              <w:rPr>
                <w:color w:val="000000"/>
                <w:sz w:val="20"/>
                <w:szCs w:val="20"/>
              </w:rPr>
            </w:pPr>
            <w:r w:rsidRPr="009A0C49">
              <w:rPr>
                <w:color w:val="000000"/>
                <w:sz w:val="20"/>
                <w:szCs w:val="20"/>
              </w:rPr>
              <w:t>50,1</w:t>
            </w:r>
          </w:p>
        </w:tc>
        <w:tc>
          <w:tcPr>
            <w:tcW w:w="1162" w:type="dxa"/>
            <w:tcBorders>
              <w:top w:val="nil"/>
              <w:left w:val="nil"/>
              <w:bottom w:val="single" w:sz="4" w:space="0" w:color="auto"/>
              <w:right w:val="single" w:sz="4" w:space="0" w:color="auto"/>
            </w:tcBorders>
            <w:shd w:val="clear" w:color="auto" w:fill="auto"/>
            <w:vAlign w:val="center"/>
          </w:tcPr>
          <w:p w14:paraId="1A93CFBE" w14:textId="370BB9A6" w:rsidR="003D1B2E" w:rsidRPr="00BE65E2" w:rsidRDefault="003D1B2E" w:rsidP="009A0C49">
            <w:pPr>
              <w:jc w:val="center"/>
              <w:rPr>
                <w:color w:val="000000"/>
                <w:sz w:val="20"/>
                <w:szCs w:val="20"/>
              </w:rPr>
            </w:pPr>
            <w:r w:rsidRPr="009A0C49">
              <w:rPr>
                <w:color w:val="000000"/>
                <w:sz w:val="20"/>
                <w:szCs w:val="20"/>
              </w:rPr>
              <w:t>76,3</w:t>
            </w:r>
          </w:p>
        </w:tc>
        <w:tc>
          <w:tcPr>
            <w:tcW w:w="1162" w:type="dxa"/>
            <w:tcBorders>
              <w:top w:val="nil"/>
              <w:left w:val="nil"/>
              <w:bottom w:val="single" w:sz="4" w:space="0" w:color="auto"/>
              <w:right w:val="single" w:sz="4" w:space="0" w:color="auto"/>
            </w:tcBorders>
            <w:shd w:val="clear" w:color="auto" w:fill="auto"/>
            <w:vAlign w:val="center"/>
            <w:hideMark/>
          </w:tcPr>
          <w:p w14:paraId="33957ED2" w14:textId="77777777" w:rsidR="003D1B2E" w:rsidRPr="00BE65E2" w:rsidRDefault="003D1B2E" w:rsidP="003D1B2E">
            <w:pPr>
              <w:jc w:val="center"/>
              <w:rPr>
                <w:bCs/>
                <w:i/>
                <w:color w:val="000000"/>
                <w:sz w:val="20"/>
                <w:szCs w:val="20"/>
              </w:rPr>
            </w:pPr>
            <w:r w:rsidRPr="00BE65E2">
              <w:rPr>
                <w:bCs/>
                <w:i/>
                <w:color w:val="000000"/>
                <w:sz w:val="20"/>
                <w:szCs w:val="20"/>
              </w:rPr>
              <w:t>476,2</w:t>
            </w:r>
          </w:p>
        </w:tc>
        <w:tc>
          <w:tcPr>
            <w:tcW w:w="1163" w:type="dxa"/>
            <w:tcBorders>
              <w:top w:val="nil"/>
              <w:left w:val="nil"/>
              <w:bottom w:val="single" w:sz="4" w:space="0" w:color="auto"/>
              <w:right w:val="single" w:sz="4" w:space="0" w:color="auto"/>
            </w:tcBorders>
            <w:shd w:val="clear" w:color="auto" w:fill="auto"/>
            <w:vAlign w:val="center"/>
            <w:hideMark/>
          </w:tcPr>
          <w:p w14:paraId="092F0D1E" w14:textId="77777777" w:rsidR="003D1B2E" w:rsidRPr="00BE65E2" w:rsidRDefault="003D1B2E" w:rsidP="003D1B2E">
            <w:pPr>
              <w:jc w:val="center"/>
              <w:rPr>
                <w:bCs/>
                <w:i/>
                <w:color w:val="000000"/>
                <w:sz w:val="20"/>
                <w:szCs w:val="20"/>
              </w:rPr>
            </w:pPr>
            <w:r w:rsidRPr="00BE65E2">
              <w:rPr>
                <w:bCs/>
                <w:i/>
                <w:color w:val="000000"/>
                <w:sz w:val="20"/>
                <w:szCs w:val="20"/>
              </w:rPr>
              <w:t>152,4</w:t>
            </w:r>
          </w:p>
        </w:tc>
      </w:tr>
      <w:tr w:rsidR="003D1B2E" w:rsidRPr="004A52CD" w14:paraId="5538C49A"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3CF0DDC" w14:textId="77777777" w:rsidR="003D1B2E" w:rsidRPr="00BE65E2" w:rsidRDefault="003D1B2E" w:rsidP="003D1B2E">
            <w:pPr>
              <w:jc w:val="both"/>
              <w:rPr>
                <w:color w:val="000000"/>
                <w:sz w:val="20"/>
                <w:szCs w:val="20"/>
              </w:rPr>
            </w:pPr>
            <w:r w:rsidRPr="00BE65E2">
              <w:rPr>
                <w:color w:val="000000"/>
                <w:sz w:val="20"/>
                <w:szCs w:val="20"/>
              </w:rPr>
              <w:t>Расширение доступа на зарубежные рынки продукции российского АПК (</w:t>
            </w:r>
            <w:r w:rsidRPr="00AC6D27">
              <w:rPr>
                <w:color w:val="000000"/>
              </w:rPr>
              <w:t>И</w:t>
            </w:r>
            <w:r w:rsidRPr="00BE65E2">
              <w:rPr>
                <w:color w:val="000000"/>
                <w:sz w:val="20"/>
                <w:szCs w:val="20"/>
              </w:rPr>
              <w:t>ные выплаты персоналу гос. (муниципальных) органов, за исключением фонда оплаты труда)</w:t>
            </w:r>
          </w:p>
        </w:tc>
        <w:tc>
          <w:tcPr>
            <w:tcW w:w="1162" w:type="dxa"/>
            <w:tcBorders>
              <w:top w:val="nil"/>
              <w:left w:val="nil"/>
              <w:bottom w:val="single" w:sz="4" w:space="0" w:color="auto"/>
              <w:right w:val="single" w:sz="4" w:space="0" w:color="auto"/>
            </w:tcBorders>
            <w:shd w:val="clear" w:color="auto" w:fill="auto"/>
            <w:vAlign w:val="center"/>
          </w:tcPr>
          <w:p w14:paraId="59536E96" w14:textId="57DDE58D" w:rsidR="003D1B2E" w:rsidRPr="00BE65E2" w:rsidRDefault="003D1B2E" w:rsidP="009A0C49">
            <w:pPr>
              <w:jc w:val="center"/>
              <w:rPr>
                <w:color w:val="000000"/>
                <w:sz w:val="20"/>
                <w:szCs w:val="20"/>
              </w:rPr>
            </w:pPr>
            <w:r w:rsidRPr="009A0C49">
              <w:rPr>
                <w:color w:val="000000"/>
                <w:sz w:val="20"/>
                <w:szCs w:val="20"/>
              </w:rPr>
              <w:t>0,01</w:t>
            </w:r>
          </w:p>
        </w:tc>
        <w:tc>
          <w:tcPr>
            <w:tcW w:w="1162" w:type="dxa"/>
            <w:tcBorders>
              <w:top w:val="nil"/>
              <w:left w:val="nil"/>
              <w:bottom w:val="single" w:sz="4" w:space="0" w:color="auto"/>
              <w:right w:val="single" w:sz="4" w:space="0" w:color="auto"/>
            </w:tcBorders>
            <w:shd w:val="clear" w:color="auto" w:fill="auto"/>
            <w:vAlign w:val="center"/>
          </w:tcPr>
          <w:p w14:paraId="70C65D23" w14:textId="76BC40AA" w:rsidR="003D1B2E" w:rsidRPr="00BE65E2" w:rsidRDefault="003D1B2E" w:rsidP="009A0C49">
            <w:pPr>
              <w:jc w:val="center"/>
              <w:rPr>
                <w:color w:val="000000"/>
                <w:sz w:val="20"/>
                <w:szCs w:val="20"/>
              </w:rPr>
            </w:pPr>
            <w:r w:rsidRPr="009A0C49">
              <w:rPr>
                <w:color w:val="000000"/>
                <w:sz w:val="20"/>
                <w:szCs w:val="20"/>
              </w:rPr>
              <w:t>0,01</w:t>
            </w:r>
          </w:p>
        </w:tc>
        <w:tc>
          <w:tcPr>
            <w:tcW w:w="1162" w:type="dxa"/>
            <w:tcBorders>
              <w:top w:val="nil"/>
              <w:left w:val="nil"/>
              <w:bottom w:val="single" w:sz="4" w:space="0" w:color="auto"/>
              <w:right w:val="single" w:sz="4" w:space="0" w:color="auto"/>
            </w:tcBorders>
            <w:shd w:val="clear" w:color="auto" w:fill="auto"/>
            <w:vAlign w:val="center"/>
          </w:tcPr>
          <w:p w14:paraId="04EFF018" w14:textId="2F09AFEC" w:rsidR="003D1B2E" w:rsidRPr="00BE65E2" w:rsidRDefault="003D1B2E" w:rsidP="009A0C49">
            <w:pPr>
              <w:jc w:val="center"/>
              <w:rPr>
                <w:color w:val="000000"/>
                <w:sz w:val="20"/>
                <w:szCs w:val="20"/>
              </w:rPr>
            </w:pPr>
            <w:r w:rsidRPr="009A0C49">
              <w:rPr>
                <w:color w:val="000000"/>
                <w:sz w:val="20"/>
                <w:szCs w:val="20"/>
              </w:rPr>
              <w:t>0,01</w:t>
            </w:r>
          </w:p>
        </w:tc>
        <w:tc>
          <w:tcPr>
            <w:tcW w:w="1162" w:type="dxa"/>
            <w:tcBorders>
              <w:top w:val="nil"/>
              <w:left w:val="nil"/>
              <w:bottom w:val="single" w:sz="4" w:space="0" w:color="auto"/>
              <w:right w:val="single" w:sz="4" w:space="0" w:color="auto"/>
            </w:tcBorders>
            <w:shd w:val="clear" w:color="auto" w:fill="auto"/>
            <w:vAlign w:val="center"/>
            <w:hideMark/>
          </w:tcPr>
          <w:p w14:paraId="03DA7D3F" w14:textId="77777777" w:rsidR="003D1B2E" w:rsidRPr="00BE65E2" w:rsidRDefault="003D1B2E" w:rsidP="003D1B2E">
            <w:pPr>
              <w:jc w:val="center"/>
              <w:rPr>
                <w:bCs/>
                <w:i/>
                <w:color w:val="000000"/>
                <w:sz w:val="20"/>
                <w:szCs w:val="20"/>
              </w:rPr>
            </w:pPr>
            <w:r w:rsidRPr="00BE65E2">
              <w:rPr>
                <w:bCs/>
                <w:i/>
                <w:color w:val="000000"/>
                <w:sz w:val="20"/>
                <w:szCs w:val="20"/>
              </w:rPr>
              <w:t>100,0</w:t>
            </w:r>
          </w:p>
        </w:tc>
        <w:tc>
          <w:tcPr>
            <w:tcW w:w="1163" w:type="dxa"/>
            <w:tcBorders>
              <w:top w:val="nil"/>
              <w:left w:val="nil"/>
              <w:bottom w:val="single" w:sz="4" w:space="0" w:color="auto"/>
              <w:right w:val="single" w:sz="4" w:space="0" w:color="auto"/>
            </w:tcBorders>
            <w:shd w:val="clear" w:color="auto" w:fill="auto"/>
            <w:vAlign w:val="center"/>
            <w:hideMark/>
          </w:tcPr>
          <w:p w14:paraId="70039A06" w14:textId="77777777" w:rsidR="003D1B2E" w:rsidRPr="00BE65E2" w:rsidRDefault="003D1B2E" w:rsidP="003D1B2E">
            <w:pPr>
              <w:jc w:val="center"/>
              <w:rPr>
                <w:bCs/>
                <w:i/>
                <w:color w:val="000000"/>
                <w:sz w:val="20"/>
                <w:szCs w:val="20"/>
              </w:rPr>
            </w:pPr>
            <w:r w:rsidRPr="00BE65E2">
              <w:rPr>
                <w:bCs/>
                <w:i/>
                <w:color w:val="000000"/>
                <w:sz w:val="20"/>
                <w:szCs w:val="20"/>
              </w:rPr>
              <w:t>104,0</w:t>
            </w:r>
          </w:p>
        </w:tc>
      </w:tr>
      <w:tr w:rsidR="003D1B2E" w:rsidRPr="004A52CD" w14:paraId="658C46A3"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DDB1B7D" w14:textId="77777777" w:rsidR="003D1B2E" w:rsidRPr="00BE65E2" w:rsidRDefault="003D1B2E" w:rsidP="003D1B2E">
            <w:pPr>
              <w:jc w:val="both"/>
              <w:rPr>
                <w:color w:val="000000"/>
                <w:sz w:val="20"/>
                <w:szCs w:val="20"/>
              </w:rPr>
            </w:pPr>
            <w:r w:rsidRPr="00BE65E2">
              <w:rPr>
                <w:color w:val="000000"/>
                <w:sz w:val="20"/>
                <w:szCs w:val="20"/>
              </w:rPr>
              <w:t>Расширение доступа на зарубежные рынки продукции российского АПК (Прочая закупка товаров, работ и услуг)</w:t>
            </w:r>
          </w:p>
        </w:tc>
        <w:tc>
          <w:tcPr>
            <w:tcW w:w="1162" w:type="dxa"/>
            <w:tcBorders>
              <w:top w:val="nil"/>
              <w:left w:val="nil"/>
              <w:bottom w:val="single" w:sz="4" w:space="0" w:color="auto"/>
              <w:right w:val="single" w:sz="4" w:space="0" w:color="auto"/>
            </w:tcBorders>
            <w:shd w:val="clear" w:color="auto" w:fill="auto"/>
            <w:vAlign w:val="center"/>
          </w:tcPr>
          <w:p w14:paraId="59BA788E" w14:textId="21AEB572" w:rsidR="003D1B2E" w:rsidRPr="00BE65E2" w:rsidRDefault="003D1B2E" w:rsidP="009A0C49">
            <w:pPr>
              <w:jc w:val="center"/>
              <w:rPr>
                <w:color w:val="000000"/>
                <w:sz w:val="20"/>
                <w:szCs w:val="20"/>
              </w:rPr>
            </w:pPr>
            <w:r w:rsidRPr="009A0C49">
              <w:rPr>
                <w:color w:val="000000"/>
                <w:sz w:val="20"/>
                <w:szCs w:val="20"/>
              </w:rPr>
              <w:t>0,1</w:t>
            </w:r>
          </w:p>
        </w:tc>
        <w:tc>
          <w:tcPr>
            <w:tcW w:w="1162" w:type="dxa"/>
            <w:tcBorders>
              <w:top w:val="nil"/>
              <w:left w:val="nil"/>
              <w:bottom w:val="single" w:sz="4" w:space="0" w:color="auto"/>
              <w:right w:val="single" w:sz="4" w:space="0" w:color="auto"/>
            </w:tcBorders>
            <w:shd w:val="clear" w:color="auto" w:fill="auto"/>
            <w:vAlign w:val="center"/>
          </w:tcPr>
          <w:p w14:paraId="61AFBA06" w14:textId="46739F8B" w:rsidR="003D1B2E" w:rsidRPr="00BE65E2" w:rsidRDefault="003D1B2E" w:rsidP="009A0C49">
            <w:pPr>
              <w:jc w:val="center"/>
              <w:rPr>
                <w:color w:val="000000"/>
                <w:sz w:val="20"/>
                <w:szCs w:val="20"/>
              </w:rPr>
            </w:pPr>
            <w:r w:rsidRPr="009A0C49">
              <w:rPr>
                <w:color w:val="000000"/>
                <w:sz w:val="20"/>
                <w:szCs w:val="20"/>
              </w:rPr>
              <w:t>0,1</w:t>
            </w:r>
          </w:p>
        </w:tc>
        <w:tc>
          <w:tcPr>
            <w:tcW w:w="1162" w:type="dxa"/>
            <w:tcBorders>
              <w:top w:val="nil"/>
              <w:left w:val="nil"/>
              <w:bottom w:val="single" w:sz="4" w:space="0" w:color="auto"/>
              <w:right w:val="single" w:sz="4" w:space="0" w:color="auto"/>
            </w:tcBorders>
            <w:shd w:val="clear" w:color="auto" w:fill="auto"/>
            <w:vAlign w:val="center"/>
          </w:tcPr>
          <w:p w14:paraId="2D805B3D" w14:textId="5CBC7C20" w:rsidR="003D1B2E" w:rsidRPr="00BE65E2" w:rsidRDefault="003D1B2E" w:rsidP="009A0C49">
            <w:pPr>
              <w:jc w:val="center"/>
              <w:rPr>
                <w:color w:val="000000"/>
                <w:sz w:val="20"/>
                <w:szCs w:val="20"/>
              </w:rPr>
            </w:pPr>
            <w:r w:rsidRPr="009A0C49">
              <w:rPr>
                <w:color w:val="000000"/>
                <w:sz w:val="20"/>
                <w:szCs w:val="20"/>
              </w:rPr>
              <w:t>0,1</w:t>
            </w:r>
          </w:p>
        </w:tc>
        <w:tc>
          <w:tcPr>
            <w:tcW w:w="1162" w:type="dxa"/>
            <w:tcBorders>
              <w:top w:val="nil"/>
              <w:left w:val="nil"/>
              <w:bottom w:val="single" w:sz="4" w:space="0" w:color="auto"/>
              <w:right w:val="single" w:sz="4" w:space="0" w:color="auto"/>
            </w:tcBorders>
            <w:shd w:val="clear" w:color="auto" w:fill="auto"/>
            <w:vAlign w:val="center"/>
            <w:hideMark/>
          </w:tcPr>
          <w:p w14:paraId="3038EB95" w14:textId="77777777" w:rsidR="003D1B2E" w:rsidRPr="00BE65E2" w:rsidRDefault="003D1B2E" w:rsidP="003D1B2E">
            <w:pPr>
              <w:jc w:val="center"/>
              <w:rPr>
                <w:bCs/>
                <w:i/>
                <w:color w:val="000000"/>
                <w:sz w:val="20"/>
                <w:szCs w:val="20"/>
              </w:rPr>
            </w:pPr>
            <w:r w:rsidRPr="00BE65E2">
              <w:rPr>
                <w:bCs/>
                <w:i/>
                <w:color w:val="000000"/>
                <w:sz w:val="20"/>
                <w:szCs w:val="20"/>
              </w:rPr>
              <w:t>101,8</w:t>
            </w:r>
          </w:p>
        </w:tc>
        <w:tc>
          <w:tcPr>
            <w:tcW w:w="1163" w:type="dxa"/>
            <w:tcBorders>
              <w:top w:val="nil"/>
              <w:left w:val="nil"/>
              <w:bottom w:val="single" w:sz="4" w:space="0" w:color="auto"/>
              <w:right w:val="single" w:sz="4" w:space="0" w:color="auto"/>
            </w:tcBorders>
            <w:shd w:val="clear" w:color="auto" w:fill="auto"/>
            <w:vAlign w:val="center"/>
            <w:hideMark/>
          </w:tcPr>
          <w:p w14:paraId="12B2845B" w14:textId="77777777" w:rsidR="003D1B2E" w:rsidRPr="00BE65E2" w:rsidRDefault="003D1B2E" w:rsidP="003D1B2E">
            <w:pPr>
              <w:jc w:val="center"/>
              <w:rPr>
                <w:bCs/>
                <w:i/>
                <w:color w:val="000000"/>
                <w:sz w:val="20"/>
                <w:szCs w:val="20"/>
              </w:rPr>
            </w:pPr>
            <w:r w:rsidRPr="00BE65E2">
              <w:rPr>
                <w:bCs/>
                <w:i/>
                <w:color w:val="000000"/>
                <w:sz w:val="20"/>
                <w:szCs w:val="20"/>
              </w:rPr>
              <w:t>101,4</w:t>
            </w:r>
          </w:p>
        </w:tc>
      </w:tr>
      <w:tr w:rsidR="003D1B2E" w:rsidRPr="004A52CD" w14:paraId="6FC371A4"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17EC22A" w14:textId="77777777" w:rsidR="003D1B2E" w:rsidRPr="00BE65E2" w:rsidRDefault="003D1B2E" w:rsidP="003D1B2E">
            <w:pPr>
              <w:jc w:val="both"/>
              <w:rPr>
                <w:color w:val="000000"/>
                <w:sz w:val="20"/>
                <w:szCs w:val="20"/>
              </w:rPr>
            </w:pPr>
            <w:r w:rsidRPr="00BE65E2">
              <w:rPr>
                <w:color w:val="000000"/>
                <w:sz w:val="20"/>
                <w:szCs w:val="20"/>
              </w:rPr>
              <w:t xml:space="preserve">Создание информационно-аналитического центра ФГБУ  "Федеральный центр охраны здоровья животных" </w:t>
            </w:r>
          </w:p>
        </w:tc>
        <w:tc>
          <w:tcPr>
            <w:tcW w:w="1162" w:type="dxa"/>
            <w:tcBorders>
              <w:top w:val="nil"/>
              <w:left w:val="nil"/>
              <w:bottom w:val="single" w:sz="4" w:space="0" w:color="auto"/>
              <w:right w:val="single" w:sz="4" w:space="0" w:color="auto"/>
            </w:tcBorders>
            <w:shd w:val="clear" w:color="auto" w:fill="auto"/>
            <w:vAlign w:val="center"/>
          </w:tcPr>
          <w:p w14:paraId="06EBB521" w14:textId="45F2AF4B" w:rsidR="003D1B2E" w:rsidRPr="00BE65E2" w:rsidRDefault="003D1B2E" w:rsidP="009A0C49">
            <w:pPr>
              <w:jc w:val="center"/>
              <w:rPr>
                <w:color w:val="000000"/>
                <w:sz w:val="20"/>
                <w:szCs w:val="20"/>
              </w:rPr>
            </w:pPr>
            <w:r w:rsidRPr="009A0C49">
              <w:rPr>
                <w:color w:val="000000"/>
                <w:sz w:val="20"/>
                <w:szCs w:val="20"/>
              </w:rPr>
              <w:t>0,2</w:t>
            </w:r>
          </w:p>
        </w:tc>
        <w:tc>
          <w:tcPr>
            <w:tcW w:w="1162" w:type="dxa"/>
            <w:tcBorders>
              <w:top w:val="nil"/>
              <w:left w:val="nil"/>
              <w:bottom w:val="single" w:sz="4" w:space="0" w:color="auto"/>
              <w:right w:val="single" w:sz="4" w:space="0" w:color="auto"/>
            </w:tcBorders>
            <w:shd w:val="clear" w:color="auto" w:fill="auto"/>
            <w:vAlign w:val="center"/>
          </w:tcPr>
          <w:p w14:paraId="1B906DBC" w14:textId="0A3B97A8" w:rsidR="003D1B2E" w:rsidRPr="00BE65E2" w:rsidRDefault="003D1B2E" w:rsidP="009A0C49">
            <w:pPr>
              <w:jc w:val="center"/>
              <w:rPr>
                <w:color w:val="000000"/>
                <w:sz w:val="20"/>
                <w:szCs w:val="20"/>
              </w:rPr>
            </w:pPr>
            <w:r w:rsidRPr="009A0C49">
              <w:rPr>
                <w:color w:val="000000"/>
                <w:sz w:val="20"/>
                <w:szCs w:val="20"/>
              </w:rPr>
              <w:t>0,3</w:t>
            </w:r>
          </w:p>
        </w:tc>
        <w:tc>
          <w:tcPr>
            <w:tcW w:w="1162" w:type="dxa"/>
            <w:tcBorders>
              <w:top w:val="nil"/>
              <w:left w:val="nil"/>
              <w:bottom w:val="single" w:sz="4" w:space="0" w:color="auto"/>
              <w:right w:val="single" w:sz="4" w:space="0" w:color="auto"/>
            </w:tcBorders>
            <w:shd w:val="clear" w:color="auto" w:fill="auto"/>
            <w:vAlign w:val="center"/>
          </w:tcPr>
          <w:p w14:paraId="0ECE885C" w14:textId="2B35BF7B" w:rsidR="003D1B2E" w:rsidRPr="00BE65E2" w:rsidRDefault="003D1B2E" w:rsidP="009A0C49">
            <w:pPr>
              <w:jc w:val="center"/>
              <w:rPr>
                <w:color w:val="000000"/>
                <w:sz w:val="20"/>
                <w:szCs w:val="20"/>
              </w:rPr>
            </w:pPr>
            <w:r w:rsidRPr="009A0C49">
              <w:rPr>
                <w:color w:val="000000"/>
                <w:sz w:val="20"/>
                <w:szCs w:val="20"/>
              </w:rPr>
              <w:t>0,0</w:t>
            </w:r>
          </w:p>
        </w:tc>
        <w:tc>
          <w:tcPr>
            <w:tcW w:w="1162" w:type="dxa"/>
            <w:tcBorders>
              <w:top w:val="nil"/>
              <w:left w:val="nil"/>
              <w:bottom w:val="single" w:sz="4" w:space="0" w:color="auto"/>
              <w:right w:val="single" w:sz="4" w:space="0" w:color="auto"/>
            </w:tcBorders>
            <w:shd w:val="clear" w:color="auto" w:fill="auto"/>
            <w:vAlign w:val="center"/>
            <w:hideMark/>
          </w:tcPr>
          <w:p w14:paraId="2451FAB4" w14:textId="77777777" w:rsidR="003D1B2E" w:rsidRPr="00BE65E2" w:rsidRDefault="003D1B2E" w:rsidP="003D1B2E">
            <w:pPr>
              <w:jc w:val="center"/>
              <w:rPr>
                <w:bCs/>
                <w:i/>
                <w:color w:val="000000"/>
                <w:sz w:val="20"/>
                <w:szCs w:val="20"/>
              </w:rPr>
            </w:pPr>
            <w:r w:rsidRPr="00BE65E2">
              <w:rPr>
                <w:bCs/>
                <w:i/>
                <w:color w:val="000000"/>
                <w:sz w:val="20"/>
                <w:szCs w:val="20"/>
              </w:rPr>
              <w:t>156,9</w:t>
            </w:r>
          </w:p>
        </w:tc>
        <w:tc>
          <w:tcPr>
            <w:tcW w:w="1163" w:type="dxa"/>
            <w:tcBorders>
              <w:top w:val="nil"/>
              <w:left w:val="nil"/>
              <w:bottom w:val="single" w:sz="4" w:space="0" w:color="auto"/>
              <w:right w:val="single" w:sz="4" w:space="0" w:color="auto"/>
            </w:tcBorders>
            <w:shd w:val="clear" w:color="auto" w:fill="auto"/>
            <w:vAlign w:val="center"/>
            <w:hideMark/>
          </w:tcPr>
          <w:p w14:paraId="780B9797" w14:textId="77777777" w:rsidR="003D1B2E" w:rsidRPr="00BE65E2" w:rsidRDefault="003D1B2E" w:rsidP="003D1B2E">
            <w:pPr>
              <w:jc w:val="center"/>
              <w:rPr>
                <w:bCs/>
                <w:i/>
                <w:color w:val="000000"/>
                <w:sz w:val="20"/>
                <w:szCs w:val="20"/>
              </w:rPr>
            </w:pPr>
            <w:r w:rsidRPr="00BE65E2">
              <w:rPr>
                <w:bCs/>
                <w:i/>
                <w:color w:val="000000"/>
                <w:sz w:val="20"/>
                <w:szCs w:val="20"/>
              </w:rPr>
              <w:t>0,0</w:t>
            </w:r>
          </w:p>
        </w:tc>
      </w:tr>
      <w:tr w:rsidR="003D1B2E" w:rsidRPr="004A52CD" w14:paraId="4DA55A3B"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7EB8F19" w14:textId="77777777" w:rsidR="003D1B2E" w:rsidRPr="00BE65E2" w:rsidRDefault="003D1B2E" w:rsidP="003D1B2E">
            <w:pPr>
              <w:jc w:val="both"/>
              <w:rPr>
                <w:color w:val="000000"/>
                <w:sz w:val="20"/>
                <w:szCs w:val="20"/>
              </w:rPr>
            </w:pPr>
            <w:r w:rsidRPr="00BE65E2">
              <w:rPr>
                <w:color w:val="000000"/>
                <w:sz w:val="20"/>
                <w:szCs w:val="20"/>
              </w:rPr>
              <w:t xml:space="preserve">Проведение мониторинговых исследований экспортируемой продукции </w:t>
            </w:r>
          </w:p>
        </w:tc>
        <w:tc>
          <w:tcPr>
            <w:tcW w:w="1162" w:type="dxa"/>
            <w:tcBorders>
              <w:top w:val="nil"/>
              <w:left w:val="nil"/>
              <w:bottom w:val="single" w:sz="4" w:space="0" w:color="auto"/>
              <w:right w:val="single" w:sz="4" w:space="0" w:color="auto"/>
            </w:tcBorders>
            <w:shd w:val="clear" w:color="auto" w:fill="auto"/>
            <w:vAlign w:val="center"/>
          </w:tcPr>
          <w:p w14:paraId="62DD88EC" w14:textId="47FF950B" w:rsidR="003D1B2E" w:rsidRPr="00BE65E2" w:rsidRDefault="003D1B2E" w:rsidP="009A0C49">
            <w:pPr>
              <w:jc w:val="center"/>
              <w:rPr>
                <w:color w:val="000000"/>
                <w:sz w:val="20"/>
                <w:szCs w:val="20"/>
              </w:rPr>
            </w:pPr>
            <w:r w:rsidRPr="009A0C49">
              <w:rPr>
                <w:color w:val="000000"/>
                <w:sz w:val="20"/>
                <w:szCs w:val="20"/>
              </w:rPr>
              <w:t>3,0</w:t>
            </w:r>
          </w:p>
        </w:tc>
        <w:tc>
          <w:tcPr>
            <w:tcW w:w="1162" w:type="dxa"/>
            <w:tcBorders>
              <w:top w:val="nil"/>
              <w:left w:val="nil"/>
              <w:bottom w:val="single" w:sz="4" w:space="0" w:color="auto"/>
              <w:right w:val="single" w:sz="4" w:space="0" w:color="auto"/>
            </w:tcBorders>
            <w:shd w:val="clear" w:color="auto" w:fill="auto"/>
            <w:vAlign w:val="center"/>
          </w:tcPr>
          <w:p w14:paraId="67DAB394" w14:textId="3305AC27" w:rsidR="003D1B2E" w:rsidRPr="00BE65E2" w:rsidRDefault="003D1B2E" w:rsidP="009A0C49">
            <w:pPr>
              <w:jc w:val="center"/>
              <w:rPr>
                <w:color w:val="000000"/>
                <w:sz w:val="20"/>
                <w:szCs w:val="20"/>
              </w:rPr>
            </w:pPr>
            <w:r w:rsidRPr="009A0C49">
              <w:rPr>
                <w:color w:val="000000"/>
                <w:sz w:val="20"/>
                <w:szCs w:val="20"/>
              </w:rPr>
              <w:t>3,1</w:t>
            </w:r>
          </w:p>
        </w:tc>
        <w:tc>
          <w:tcPr>
            <w:tcW w:w="1162" w:type="dxa"/>
            <w:tcBorders>
              <w:top w:val="nil"/>
              <w:left w:val="nil"/>
              <w:bottom w:val="single" w:sz="4" w:space="0" w:color="auto"/>
              <w:right w:val="single" w:sz="4" w:space="0" w:color="auto"/>
            </w:tcBorders>
            <w:shd w:val="clear" w:color="auto" w:fill="auto"/>
            <w:vAlign w:val="center"/>
          </w:tcPr>
          <w:p w14:paraId="4C28198B" w14:textId="7BAA0FE2" w:rsidR="003D1B2E" w:rsidRPr="00BE65E2" w:rsidRDefault="003D1B2E" w:rsidP="009A0C49">
            <w:pPr>
              <w:jc w:val="center"/>
              <w:rPr>
                <w:color w:val="000000"/>
                <w:sz w:val="20"/>
                <w:szCs w:val="20"/>
              </w:rPr>
            </w:pPr>
            <w:r w:rsidRPr="009A0C49">
              <w:rPr>
                <w:color w:val="000000"/>
                <w:sz w:val="20"/>
                <w:szCs w:val="20"/>
              </w:rPr>
              <w:t>3,4</w:t>
            </w:r>
          </w:p>
        </w:tc>
        <w:tc>
          <w:tcPr>
            <w:tcW w:w="1162" w:type="dxa"/>
            <w:tcBorders>
              <w:top w:val="nil"/>
              <w:left w:val="nil"/>
              <w:bottom w:val="single" w:sz="4" w:space="0" w:color="auto"/>
              <w:right w:val="single" w:sz="4" w:space="0" w:color="auto"/>
            </w:tcBorders>
            <w:shd w:val="clear" w:color="auto" w:fill="auto"/>
            <w:vAlign w:val="center"/>
            <w:hideMark/>
          </w:tcPr>
          <w:p w14:paraId="3968CF19" w14:textId="77777777" w:rsidR="003D1B2E" w:rsidRPr="00BE65E2" w:rsidRDefault="003D1B2E" w:rsidP="003D1B2E">
            <w:pPr>
              <w:jc w:val="center"/>
              <w:rPr>
                <w:bCs/>
                <w:i/>
                <w:color w:val="000000"/>
                <w:sz w:val="20"/>
                <w:szCs w:val="20"/>
              </w:rPr>
            </w:pPr>
            <w:r w:rsidRPr="00BE65E2">
              <w:rPr>
                <w:bCs/>
                <w:i/>
                <w:color w:val="000000"/>
                <w:sz w:val="20"/>
                <w:szCs w:val="20"/>
              </w:rPr>
              <w:t>103,4</w:t>
            </w:r>
          </w:p>
        </w:tc>
        <w:tc>
          <w:tcPr>
            <w:tcW w:w="1163" w:type="dxa"/>
            <w:tcBorders>
              <w:top w:val="nil"/>
              <w:left w:val="nil"/>
              <w:bottom w:val="single" w:sz="4" w:space="0" w:color="auto"/>
              <w:right w:val="single" w:sz="4" w:space="0" w:color="auto"/>
            </w:tcBorders>
            <w:shd w:val="clear" w:color="auto" w:fill="auto"/>
            <w:vAlign w:val="center"/>
            <w:hideMark/>
          </w:tcPr>
          <w:p w14:paraId="04DDD79D" w14:textId="77777777" w:rsidR="003D1B2E" w:rsidRPr="00BE65E2" w:rsidRDefault="003D1B2E" w:rsidP="003D1B2E">
            <w:pPr>
              <w:jc w:val="center"/>
              <w:rPr>
                <w:bCs/>
                <w:i/>
                <w:color w:val="000000"/>
                <w:sz w:val="20"/>
                <w:szCs w:val="20"/>
              </w:rPr>
            </w:pPr>
            <w:r w:rsidRPr="00BE65E2">
              <w:rPr>
                <w:bCs/>
                <w:i/>
                <w:color w:val="000000"/>
                <w:sz w:val="20"/>
                <w:szCs w:val="20"/>
              </w:rPr>
              <w:t>110,7</w:t>
            </w:r>
          </w:p>
        </w:tc>
      </w:tr>
      <w:tr w:rsidR="003D1B2E" w:rsidRPr="004A52CD" w14:paraId="4FCC0017"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B836C1D" w14:textId="77777777" w:rsidR="003D1B2E" w:rsidRPr="00BE65E2" w:rsidRDefault="003D1B2E" w:rsidP="003D1B2E">
            <w:pPr>
              <w:jc w:val="both"/>
              <w:rPr>
                <w:color w:val="000000"/>
                <w:sz w:val="20"/>
                <w:szCs w:val="20"/>
              </w:rPr>
            </w:pPr>
            <w:r w:rsidRPr="00BE65E2">
              <w:rPr>
                <w:color w:val="000000"/>
                <w:sz w:val="20"/>
                <w:szCs w:val="20"/>
              </w:rPr>
              <w:t>Ведомственный проект "Техническая модернизация агропромышленного комплекса"</w:t>
            </w:r>
          </w:p>
        </w:tc>
        <w:tc>
          <w:tcPr>
            <w:tcW w:w="1162" w:type="dxa"/>
            <w:tcBorders>
              <w:top w:val="nil"/>
              <w:left w:val="nil"/>
              <w:bottom w:val="single" w:sz="4" w:space="0" w:color="auto"/>
              <w:right w:val="single" w:sz="4" w:space="0" w:color="auto"/>
            </w:tcBorders>
            <w:shd w:val="clear" w:color="auto" w:fill="auto"/>
            <w:vAlign w:val="center"/>
          </w:tcPr>
          <w:p w14:paraId="5BD776D7" w14:textId="46304863" w:rsidR="003D1B2E" w:rsidRPr="00BE65E2" w:rsidRDefault="003D1B2E" w:rsidP="009A0C49">
            <w:pPr>
              <w:jc w:val="center"/>
              <w:rPr>
                <w:color w:val="000000"/>
                <w:sz w:val="20"/>
                <w:szCs w:val="20"/>
              </w:rPr>
            </w:pPr>
            <w:r w:rsidRPr="009A0C49">
              <w:rPr>
                <w:color w:val="000000"/>
                <w:sz w:val="20"/>
                <w:szCs w:val="20"/>
              </w:rPr>
              <w:t>8,1</w:t>
            </w:r>
          </w:p>
        </w:tc>
        <w:tc>
          <w:tcPr>
            <w:tcW w:w="1162" w:type="dxa"/>
            <w:tcBorders>
              <w:top w:val="nil"/>
              <w:left w:val="nil"/>
              <w:bottom w:val="single" w:sz="4" w:space="0" w:color="auto"/>
              <w:right w:val="single" w:sz="4" w:space="0" w:color="auto"/>
            </w:tcBorders>
            <w:shd w:val="clear" w:color="auto" w:fill="auto"/>
            <w:vAlign w:val="center"/>
          </w:tcPr>
          <w:p w14:paraId="73F6FBEE" w14:textId="4555DE66" w:rsidR="003D1B2E" w:rsidRPr="00BE65E2" w:rsidRDefault="003D1B2E" w:rsidP="009A0C49">
            <w:pPr>
              <w:jc w:val="center"/>
              <w:rPr>
                <w:color w:val="000000"/>
                <w:sz w:val="20"/>
                <w:szCs w:val="20"/>
              </w:rPr>
            </w:pPr>
            <w:r w:rsidRPr="009A0C49">
              <w:rPr>
                <w:color w:val="000000"/>
                <w:sz w:val="20"/>
                <w:szCs w:val="20"/>
              </w:rPr>
              <w:t>4,2</w:t>
            </w:r>
          </w:p>
        </w:tc>
        <w:tc>
          <w:tcPr>
            <w:tcW w:w="1162" w:type="dxa"/>
            <w:tcBorders>
              <w:top w:val="nil"/>
              <w:left w:val="nil"/>
              <w:bottom w:val="single" w:sz="4" w:space="0" w:color="auto"/>
              <w:right w:val="single" w:sz="4" w:space="0" w:color="auto"/>
            </w:tcBorders>
            <w:shd w:val="clear" w:color="auto" w:fill="auto"/>
            <w:vAlign w:val="center"/>
          </w:tcPr>
          <w:p w14:paraId="652BD3E4" w14:textId="0A41C021" w:rsidR="003D1B2E" w:rsidRPr="00BE65E2" w:rsidRDefault="003D1B2E" w:rsidP="009A0C49">
            <w:pPr>
              <w:jc w:val="center"/>
              <w:rPr>
                <w:color w:val="000000"/>
                <w:sz w:val="20"/>
                <w:szCs w:val="20"/>
              </w:rPr>
            </w:pPr>
            <w:r w:rsidRPr="009A0C49">
              <w:rPr>
                <w:color w:val="000000"/>
                <w:sz w:val="20"/>
                <w:szCs w:val="20"/>
              </w:rPr>
              <w:t>4,6</w:t>
            </w:r>
          </w:p>
        </w:tc>
        <w:tc>
          <w:tcPr>
            <w:tcW w:w="1162" w:type="dxa"/>
            <w:tcBorders>
              <w:top w:val="nil"/>
              <w:left w:val="nil"/>
              <w:bottom w:val="single" w:sz="4" w:space="0" w:color="auto"/>
              <w:right w:val="single" w:sz="4" w:space="0" w:color="auto"/>
            </w:tcBorders>
            <w:shd w:val="clear" w:color="auto" w:fill="auto"/>
            <w:vAlign w:val="center"/>
            <w:hideMark/>
          </w:tcPr>
          <w:p w14:paraId="5D6CCA89" w14:textId="77777777" w:rsidR="003D1B2E" w:rsidRPr="00BE65E2" w:rsidRDefault="003D1B2E" w:rsidP="003D1B2E">
            <w:pPr>
              <w:jc w:val="center"/>
              <w:rPr>
                <w:bCs/>
                <w:i/>
                <w:color w:val="000000"/>
                <w:sz w:val="20"/>
                <w:szCs w:val="20"/>
              </w:rPr>
            </w:pPr>
            <w:r w:rsidRPr="00BE65E2">
              <w:rPr>
                <w:bCs/>
                <w:i/>
                <w:color w:val="000000"/>
                <w:sz w:val="20"/>
                <w:szCs w:val="20"/>
              </w:rPr>
              <w:t>51,9</w:t>
            </w:r>
          </w:p>
        </w:tc>
        <w:tc>
          <w:tcPr>
            <w:tcW w:w="1163" w:type="dxa"/>
            <w:tcBorders>
              <w:top w:val="nil"/>
              <w:left w:val="nil"/>
              <w:bottom w:val="single" w:sz="4" w:space="0" w:color="auto"/>
              <w:right w:val="single" w:sz="4" w:space="0" w:color="auto"/>
            </w:tcBorders>
            <w:shd w:val="clear" w:color="auto" w:fill="auto"/>
            <w:vAlign w:val="center"/>
            <w:hideMark/>
          </w:tcPr>
          <w:p w14:paraId="31A2DB83" w14:textId="77777777" w:rsidR="003D1B2E" w:rsidRPr="00BE65E2" w:rsidRDefault="003D1B2E" w:rsidP="003D1B2E">
            <w:pPr>
              <w:jc w:val="center"/>
              <w:rPr>
                <w:bCs/>
                <w:i/>
                <w:color w:val="000000"/>
                <w:sz w:val="20"/>
                <w:szCs w:val="20"/>
              </w:rPr>
            </w:pPr>
            <w:r w:rsidRPr="00BE65E2">
              <w:rPr>
                <w:bCs/>
                <w:i/>
                <w:color w:val="000000"/>
                <w:sz w:val="20"/>
                <w:szCs w:val="20"/>
              </w:rPr>
              <w:t>109,5</w:t>
            </w:r>
          </w:p>
        </w:tc>
      </w:tr>
      <w:tr w:rsidR="003D1B2E" w:rsidRPr="004A52CD" w14:paraId="3B71C30B"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02C417A" w14:textId="77777777" w:rsidR="003D1B2E" w:rsidRPr="00BE65E2" w:rsidRDefault="003D1B2E" w:rsidP="003D1B2E">
            <w:pPr>
              <w:jc w:val="both"/>
              <w:rPr>
                <w:color w:val="000000"/>
                <w:sz w:val="20"/>
                <w:szCs w:val="20"/>
              </w:rPr>
            </w:pPr>
            <w:r w:rsidRPr="00BE65E2">
              <w:rPr>
                <w:color w:val="000000"/>
                <w:sz w:val="20"/>
                <w:szCs w:val="20"/>
              </w:rPr>
              <w:t xml:space="preserve">Субсидии производителям сельскохозяйственной техники </w:t>
            </w:r>
          </w:p>
        </w:tc>
        <w:tc>
          <w:tcPr>
            <w:tcW w:w="1162" w:type="dxa"/>
            <w:tcBorders>
              <w:top w:val="nil"/>
              <w:left w:val="nil"/>
              <w:bottom w:val="single" w:sz="4" w:space="0" w:color="auto"/>
              <w:right w:val="single" w:sz="4" w:space="0" w:color="auto"/>
            </w:tcBorders>
            <w:shd w:val="clear" w:color="auto" w:fill="auto"/>
            <w:vAlign w:val="center"/>
          </w:tcPr>
          <w:p w14:paraId="1CD8DE55" w14:textId="177479FF" w:rsidR="003D1B2E" w:rsidRPr="00BE65E2" w:rsidRDefault="003D1B2E" w:rsidP="009A0C49">
            <w:pPr>
              <w:jc w:val="center"/>
              <w:rPr>
                <w:color w:val="000000"/>
                <w:sz w:val="20"/>
                <w:szCs w:val="20"/>
              </w:rPr>
            </w:pPr>
            <w:r w:rsidRPr="009A0C49">
              <w:rPr>
                <w:color w:val="000000"/>
                <w:sz w:val="20"/>
                <w:szCs w:val="20"/>
              </w:rPr>
              <w:t>7,0</w:t>
            </w:r>
          </w:p>
        </w:tc>
        <w:tc>
          <w:tcPr>
            <w:tcW w:w="1162" w:type="dxa"/>
            <w:tcBorders>
              <w:top w:val="nil"/>
              <w:left w:val="nil"/>
              <w:bottom w:val="single" w:sz="4" w:space="0" w:color="auto"/>
              <w:right w:val="single" w:sz="4" w:space="0" w:color="auto"/>
            </w:tcBorders>
            <w:shd w:val="clear" w:color="auto" w:fill="auto"/>
            <w:vAlign w:val="center"/>
          </w:tcPr>
          <w:p w14:paraId="46D623C4" w14:textId="6A78F477" w:rsidR="003D1B2E" w:rsidRPr="00BE65E2" w:rsidRDefault="003D1B2E" w:rsidP="009A0C49">
            <w:pPr>
              <w:jc w:val="center"/>
              <w:rPr>
                <w:color w:val="000000"/>
                <w:sz w:val="20"/>
                <w:szCs w:val="20"/>
              </w:rPr>
            </w:pPr>
            <w:r w:rsidRPr="009A0C49">
              <w:rPr>
                <w:color w:val="000000"/>
                <w:sz w:val="20"/>
                <w:szCs w:val="20"/>
              </w:rPr>
              <w:t>2,0</w:t>
            </w:r>
          </w:p>
        </w:tc>
        <w:tc>
          <w:tcPr>
            <w:tcW w:w="1162" w:type="dxa"/>
            <w:tcBorders>
              <w:top w:val="nil"/>
              <w:left w:val="nil"/>
              <w:bottom w:val="single" w:sz="4" w:space="0" w:color="auto"/>
              <w:right w:val="single" w:sz="4" w:space="0" w:color="auto"/>
            </w:tcBorders>
            <w:shd w:val="clear" w:color="auto" w:fill="auto"/>
            <w:vAlign w:val="center"/>
          </w:tcPr>
          <w:p w14:paraId="2026FB95" w14:textId="3D47685A" w:rsidR="003D1B2E" w:rsidRPr="00BE65E2" w:rsidRDefault="003D1B2E" w:rsidP="009A0C49">
            <w:pPr>
              <w:jc w:val="center"/>
              <w:rPr>
                <w:color w:val="000000"/>
                <w:sz w:val="20"/>
                <w:szCs w:val="20"/>
              </w:rPr>
            </w:pPr>
            <w:r w:rsidRPr="009A0C49">
              <w:rPr>
                <w:color w:val="000000"/>
                <w:sz w:val="20"/>
                <w:szCs w:val="20"/>
              </w:rPr>
              <w:t>2,0</w:t>
            </w:r>
          </w:p>
        </w:tc>
        <w:tc>
          <w:tcPr>
            <w:tcW w:w="1162" w:type="dxa"/>
            <w:tcBorders>
              <w:top w:val="nil"/>
              <w:left w:val="nil"/>
              <w:bottom w:val="single" w:sz="4" w:space="0" w:color="auto"/>
              <w:right w:val="single" w:sz="4" w:space="0" w:color="auto"/>
            </w:tcBorders>
            <w:shd w:val="clear" w:color="auto" w:fill="auto"/>
            <w:vAlign w:val="center"/>
            <w:hideMark/>
          </w:tcPr>
          <w:p w14:paraId="128E53C1" w14:textId="77777777" w:rsidR="003D1B2E" w:rsidRPr="00BE65E2" w:rsidRDefault="003D1B2E" w:rsidP="003D1B2E">
            <w:pPr>
              <w:jc w:val="center"/>
              <w:rPr>
                <w:bCs/>
                <w:i/>
                <w:color w:val="000000"/>
                <w:sz w:val="20"/>
                <w:szCs w:val="20"/>
              </w:rPr>
            </w:pPr>
            <w:r w:rsidRPr="00BE65E2">
              <w:rPr>
                <w:bCs/>
                <w:i/>
                <w:color w:val="000000"/>
                <w:sz w:val="20"/>
                <w:szCs w:val="20"/>
              </w:rPr>
              <w:t>28,6</w:t>
            </w:r>
          </w:p>
        </w:tc>
        <w:tc>
          <w:tcPr>
            <w:tcW w:w="1163" w:type="dxa"/>
            <w:tcBorders>
              <w:top w:val="nil"/>
              <w:left w:val="nil"/>
              <w:bottom w:val="single" w:sz="4" w:space="0" w:color="auto"/>
              <w:right w:val="single" w:sz="4" w:space="0" w:color="auto"/>
            </w:tcBorders>
            <w:shd w:val="clear" w:color="auto" w:fill="auto"/>
            <w:vAlign w:val="center"/>
            <w:hideMark/>
          </w:tcPr>
          <w:p w14:paraId="792FD7AB" w14:textId="77777777" w:rsidR="003D1B2E" w:rsidRPr="00BE65E2" w:rsidRDefault="003D1B2E" w:rsidP="003D1B2E">
            <w:pPr>
              <w:jc w:val="center"/>
              <w:rPr>
                <w:bCs/>
                <w:i/>
                <w:color w:val="000000"/>
                <w:sz w:val="20"/>
                <w:szCs w:val="20"/>
              </w:rPr>
            </w:pPr>
            <w:r w:rsidRPr="00BE65E2">
              <w:rPr>
                <w:bCs/>
                <w:i/>
                <w:color w:val="000000"/>
                <w:sz w:val="20"/>
                <w:szCs w:val="20"/>
              </w:rPr>
              <w:t>100,0</w:t>
            </w:r>
          </w:p>
        </w:tc>
      </w:tr>
      <w:tr w:rsidR="003D1B2E" w:rsidRPr="004A52CD" w14:paraId="710E1B8C"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65443A8" w14:textId="77777777" w:rsidR="003D1B2E" w:rsidRPr="00BE65E2" w:rsidRDefault="003D1B2E" w:rsidP="003D1B2E">
            <w:pPr>
              <w:jc w:val="both"/>
              <w:rPr>
                <w:color w:val="000000"/>
                <w:sz w:val="20"/>
                <w:szCs w:val="20"/>
              </w:rPr>
            </w:pPr>
            <w:r w:rsidRPr="00BE65E2">
              <w:rPr>
                <w:color w:val="000000"/>
                <w:sz w:val="20"/>
                <w:szCs w:val="20"/>
              </w:rPr>
              <w:t xml:space="preserve">Субсидии АО "Росагролизинг", г. Москва, на возмещение недополученных доходов при уплате лизингополучателем лизинговых платежей по договорам финансовой аренды (лизинга), заключенным на льготных (специальных) условиях </w:t>
            </w:r>
          </w:p>
        </w:tc>
        <w:tc>
          <w:tcPr>
            <w:tcW w:w="1162" w:type="dxa"/>
            <w:tcBorders>
              <w:top w:val="nil"/>
              <w:left w:val="nil"/>
              <w:bottom w:val="single" w:sz="4" w:space="0" w:color="auto"/>
              <w:right w:val="single" w:sz="4" w:space="0" w:color="auto"/>
            </w:tcBorders>
            <w:shd w:val="clear" w:color="auto" w:fill="auto"/>
            <w:vAlign w:val="center"/>
          </w:tcPr>
          <w:p w14:paraId="39B44286" w14:textId="777B067B" w:rsidR="003D1B2E" w:rsidRPr="00BE65E2" w:rsidRDefault="003D1B2E" w:rsidP="009A0C49">
            <w:pPr>
              <w:jc w:val="center"/>
              <w:rPr>
                <w:color w:val="000000"/>
                <w:sz w:val="20"/>
                <w:szCs w:val="20"/>
              </w:rPr>
            </w:pPr>
            <w:r w:rsidRPr="009A0C49">
              <w:rPr>
                <w:color w:val="000000"/>
                <w:sz w:val="20"/>
                <w:szCs w:val="20"/>
              </w:rPr>
              <w:t>1,1</w:t>
            </w:r>
          </w:p>
        </w:tc>
        <w:tc>
          <w:tcPr>
            <w:tcW w:w="1162" w:type="dxa"/>
            <w:tcBorders>
              <w:top w:val="nil"/>
              <w:left w:val="nil"/>
              <w:bottom w:val="single" w:sz="4" w:space="0" w:color="auto"/>
              <w:right w:val="single" w:sz="4" w:space="0" w:color="auto"/>
            </w:tcBorders>
            <w:shd w:val="clear" w:color="auto" w:fill="auto"/>
            <w:vAlign w:val="center"/>
          </w:tcPr>
          <w:p w14:paraId="5368D4E3" w14:textId="45B488F4" w:rsidR="003D1B2E" w:rsidRPr="00BE65E2" w:rsidRDefault="003D1B2E" w:rsidP="009A0C49">
            <w:pPr>
              <w:jc w:val="center"/>
              <w:rPr>
                <w:color w:val="000000"/>
                <w:sz w:val="20"/>
                <w:szCs w:val="20"/>
              </w:rPr>
            </w:pPr>
            <w:r w:rsidRPr="009A0C49">
              <w:rPr>
                <w:color w:val="000000"/>
                <w:sz w:val="20"/>
                <w:szCs w:val="20"/>
              </w:rPr>
              <w:t>2,2</w:t>
            </w:r>
          </w:p>
        </w:tc>
        <w:tc>
          <w:tcPr>
            <w:tcW w:w="1162" w:type="dxa"/>
            <w:tcBorders>
              <w:top w:val="nil"/>
              <w:left w:val="nil"/>
              <w:bottom w:val="single" w:sz="4" w:space="0" w:color="auto"/>
              <w:right w:val="single" w:sz="4" w:space="0" w:color="auto"/>
            </w:tcBorders>
            <w:shd w:val="clear" w:color="auto" w:fill="auto"/>
            <w:vAlign w:val="center"/>
          </w:tcPr>
          <w:p w14:paraId="77BBE9DE" w14:textId="39F6E49D" w:rsidR="003D1B2E" w:rsidRPr="00BE65E2" w:rsidRDefault="003D1B2E" w:rsidP="009A0C49">
            <w:pPr>
              <w:jc w:val="center"/>
              <w:rPr>
                <w:color w:val="000000"/>
                <w:sz w:val="20"/>
                <w:szCs w:val="20"/>
              </w:rPr>
            </w:pPr>
            <w:r w:rsidRPr="009A0C49">
              <w:rPr>
                <w:color w:val="000000"/>
                <w:sz w:val="20"/>
                <w:szCs w:val="20"/>
              </w:rPr>
              <w:t>2,6</w:t>
            </w:r>
          </w:p>
        </w:tc>
        <w:tc>
          <w:tcPr>
            <w:tcW w:w="1162" w:type="dxa"/>
            <w:tcBorders>
              <w:top w:val="nil"/>
              <w:left w:val="nil"/>
              <w:bottom w:val="single" w:sz="4" w:space="0" w:color="auto"/>
              <w:right w:val="single" w:sz="4" w:space="0" w:color="auto"/>
            </w:tcBorders>
            <w:shd w:val="clear" w:color="auto" w:fill="auto"/>
            <w:vAlign w:val="center"/>
            <w:hideMark/>
          </w:tcPr>
          <w:p w14:paraId="7F07EEF1" w14:textId="77777777" w:rsidR="003D1B2E" w:rsidRPr="00BE65E2" w:rsidRDefault="003D1B2E" w:rsidP="003D1B2E">
            <w:pPr>
              <w:jc w:val="center"/>
              <w:rPr>
                <w:bCs/>
                <w:i/>
                <w:color w:val="000000"/>
                <w:sz w:val="20"/>
                <w:szCs w:val="20"/>
              </w:rPr>
            </w:pPr>
            <w:r w:rsidRPr="00BE65E2">
              <w:rPr>
                <w:bCs/>
                <w:i/>
                <w:color w:val="000000"/>
                <w:sz w:val="20"/>
                <w:szCs w:val="20"/>
              </w:rPr>
              <w:t>200,0</w:t>
            </w:r>
          </w:p>
        </w:tc>
        <w:tc>
          <w:tcPr>
            <w:tcW w:w="1163" w:type="dxa"/>
            <w:tcBorders>
              <w:top w:val="nil"/>
              <w:left w:val="nil"/>
              <w:bottom w:val="single" w:sz="4" w:space="0" w:color="auto"/>
              <w:right w:val="single" w:sz="4" w:space="0" w:color="auto"/>
            </w:tcBorders>
            <w:shd w:val="clear" w:color="auto" w:fill="auto"/>
            <w:vAlign w:val="center"/>
            <w:hideMark/>
          </w:tcPr>
          <w:p w14:paraId="6E669925" w14:textId="77777777" w:rsidR="003D1B2E" w:rsidRPr="00BE65E2" w:rsidRDefault="003D1B2E" w:rsidP="003D1B2E">
            <w:pPr>
              <w:jc w:val="center"/>
              <w:rPr>
                <w:bCs/>
                <w:i/>
                <w:color w:val="000000"/>
                <w:sz w:val="20"/>
                <w:szCs w:val="20"/>
              </w:rPr>
            </w:pPr>
            <w:r w:rsidRPr="00BE65E2">
              <w:rPr>
                <w:bCs/>
                <w:i/>
                <w:color w:val="000000"/>
                <w:sz w:val="20"/>
                <w:szCs w:val="20"/>
              </w:rPr>
              <w:t>118,2</w:t>
            </w:r>
          </w:p>
        </w:tc>
      </w:tr>
      <w:tr w:rsidR="003D1B2E" w:rsidRPr="004A52CD" w14:paraId="0EFCDA3C"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543B47B" w14:textId="77777777" w:rsidR="003D1B2E" w:rsidRPr="00BE65E2" w:rsidRDefault="003D1B2E" w:rsidP="003D1B2E">
            <w:pPr>
              <w:jc w:val="both"/>
              <w:rPr>
                <w:color w:val="000000"/>
                <w:sz w:val="20"/>
                <w:szCs w:val="20"/>
              </w:rPr>
            </w:pPr>
            <w:r w:rsidRPr="00BE65E2">
              <w:rPr>
                <w:color w:val="000000"/>
                <w:sz w:val="20"/>
                <w:szCs w:val="20"/>
              </w:rPr>
              <w:t>Ведомственный проект "Стимулирование инвестиционной деятельности в АПК"</w:t>
            </w:r>
          </w:p>
        </w:tc>
        <w:tc>
          <w:tcPr>
            <w:tcW w:w="1162" w:type="dxa"/>
            <w:tcBorders>
              <w:top w:val="nil"/>
              <w:left w:val="nil"/>
              <w:bottom w:val="single" w:sz="4" w:space="0" w:color="auto"/>
              <w:right w:val="single" w:sz="4" w:space="0" w:color="auto"/>
            </w:tcBorders>
            <w:shd w:val="clear" w:color="auto" w:fill="auto"/>
            <w:vAlign w:val="center"/>
          </w:tcPr>
          <w:p w14:paraId="516FBECE" w14:textId="4FAD2B0F" w:rsidR="003D1B2E" w:rsidRPr="00BE65E2" w:rsidRDefault="003D1B2E" w:rsidP="009A0C49">
            <w:pPr>
              <w:jc w:val="center"/>
              <w:rPr>
                <w:color w:val="000000"/>
                <w:sz w:val="20"/>
                <w:szCs w:val="20"/>
              </w:rPr>
            </w:pPr>
            <w:r w:rsidRPr="009A0C49">
              <w:rPr>
                <w:color w:val="000000"/>
                <w:sz w:val="20"/>
                <w:szCs w:val="20"/>
              </w:rPr>
              <w:t>121,2</w:t>
            </w:r>
          </w:p>
        </w:tc>
        <w:tc>
          <w:tcPr>
            <w:tcW w:w="1162" w:type="dxa"/>
            <w:tcBorders>
              <w:top w:val="nil"/>
              <w:left w:val="nil"/>
              <w:bottom w:val="single" w:sz="4" w:space="0" w:color="auto"/>
              <w:right w:val="single" w:sz="4" w:space="0" w:color="auto"/>
            </w:tcBorders>
            <w:shd w:val="clear" w:color="auto" w:fill="auto"/>
            <w:vAlign w:val="center"/>
          </w:tcPr>
          <w:p w14:paraId="46F7C2CC" w14:textId="4159B7FD" w:rsidR="003D1B2E" w:rsidRPr="00BE65E2" w:rsidRDefault="003D1B2E" w:rsidP="009A0C49">
            <w:pPr>
              <w:jc w:val="center"/>
              <w:rPr>
                <w:color w:val="000000"/>
                <w:sz w:val="20"/>
                <w:szCs w:val="20"/>
              </w:rPr>
            </w:pPr>
            <w:r w:rsidRPr="009A0C49">
              <w:rPr>
                <w:color w:val="000000"/>
                <w:sz w:val="20"/>
                <w:szCs w:val="20"/>
              </w:rPr>
              <w:t>107,1</w:t>
            </w:r>
          </w:p>
        </w:tc>
        <w:tc>
          <w:tcPr>
            <w:tcW w:w="1162" w:type="dxa"/>
            <w:tcBorders>
              <w:top w:val="nil"/>
              <w:left w:val="nil"/>
              <w:bottom w:val="single" w:sz="4" w:space="0" w:color="auto"/>
              <w:right w:val="single" w:sz="4" w:space="0" w:color="auto"/>
            </w:tcBorders>
            <w:shd w:val="clear" w:color="auto" w:fill="auto"/>
            <w:vAlign w:val="center"/>
          </w:tcPr>
          <w:p w14:paraId="29F8DD69" w14:textId="29F44113" w:rsidR="003D1B2E" w:rsidRPr="00BE65E2" w:rsidRDefault="003D1B2E" w:rsidP="009A0C49">
            <w:pPr>
              <w:jc w:val="center"/>
              <w:rPr>
                <w:color w:val="000000"/>
                <w:sz w:val="20"/>
                <w:szCs w:val="20"/>
              </w:rPr>
            </w:pPr>
            <w:r w:rsidRPr="009A0C49">
              <w:rPr>
                <w:color w:val="000000"/>
                <w:sz w:val="20"/>
                <w:szCs w:val="20"/>
              </w:rPr>
              <w:t>108,6</w:t>
            </w:r>
          </w:p>
        </w:tc>
        <w:tc>
          <w:tcPr>
            <w:tcW w:w="1162" w:type="dxa"/>
            <w:tcBorders>
              <w:top w:val="nil"/>
              <w:left w:val="nil"/>
              <w:bottom w:val="single" w:sz="4" w:space="0" w:color="auto"/>
              <w:right w:val="single" w:sz="4" w:space="0" w:color="auto"/>
            </w:tcBorders>
            <w:shd w:val="clear" w:color="auto" w:fill="auto"/>
            <w:vAlign w:val="center"/>
            <w:hideMark/>
          </w:tcPr>
          <w:p w14:paraId="4B52BBB1" w14:textId="77777777" w:rsidR="003D1B2E" w:rsidRPr="00BE65E2" w:rsidRDefault="003D1B2E" w:rsidP="003D1B2E">
            <w:pPr>
              <w:jc w:val="center"/>
              <w:rPr>
                <w:bCs/>
                <w:i/>
                <w:color w:val="000000"/>
                <w:sz w:val="20"/>
                <w:szCs w:val="20"/>
              </w:rPr>
            </w:pPr>
            <w:r w:rsidRPr="00BE65E2">
              <w:rPr>
                <w:bCs/>
                <w:i/>
                <w:color w:val="000000"/>
                <w:sz w:val="20"/>
                <w:szCs w:val="20"/>
              </w:rPr>
              <w:t>88,4</w:t>
            </w:r>
          </w:p>
        </w:tc>
        <w:tc>
          <w:tcPr>
            <w:tcW w:w="1163" w:type="dxa"/>
            <w:tcBorders>
              <w:top w:val="nil"/>
              <w:left w:val="nil"/>
              <w:bottom w:val="single" w:sz="4" w:space="0" w:color="auto"/>
              <w:right w:val="single" w:sz="4" w:space="0" w:color="auto"/>
            </w:tcBorders>
            <w:shd w:val="clear" w:color="auto" w:fill="auto"/>
            <w:vAlign w:val="center"/>
            <w:hideMark/>
          </w:tcPr>
          <w:p w14:paraId="3FF75822" w14:textId="77777777" w:rsidR="003D1B2E" w:rsidRPr="00BE65E2" w:rsidRDefault="003D1B2E" w:rsidP="003D1B2E">
            <w:pPr>
              <w:jc w:val="center"/>
              <w:rPr>
                <w:bCs/>
                <w:i/>
                <w:color w:val="000000"/>
                <w:sz w:val="20"/>
                <w:szCs w:val="20"/>
              </w:rPr>
            </w:pPr>
            <w:r w:rsidRPr="00BE65E2">
              <w:rPr>
                <w:bCs/>
                <w:i/>
                <w:color w:val="000000"/>
                <w:sz w:val="20"/>
                <w:szCs w:val="20"/>
              </w:rPr>
              <w:t>101,4</w:t>
            </w:r>
          </w:p>
        </w:tc>
      </w:tr>
      <w:tr w:rsidR="003D1B2E" w:rsidRPr="004A52CD" w14:paraId="1E69A1CF"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54CE706" w14:textId="77777777" w:rsidR="003D1B2E" w:rsidRPr="00BE65E2" w:rsidRDefault="003D1B2E" w:rsidP="003D1B2E">
            <w:pPr>
              <w:jc w:val="both"/>
              <w:rPr>
                <w:color w:val="000000"/>
                <w:sz w:val="20"/>
                <w:szCs w:val="20"/>
              </w:rPr>
            </w:pPr>
            <w:r w:rsidRPr="00BE65E2">
              <w:rPr>
                <w:color w:val="000000"/>
                <w:sz w:val="20"/>
                <w:szCs w:val="20"/>
              </w:rPr>
              <w:t xml:space="preserve">Межбюджетные трансферты на возмещение части затрат на уплату процентов по инвестиционным кредитам (займам) в агропромышленном комплексе </w:t>
            </w:r>
          </w:p>
        </w:tc>
        <w:tc>
          <w:tcPr>
            <w:tcW w:w="1162" w:type="dxa"/>
            <w:tcBorders>
              <w:top w:val="nil"/>
              <w:left w:val="nil"/>
              <w:bottom w:val="single" w:sz="4" w:space="0" w:color="auto"/>
              <w:right w:val="single" w:sz="4" w:space="0" w:color="auto"/>
            </w:tcBorders>
            <w:shd w:val="clear" w:color="auto" w:fill="auto"/>
            <w:vAlign w:val="center"/>
          </w:tcPr>
          <w:p w14:paraId="42477FA3" w14:textId="1A71396A" w:rsidR="003D1B2E" w:rsidRPr="00BE65E2" w:rsidRDefault="003D1B2E" w:rsidP="009A0C49">
            <w:pPr>
              <w:jc w:val="center"/>
              <w:rPr>
                <w:color w:val="000000"/>
                <w:sz w:val="20"/>
                <w:szCs w:val="20"/>
              </w:rPr>
            </w:pPr>
            <w:r w:rsidRPr="009A0C49">
              <w:rPr>
                <w:color w:val="000000"/>
                <w:sz w:val="20"/>
                <w:szCs w:val="20"/>
              </w:rPr>
              <w:t>30,2</w:t>
            </w:r>
          </w:p>
        </w:tc>
        <w:tc>
          <w:tcPr>
            <w:tcW w:w="1162" w:type="dxa"/>
            <w:tcBorders>
              <w:top w:val="nil"/>
              <w:left w:val="nil"/>
              <w:bottom w:val="single" w:sz="4" w:space="0" w:color="auto"/>
              <w:right w:val="single" w:sz="4" w:space="0" w:color="auto"/>
            </w:tcBorders>
            <w:shd w:val="clear" w:color="auto" w:fill="auto"/>
            <w:vAlign w:val="center"/>
          </w:tcPr>
          <w:p w14:paraId="4BF85B5E" w14:textId="04B4643D" w:rsidR="003D1B2E" w:rsidRPr="00BE65E2" w:rsidRDefault="003D1B2E" w:rsidP="009A0C49">
            <w:pPr>
              <w:jc w:val="center"/>
              <w:rPr>
                <w:color w:val="000000"/>
                <w:sz w:val="20"/>
                <w:szCs w:val="20"/>
              </w:rPr>
            </w:pPr>
            <w:r w:rsidRPr="009A0C49">
              <w:rPr>
                <w:color w:val="000000"/>
                <w:sz w:val="20"/>
                <w:szCs w:val="20"/>
              </w:rPr>
              <w:t>22,8</w:t>
            </w:r>
          </w:p>
        </w:tc>
        <w:tc>
          <w:tcPr>
            <w:tcW w:w="1162" w:type="dxa"/>
            <w:tcBorders>
              <w:top w:val="nil"/>
              <w:left w:val="nil"/>
              <w:bottom w:val="single" w:sz="4" w:space="0" w:color="auto"/>
              <w:right w:val="single" w:sz="4" w:space="0" w:color="auto"/>
            </w:tcBorders>
            <w:shd w:val="clear" w:color="auto" w:fill="auto"/>
            <w:vAlign w:val="center"/>
          </w:tcPr>
          <w:p w14:paraId="11D6061C" w14:textId="17762BA4" w:rsidR="003D1B2E" w:rsidRPr="00BE65E2" w:rsidRDefault="003D1B2E" w:rsidP="009A0C49">
            <w:pPr>
              <w:jc w:val="center"/>
              <w:rPr>
                <w:color w:val="000000"/>
                <w:sz w:val="20"/>
                <w:szCs w:val="20"/>
              </w:rPr>
            </w:pPr>
            <w:r w:rsidRPr="009A0C49">
              <w:rPr>
                <w:color w:val="000000"/>
                <w:sz w:val="20"/>
                <w:szCs w:val="20"/>
              </w:rPr>
              <w:t>20,2</w:t>
            </w:r>
          </w:p>
        </w:tc>
        <w:tc>
          <w:tcPr>
            <w:tcW w:w="1162" w:type="dxa"/>
            <w:tcBorders>
              <w:top w:val="nil"/>
              <w:left w:val="nil"/>
              <w:bottom w:val="single" w:sz="4" w:space="0" w:color="auto"/>
              <w:right w:val="single" w:sz="4" w:space="0" w:color="auto"/>
            </w:tcBorders>
            <w:shd w:val="clear" w:color="auto" w:fill="auto"/>
            <w:vAlign w:val="center"/>
            <w:hideMark/>
          </w:tcPr>
          <w:p w14:paraId="5AB5154B" w14:textId="77777777" w:rsidR="003D1B2E" w:rsidRPr="00BE65E2" w:rsidRDefault="003D1B2E" w:rsidP="003D1B2E">
            <w:pPr>
              <w:jc w:val="center"/>
              <w:rPr>
                <w:bCs/>
                <w:i/>
                <w:color w:val="000000"/>
                <w:sz w:val="20"/>
                <w:szCs w:val="20"/>
              </w:rPr>
            </w:pPr>
            <w:r w:rsidRPr="00BE65E2">
              <w:rPr>
                <w:bCs/>
                <w:i/>
                <w:color w:val="000000"/>
                <w:sz w:val="20"/>
                <w:szCs w:val="20"/>
              </w:rPr>
              <w:t>75,6</w:t>
            </w:r>
          </w:p>
        </w:tc>
        <w:tc>
          <w:tcPr>
            <w:tcW w:w="1163" w:type="dxa"/>
            <w:tcBorders>
              <w:top w:val="nil"/>
              <w:left w:val="nil"/>
              <w:bottom w:val="single" w:sz="4" w:space="0" w:color="auto"/>
              <w:right w:val="single" w:sz="4" w:space="0" w:color="auto"/>
            </w:tcBorders>
            <w:shd w:val="clear" w:color="auto" w:fill="auto"/>
            <w:vAlign w:val="center"/>
            <w:hideMark/>
          </w:tcPr>
          <w:p w14:paraId="6FFED621" w14:textId="77777777" w:rsidR="003D1B2E" w:rsidRPr="00BE65E2" w:rsidRDefault="003D1B2E" w:rsidP="003D1B2E">
            <w:pPr>
              <w:jc w:val="center"/>
              <w:rPr>
                <w:bCs/>
                <w:i/>
                <w:color w:val="000000"/>
                <w:sz w:val="20"/>
                <w:szCs w:val="20"/>
              </w:rPr>
            </w:pPr>
            <w:r w:rsidRPr="00BE65E2">
              <w:rPr>
                <w:bCs/>
                <w:i/>
                <w:color w:val="000000"/>
                <w:sz w:val="20"/>
                <w:szCs w:val="20"/>
              </w:rPr>
              <w:t>88,5</w:t>
            </w:r>
          </w:p>
        </w:tc>
      </w:tr>
      <w:tr w:rsidR="003D1B2E" w:rsidRPr="004A52CD" w14:paraId="08608971"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5713261" w14:textId="77777777" w:rsidR="003D1B2E" w:rsidRPr="00BE65E2" w:rsidRDefault="003D1B2E" w:rsidP="003D1B2E">
            <w:pPr>
              <w:jc w:val="both"/>
              <w:rPr>
                <w:color w:val="000000"/>
                <w:sz w:val="20"/>
                <w:szCs w:val="20"/>
              </w:rPr>
            </w:pPr>
            <w:r w:rsidRPr="00BE65E2">
              <w:rPr>
                <w:color w:val="000000"/>
                <w:sz w:val="20"/>
                <w:szCs w:val="20"/>
              </w:rPr>
              <w:t xml:space="preserve">Возмещение части прямых понесенных затрат на создание и (или) модернизацию объектов агропромышленного комплекса </w:t>
            </w:r>
          </w:p>
        </w:tc>
        <w:tc>
          <w:tcPr>
            <w:tcW w:w="1162" w:type="dxa"/>
            <w:tcBorders>
              <w:top w:val="nil"/>
              <w:left w:val="nil"/>
              <w:bottom w:val="single" w:sz="4" w:space="0" w:color="auto"/>
              <w:right w:val="single" w:sz="4" w:space="0" w:color="auto"/>
            </w:tcBorders>
            <w:shd w:val="clear" w:color="auto" w:fill="auto"/>
            <w:vAlign w:val="center"/>
          </w:tcPr>
          <w:p w14:paraId="72A68535" w14:textId="2B74DDE3" w:rsidR="003D1B2E" w:rsidRPr="00BE65E2" w:rsidRDefault="003D1B2E" w:rsidP="009A0C49">
            <w:pPr>
              <w:jc w:val="center"/>
              <w:rPr>
                <w:color w:val="000000"/>
                <w:sz w:val="20"/>
                <w:szCs w:val="20"/>
              </w:rPr>
            </w:pPr>
            <w:r w:rsidRPr="009A0C49">
              <w:rPr>
                <w:color w:val="000000"/>
                <w:sz w:val="20"/>
                <w:szCs w:val="20"/>
              </w:rPr>
              <w:t>0,1</w:t>
            </w:r>
          </w:p>
        </w:tc>
        <w:tc>
          <w:tcPr>
            <w:tcW w:w="1162" w:type="dxa"/>
            <w:tcBorders>
              <w:top w:val="nil"/>
              <w:left w:val="nil"/>
              <w:bottom w:val="single" w:sz="4" w:space="0" w:color="auto"/>
              <w:right w:val="single" w:sz="4" w:space="0" w:color="auto"/>
            </w:tcBorders>
            <w:shd w:val="clear" w:color="auto" w:fill="auto"/>
            <w:vAlign w:val="center"/>
          </w:tcPr>
          <w:p w14:paraId="79513783" w14:textId="3D7126DB" w:rsidR="003D1B2E" w:rsidRPr="00BE65E2" w:rsidRDefault="003D1B2E" w:rsidP="009A0C49">
            <w:pPr>
              <w:jc w:val="center"/>
              <w:rPr>
                <w:color w:val="000000"/>
                <w:sz w:val="20"/>
                <w:szCs w:val="20"/>
              </w:rPr>
            </w:pPr>
            <w:r w:rsidRPr="009A0C49">
              <w:rPr>
                <w:color w:val="000000"/>
                <w:sz w:val="20"/>
                <w:szCs w:val="20"/>
              </w:rPr>
              <w:t>0,1</w:t>
            </w:r>
          </w:p>
        </w:tc>
        <w:tc>
          <w:tcPr>
            <w:tcW w:w="1162" w:type="dxa"/>
            <w:tcBorders>
              <w:top w:val="nil"/>
              <w:left w:val="nil"/>
              <w:bottom w:val="single" w:sz="4" w:space="0" w:color="auto"/>
              <w:right w:val="single" w:sz="4" w:space="0" w:color="auto"/>
            </w:tcBorders>
            <w:shd w:val="clear" w:color="auto" w:fill="auto"/>
            <w:vAlign w:val="center"/>
          </w:tcPr>
          <w:p w14:paraId="3BCBA722" w14:textId="38EC6DC9" w:rsidR="003D1B2E" w:rsidRPr="00BE65E2" w:rsidRDefault="003D1B2E" w:rsidP="009A0C49">
            <w:pPr>
              <w:jc w:val="center"/>
              <w:rPr>
                <w:color w:val="000000"/>
                <w:sz w:val="20"/>
                <w:szCs w:val="20"/>
              </w:rPr>
            </w:pPr>
            <w:r w:rsidRPr="009A0C49">
              <w:rPr>
                <w:color w:val="000000"/>
                <w:sz w:val="20"/>
                <w:szCs w:val="20"/>
              </w:rPr>
              <w:t>0,1</w:t>
            </w:r>
          </w:p>
        </w:tc>
        <w:tc>
          <w:tcPr>
            <w:tcW w:w="1162" w:type="dxa"/>
            <w:tcBorders>
              <w:top w:val="nil"/>
              <w:left w:val="nil"/>
              <w:bottom w:val="single" w:sz="4" w:space="0" w:color="auto"/>
              <w:right w:val="single" w:sz="4" w:space="0" w:color="auto"/>
            </w:tcBorders>
            <w:shd w:val="clear" w:color="auto" w:fill="auto"/>
            <w:vAlign w:val="center"/>
            <w:hideMark/>
          </w:tcPr>
          <w:p w14:paraId="0ED797A6" w14:textId="77777777" w:rsidR="003D1B2E" w:rsidRPr="00BE65E2" w:rsidRDefault="003D1B2E" w:rsidP="003D1B2E">
            <w:pPr>
              <w:jc w:val="center"/>
              <w:rPr>
                <w:bCs/>
                <w:i/>
                <w:color w:val="000000"/>
                <w:sz w:val="20"/>
                <w:szCs w:val="20"/>
              </w:rPr>
            </w:pPr>
            <w:r w:rsidRPr="00BE65E2">
              <w:rPr>
                <w:bCs/>
                <w:i/>
                <w:color w:val="000000"/>
                <w:sz w:val="20"/>
                <w:szCs w:val="20"/>
              </w:rPr>
              <w:t>100,0</w:t>
            </w:r>
          </w:p>
        </w:tc>
        <w:tc>
          <w:tcPr>
            <w:tcW w:w="1163" w:type="dxa"/>
            <w:tcBorders>
              <w:top w:val="nil"/>
              <w:left w:val="nil"/>
              <w:bottom w:val="single" w:sz="4" w:space="0" w:color="auto"/>
              <w:right w:val="single" w:sz="4" w:space="0" w:color="auto"/>
            </w:tcBorders>
            <w:shd w:val="clear" w:color="auto" w:fill="auto"/>
            <w:vAlign w:val="center"/>
            <w:hideMark/>
          </w:tcPr>
          <w:p w14:paraId="7FE17C0A" w14:textId="77777777" w:rsidR="003D1B2E" w:rsidRPr="00BE65E2" w:rsidRDefault="003D1B2E" w:rsidP="003D1B2E">
            <w:pPr>
              <w:jc w:val="center"/>
              <w:rPr>
                <w:bCs/>
                <w:i/>
                <w:color w:val="000000"/>
                <w:sz w:val="20"/>
                <w:szCs w:val="20"/>
              </w:rPr>
            </w:pPr>
            <w:r w:rsidRPr="00BE65E2">
              <w:rPr>
                <w:bCs/>
                <w:i/>
                <w:color w:val="000000"/>
                <w:sz w:val="20"/>
                <w:szCs w:val="20"/>
              </w:rPr>
              <w:t>100,0</w:t>
            </w:r>
          </w:p>
        </w:tc>
      </w:tr>
      <w:tr w:rsidR="003D1B2E" w:rsidRPr="004A52CD" w14:paraId="2C666130"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A8566A0" w14:textId="77777777" w:rsidR="003D1B2E" w:rsidRPr="00BE65E2" w:rsidRDefault="003D1B2E" w:rsidP="003D1B2E">
            <w:pPr>
              <w:jc w:val="both"/>
              <w:rPr>
                <w:color w:val="000000"/>
                <w:sz w:val="20"/>
                <w:szCs w:val="20"/>
              </w:rPr>
            </w:pPr>
            <w:r w:rsidRPr="00BE65E2">
              <w:rPr>
                <w:color w:val="000000"/>
                <w:sz w:val="20"/>
                <w:szCs w:val="20"/>
              </w:rPr>
              <w:t>Возмещение недополученных российскими кредитными организациями, международными финансовыми организациями и гос корпорацией развития "ВЭБ.РФ" доходов по кредитам, выданным с/х товаропроизводителям (за исключением с/х кредитных потреб. кооперативов), организациям и ИП, осуществляющим производство, первичную и (или) последующую (промышленную) переработку с/х продукции и ее реализацию, по льготной ставке</w:t>
            </w:r>
          </w:p>
        </w:tc>
        <w:tc>
          <w:tcPr>
            <w:tcW w:w="1162" w:type="dxa"/>
            <w:tcBorders>
              <w:top w:val="nil"/>
              <w:left w:val="nil"/>
              <w:bottom w:val="single" w:sz="4" w:space="0" w:color="auto"/>
              <w:right w:val="single" w:sz="4" w:space="0" w:color="auto"/>
            </w:tcBorders>
            <w:shd w:val="clear" w:color="auto" w:fill="auto"/>
            <w:vAlign w:val="center"/>
          </w:tcPr>
          <w:p w14:paraId="6ABEF944" w14:textId="613C83C5" w:rsidR="003D1B2E" w:rsidRPr="00BE65E2" w:rsidRDefault="003D1B2E" w:rsidP="009A0C49">
            <w:pPr>
              <w:jc w:val="center"/>
              <w:rPr>
                <w:color w:val="000000"/>
                <w:sz w:val="20"/>
                <w:szCs w:val="20"/>
              </w:rPr>
            </w:pPr>
            <w:r w:rsidRPr="009A0C49">
              <w:rPr>
                <w:color w:val="000000"/>
                <w:sz w:val="20"/>
                <w:szCs w:val="20"/>
              </w:rPr>
              <w:t>90,9</w:t>
            </w:r>
          </w:p>
        </w:tc>
        <w:tc>
          <w:tcPr>
            <w:tcW w:w="1162" w:type="dxa"/>
            <w:tcBorders>
              <w:top w:val="nil"/>
              <w:left w:val="nil"/>
              <w:bottom w:val="single" w:sz="4" w:space="0" w:color="auto"/>
              <w:right w:val="single" w:sz="4" w:space="0" w:color="auto"/>
            </w:tcBorders>
            <w:shd w:val="clear" w:color="auto" w:fill="auto"/>
            <w:vAlign w:val="center"/>
          </w:tcPr>
          <w:p w14:paraId="3B6D8A55" w14:textId="69980EE8" w:rsidR="003D1B2E" w:rsidRPr="00BE65E2" w:rsidRDefault="003D1B2E" w:rsidP="009A0C49">
            <w:pPr>
              <w:jc w:val="center"/>
              <w:rPr>
                <w:color w:val="000000"/>
                <w:sz w:val="20"/>
                <w:szCs w:val="20"/>
              </w:rPr>
            </w:pPr>
            <w:r w:rsidRPr="009A0C49">
              <w:rPr>
                <w:color w:val="000000"/>
                <w:sz w:val="20"/>
                <w:szCs w:val="20"/>
              </w:rPr>
              <w:t>84,2</w:t>
            </w:r>
          </w:p>
        </w:tc>
        <w:tc>
          <w:tcPr>
            <w:tcW w:w="1162" w:type="dxa"/>
            <w:tcBorders>
              <w:top w:val="nil"/>
              <w:left w:val="nil"/>
              <w:bottom w:val="single" w:sz="4" w:space="0" w:color="auto"/>
              <w:right w:val="single" w:sz="4" w:space="0" w:color="auto"/>
            </w:tcBorders>
            <w:shd w:val="clear" w:color="auto" w:fill="auto"/>
            <w:vAlign w:val="center"/>
          </w:tcPr>
          <w:p w14:paraId="7460B68B" w14:textId="0980BB2B" w:rsidR="003D1B2E" w:rsidRPr="00BE65E2" w:rsidRDefault="003D1B2E" w:rsidP="009A0C49">
            <w:pPr>
              <w:jc w:val="center"/>
              <w:rPr>
                <w:color w:val="000000"/>
                <w:sz w:val="20"/>
                <w:szCs w:val="20"/>
              </w:rPr>
            </w:pPr>
            <w:r w:rsidRPr="009A0C49">
              <w:rPr>
                <w:color w:val="000000"/>
                <w:sz w:val="20"/>
                <w:szCs w:val="20"/>
              </w:rPr>
              <w:t>88,3</w:t>
            </w:r>
          </w:p>
        </w:tc>
        <w:tc>
          <w:tcPr>
            <w:tcW w:w="1162" w:type="dxa"/>
            <w:tcBorders>
              <w:top w:val="nil"/>
              <w:left w:val="nil"/>
              <w:bottom w:val="single" w:sz="4" w:space="0" w:color="auto"/>
              <w:right w:val="single" w:sz="4" w:space="0" w:color="auto"/>
            </w:tcBorders>
            <w:shd w:val="clear" w:color="auto" w:fill="auto"/>
            <w:vAlign w:val="center"/>
            <w:hideMark/>
          </w:tcPr>
          <w:p w14:paraId="3D47E044" w14:textId="77777777" w:rsidR="003D1B2E" w:rsidRPr="00BE65E2" w:rsidRDefault="003D1B2E" w:rsidP="003D1B2E">
            <w:pPr>
              <w:jc w:val="center"/>
              <w:rPr>
                <w:bCs/>
                <w:i/>
                <w:color w:val="000000"/>
                <w:sz w:val="20"/>
                <w:szCs w:val="20"/>
              </w:rPr>
            </w:pPr>
            <w:r w:rsidRPr="00BE65E2">
              <w:rPr>
                <w:bCs/>
                <w:i/>
                <w:color w:val="000000"/>
                <w:sz w:val="20"/>
                <w:szCs w:val="20"/>
              </w:rPr>
              <w:t>92,6</w:t>
            </w:r>
          </w:p>
        </w:tc>
        <w:tc>
          <w:tcPr>
            <w:tcW w:w="1163" w:type="dxa"/>
            <w:tcBorders>
              <w:top w:val="nil"/>
              <w:left w:val="nil"/>
              <w:bottom w:val="single" w:sz="4" w:space="0" w:color="auto"/>
              <w:right w:val="single" w:sz="4" w:space="0" w:color="auto"/>
            </w:tcBorders>
            <w:shd w:val="clear" w:color="auto" w:fill="auto"/>
            <w:vAlign w:val="center"/>
            <w:hideMark/>
          </w:tcPr>
          <w:p w14:paraId="09736E98" w14:textId="77777777" w:rsidR="003D1B2E" w:rsidRPr="00BE65E2" w:rsidRDefault="003D1B2E" w:rsidP="003D1B2E">
            <w:pPr>
              <w:jc w:val="center"/>
              <w:rPr>
                <w:bCs/>
                <w:i/>
                <w:color w:val="000000"/>
                <w:sz w:val="20"/>
                <w:szCs w:val="20"/>
              </w:rPr>
            </w:pPr>
            <w:r w:rsidRPr="00BE65E2">
              <w:rPr>
                <w:bCs/>
                <w:i/>
                <w:color w:val="000000"/>
                <w:sz w:val="20"/>
                <w:szCs w:val="20"/>
              </w:rPr>
              <w:t>104,9</w:t>
            </w:r>
          </w:p>
        </w:tc>
      </w:tr>
      <w:tr w:rsidR="003D1B2E" w:rsidRPr="004A52CD" w14:paraId="51B335AA"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EAB291B" w14:textId="77777777" w:rsidR="003D1B2E" w:rsidRPr="00BE65E2" w:rsidRDefault="003D1B2E" w:rsidP="003D1B2E">
            <w:pPr>
              <w:jc w:val="both"/>
              <w:rPr>
                <w:color w:val="000000"/>
                <w:sz w:val="20"/>
                <w:szCs w:val="20"/>
              </w:rPr>
            </w:pPr>
            <w:r w:rsidRPr="00BE65E2">
              <w:rPr>
                <w:color w:val="000000"/>
                <w:sz w:val="20"/>
                <w:szCs w:val="20"/>
              </w:rPr>
              <w:t>Ведомственный проект "Развитие отраслей АПК, обеспечивающих ускоренное импортозамещение основных видов сельскохозяйственной продукции, сырья и продовольствия"</w:t>
            </w:r>
          </w:p>
        </w:tc>
        <w:tc>
          <w:tcPr>
            <w:tcW w:w="1162" w:type="dxa"/>
            <w:tcBorders>
              <w:top w:val="nil"/>
              <w:left w:val="nil"/>
              <w:bottom w:val="single" w:sz="4" w:space="0" w:color="auto"/>
              <w:right w:val="single" w:sz="4" w:space="0" w:color="auto"/>
            </w:tcBorders>
            <w:shd w:val="clear" w:color="auto" w:fill="auto"/>
            <w:vAlign w:val="center"/>
          </w:tcPr>
          <w:p w14:paraId="3754D344" w14:textId="2A990EC7" w:rsidR="003D1B2E" w:rsidRPr="00BE65E2" w:rsidRDefault="003D1B2E" w:rsidP="009A0C49">
            <w:pPr>
              <w:jc w:val="center"/>
              <w:rPr>
                <w:color w:val="000000"/>
                <w:sz w:val="20"/>
                <w:szCs w:val="20"/>
              </w:rPr>
            </w:pPr>
            <w:r w:rsidRPr="009A0C49">
              <w:rPr>
                <w:color w:val="000000"/>
                <w:sz w:val="20"/>
                <w:szCs w:val="20"/>
              </w:rPr>
              <w:t>60,9</w:t>
            </w:r>
          </w:p>
        </w:tc>
        <w:tc>
          <w:tcPr>
            <w:tcW w:w="1162" w:type="dxa"/>
            <w:tcBorders>
              <w:top w:val="nil"/>
              <w:left w:val="nil"/>
              <w:bottom w:val="single" w:sz="4" w:space="0" w:color="auto"/>
              <w:right w:val="single" w:sz="4" w:space="0" w:color="auto"/>
            </w:tcBorders>
            <w:shd w:val="clear" w:color="auto" w:fill="auto"/>
            <w:vAlign w:val="center"/>
          </w:tcPr>
          <w:p w14:paraId="4C39A541" w14:textId="4CD8BDF0" w:rsidR="003D1B2E" w:rsidRPr="00BE65E2" w:rsidRDefault="003D1B2E" w:rsidP="009A0C49">
            <w:pPr>
              <w:jc w:val="center"/>
              <w:rPr>
                <w:color w:val="000000"/>
                <w:sz w:val="20"/>
                <w:szCs w:val="20"/>
              </w:rPr>
            </w:pPr>
            <w:r w:rsidRPr="009A0C49">
              <w:rPr>
                <w:color w:val="000000"/>
                <w:sz w:val="20"/>
                <w:szCs w:val="20"/>
              </w:rPr>
              <w:t>58,3</w:t>
            </w:r>
          </w:p>
        </w:tc>
        <w:tc>
          <w:tcPr>
            <w:tcW w:w="1162" w:type="dxa"/>
            <w:tcBorders>
              <w:top w:val="nil"/>
              <w:left w:val="nil"/>
              <w:bottom w:val="single" w:sz="4" w:space="0" w:color="auto"/>
              <w:right w:val="single" w:sz="4" w:space="0" w:color="auto"/>
            </w:tcBorders>
            <w:shd w:val="clear" w:color="auto" w:fill="auto"/>
            <w:vAlign w:val="center"/>
          </w:tcPr>
          <w:p w14:paraId="5A858860" w14:textId="31FB6B44" w:rsidR="003D1B2E" w:rsidRPr="00BE65E2" w:rsidRDefault="003D1B2E" w:rsidP="009A0C49">
            <w:pPr>
              <w:jc w:val="center"/>
              <w:rPr>
                <w:color w:val="000000"/>
                <w:sz w:val="20"/>
                <w:szCs w:val="20"/>
              </w:rPr>
            </w:pPr>
            <w:r w:rsidRPr="009A0C49">
              <w:rPr>
                <w:color w:val="000000"/>
                <w:sz w:val="20"/>
                <w:szCs w:val="20"/>
              </w:rPr>
              <w:t>58,3</w:t>
            </w:r>
          </w:p>
        </w:tc>
        <w:tc>
          <w:tcPr>
            <w:tcW w:w="1162" w:type="dxa"/>
            <w:tcBorders>
              <w:top w:val="nil"/>
              <w:left w:val="nil"/>
              <w:bottom w:val="single" w:sz="4" w:space="0" w:color="auto"/>
              <w:right w:val="single" w:sz="4" w:space="0" w:color="auto"/>
            </w:tcBorders>
            <w:shd w:val="clear" w:color="auto" w:fill="auto"/>
            <w:vAlign w:val="center"/>
            <w:hideMark/>
          </w:tcPr>
          <w:p w14:paraId="4FCDBBF1" w14:textId="77777777" w:rsidR="003D1B2E" w:rsidRPr="00BE65E2" w:rsidRDefault="003D1B2E" w:rsidP="003D1B2E">
            <w:pPr>
              <w:jc w:val="center"/>
              <w:rPr>
                <w:bCs/>
                <w:i/>
                <w:color w:val="000000"/>
                <w:sz w:val="20"/>
                <w:szCs w:val="20"/>
              </w:rPr>
            </w:pPr>
            <w:r w:rsidRPr="00BE65E2">
              <w:rPr>
                <w:bCs/>
                <w:i/>
                <w:color w:val="000000"/>
                <w:sz w:val="20"/>
                <w:szCs w:val="20"/>
              </w:rPr>
              <w:t>95,7</w:t>
            </w:r>
          </w:p>
        </w:tc>
        <w:tc>
          <w:tcPr>
            <w:tcW w:w="1163" w:type="dxa"/>
            <w:tcBorders>
              <w:top w:val="nil"/>
              <w:left w:val="nil"/>
              <w:bottom w:val="single" w:sz="4" w:space="0" w:color="auto"/>
              <w:right w:val="single" w:sz="4" w:space="0" w:color="auto"/>
            </w:tcBorders>
            <w:shd w:val="clear" w:color="auto" w:fill="auto"/>
            <w:vAlign w:val="center"/>
            <w:hideMark/>
          </w:tcPr>
          <w:p w14:paraId="22AFEA10" w14:textId="77777777" w:rsidR="003D1B2E" w:rsidRPr="00BE65E2" w:rsidRDefault="003D1B2E" w:rsidP="003D1B2E">
            <w:pPr>
              <w:jc w:val="center"/>
              <w:rPr>
                <w:bCs/>
                <w:i/>
                <w:color w:val="000000"/>
                <w:sz w:val="20"/>
                <w:szCs w:val="20"/>
              </w:rPr>
            </w:pPr>
            <w:r w:rsidRPr="00BE65E2">
              <w:rPr>
                <w:bCs/>
                <w:i/>
                <w:color w:val="000000"/>
                <w:sz w:val="20"/>
                <w:szCs w:val="20"/>
              </w:rPr>
              <w:t>100,0</w:t>
            </w:r>
          </w:p>
        </w:tc>
      </w:tr>
      <w:tr w:rsidR="003D1B2E" w:rsidRPr="004A52CD" w14:paraId="07A0C53B"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31E8A08" w14:textId="77777777" w:rsidR="003D1B2E" w:rsidRPr="00BE65E2" w:rsidRDefault="003D1B2E" w:rsidP="003D1B2E">
            <w:pPr>
              <w:jc w:val="both"/>
              <w:rPr>
                <w:color w:val="000000"/>
                <w:sz w:val="20"/>
                <w:szCs w:val="20"/>
              </w:rPr>
            </w:pPr>
            <w:r w:rsidRPr="00BE65E2">
              <w:rPr>
                <w:color w:val="000000"/>
                <w:sz w:val="20"/>
                <w:szCs w:val="20"/>
              </w:rPr>
              <w:t>Субсидии на стимулирование развития приоритетных подотраслей агропромышленного комплекса и развитие малых форм хозяйствования (Консолидированные субсидии)</w:t>
            </w:r>
          </w:p>
        </w:tc>
        <w:tc>
          <w:tcPr>
            <w:tcW w:w="1162" w:type="dxa"/>
            <w:tcBorders>
              <w:top w:val="nil"/>
              <w:left w:val="nil"/>
              <w:bottom w:val="single" w:sz="4" w:space="0" w:color="auto"/>
              <w:right w:val="single" w:sz="4" w:space="0" w:color="auto"/>
            </w:tcBorders>
            <w:shd w:val="clear" w:color="auto" w:fill="auto"/>
            <w:vAlign w:val="center"/>
          </w:tcPr>
          <w:p w14:paraId="25A2357E" w14:textId="154EE9B2" w:rsidR="003D1B2E" w:rsidRPr="00BE65E2" w:rsidRDefault="003D1B2E" w:rsidP="009A0C49">
            <w:pPr>
              <w:jc w:val="center"/>
              <w:rPr>
                <w:color w:val="000000"/>
                <w:sz w:val="20"/>
                <w:szCs w:val="20"/>
              </w:rPr>
            </w:pPr>
            <w:r w:rsidRPr="009A0C49">
              <w:rPr>
                <w:color w:val="000000"/>
                <w:sz w:val="20"/>
                <w:szCs w:val="20"/>
              </w:rPr>
              <w:t>26,9</w:t>
            </w:r>
          </w:p>
        </w:tc>
        <w:tc>
          <w:tcPr>
            <w:tcW w:w="1162" w:type="dxa"/>
            <w:tcBorders>
              <w:top w:val="nil"/>
              <w:left w:val="nil"/>
              <w:bottom w:val="single" w:sz="4" w:space="0" w:color="auto"/>
              <w:right w:val="single" w:sz="4" w:space="0" w:color="auto"/>
            </w:tcBorders>
            <w:shd w:val="clear" w:color="auto" w:fill="auto"/>
            <w:vAlign w:val="center"/>
          </w:tcPr>
          <w:p w14:paraId="5AEADB6B" w14:textId="0F680AEA" w:rsidR="003D1B2E" w:rsidRPr="00BE65E2" w:rsidRDefault="003D1B2E" w:rsidP="009A0C49">
            <w:pPr>
              <w:jc w:val="center"/>
              <w:rPr>
                <w:color w:val="000000"/>
                <w:sz w:val="20"/>
                <w:szCs w:val="20"/>
              </w:rPr>
            </w:pPr>
            <w:r w:rsidRPr="009A0C49">
              <w:rPr>
                <w:color w:val="000000"/>
                <w:sz w:val="20"/>
                <w:szCs w:val="20"/>
              </w:rPr>
              <w:t>25,9</w:t>
            </w:r>
          </w:p>
        </w:tc>
        <w:tc>
          <w:tcPr>
            <w:tcW w:w="1162" w:type="dxa"/>
            <w:tcBorders>
              <w:top w:val="nil"/>
              <w:left w:val="nil"/>
              <w:bottom w:val="single" w:sz="4" w:space="0" w:color="auto"/>
              <w:right w:val="single" w:sz="4" w:space="0" w:color="auto"/>
            </w:tcBorders>
            <w:shd w:val="clear" w:color="auto" w:fill="auto"/>
            <w:vAlign w:val="center"/>
          </w:tcPr>
          <w:p w14:paraId="7EF07DFF" w14:textId="25775DCB" w:rsidR="003D1B2E" w:rsidRPr="00BE65E2" w:rsidRDefault="003D1B2E" w:rsidP="009A0C49">
            <w:pPr>
              <w:jc w:val="center"/>
              <w:rPr>
                <w:color w:val="000000"/>
                <w:sz w:val="20"/>
                <w:szCs w:val="20"/>
              </w:rPr>
            </w:pPr>
            <w:r w:rsidRPr="009A0C49">
              <w:rPr>
                <w:color w:val="000000"/>
                <w:sz w:val="20"/>
                <w:szCs w:val="20"/>
              </w:rPr>
              <w:t>25,9</w:t>
            </w:r>
          </w:p>
        </w:tc>
        <w:tc>
          <w:tcPr>
            <w:tcW w:w="1162" w:type="dxa"/>
            <w:tcBorders>
              <w:top w:val="nil"/>
              <w:left w:val="nil"/>
              <w:bottom w:val="single" w:sz="4" w:space="0" w:color="auto"/>
              <w:right w:val="single" w:sz="4" w:space="0" w:color="auto"/>
            </w:tcBorders>
            <w:shd w:val="clear" w:color="auto" w:fill="auto"/>
            <w:vAlign w:val="center"/>
            <w:hideMark/>
          </w:tcPr>
          <w:p w14:paraId="6B1E8F94" w14:textId="77777777" w:rsidR="003D1B2E" w:rsidRPr="00BE65E2" w:rsidRDefault="003D1B2E" w:rsidP="003D1B2E">
            <w:pPr>
              <w:jc w:val="center"/>
              <w:rPr>
                <w:bCs/>
                <w:i/>
                <w:color w:val="000000"/>
                <w:sz w:val="20"/>
                <w:szCs w:val="20"/>
              </w:rPr>
            </w:pPr>
            <w:r w:rsidRPr="00BE65E2">
              <w:rPr>
                <w:bCs/>
                <w:i/>
                <w:color w:val="000000"/>
                <w:sz w:val="20"/>
                <w:szCs w:val="20"/>
              </w:rPr>
              <w:t>96,3</w:t>
            </w:r>
          </w:p>
        </w:tc>
        <w:tc>
          <w:tcPr>
            <w:tcW w:w="1163" w:type="dxa"/>
            <w:tcBorders>
              <w:top w:val="nil"/>
              <w:left w:val="nil"/>
              <w:bottom w:val="single" w:sz="4" w:space="0" w:color="auto"/>
              <w:right w:val="single" w:sz="4" w:space="0" w:color="auto"/>
            </w:tcBorders>
            <w:shd w:val="clear" w:color="auto" w:fill="auto"/>
            <w:vAlign w:val="center"/>
            <w:hideMark/>
          </w:tcPr>
          <w:p w14:paraId="0E7708FF" w14:textId="77777777" w:rsidR="003D1B2E" w:rsidRPr="00BE65E2" w:rsidRDefault="003D1B2E" w:rsidP="003D1B2E">
            <w:pPr>
              <w:jc w:val="center"/>
              <w:rPr>
                <w:bCs/>
                <w:i/>
                <w:color w:val="000000"/>
                <w:sz w:val="20"/>
                <w:szCs w:val="20"/>
              </w:rPr>
            </w:pPr>
            <w:r w:rsidRPr="00BE65E2">
              <w:rPr>
                <w:bCs/>
                <w:i/>
                <w:color w:val="000000"/>
                <w:sz w:val="20"/>
                <w:szCs w:val="20"/>
              </w:rPr>
              <w:t>100,0</w:t>
            </w:r>
          </w:p>
        </w:tc>
      </w:tr>
      <w:tr w:rsidR="003D1B2E" w:rsidRPr="004A52CD" w14:paraId="4E3697E7"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DBB0A74" w14:textId="77777777" w:rsidR="003D1B2E" w:rsidRPr="005D20FF" w:rsidRDefault="003D1B2E" w:rsidP="003D1B2E">
            <w:pPr>
              <w:jc w:val="both"/>
              <w:rPr>
                <w:color w:val="000000"/>
                <w:sz w:val="20"/>
                <w:szCs w:val="20"/>
              </w:rPr>
            </w:pPr>
            <w:r w:rsidRPr="005D20FF">
              <w:rPr>
                <w:color w:val="000000"/>
                <w:sz w:val="20"/>
                <w:szCs w:val="20"/>
              </w:rPr>
              <w:t>Субсидии на поддержку с/х производства по отдельным подотраслям растениеводства и животноводства (Консолидированные субсидии)</w:t>
            </w:r>
          </w:p>
        </w:tc>
        <w:tc>
          <w:tcPr>
            <w:tcW w:w="1162" w:type="dxa"/>
            <w:tcBorders>
              <w:top w:val="nil"/>
              <w:left w:val="nil"/>
              <w:bottom w:val="single" w:sz="4" w:space="0" w:color="auto"/>
              <w:right w:val="single" w:sz="4" w:space="0" w:color="auto"/>
            </w:tcBorders>
            <w:shd w:val="clear" w:color="auto" w:fill="auto"/>
            <w:vAlign w:val="center"/>
          </w:tcPr>
          <w:p w14:paraId="4B8CC973" w14:textId="6F5603B8" w:rsidR="003D1B2E" w:rsidRPr="005D20FF" w:rsidRDefault="003D1B2E" w:rsidP="009A0C49">
            <w:pPr>
              <w:jc w:val="center"/>
              <w:rPr>
                <w:color w:val="000000"/>
                <w:sz w:val="20"/>
                <w:szCs w:val="20"/>
              </w:rPr>
            </w:pPr>
            <w:r w:rsidRPr="009A0C49">
              <w:rPr>
                <w:color w:val="000000"/>
                <w:sz w:val="20"/>
                <w:szCs w:val="20"/>
              </w:rPr>
              <w:t>34,0</w:t>
            </w:r>
          </w:p>
        </w:tc>
        <w:tc>
          <w:tcPr>
            <w:tcW w:w="1162" w:type="dxa"/>
            <w:tcBorders>
              <w:top w:val="nil"/>
              <w:left w:val="nil"/>
              <w:bottom w:val="single" w:sz="4" w:space="0" w:color="auto"/>
              <w:right w:val="single" w:sz="4" w:space="0" w:color="auto"/>
            </w:tcBorders>
            <w:shd w:val="clear" w:color="auto" w:fill="auto"/>
            <w:vAlign w:val="center"/>
          </w:tcPr>
          <w:p w14:paraId="73191B4A" w14:textId="51D994EA" w:rsidR="003D1B2E" w:rsidRPr="005D20FF" w:rsidRDefault="003D1B2E" w:rsidP="009A0C49">
            <w:pPr>
              <w:jc w:val="center"/>
              <w:rPr>
                <w:color w:val="000000"/>
                <w:sz w:val="20"/>
                <w:szCs w:val="20"/>
              </w:rPr>
            </w:pPr>
            <w:r w:rsidRPr="009A0C49">
              <w:rPr>
                <w:color w:val="000000"/>
                <w:sz w:val="20"/>
                <w:szCs w:val="20"/>
              </w:rPr>
              <w:t>32,4</w:t>
            </w:r>
          </w:p>
        </w:tc>
        <w:tc>
          <w:tcPr>
            <w:tcW w:w="1162" w:type="dxa"/>
            <w:tcBorders>
              <w:top w:val="nil"/>
              <w:left w:val="nil"/>
              <w:bottom w:val="single" w:sz="4" w:space="0" w:color="auto"/>
              <w:right w:val="single" w:sz="4" w:space="0" w:color="auto"/>
            </w:tcBorders>
            <w:shd w:val="clear" w:color="auto" w:fill="auto"/>
            <w:vAlign w:val="center"/>
          </w:tcPr>
          <w:p w14:paraId="2538CFE9" w14:textId="2332C494" w:rsidR="003D1B2E" w:rsidRPr="005D20FF" w:rsidRDefault="003D1B2E" w:rsidP="009A0C49">
            <w:pPr>
              <w:jc w:val="center"/>
              <w:rPr>
                <w:color w:val="000000"/>
                <w:sz w:val="20"/>
                <w:szCs w:val="20"/>
              </w:rPr>
            </w:pPr>
            <w:r w:rsidRPr="009A0C49">
              <w:rPr>
                <w:color w:val="000000"/>
                <w:sz w:val="20"/>
                <w:szCs w:val="20"/>
              </w:rPr>
              <w:t>32,4</w:t>
            </w:r>
          </w:p>
        </w:tc>
        <w:tc>
          <w:tcPr>
            <w:tcW w:w="1162" w:type="dxa"/>
            <w:tcBorders>
              <w:top w:val="nil"/>
              <w:left w:val="nil"/>
              <w:bottom w:val="single" w:sz="4" w:space="0" w:color="auto"/>
              <w:right w:val="single" w:sz="4" w:space="0" w:color="auto"/>
            </w:tcBorders>
            <w:shd w:val="clear" w:color="auto" w:fill="auto"/>
            <w:vAlign w:val="center"/>
            <w:hideMark/>
          </w:tcPr>
          <w:p w14:paraId="0F8CD206" w14:textId="77777777" w:rsidR="003D1B2E" w:rsidRPr="005D20FF" w:rsidRDefault="003D1B2E" w:rsidP="003D1B2E">
            <w:pPr>
              <w:jc w:val="center"/>
              <w:rPr>
                <w:bCs/>
                <w:i/>
                <w:color w:val="000000"/>
                <w:sz w:val="20"/>
                <w:szCs w:val="20"/>
              </w:rPr>
            </w:pPr>
            <w:r w:rsidRPr="005D20FF">
              <w:rPr>
                <w:bCs/>
                <w:i/>
                <w:color w:val="000000"/>
                <w:sz w:val="20"/>
                <w:szCs w:val="20"/>
              </w:rPr>
              <w:t>95,2</w:t>
            </w:r>
          </w:p>
        </w:tc>
        <w:tc>
          <w:tcPr>
            <w:tcW w:w="1163" w:type="dxa"/>
            <w:tcBorders>
              <w:top w:val="nil"/>
              <w:left w:val="nil"/>
              <w:bottom w:val="single" w:sz="4" w:space="0" w:color="auto"/>
              <w:right w:val="single" w:sz="4" w:space="0" w:color="auto"/>
            </w:tcBorders>
            <w:shd w:val="clear" w:color="auto" w:fill="auto"/>
            <w:vAlign w:val="center"/>
            <w:hideMark/>
          </w:tcPr>
          <w:p w14:paraId="2861E262" w14:textId="77777777" w:rsidR="003D1B2E" w:rsidRPr="005D20FF" w:rsidRDefault="003D1B2E" w:rsidP="003D1B2E">
            <w:pPr>
              <w:jc w:val="center"/>
              <w:rPr>
                <w:bCs/>
                <w:i/>
                <w:color w:val="000000"/>
                <w:sz w:val="20"/>
                <w:szCs w:val="20"/>
              </w:rPr>
            </w:pPr>
            <w:r w:rsidRPr="005D20FF">
              <w:rPr>
                <w:bCs/>
                <w:i/>
                <w:color w:val="000000"/>
                <w:sz w:val="20"/>
                <w:szCs w:val="20"/>
              </w:rPr>
              <w:t>100,0</w:t>
            </w:r>
          </w:p>
        </w:tc>
      </w:tr>
      <w:tr w:rsidR="003D1B2E" w:rsidRPr="004A52CD" w14:paraId="4AED6E84"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F6E4BA4" w14:textId="77777777" w:rsidR="003D1B2E" w:rsidRPr="005D20FF" w:rsidRDefault="003D1B2E" w:rsidP="003D1B2E">
            <w:pPr>
              <w:jc w:val="both"/>
              <w:rPr>
                <w:color w:val="000000"/>
                <w:sz w:val="20"/>
                <w:szCs w:val="20"/>
              </w:rPr>
            </w:pPr>
            <w:r w:rsidRPr="005D20FF">
              <w:rPr>
                <w:color w:val="000000"/>
                <w:sz w:val="20"/>
                <w:szCs w:val="20"/>
              </w:rPr>
              <w:t>Подпрограмма "Обеспечение условий развития агропромышленного комплекса"</w:t>
            </w:r>
          </w:p>
        </w:tc>
        <w:tc>
          <w:tcPr>
            <w:tcW w:w="1162" w:type="dxa"/>
            <w:tcBorders>
              <w:top w:val="nil"/>
              <w:left w:val="nil"/>
              <w:bottom w:val="single" w:sz="4" w:space="0" w:color="auto"/>
              <w:right w:val="single" w:sz="4" w:space="0" w:color="auto"/>
            </w:tcBorders>
            <w:shd w:val="clear" w:color="auto" w:fill="auto"/>
            <w:vAlign w:val="center"/>
          </w:tcPr>
          <w:p w14:paraId="65589A6F" w14:textId="6DAC26FF" w:rsidR="003D1B2E" w:rsidRPr="005D20FF" w:rsidRDefault="003D1B2E" w:rsidP="009A0C49">
            <w:pPr>
              <w:jc w:val="center"/>
              <w:rPr>
                <w:color w:val="000000"/>
                <w:sz w:val="20"/>
                <w:szCs w:val="20"/>
              </w:rPr>
            </w:pPr>
            <w:r w:rsidRPr="009A0C49">
              <w:rPr>
                <w:color w:val="000000"/>
                <w:sz w:val="20"/>
                <w:szCs w:val="20"/>
              </w:rPr>
              <w:t>62,3</w:t>
            </w:r>
          </w:p>
        </w:tc>
        <w:tc>
          <w:tcPr>
            <w:tcW w:w="1162" w:type="dxa"/>
            <w:tcBorders>
              <w:top w:val="nil"/>
              <w:left w:val="nil"/>
              <w:bottom w:val="single" w:sz="4" w:space="0" w:color="auto"/>
              <w:right w:val="single" w:sz="4" w:space="0" w:color="auto"/>
            </w:tcBorders>
            <w:shd w:val="clear" w:color="auto" w:fill="auto"/>
            <w:vAlign w:val="center"/>
          </w:tcPr>
          <w:p w14:paraId="13297596" w14:textId="0060FE8D" w:rsidR="003D1B2E" w:rsidRPr="005D20FF" w:rsidRDefault="003D1B2E" w:rsidP="009A0C49">
            <w:pPr>
              <w:jc w:val="center"/>
              <w:rPr>
                <w:color w:val="000000"/>
                <w:sz w:val="20"/>
                <w:szCs w:val="20"/>
              </w:rPr>
            </w:pPr>
            <w:r w:rsidRPr="009A0C49">
              <w:rPr>
                <w:color w:val="000000"/>
                <w:sz w:val="20"/>
                <w:szCs w:val="20"/>
              </w:rPr>
              <w:t>52,1</w:t>
            </w:r>
          </w:p>
        </w:tc>
        <w:tc>
          <w:tcPr>
            <w:tcW w:w="1162" w:type="dxa"/>
            <w:tcBorders>
              <w:top w:val="nil"/>
              <w:left w:val="nil"/>
              <w:bottom w:val="single" w:sz="4" w:space="0" w:color="auto"/>
              <w:right w:val="single" w:sz="4" w:space="0" w:color="auto"/>
            </w:tcBorders>
            <w:shd w:val="clear" w:color="auto" w:fill="auto"/>
            <w:vAlign w:val="center"/>
          </w:tcPr>
          <w:p w14:paraId="3890A621" w14:textId="241208B8" w:rsidR="003D1B2E" w:rsidRPr="005D20FF" w:rsidRDefault="003D1B2E" w:rsidP="009A0C49">
            <w:pPr>
              <w:jc w:val="center"/>
              <w:rPr>
                <w:color w:val="000000"/>
                <w:sz w:val="20"/>
                <w:szCs w:val="20"/>
              </w:rPr>
            </w:pPr>
            <w:r w:rsidRPr="009A0C49">
              <w:rPr>
                <w:color w:val="000000"/>
                <w:sz w:val="20"/>
                <w:szCs w:val="20"/>
              </w:rPr>
              <w:t>56,4</w:t>
            </w:r>
          </w:p>
        </w:tc>
        <w:tc>
          <w:tcPr>
            <w:tcW w:w="1162" w:type="dxa"/>
            <w:tcBorders>
              <w:top w:val="nil"/>
              <w:left w:val="nil"/>
              <w:bottom w:val="single" w:sz="4" w:space="0" w:color="auto"/>
              <w:right w:val="single" w:sz="4" w:space="0" w:color="auto"/>
            </w:tcBorders>
            <w:shd w:val="clear" w:color="auto" w:fill="auto"/>
            <w:vAlign w:val="center"/>
            <w:hideMark/>
          </w:tcPr>
          <w:p w14:paraId="20420107" w14:textId="77777777" w:rsidR="003D1B2E" w:rsidRPr="005D20FF" w:rsidRDefault="003D1B2E" w:rsidP="003D1B2E">
            <w:pPr>
              <w:jc w:val="center"/>
              <w:rPr>
                <w:bCs/>
                <w:i/>
                <w:color w:val="000000"/>
                <w:sz w:val="20"/>
                <w:szCs w:val="20"/>
              </w:rPr>
            </w:pPr>
            <w:r w:rsidRPr="005D20FF">
              <w:rPr>
                <w:bCs/>
                <w:i/>
                <w:color w:val="000000"/>
                <w:sz w:val="20"/>
                <w:szCs w:val="20"/>
              </w:rPr>
              <w:t>83,6</w:t>
            </w:r>
          </w:p>
        </w:tc>
        <w:tc>
          <w:tcPr>
            <w:tcW w:w="1163" w:type="dxa"/>
            <w:tcBorders>
              <w:top w:val="nil"/>
              <w:left w:val="nil"/>
              <w:bottom w:val="single" w:sz="4" w:space="0" w:color="auto"/>
              <w:right w:val="single" w:sz="4" w:space="0" w:color="auto"/>
            </w:tcBorders>
            <w:shd w:val="clear" w:color="auto" w:fill="auto"/>
            <w:vAlign w:val="center"/>
            <w:hideMark/>
          </w:tcPr>
          <w:p w14:paraId="1F2E367F" w14:textId="77777777" w:rsidR="003D1B2E" w:rsidRPr="005D20FF" w:rsidRDefault="003D1B2E" w:rsidP="003D1B2E">
            <w:pPr>
              <w:jc w:val="center"/>
              <w:rPr>
                <w:bCs/>
                <w:i/>
                <w:color w:val="000000"/>
                <w:sz w:val="20"/>
                <w:szCs w:val="20"/>
              </w:rPr>
            </w:pPr>
            <w:r w:rsidRPr="005D20FF">
              <w:rPr>
                <w:bCs/>
                <w:i/>
                <w:color w:val="000000"/>
                <w:sz w:val="20"/>
                <w:szCs w:val="20"/>
              </w:rPr>
              <w:t>108,3</w:t>
            </w:r>
          </w:p>
        </w:tc>
      </w:tr>
      <w:tr w:rsidR="003D1B2E" w:rsidRPr="004A52CD" w14:paraId="1EDF5DFC"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1B5A9A1" w14:textId="77777777" w:rsidR="003D1B2E" w:rsidRPr="005D20FF" w:rsidRDefault="003D1B2E" w:rsidP="003D1B2E">
            <w:pPr>
              <w:jc w:val="both"/>
              <w:rPr>
                <w:color w:val="000000"/>
                <w:sz w:val="20"/>
                <w:szCs w:val="20"/>
              </w:rPr>
            </w:pPr>
            <w:r w:rsidRPr="005D20FF">
              <w:rPr>
                <w:color w:val="000000"/>
                <w:sz w:val="20"/>
                <w:szCs w:val="20"/>
              </w:rPr>
              <w:t>Основное мероприятие "Реализация функций аппарата ответственного исполнителя госпрограммы"</w:t>
            </w:r>
          </w:p>
        </w:tc>
        <w:tc>
          <w:tcPr>
            <w:tcW w:w="1162" w:type="dxa"/>
            <w:tcBorders>
              <w:top w:val="nil"/>
              <w:left w:val="nil"/>
              <w:bottom w:val="single" w:sz="4" w:space="0" w:color="auto"/>
              <w:right w:val="single" w:sz="4" w:space="0" w:color="auto"/>
            </w:tcBorders>
            <w:shd w:val="clear" w:color="auto" w:fill="auto"/>
            <w:vAlign w:val="center"/>
          </w:tcPr>
          <w:p w14:paraId="013939A4" w14:textId="62E535BD" w:rsidR="003D1B2E" w:rsidRPr="005D20FF" w:rsidRDefault="003D1B2E" w:rsidP="009A0C49">
            <w:pPr>
              <w:jc w:val="center"/>
              <w:rPr>
                <w:color w:val="000000"/>
                <w:sz w:val="20"/>
                <w:szCs w:val="20"/>
              </w:rPr>
            </w:pPr>
            <w:r w:rsidRPr="009A0C49">
              <w:rPr>
                <w:color w:val="000000"/>
                <w:sz w:val="20"/>
                <w:szCs w:val="20"/>
              </w:rPr>
              <w:t>1,2</w:t>
            </w:r>
          </w:p>
        </w:tc>
        <w:tc>
          <w:tcPr>
            <w:tcW w:w="1162" w:type="dxa"/>
            <w:tcBorders>
              <w:top w:val="nil"/>
              <w:left w:val="nil"/>
              <w:bottom w:val="single" w:sz="4" w:space="0" w:color="auto"/>
              <w:right w:val="single" w:sz="4" w:space="0" w:color="auto"/>
            </w:tcBorders>
            <w:shd w:val="clear" w:color="auto" w:fill="auto"/>
            <w:vAlign w:val="center"/>
          </w:tcPr>
          <w:p w14:paraId="0B650C3E" w14:textId="0E4B730C" w:rsidR="003D1B2E" w:rsidRPr="005D20FF" w:rsidRDefault="003D1B2E" w:rsidP="009A0C49">
            <w:pPr>
              <w:jc w:val="center"/>
              <w:rPr>
                <w:color w:val="000000"/>
                <w:sz w:val="20"/>
                <w:szCs w:val="20"/>
              </w:rPr>
            </w:pPr>
            <w:r w:rsidRPr="009A0C49">
              <w:rPr>
                <w:color w:val="000000"/>
                <w:sz w:val="20"/>
                <w:szCs w:val="20"/>
              </w:rPr>
              <w:t>1,2</w:t>
            </w:r>
          </w:p>
        </w:tc>
        <w:tc>
          <w:tcPr>
            <w:tcW w:w="1162" w:type="dxa"/>
            <w:tcBorders>
              <w:top w:val="nil"/>
              <w:left w:val="nil"/>
              <w:bottom w:val="single" w:sz="4" w:space="0" w:color="auto"/>
              <w:right w:val="single" w:sz="4" w:space="0" w:color="auto"/>
            </w:tcBorders>
            <w:shd w:val="clear" w:color="auto" w:fill="auto"/>
            <w:vAlign w:val="center"/>
          </w:tcPr>
          <w:p w14:paraId="3E935AD3" w14:textId="7F894F99" w:rsidR="003D1B2E" w:rsidRPr="005D20FF" w:rsidRDefault="003D1B2E" w:rsidP="009A0C49">
            <w:pPr>
              <w:jc w:val="center"/>
              <w:rPr>
                <w:color w:val="000000"/>
                <w:sz w:val="20"/>
                <w:szCs w:val="20"/>
              </w:rPr>
            </w:pPr>
            <w:r w:rsidRPr="009A0C49">
              <w:rPr>
                <w:color w:val="000000"/>
                <w:sz w:val="20"/>
                <w:szCs w:val="20"/>
              </w:rPr>
              <w:t>1,2</w:t>
            </w:r>
          </w:p>
        </w:tc>
        <w:tc>
          <w:tcPr>
            <w:tcW w:w="1162" w:type="dxa"/>
            <w:tcBorders>
              <w:top w:val="nil"/>
              <w:left w:val="nil"/>
              <w:bottom w:val="single" w:sz="4" w:space="0" w:color="auto"/>
              <w:right w:val="single" w:sz="4" w:space="0" w:color="auto"/>
            </w:tcBorders>
            <w:shd w:val="clear" w:color="auto" w:fill="auto"/>
            <w:vAlign w:val="center"/>
            <w:hideMark/>
          </w:tcPr>
          <w:p w14:paraId="36102DC0" w14:textId="77777777" w:rsidR="003D1B2E" w:rsidRPr="005D20FF" w:rsidRDefault="003D1B2E" w:rsidP="003D1B2E">
            <w:pPr>
              <w:jc w:val="center"/>
              <w:rPr>
                <w:bCs/>
                <w:i/>
                <w:color w:val="000000"/>
                <w:sz w:val="20"/>
                <w:szCs w:val="20"/>
              </w:rPr>
            </w:pPr>
            <w:r w:rsidRPr="005D20FF">
              <w:rPr>
                <w:bCs/>
                <w:i/>
                <w:color w:val="000000"/>
                <w:sz w:val="20"/>
                <w:szCs w:val="20"/>
              </w:rPr>
              <w:t>101,5</w:t>
            </w:r>
          </w:p>
        </w:tc>
        <w:tc>
          <w:tcPr>
            <w:tcW w:w="1163" w:type="dxa"/>
            <w:tcBorders>
              <w:top w:val="nil"/>
              <w:left w:val="nil"/>
              <w:bottom w:val="single" w:sz="4" w:space="0" w:color="auto"/>
              <w:right w:val="single" w:sz="4" w:space="0" w:color="auto"/>
            </w:tcBorders>
            <w:shd w:val="clear" w:color="auto" w:fill="auto"/>
            <w:vAlign w:val="center"/>
            <w:hideMark/>
          </w:tcPr>
          <w:p w14:paraId="25B7FFDC" w14:textId="77777777" w:rsidR="003D1B2E" w:rsidRPr="005D20FF" w:rsidRDefault="003D1B2E" w:rsidP="003D1B2E">
            <w:pPr>
              <w:jc w:val="center"/>
              <w:rPr>
                <w:bCs/>
                <w:i/>
                <w:color w:val="000000"/>
                <w:sz w:val="20"/>
                <w:szCs w:val="20"/>
              </w:rPr>
            </w:pPr>
            <w:r w:rsidRPr="005D20FF">
              <w:rPr>
                <w:bCs/>
                <w:i/>
                <w:color w:val="000000"/>
                <w:sz w:val="20"/>
                <w:szCs w:val="20"/>
              </w:rPr>
              <w:t>101,9</w:t>
            </w:r>
          </w:p>
        </w:tc>
      </w:tr>
      <w:tr w:rsidR="003D1B2E" w:rsidRPr="004A52CD" w14:paraId="57D06D25"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A2555D3" w14:textId="77777777" w:rsidR="003D1B2E" w:rsidRPr="005D20FF" w:rsidRDefault="003D1B2E" w:rsidP="003D1B2E">
            <w:pPr>
              <w:jc w:val="both"/>
              <w:rPr>
                <w:color w:val="000000"/>
                <w:sz w:val="20"/>
                <w:szCs w:val="20"/>
              </w:rPr>
            </w:pPr>
            <w:r w:rsidRPr="005D20FF">
              <w:rPr>
                <w:color w:val="000000"/>
                <w:sz w:val="20"/>
                <w:szCs w:val="20"/>
              </w:rPr>
              <w:t>Ведомственная целевая программа "Обеспечение общих условий функционирования отраслей агропромышленного комплекса"</w:t>
            </w:r>
          </w:p>
        </w:tc>
        <w:tc>
          <w:tcPr>
            <w:tcW w:w="1162" w:type="dxa"/>
            <w:tcBorders>
              <w:top w:val="nil"/>
              <w:left w:val="nil"/>
              <w:bottom w:val="single" w:sz="4" w:space="0" w:color="auto"/>
              <w:right w:val="single" w:sz="4" w:space="0" w:color="auto"/>
            </w:tcBorders>
            <w:shd w:val="clear" w:color="auto" w:fill="auto"/>
            <w:vAlign w:val="center"/>
          </w:tcPr>
          <w:p w14:paraId="055A7239" w14:textId="51BFA248" w:rsidR="003D1B2E" w:rsidRPr="005D20FF" w:rsidRDefault="003D1B2E" w:rsidP="009A0C49">
            <w:pPr>
              <w:jc w:val="center"/>
              <w:rPr>
                <w:color w:val="000000"/>
                <w:sz w:val="20"/>
                <w:szCs w:val="20"/>
              </w:rPr>
            </w:pPr>
            <w:r w:rsidRPr="009A0C49">
              <w:rPr>
                <w:color w:val="000000"/>
                <w:sz w:val="20"/>
                <w:szCs w:val="20"/>
              </w:rPr>
              <w:t>32,3</w:t>
            </w:r>
          </w:p>
        </w:tc>
        <w:tc>
          <w:tcPr>
            <w:tcW w:w="1162" w:type="dxa"/>
            <w:tcBorders>
              <w:top w:val="nil"/>
              <w:left w:val="nil"/>
              <w:bottom w:val="single" w:sz="4" w:space="0" w:color="auto"/>
              <w:right w:val="single" w:sz="4" w:space="0" w:color="auto"/>
            </w:tcBorders>
            <w:shd w:val="clear" w:color="auto" w:fill="auto"/>
            <w:vAlign w:val="center"/>
          </w:tcPr>
          <w:p w14:paraId="79DC9DD7" w14:textId="3FC18E2E" w:rsidR="003D1B2E" w:rsidRPr="005D20FF" w:rsidRDefault="003D1B2E" w:rsidP="009A0C49">
            <w:pPr>
              <w:jc w:val="center"/>
              <w:rPr>
                <w:color w:val="000000"/>
                <w:sz w:val="20"/>
                <w:szCs w:val="20"/>
              </w:rPr>
            </w:pPr>
            <w:r w:rsidRPr="009A0C49">
              <w:rPr>
                <w:color w:val="000000"/>
                <w:sz w:val="20"/>
                <w:szCs w:val="20"/>
              </w:rPr>
              <w:t>30,6</w:t>
            </w:r>
          </w:p>
        </w:tc>
        <w:tc>
          <w:tcPr>
            <w:tcW w:w="1162" w:type="dxa"/>
            <w:tcBorders>
              <w:top w:val="nil"/>
              <w:left w:val="nil"/>
              <w:bottom w:val="single" w:sz="4" w:space="0" w:color="auto"/>
              <w:right w:val="single" w:sz="4" w:space="0" w:color="auto"/>
            </w:tcBorders>
            <w:shd w:val="clear" w:color="auto" w:fill="auto"/>
            <w:vAlign w:val="center"/>
          </w:tcPr>
          <w:p w14:paraId="1FA03698" w14:textId="7F78555F" w:rsidR="003D1B2E" w:rsidRPr="005D20FF" w:rsidRDefault="003D1B2E" w:rsidP="009A0C49">
            <w:pPr>
              <w:jc w:val="center"/>
              <w:rPr>
                <w:color w:val="000000"/>
                <w:sz w:val="20"/>
                <w:szCs w:val="20"/>
              </w:rPr>
            </w:pPr>
            <w:r w:rsidRPr="009A0C49">
              <w:rPr>
                <w:color w:val="000000"/>
                <w:sz w:val="20"/>
                <w:szCs w:val="20"/>
              </w:rPr>
              <w:t>31,2</w:t>
            </w:r>
          </w:p>
        </w:tc>
        <w:tc>
          <w:tcPr>
            <w:tcW w:w="1162" w:type="dxa"/>
            <w:tcBorders>
              <w:top w:val="nil"/>
              <w:left w:val="nil"/>
              <w:bottom w:val="single" w:sz="4" w:space="0" w:color="auto"/>
              <w:right w:val="single" w:sz="4" w:space="0" w:color="auto"/>
            </w:tcBorders>
            <w:shd w:val="clear" w:color="auto" w:fill="auto"/>
            <w:vAlign w:val="center"/>
            <w:hideMark/>
          </w:tcPr>
          <w:p w14:paraId="605B37DD" w14:textId="77777777" w:rsidR="003D1B2E" w:rsidRPr="005D20FF" w:rsidRDefault="003D1B2E" w:rsidP="003D1B2E">
            <w:pPr>
              <w:jc w:val="center"/>
              <w:rPr>
                <w:bCs/>
                <w:i/>
                <w:color w:val="000000"/>
                <w:sz w:val="20"/>
                <w:szCs w:val="20"/>
              </w:rPr>
            </w:pPr>
            <w:r w:rsidRPr="005D20FF">
              <w:rPr>
                <w:bCs/>
                <w:i/>
                <w:color w:val="000000"/>
                <w:sz w:val="20"/>
                <w:szCs w:val="20"/>
              </w:rPr>
              <w:t>95,0</w:t>
            </w:r>
          </w:p>
        </w:tc>
        <w:tc>
          <w:tcPr>
            <w:tcW w:w="1163" w:type="dxa"/>
            <w:tcBorders>
              <w:top w:val="nil"/>
              <w:left w:val="nil"/>
              <w:bottom w:val="single" w:sz="4" w:space="0" w:color="auto"/>
              <w:right w:val="single" w:sz="4" w:space="0" w:color="auto"/>
            </w:tcBorders>
            <w:shd w:val="clear" w:color="auto" w:fill="auto"/>
            <w:vAlign w:val="center"/>
            <w:hideMark/>
          </w:tcPr>
          <w:p w14:paraId="267B008A" w14:textId="77777777" w:rsidR="003D1B2E" w:rsidRPr="005D20FF" w:rsidRDefault="003D1B2E" w:rsidP="003D1B2E">
            <w:pPr>
              <w:jc w:val="center"/>
              <w:rPr>
                <w:bCs/>
                <w:i/>
                <w:color w:val="000000"/>
                <w:sz w:val="20"/>
                <w:szCs w:val="20"/>
              </w:rPr>
            </w:pPr>
            <w:r w:rsidRPr="005D20FF">
              <w:rPr>
                <w:bCs/>
                <w:i/>
                <w:color w:val="000000"/>
                <w:sz w:val="20"/>
                <w:szCs w:val="20"/>
              </w:rPr>
              <w:t>101,8</w:t>
            </w:r>
          </w:p>
        </w:tc>
      </w:tr>
      <w:tr w:rsidR="003D1B2E" w:rsidRPr="004A52CD" w14:paraId="543630BB"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1F81B6D" w14:textId="77777777" w:rsidR="003D1B2E" w:rsidRPr="005D20FF" w:rsidRDefault="003D1B2E" w:rsidP="003D1B2E">
            <w:pPr>
              <w:jc w:val="both"/>
              <w:rPr>
                <w:color w:val="000000"/>
                <w:sz w:val="20"/>
                <w:szCs w:val="20"/>
              </w:rPr>
            </w:pPr>
            <w:r w:rsidRPr="005D20FF">
              <w:rPr>
                <w:color w:val="000000"/>
                <w:sz w:val="20"/>
                <w:szCs w:val="20"/>
              </w:rPr>
              <w:t xml:space="preserve">Субсидии открытому АО "Российские железные дороги" на возмещение потерь в доходах, возникающих в результате установления льготных тарифов на перевозку зерна </w:t>
            </w:r>
          </w:p>
        </w:tc>
        <w:tc>
          <w:tcPr>
            <w:tcW w:w="1162" w:type="dxa"/>
            <w:tcBorders>
              <w:top w:val="nil"/>
              <w:left w:val="nil"/>
              <w:bottom w:val="single" w:sz="4" w:space="0" w:color="auto"/>
              <w:right w:val="single" w:sz="4" w:space="0" w:color="auto"/>
            </w:tcBorders>
            <w:shd w:val="clear" w:color="auto" w:fill="auto"/>
            <w:vAlign w:val="center"/>
          </w:tcPr>
          <w:p w14:paraId="56410F85" w14:textId="46701579" w:rsidR="003D1B2E" w:rsidRPr="005D20FF" w:rsidRDefault="003D1B2E" w:rsidP="009A0C49">
            <w:pPr>
              <w:jc w:val="center"/>
              <w:rPr>
                <w:color w:val="000000"/>
                <w:sz w:val="20"/>
                <w:szCs w:val="20"/>
              </w:rPr>
            </w:pPr>
            <w:r w:rsidRPr="009A0C49">
              <w:rPr>
                <w:color w:val="000000"/>
                <w:sz w:val="20"/>
                <w:szCs w:val="20"/>
              </w:rPr>
              <w:t>2,6</w:t>
            </w:r>
          </w:p>
        </w:tc>
        <w:tc>
          <w:tcPr>
            <w:tcW w:w="1162" w:type="dxa"/>
            <w:tcBorders>
              <w:top w:val="nil"/>
              <w:left w:val="nil"/>
              <w:bottom w:val="single" w:sz="4" w:space="0" w:color="auto"/>
              <w:right w:val="single" w:sz="4" w:space="0" w:color="auto"/>
            </w:tcBorders>
            <w:shd w:val="clear" w:color="auto" w:fill="auto"/>
            <w:vAlign w:val="center"/>
          </w:tcPr>
          <w:p w14:paraId="18FD42F3" w14:textId="54F49574" w:rsidR="003D1B2E" w:rsidRPr="005D20FF" w:rsidRDefault="003D1B2E" w:rsidP="009A0C49">
            <w:pPr>
              <w:jc w:val="center"/>
              <w:rPr>
                <w:color w:val="000000"/>
                <w:sz w:val="20"/>
                <w:szCs w:val="20"/>
              </w:rPr>
            </w:pPr>
            <w:r w:rsidRPr="009A0C49">
              <w:rPr>
                <w:color w:val="000000"/>
                <w:sz w:val="20"/>
                <w:szCs w:val="20"/>
              </w:rPr>
              <w:t>2,6</w:t>
            </w:r>
          </w:p>
        </w:tc>
        <w:tc>
          <w:tcPr>
            <w:tcW w:w="1162" w:type="dxa"/>
            <w:tcBorders>
              <w:top w:val="nil"/>
              <w:left w:val="nil"/>
              <w:bottom w:val="single" w:sz="4" w:space="0" w:color="auto"/>
              <w:right w:val="single" w:sz="4" w:space="0" w:color="auto"/>
            </w:tcBorders>
            <w:shd w:val="clear" w:color="auto" w:fill="auto"/>
            <w:vAlign w:val="center"/>
          </w:tcPr>
          <w:p w14:paraId="46FE31C1" w14:textId="46165C75" w:rsidR="003D1B2E" w:rsidRPr="005D20FF" w:rsidRDefault="003D1B2E" w:rsidP="009A0C49">
            <w:pPr>
              <w:jc w:val="center"/>
              <w:rPr>
                <w:color w:val="000000"/>
                <w:sz w:val="20"/>
                <w:szCs w:val="20"/>
              </w:rPr>
            </w:pPr>
            <w:r w:rsidRPr="009A0C49">
              <w:rPr>
                <w:color w:val="000000"/>
                <w:sz w:val="20"/>
                <w:szCs w:val="20"/>
              </w:rPr>
              <w:t>2,6</w:t>
            </w:r>
          </w:p>
        </w:tc>
        <w:tc>
          <w:tcPr>
            <w:tcW w:w="1162" w:type="dxa"/>
            <w:tcBorders>
              <w:top w:val="nil"/>
              <w:left w:val="nil"/>
              <w:bottom w:val="single" w:sz="4" w:space="0" w:color="auto"/>
              <w:right w:val="single" w:sz="4" w:space="0" w:color="auto"/>
            </w:tcBorders>
            <w:shd w:val="clear" w:color="auto" w:fill="auto"/>
            <w:vAlign w:val="center"/>
            <w:hideMark/>
          </w:tcPr>
          <w:p w14:paraId="20C78BE9" w14:textId="77777777" w:rsidR="003D1B2E" w:rsidRPr="005D20FF" w:rsidRDefault="003D1B2E" w:rsidP="003D1B2E">
            <w:pPr>
              <w:jc w:val="center"/>
              <w:rPr>
                <w:bCs/>
                <w:i/>
                <w:color w:val="000000"/>
                <w:sz w:val="20"/>
                <w:szCs w:val="20"/>
              </w:rPr>
            </w:pPr>
            <w:r w:rsidRPr="005D20FF">
              <w:rPr>
                <w:bCs/>
                <w:i/>
                <w:color w:val="000000"/>
                <w:sz w:val="20"/>
                <w:szCs w:val="20"/>
              </w:rPr>
              <w:t>98,6</w:t>
            </w:r>
          </w:p>
        </w:tc>
        <w:tc>
          <w:tcPr>
            <w:tcW w:w="1163" w:type="dxa"/>
            <w:tcBorders>
              <w:top w:val="nil"/>
              <w:left w:val="nil"/>
              <w:bottom w:val="single" w:sz="4" w:space="0" w:color="auto"/>
              <w:right w:val="single" w:sz="4" w:space="0" w:color="auto"/>
            </w:tcBorders>
            <w:shd w:val="clear" w:color="auto" w:fill="auto"/>
            <w:vAlign w:val="center"/>
            <w:hideMark/>
          </w:tcPr>
          <w:p w14:paraId="224F3879" w14:textId="77777777" w:rsidR="003D1B2E" w:rsidRPr="005D20FF" w:rsidRDefault="003D1B2E" w:rsidP="003D1B2E">
            <w:pPr>
              <w:jc w:val="center"/>
              <w:rPr>
                <w:bCs/>
                <w:i/>
                <w:color w:val="000000"/>
                <w:sz w:val="20"/>
                <w:szCs w:val="20"/>
              </w:rPr>
            </w:pPr>
            <w:r w:rsidRPr="005D20FF">
              <w:rPr>
                <w:bCs/>
                <w:i/>
                <w:color w:val="000000"/>
                <w:sz w:val="20"/>
                <w:szCs w:val="20"/>
              </w:rPr>
              <w:t>100,0</w:t>
            </w:r>
          </w:p>
        </w:tc>
      </w:tr>
      <w:tr w:rsidR="003D1B2E" w:rsidRPr="004A52CD" w14:paraId="5F98E120"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DF8474E" w14:textId="77777777" w:rsidR="003D1B2E" w:rsidRPr="005D20FF" w:rsidRDefault="003D1B2E" w:rsidP="003D1B2E">
            <w:pPr>
              <w:jc w:val="both"/>
              <w:rPr>
                <w:color w:val="000000"/>
                <w:sz w:val="20"/>
                <w:szCs w:val="20"/>
              </w:rPr>
            </w:pPr>
            <w:r w:rsidRPr="005D20FF">
              <w:rPr>
                <w:color w:val="000000"/>
                <w:sz w:val="20"/>
                <w:szCs w:val="20"/>
              </w:rPr>
              <w:t>Реализация мер в сфере информационно-коммуникационных технологий (Закупка товаров, работ, услуг в сфере ИКТ)</w:t>
            </w:r>
          </w:p>
        </w:tc>
        <w:tc>
          <w:tcPr>
            <w:tcW w:w="1162" w:type="dxa"/>
            <w:tcBorders>
              <w:top w:val="nil"/>
              <w:left w:val="nil"/>
              <w:bottom w:val="single" w:sz="4" w:space="0" w:color="auto"/>
              <w:right w:val="single" w:sz="4" w:space="0" w:color="auto"/>
            </w:tcBorders>
            <w:shd w:val="clear" w:color="auto" w:fill="auto"/>
            <w:vAlign w:val="center"/>
          </w:tcPr>
          <w:p w14:paraId="78D45F36" w14:textId="62E5BBC2" w:rsidR="003D1B2E" w:rsidRPr="005D20FF" w:rsidRDefault="003D1B2E" w:rsidP="009A0C49">
            <w:pPr>
              <w:jc w:val="center"/>
              <w:rPr>
                <w:color w:val="000000"/>
                <w:sz w:val="20"/>
                <w:szCs w:val="20"/>
              </w:rPr>
            </w:pPr>
            <w:r w:rsidRPr="009A0C49">
              <w:rPr>
                <w:color w:val="000000"/>
                <w:sz w:val="20"/>
                <w:szCs w:val="20"/>
              </w:rPr>
              <w:t>4,0</w:t>
            </w:r>
          </w:p>
        </w:tc>
        <w:tc>
          <w:tcPr>
            <w:tcW w:w="1162" w:type="dxa"/>
            <w:tcBorders>
              <w:top w:val="nil"/>
              <w:left w:val="nil"/>
              <w:bottom w:val="single" w:sz="4" w:space="0" w:color="auto"/>
              <w:right w:val="single" w:sz="4" w:space="0" w:color="auto"/>
            </w:tcBorders>
            <w:shd w:val="clear" w:color="auto" w:fill="auto"/>
            <w:vAlign w:val="center"/>
          </w:tcPr>
          <w:p w14:paraId="06559FB2" w14:textId="2260F7B7" w:rsidR="003D1B2E" w:rsidRPr="005D20FF" w:rsidRDefault="003D1B2E" w:rsidP="009A0C49">
            <w:pPr>
              <w:jc w:val="center"/>
              <w:rPr>
                <w:color w:val="000000"/>
                <w:sz w:val="20"/>
                <w:szCs w:val="20"/>
              </w:rPr>
            </w:pPr>
            <w:r w:rsidRPr="009A0C49">
              <w:rPr>
                <w:color w:val="000000"/>
                <w:sz w:val="20"/>
                <w:szCs w:val="20"/>
              </w:rPr>
              <w:t>4,0</w:t>
            </w:r>
          </w:p>
        </w:tc>
        <w:tc>
          <w:tcPr>
            <w:tcW w:w="1162" w:type="dxa"/>
            <w:tcBorders>
              <w:top w:val="nil"/>
              <w:left w:val="nil"/>
              <w:bottom w:val="single" w:sz="4" w:space="0" w:color="auto"/>
              <w:right w:val="single" w:sz="4" w:space="0" w:color="auto"/>
            </w:tcBorders>
            <w:shd w:val="clear" w:color="auto" w:fill="auto"/>
            <w:vAlign w:val="center"/>
          </w:tcPr>
          <w:p w14:paraId="1DDC138F" w14:textId="7D0BF314" w:rsidR="003D1B2E" w:rsidRPr="005D20FF" w:rsidRDefault="003D1B2E" w:rsidP="009A0C49">
            <w:pPr>
              <w:jc w:val="center"/>
              <w:rPr>
                <w:color w:val="000000"/>
                <w:sz w:val="20"/>
                <w:szCs w:val="20"/>
              </w:rPr>
            </w:pPr>
            <w:r w:rsidRPr="009A0C49">
              <w:rPr>
                <w:color w:val="000000"/>
                <w:sz w:val="20"/>
                <w:szCs w:val="20"/>
              </w:rPr>
              <w:t>4,0</w:t>
            </w:r>
          </w:p>
        </w:tc>
        <w:tc>
          <w:tcPr>
            <w:tcW w:w="1162" w:type="dxa"/>
            <w:tcBorders>
              <w:top w:val="nil"/>
              <w:left w:val="nil"/>
              <w:bottom w:val="single" w:sz="4" w:space="0" w:color="auto"/>
              <w:right w:val="single" w:sz="4" w:space="0" w:color="auto"/>
            </w:tcBorders>
            <w:shd w:val="clear" w:color="auto" w:fill="auto"/>
            <w:vAlign w:val="center"/>
            <w:hideMark/>
          </w:tcPr>
          <w:p w14:paraId="1EE708A7" w14:textId="77777777" w:rsidR="003D1B2E" w:rsidRPr="005D20FF" w:rsidRDefault="003D1B2E" w:rsidP="003D1B2E">
            <w:pPr>
              <w:jc w:val="center"/>
              <w:rPr>
                <w:bCs/>
                <w:i/>
                <w:color w:val="000000"/>
                <w:sz w:val="20"/>
                <w:szCs w:val="20"/>
              </w:rPr>
            </w:pPr>
            <w:r w:rsidRPr="005D20FF">
              <w:rPr>
                <w:bCs/>
                <w:i/>
                <w:color w:val="000000"/>
                <w:sz w:val="20"/>
                <w:szCs w:val="20"/>
              </w:rPr>
              <w:t>100,3</w:t>
            </w:r>
          </w:p>
        </w:tc>
        <w:tc>
          <w:tcPr>
            <w:tcW w:w="1163" w:type="dxa"/>
            <w:tcBorders>
              <w:top w:val="nil"/>
              <w:left w:val="nil"/>
              <w:bottom w:val="single" w:sz="4" w:space="0" w:color="auto"/>
              <w:right w:val="single" w:sz="4" w:space="0" w:color="auto"/>
            </w:tcBorders>
            <w:shd w:val="clear" w:color="auto" w:fill="auto"/>
            <w:vAlign w:val="center"/>
            <w:hideMark/>
          </w:tcPr>
          <w:p w14:paraId="2043AEE2" w14:textId="77777777" w:rsidR="003D1B2E" w:rsidRPr="005D20FF" w:rsidRDefault="003D1B2E" w:rsidP="003D1B2E">
            <w:pPr>
              <w:jc w:val="center"/>
              <w:rPr>
                <w:bCs/>
                <w:i/>
                <w:color w:val="000000"/>
                <w:sz w:val="20"/>
                <w:szCs w:val="20"/>
              </w:rPr>
            </w:pPr>
            <w:r w:rsidRPr="005D20FF">
              <w:rPr>
                <w:bCs/>
                <w:i/>
                <w:color w:val="000000"/>
                <w:sz w:val="20"/>
                <w:szCs w:val="20"/>
              </w:rPr>
              <w:t>100,0</w:t>
            </w:r>
          </w:p>
        </w:tc>
      </w:tr>
      <w:tr w:rsidR="003D1B2E" w:rsidRPr="004A52CD" w14:paraId="50F08F53"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7017E57" w14:textId="77777777" w:rsidR="003D1B2E" w:rsidRPr="005D20FF" w:rsidRDefault="003D1B2E" w:rsidP="003D1B2E">
            <w:pPr>
              <w:jc w:val="both"/>
              <w:rPr>
                <w:color w:val="000000"/>
                <w:sz w:val="20"/>
                <w:szCs w:val="20"/>
              </w:rPr>
            </w:pPr>
            <w:r w:rsidRPr="005D20FF">
              <w:rPr>
                <w:color w:val="000000"/>
                <w:sz w:val="20"/>
                <w:szCs w:val="20"/>
              </w:rPr>
              <w:t xml:space="preserve">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ФБ, расположенных в районах Крайнего Севера и приравненных к ним местностях </w:t>
            </w:r>
          </w:p>
        </w:tc>
        <w:tc>
          <w:tcPr>
            <w:tcW w:w="1162" w:type="dxa"/>
            <w:tcBorders>
              <w:top w:val="nil"/>
              <w:left w:val="nil"/>
              <w:bottom w:val="single" w:sz="4" w:space="0" w:color="auto"/>
              <w:right w:val="single" w:sz="4" w:space="0" w:color="auto"/>
            </w:tcBorders>
            <w:shd w:val="clear" w:color="auto" w:fill="auto"/>
            <w:vAlign w:val="center"/>
          </w:tcPr>
          <w:p w14:paraId="5F5890CB" w14:textId="4E795108" w:rsidR="003D1B2E" w:rsidRPr="005D20FF" w:rsidRDefault="003D1B2E" w:rsidP="009A0C49">
            <w:pPr>
              <w:jc w:val="center"/>
              <w:rPr>
                <w:color w:val="000000"/>
                <w:sz w:val="20"/>
                <w:szCs w:val="20"/>
              </w:rPr>
            </w:pPr>
            <w:r w:rsidRPr="009A0C49">
              <w:rPr>
                <w:color w:val="000000"/>
                <w:sz w:val="20"/>
                <w:szCs w:val="20"/>
              </w:rPr>
              <w:t>17,3</w:t>
            </w:r>
          </w:p>
        </w:tc>
        <w:tc>
          <w:tcPr>
            <w:tcW w:w="1162" w:type="dxa"/>
            <w:tcBorders>
              <w:top w:val="nil"/>
              <w:left w:val="nil"/>
              <w:bottom w:val="single" w:sz="4" w:space="0" w:color="auto"/>
              <w:right w:val="single" w:sz="4" w:space="0" w:color="auto"/>
            </w:tcBorders>
            <w:shd w:val="clear" w:color="auto" w:fill="auto"/>
            <w:vAlign w:val="center"/>
          </w:tcPr>
          <w:p w14:paraId="63B796A2" w14:textId="2463CBAE" w:rsidR="003D1B2E" w:rsidRPr="005D20FF" w:rsidRDefault="003D1B2E" w:rsidP="009A0C49">
            <w:pPr>
              <w:jc w:val="center"/>
              <w:rPr>
                <w:color w:val="000000"/>
                <w:sz w:val="20"/>
                <w:szCs w:val="20"/>
              </w:rPr>
            </w:pPr>
            <w:r w:rsidRPr="009A0C49">
              <w:rPr>
                <w:color w:val="000000"/>
                <w:sz w:val="20"/>
                <w:szCs w:val="20"/>
              </w:rPr>
              <w:t>15,8</w:t>
            </w:r>
          </w:p>
        </w:tc>
        <w:tc>
          <w:tcPr>
            <w:tcW w:w="1162" w:type="dxa"/>
            <w:tcBorders>
              <w:top w:val="nil"/>
              <w:left w:val="nil"/>
              <w:bottom w:val="single" w:sz="4" w:space="0" w:color="auto"/>
              <w:right w:val="single" w:sz="4" w:space="0" w:color="auto"/>
            </w:tcBorders>
            <w:shd w:val="clear" w:color="auto" w:fill="auto"/>
            <w:vAlign w:val="center"/>
          </w:tcPr>
          <w:p w14:paraId="151AAB5B" w14:textId="23898889" w:rsidR="003D1B2E" w:rsidRPr="005D20FF" w:rsidRDefault="003D1B2E" w:rsidP="009A0C49">
            <w:pPr>
              <w:jc w:val="center"/>
              <w:rPr>
                <w:color w:val="000000"/>
                <w:sz w:val="20"/>
                <w:szCs w:val="20"/>
              </w:rPr>
            </w:pPr>
            <w:r w:rsidRPr="009A0C49">
              <w:rPr>
                <w:color w:val="000000"/>
                <w:sz w:val="20"/>
                <w:szCs w:val="20"/>
              </w:rPr>
              <w:t>16,2</w:t>
            </w:r>
          </w:p>
        </w:tc>
        <w:tc>
          <w:tcPr>
            <w:tcW w:w="1162" w:type="dxa"/>
            <w:tcBorders>
              <w:top w:val="nil"/>
              <w:left w:val="nil"/>
              <w:bottom w:val="single" w:sz="4" w:space="0" w:color="auto"/>
              <w:right w:val="single" w:sz="4" w:space="0" w:color="auto"/>
            </w:tcBorders>
            <w:shd w:val="clear" w:color="auto" w:fill="auto"/>
            <w:vAlign w:val="center"/>
            <w:hideMark/>
          </w:tcPr>
          <w:p w14:paraId="3B2C881E" w14:textId="77777777" w:rsidR="003D1B2E" w:rsidRPr="005D20FF" w:rsidRDefault="003D1B2E" w:rsidP="003D1B2E">
            <w:pPr>
              <w:jc w:val="center"/>
              <w:rPr>
                <w:bCs/>
                <w:i/>
                <w:color w:val="000000"/>
                <w:sz w:val="20"/>
                <w:szCs w:val="20"/>
              </w:rPr>
            </w:pPr>
            <w:r w:rsidRPr="005D20FF">
              <w:rPr>
                <w:bCs/>
                <w:i/>
                <w:color w:val="000000"/>
                <w:sz w:val="20"/>
                <w:szCs w:val="20"/>
              </w:rPr>
              <w:t>91,0</w:t>
            </w:r>
          </w:p>
        </w:tc>
        <w:tc>
          <w:tcPr>
            <w:tcW w:w="1163" w:type="dxa"/>
            <w:tcBorders>
              <w:top w:val="nil"/>
              <w:left w:val="nil"/>
              <w:bottom w:val="single" w:sz="4" w:space="0" w:color="auto"/>
              <w:right w:val="single" w:sz="4" w:space="0" w:color="auto"/>
            </w:tcBorders>
            <w:shd w:val="clear" w:color="auto" w:fill="auto"/>
            <w:vAlign w:val="center"/>
            <w:hideMark/>
          </w:tcPr>
          <w:p w14:paraId="366EBA5F" w14:textId="77777777" w:rsidR="003D1B2E" w:rsidRPr="005D20FF" w:rsidRDefault="003D1B2E" w:rsidP="003D1B2E">
            <w:pPr>
              <w:jc w:val="center"/>
              <w:rPr>
                <w:bCs/>
                <w:i/>
                <w:color w:val="000000"/>
                <w:sz w:val="20"/>
                <w:szCs w:val="20"/>
              </w:rPr>
            </w:pPr>
            <w:r w:rsidRPr="005D20FF">
              <w:rPr>
                <w:bCs/>
                <w:i/>
                <w:color w:val="000000"/>
                <w:sz w:val="20"/>
                <w:szCs w:val="20"/>
              </w:rPr>
              <w:t>102,8</w:t>
            </w:r>
          </w:p>
        </w:tc>
      </w:tr>
      <w:tr w:rsidR="003D1B2E" w:rsidRPr="004A52CD" w14:paraId="6A2E2678"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7B74190" w14:textId="77777777" w:rsidR="003D1B2E" w:rsidRPr="005D20FF" w:rsidRDefault="003D1B2E" w:rsidP="003D1B2E">
            <w:pPr>
              <w:jc w:val="both"/>
              <w:rPr>
                <w:color w:val="000000"/>
                <w:sz w:val="20"/>
                <w:szCs w:val="20"/>
              </w:rPr>
            </w:pPr>
            <w:r w:rsidRPr="005D20FF">
              <w:rPr>
                <w:color w:val="000000"/>
                <w:sz w:val="20"/>
                <w:szCs w:val="20"/>
              </w:rPr>
              <w:t xml:space="preserve">Расходы на обеспечение деятельности (оказание услуг) гос. учреждений </w:t>
            </w:r>
          </w:p>
        </w:tc>
        <w:tc>
          <w:tcPr>
            <w:tcW w:w="1162" w:type="dxa"/>
            <w:tcBorders>
              <w:top w:val="nil"/>
              <w:left w:val="nil"/>
              <w:bottom w:val="single" w:sz="4" w:space="0" w:color="auto"/>
              <w:right w:val="single" w:sz="4" w:space="0" w:color="auto"/>
            </w:tcBorders>
            <w:shd w:val="clear" w:color="auto" w:fill="auto"/>
            <w:vAlign w:val="center"/>
          </w:tcPr>
          <w:p w14:paraId="0C5B060F" w14:textId="6E47BDB1" w:rsidR="003D1B2E" w:rsidRPr="005D20FF" w:rsidRDefault="003D1B2E" w:rsidP="009A0C49">
            <w:pPr>
              <w:jc w:val="center"/>
              <w:rPr>
                <w:color w:val="000000"/>
                <w:sz w:val="20"/>
                <w:szCs w:val="20"/>
              </w:rPr>
            </w:pPr>
            <w:r w:rsidRPr="009A0C49">
              <w:rPr>
                <w:color w:val="000000"/>
                <w:sz w:val="20"/>
                <w:szCs w:val="20"/>
              </w:rPr>
              <w:t>1,0</w:t>
            </w:r>
          </w:p>
        </w:tc>
        <w:tc>
          <w:tcPr>
            <w:tcW w:w="1162" w:type="dxa"/>
            <w:tcBorders>
              <w:top w:val="nil"/>
              <w:left w:val="nil"/>
              <w:bottom w:val="single" w:sz="4" w:space="0" w:color="auto"/>
              <w:right w:val="single" w:sz="4" w:space="0" w:color="auto"/>
            </w:tcBorders>
            <w:shd w:val="clear" w:color="auto" w:fill="auto"/>
            <w:vAlign w:val="center"/>
          </w:tcPr>
          <w:p w14:paraId="1B0431A3" w14:textId="51452BE8" w:rsidR="003D1B2E" w:rsidRPr="005D20FF" w:rsidRDefault="003D1B2E" w:rsidP="009A0C49">
            <w:pPr>
              <w:jc w:val="center"/>
              <w:rPr>
                <w:color w:val="000000"/>
                <w:sz w:val="20"/>
                <w:szCs w:val="20"/>
              </w:rPr>
            </w:pPr>
            <w:r w:rsidRPr="009A0C49">
              <w:rPr>
                <w:color w:val="000000"/>
                <w:sz w:val="20"/>
                <w:szCs w:val="20"/>
              </w:rPr>
              <w:t>1,0</w:t>
            </w:r>
          </w:p>
        </w:tc>
        <w:tc>
          <w:tcPr>
            <w:tcW w:w="1162" w:type="dxa"/>
            <w:tcBorders>
              <w:top w:val="nil"/>
              <w:left w:val="nil"/>
              <w:bottom w:val="single" w:sz="4" w:space="0" w:color="auto"/>
              <w:right w:val="single" w:sz="4" w:space="0" w:color="auto"/>
            </w:tcBorders>
            <w:shd w:val="clear" w:color="auto" w:fill="auto"/>
            <w:vAlign w:val="center"/>
          </w:tcPr>
          <w:p w14:paraId="0AF0F8EF" w14:textId="65B23FD1" w:rsidR="003D1B2E" w:rsidRPr="005D20FF" w:rsidRDefault="003D1B2E" w:rsidP="009A0C49">
            <w:pPr>
              <w:jc w:val="center"/>
              <w:rPr>
                <w:color w:val="000000"/>
                <w:sz w:val="20"/>
                <w:szCs w:val="20"/>
              </w:rPr>
            </w:pPr>
            <w:r w:rsidRPr="009A0C49">
              <w:rPr>
                <w:color w:val="000000"/>
                <w:sz w:val="20"/>
                <w:szCs w:val="20"/>
              </w:rPr>
              <w:t>1,1</w:t>
            </w:r>
          </w:p>
        </w:tc>
        <w:tc>
          <w:tcPr>
            <w:tcW w:w="1162" w:type="dxa"/>
            <w:tcBorders>
              <w:top w:val="nil"/>
              <w:left w:val="nil"/>
              <w:bottom w:val="single" w:sz="4" w:space="0" w:color="auto"/>
              <w:right w:val="single" w:sz="4" w:space="0" w:color="auto"/>
            </w:tcBorders>
            <w:shd w:val="clear" w:color="auto" w:fill="auto"/>
            <w:vAlign w:val="center"/>
            <w:hideMark/>
          </w:tcPr>
          <w:p w14:paraId="598A9D93" w14:textId="77777777" w:rsidR="003D1B2E" w:rsidRPr="005D20FF" w:rsidRDefault="003D1B2E" w:rsidP="003D1B2E">
            <w:pPr>
              <w:jc w:val="center"/>
              <w:rPr>
                <w:bCs/>
                <w:i/>
                <w:color w:val="000000"/>
                <w:sz w:val="20"/>
                <w:szCs w:val="20"/>
              </w:rPr>
            </w:pPr>
            <w:r w:rsidRPr="005D20FF">
              <w:rPr>
                <w:bCs/>
                <w:i/>
                <w:color w:val="000000"/>
                <w:sz w:val="20"/>
                <w:szCs w:val="20"/>
              </w:rPr>
              <w:t>102,5</w:t>
            </w:r>
          </w:p>
        </w:tc>
        <w:tc>
          <w:tcPr>
            <w:tcW w:w="1163" w:type="dxa"/>
            <w:tcBorders>
              <w:top w:val="nil"/>
              <w:left w:val="nil"/>
              <w:bottom w:val="single" w:sz="4" w:space="0" w:color="auto"/>
              <w:right w:val="single" w:sz="4" w:space="0" w:color="auto"/>
            </w:tcBorders>
            <w:shd w:val="clear" w:color="auto" w:fill="auto"/>
            <w:vAlign w:val="center"/>
            <w:hideMark/>
          </w:tcPr>
          <w:p w14:paraId="35CBE572" w14:textId="77777777" w:rsidR="003D1B2E" w:rsidRPr="005D20FF" w:rsidRDefault="003D1B2E" w:rsidP="003D1B2E">
            <w:pPr>
              <w:jc w:val="center"/>
              <w:rPr>
                <w:bCs/>
                <w:i/>
                <w:color w:val="000000"/>
                <w:sz w:val="20"/>
                <w:szCs w:val="20"/>
              </w:rPr>
            </w:pPr>
            <w:r w:rsidRPr="005D20FF">
              <w:rPr>
                <w:bCs/>
                <w:i/>
                <w:color w:val="000000"/>
                <w:sz w:val="20"/>
                <w:szCs w:val="20"/>
              </w:rPr>
              <w:t>108,3</w:t>
            </w:r>
          </w:p>
        </w:tc>
      </w:tr>
      <w:tr w:rsidR="003D1B2E" w:rsidRPr="004A52CD" w14:paraId="2B41F25B"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786C48E" w14:textId="77777777" w:rsidR="003D1B2E" w:rsidRPr="005D20FF" w:rsidRDefault="003D1B2E" w:rsidP="003D1B2E">
            <w:pPr>
              <w:jc w:val="both"/>
              <w:rPr>
                <w:color w:val="000000"/>
                <w:sz w:val="20"/>
                <w:szCs w:val="20"/>
              </w:rPr>
            </w:pPr>
            <w:r w:rsidRPr="005D20FF">
              <w:rPr>
                <w:color w:val="000000"/>
                <w:sz w:val="20"/>
                <w:szCs w:val="20"/>
              </w:rPr>
              <w:t xml:space="preserve">Расходы на обеспечение деятельности (оказание услуг) гос. учреждений </w:t>
            </w:r>
          </w:p>
        </w:tc>
        <w:tc>
          <w:tcPr>
            <w:tcW w:w="1162" w:type="dxa"/>
            <w:tcBorders>
              <w:top w:val="nil"/>
              <w:left w:val="nil"/>
              <w:bottom w:val="single" w:sz="4" w:space="0" w:color="auto"/>
              <w:right w:val="single" w:sz="4" w:space="0" w:color="auto"/>
            </w:tcBorders>
            <w:shd w:val="clear" w:color="auto" w:fill="auto"/>
            <w:vAlign w:val="center"/>
          </w:tcPr>
          <w:p w14:paraId="582F31D5" w14:textId="02471B48" w:rsidR="003D1B2E" w:rsidRPr="005D20FF" w:rsidRDefault="003D1B2E" w:rsidP="009A0C49">
            <w:pPr>
              <w:jc w:val="center"/>
              <w:rPr>
                <w:color w:val="000000"/>
                <w:sz w:val="20"/>
                <w:szCs w:val="20"/>
              </w:rPr>
            </w:pPr>
            <w:r w:rsidRPr="009A0C49">
              <w:rPr>
                <w:color w:val="000000"/>
                <w:sz w:val="20"/>
                <w:szCs w:val="20"/>
              </w:rPr>
              <w:t>0,4</w:t>
            </w:r>
          </w:p>
        </w:tc>
        <w:tc>
          <w:tcPr>
            <w:tcW w:w="1162" w:type="dxa"/>
            <w:tcBorders>
              <w:top w:val="nil"/>
              <w:left w:val="nil"/>
              <w:bottom w:val="single" w:sz="4" w:space="0" w:color="auto"/>
              <w:right w:val="single" w:sz="4" w:space="0" w:color="auto"/>
            </w:tcBorders>
            <w:shd w:val="clear" w:color="auto" w:fill="auto"/>
            <w:vAlign w:val="center"/>
          </w:tcPr>
          <w:p w14:paraId="2597A5B4" w14:textId="7CEE5146" w:rsidR="003D1B2E" w:rsidRPr="005D20FF" w:rsidRDefault="003D1B2E" w:rsidP="009A0C49">
            <w:pPr>
              <w:jc w:val="center"/>
              <w:rPr>
                <w:color w:val="000000"/>
                <w:sz w:val="20"/>
                <w:szCs w:val="20"/>
              </w:rPr>
            </w:pPr>
            <w:r w:rsidRPr="009A0C49">
              <w:rPr>
                <w:color w:val="000000"/>
                <w:sz w:val="20"/>
                <w:szCs w:val="20"/>
              </w:rPr>
              <w:t>0,3</w:t>
            </w:r>
          </w:p>
        </w:tc>
        <w:tc>
          <w:tcPr>
            <w:tcW w:w="1162" w:type="dxa"/>
            <w:tcBorders>
              <w:top w:val="nil"/>
              <w:left w:val="nil"/>
              <w:bottom w:val="single" w:sz="4" w:space="0" w:color="auto"/>
              <w:right w:val="single" w:sz="4" w:space="0" w:color="auto"/>
            </w:tcBorders>
            <w:shd w:val="clear" w:color="auto" w:fill="auto"/>
            <w:vAlign w:val="center"/>
          </w:tcPr>
          <w:p w14:paraId="45BC9E64" w14:textId="5DB0EC82" w:rsidR="003D1B2E" w:rsidRPr="005D20FF" w:rsidRDefault="003D1B2E" w:rsidP="009A0C49">
            <w:pPr>
              <w:jc w:val="center"/>
              <w:rPr>
                <w:color w:val="000000"/>
                <w:sz w:val="20"/>
                <w:szCs w:val="20"/>
              </w:rPr>
            </w:pPr>
            <w:r w:rsidRPr="009A0C49">
              <w:rPr>
                <w:color w:val="000000"/>
                <w:sz w:val="20"/>
                <w:szCs w:val="20"/>
              </w:rPr>
              <w:t>0,4</w:t>
            </w:r>
          </w:p>
        </w:tc>
        <w:tc>
          <w:tcPr>
            <w:tcW w:w="1162" w:type="dxa"/>
            <w:tcBorders>
              <w:top w:val="nil"/>
              <w:left w:val="nil"/>
              <w:bottom w:val="single" w:sz="4" w:space="0" w:color="auto"/>
              <w:right w:val="single" w:sz="4" w:space="0" w:color="auto"/>
            </w:tcBorders>
            <w:shd w:val="clear" w:color="auto" w:fill="auto"/>
            <w:vAlign w:val="center"/>
            <w:hideMark/>
          </w:tcPr>
          <w:p w14:paraId="70153E6A" w14:textId="77777777" w:rsidR="003D1B2E" w:rsidRPr="005D20FF" w:rsidRDefault="003D1B2E" w:rsidP="003D1B2E">
            <w:pPr>
              <w:jc w:val="center"/>
              <w:rPr>
                <w:bCs/>
                <w:i/>
                <w:color w:val="000000"/>
                <w:sz w:val="20"/>
                <w:szCs w:val="20"/>
              </w:rPr>
            </w:pPr>
            <w:r w:rsidRPr="005D20FF">
              <w:rPr>
                <w:bCs/>
                <w:i/>
                <w:color w:val="000000"/>
                <w:sz w:val="20"/>
                <w:szCs w:val="20"/>
              </w:rPr>
              <w:t>79,5</w:t>
            </w:r>
          </w:p>
        </w:tc>
        <w:tc>
          <w:tcPr>
            <w:tcW w:w="1163" w:type="dxa"/>
            <w:tcBorders>
              <w:top w:val="nil"/>
              <w:left w:val="nil"/>
              <w:bottom w:val="single" w:sz="4" w:space="0" w:color="auto"/>
              <w:right w:val="single" w:sz="4" w:space="0" w:color="auto"/>
            </w:tcBorders>
            <w:shd w:val="clear" w:color="auto" w:fill="auto"/>
            <w:vAlign w:val="center"/>
            <w:hideMark/>
          </w:tcPr>
          <w:p w14:paraId="7A084B69" w14:textId="77777777" w:rsidR="003D1B2E" w:rsidRPr="005D20FF" w:rsidRDefault="003D1B2E" w:rsidP="003D1B2E">
            <w:pPr>
              <w:jc w:val="center"/>
              <w:rPr>
                <w:bCs/>
                <w:i/>
                <w:color w:val="000000"/>
                <w:sz w:val="20"/>
                <w:szCs w:val="20"/>
              </w:rPr>
            </w:pPr>
            <w:r w:rsidRPr="005D20FF">
              <w:rPr>
                <w:bCs/>
                <w:i/>
                <w:color w:val="000000"/>
                <w:sz w:val="20"/>
                <w:szCs w:val="20"/>
              </w:rPr>
              <w:t>103,5</w:t>
            </w:r>
          </w:p>
        </w:tc>
      </w:tr>
      <w:tr w:rsidR="003D1B2E" w:rsidRPr="004A52CD" w14:paraId="7C25F416"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BFB669A" w14:textId="77777777" w:rsidR="003D1B2E" w:rsidRPr="005D20FF" w:rsidRDefault="003D1B2E" w:rsidP="003D1B2E">
            <w:pPr>
              <w:jc w:val="both"/>
              <w:rPr>
                <w:color w:val="000000"/>
                <w:sz w:val="20"/>
                <w:szCs w:val="20"/>
              </w:rPr>
            </w:pPr>
            <w:r w:rsidRPr="005D20FF">
              <w:rPr>
                <w:color w:val="000000"/>
                <w:sz w:val="20"/>
                <w:szCs w:val="20"/>
              </w:rPr>
              <w:t>Обеспечение реализации международных обязательств РФ (Взносы в международные организации)</w:t>
            </w:r>
          </w:p>
        </w:tc>
        <w:tc>
          <w:tcPr>
            <w:tcW w:w="1162" w:type="dxa"/>
            <w:tcBorders>
              <w:top w:val="nil"/>
              <w:left w:val="nil"/>
              <w:bottom w:val="single" w:sz="4" w:space="0" w:color="auto"/>
              <w:right w:val="single" w:sz="4" w:space="0" w:color="auto"/>
            </w:tcBorders>
            <w:shd w:val="clear" w:color="auto" w:fill="auto"/>
            <w:vAlign w:val="center"/>
          </w:tcPr>
          <w:p w14:paraId="169BD7BF" w14:textId="676E0E5E" w:rsidR="003D1B2E" w:rsidRPr="005D20FF" w:rsidRDefault="003D1B2E" w:rsidP="009A0C49">
            <w:pPr>
              <w:jc w:val="center"/>
              <w:rPr>
                <w:color w:val="000000"/>
                <w:sz w:val="20"/>
                <w:szCs w:val="20"/>
              </w:rPr>
            </w:pPr>
            <w:r w:rsidRPr="009A0C49">
              <w:rPr>
                <w:color w:val="000000"/>
                <w:sz w:val="20"/>
                <w:szCs w:val="20"/>
              </w:rPr>
              <w:t>0,0</w:t>
            </w:r>
          </w:p>
        </w:tc>
        <w:tc>
          <w:tcPr>
            <w:tcW w:w="1162" w:type="dxa"/>
            <w:tcBorders>
              <w:top w:val="nil"/>
              <w:left w:val="nil"/>
              <w:bottom w:val="single" w:sz="4" w:space="0" w:color="auto"/>
              <w:right w:val="single" w:sz="4" w:space="0" w:color="auto"/>
            </w:tcBorders>
            <w:shd w:val="clear" w:color="auto" w:fill="auto"/>
            <w:vAlign w:val="center"/>
          </w:tcPr>
          <w:p w14:paraId="73B07DE5" w14:textId="042A0F82" w:rsidR="003D1B2E" w:rsidRPr="005D20FF" w:rsidRDefault="003D1B2E" w:rsidP="009A0C49">
            <w:pPr>
              <w:jc w:val="center"/>
              <w:rPr>
                <w:color w:val="000000"/>
                <w:sz w:val="20"/>
                <w:szCs w:val="20"/>
              </w:rPr>
            </w:pPr>
            <w:r w:rsidRPr="009A0C49">
              <w:rPr>
                <w:color w:val="000000"/>
                <w:sz w:val="20"/>
                <w:szCs w:val="20"/>
              </w:rPr>
              <w:t>0,0</w:t>
            </w:r>
          </w:p>
        </w:tc>
        <w:tc>
          <w:tcPr>
            <w:tcW w:w="1162" w:type="dxa"/>
            <w:tcBorders>
              <w:top w:val="nil"/>
              <w:left w:val="nil"/>
              <w:bottom w:val="single" w:sz="4" w:space="0" w:color="auto"/>
              <w:right w:val="single" w:sz="4" w:space="0" w:color="auto"/>
            </w:tcBorders>
            <w:shd w:val="clear" w:color="auto" w:fill="auto"/>
            <w:vAlign w:val="center"/>
          </w:tcPr>
          <w:p w14:paraId="54DAAD48" w14:textId="5CA19C28" w:rsidR="003D1B2E" w:rsidRPr="005D20FF" w:rsidRDefault="003D1B2E" w:rsidP="009A0C49">
            <w:pPr>
              <w:jc w:val="center"/>
              <w:rPr>
                <w:color w:val="000000"/>
                <w:sz w:val="20"/>
                <w:szCs w:val="20"/>
              </w:rPr>
            </w:pPr>
            <w:r w:rsidRPr="009A0C49">
              <w:rPr>
                <w:color w:val="000000"/>
                <w:sz w:val="20"/>
                <w:szCs w:val="20"/>
              </w:rPr>
              <w:t>0,0</w:t>
            </w:r>
          </w:p>
        </w:tc>
        <w:tc>
          <w:tcPr>
            <w:tcW w:w="1162" w:type="dxa"/>
            <w:tcBorders>
              <w:top w:val="nil"/>
              <w:left w:val="nil"/>
              <w:bottom w:val="single" w:sz="4" w:space="0" w:color="auto"/>
              <w:right w:val="single" w:sz="4" w:space="0" w:color="auto"/>
            </w:tcBorders>
            <w:shd w:val="clear" w:color="auto" w:fill="auto"/>
            <w:vAlign w:val="center"/>
            <w:hideMark/>
          </w:tcPr>
          <w:p w14:paraId="64367CFE" w14:textId="77777777" w:rsidR="003D1B2E" w:rsidRPr="005D20FF" w:rsidRDefault="003D1B2E" w:rsidP="003D1B2E">
            <w:pPr>
              <w:jc w:val="center"/>
              <w:rPr>
                <w:bCs/>
                <w:i/>
                <w:color w:val="000000"/>
                <w:sz w:val="20"/>
                <w:szCs w:val="20"/>
              </w:rPr>
            </w:pPr>
            <w:r w:rsidRPr="005D20FF">
              <w:rPr>
                <w:bCs/>
                <w:i/>
                <w:color w:val="000000"/>
                <w:sz w:val="20"/>
                <w:szCs w:val="20"/>
              </w:rPr>
              <w:t>82,8</w:t>
            </w:r>
          </w:p>
        </w:tc>
        <w:tc>
          <w:tcPr>
            <w:tcW w:w="1163" w:type="dxa"/>
            <w:tcBorders>
              <w:top w:val="nil"/>
              <w:left w:val="nil"/>
              <w:bottom w:val="single" w:sz="4" w:space="0" w:color="auto"/>
              <w:right w:val="single" w:sz="4" w:space="0" w:color="auto"/>
            </w:tcBorders>
            <w:shd w:val="clear" w:color="auto" w:fill="auto"/>
            <w:vAlign w:val="center"/>
            <w:hideMark/>
          </w:tcPr>
          <w:p w14:paraId="19661450" w14:textId="77777777" w:rsidR="003D1B2E" w:rsidRPr="005D20FF" w:rsidRDefault="003D1B2E" w:rsidP="003D1B2E">
            <w:pPr>
              <w:jc w:val="center"/>
              <w:rPr>
                <w:bCs/>
                <w:i/>
                <w:color w:val="000000"/>
                <w:sz w:val="20"/>
                <w:szCs w:val="20"/>
              </w:rPr>
            </w:pPr>
            <w:r w:rsidRPr="005D20FF">
              <w:rPr>
                <w:bCs/>
                <w:i/>
                <w:color w:val="000000"/>
                <w:sz w:val="20"/>
                <w:szCs w:val="20"/>
              </w:rPr>
              <w:t>100,6</w:t>
            </w:r>
          </w:p>
        </w:tc>
      </w:tr>
      <w:tr w:rsidR="003D1B2E" w:rsidRPr="004A52CD" w14:paraId="5C25C530"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711E494" w14:textId="77777777" w:rsidR="003D1B2E" w:rsidRPr="005D20FF" w:rsidRDefault="003D1B2E" w:rsidP="003D1B2E">
            <w:pPr>
              <w:jc w:val="both"/>
              <w:rPr>
                <w:color w:val="000000"/>
                <w:sz w:val="20"/>
                <w:szCs w:val="20"/>
              </w:rPr>
            </w:pPr>
            <w:r w:rsidRPr="005D20FF">
              <w:rPr>
                <w:color w:val="000000"/>
                <w:sz w:val="20"/>
                <w:szCs w:val="20"/>
              </w:rPr>
              <w:t xml:space="preserve">Проведение закупочных и товарных интервенций на рынках сельскохозяйственной продукции, а также залоговых операций </w:t>
            </w:r>
          </w:p>
        </w:tc>
        <w:tc>
          <w:tcPr>
            <w:tcW w:w="1162" w:type="dxa"/>
            <w:tcBorders>
              <w:top w:val="nil"/>
              <w:left w:val="nil"/>
              <w:bottom w:val="single" w:sz="4" w:space="0" w:color="auto"/>
              <w:right w:val="single" w:sz="4" w:space="0" w:color="auto"/>
            </w:tcBorders>
            <w:shd w:val="clear" w:color="auto" w:fill="auto"/>
            <w:vAlign w:val="center"/>
          </w:tcPr>
          <w:p w14:paraId="647AF3E1" w14:textId="3EF091A2" w:rsidR="003D1B2E" w:rsidRPr="005D20FF" w:rsidRDefault="003D1B2E" w:rsidP="009A0C49">
            <w:pPr>
              <w:jc w:val="center"/>
              <w:rPr>
                <w:color w:val="000000"/>
                <w:sz w:val="20"/>
                <w:szCs w:val="20"/>
              </w:rPr>
            </w:pPr>
            <w:r w:rsidRPr="009A0C49">
              <w:rPr>
                <w:color w:val="000000"/>
                <w:sz w:val="20"/>
                <w:szCs w:val="20"/>
              </w:rPr>
              <w:t>6,9</w:t>
            </w:r>
          </w:p>
        </w:tc>
        <w:tc>
          <w:tcPr>
            <w:tcW w:w="1162" w:type="dxa"/>
            <w:tcBorders>
              <w:top w:val="nil"/>
              <w:left w:val="nil"/>
              <w:bottom w:val="single" w:sz="4" w:space="0" w:color="auto"/>
              <w:right w:val="single" w:sz="4" w:space="0" w:color="auto"/>
            </w:tcBorders>
            <w:shd w:val="clear" w:color="auto" w:fill="auto"/>
            <w:vAlign w:val="center"/>
          </w:tcPr>
          <w:p w14:paraId="5BEAF114" w14:textId="2E0FCB4B" w:rsidR="003D1B2E" w:rsidRPr="005D20FF" w:rsidRDefault="003D1B2E" w:rsidP="009A0C49">
            <w:pPr>
              <w:jc w:val="center"/>
              <w:rPr>
                <w:color w:val="000000"/>
                <w:sz w:val="20"/>
                <w:szCs w:val="20"/>
              </w:rPr>
            </w:pPr>
            <w:r w:rsidRPr="009A0C49">
              <w:rPr>
                <w:color w:val="000000"/>
                <w:sz w:val="20"/>
                <w:szCs w:val="20"/>
              </w:rPr>
              <w:t>6,9</w:t>
            </w:r>
          </w:p>
        </w:tc>
        <w:tc>
          <w:tcPr>
            <w:tcW w:w="1162" w:type="dxa"/>
            <w:tcBorders>
              <w:top w:val="nil"/>
              <w:left w:val="nil"/>
              <w:bottom w:val="single" w:sz="4" w:space="0" w:color="auto"/>
              <w:right w:val="single" w:sz="4" w:space="0" w:color="auto"/>
            </w:tcBorders>
            <w:shd w:val="clear" w:color="auto" w:fill="auto"/>
            <w:vAlign w:val="center"/>
          </w:tcPr>
          <w:p w14:paraId="5F2F6D25" w14:textId="2EF6D51D" w:rsidR="003D1B2E" w:rsidRPr="005D20FF" w:rsidRDefault="003D1B2E" w:rsidP="009A0C49">
            <w:pPr>
              <w:jc w:val="center"/>
              <w:rPr>
                <w:color w:val="000000"/>
                <w:sz w:val="20"/>
                <w:szCs w:val="20"/>
              </w:rPr>
            </w:pPr>
            <w:r w:rsidRPr="009A0C49">
              <w:rPr>
                <w:color w:val="000000"/>
                <w:sz w:val="20"/>
                <w:szCs w:val="20"/>
              </w:rPr>
              <w:t>6,9</w:t>
            </w:r>
          </w:p>
        </w:tc>
        <w:tc>
          <w:tcPr>
            <w:tcW w:w="1162" w:type="dxa"/>
            <w:tcBorders>
              <w:top w:val="nil"/>
              <w:left w:val="nil"/>
              <w:bottom w:val="single" w:sz="4" w:space="0" w:color="auto"/>
              <w:right w:val="single" w:sz="4" w:space="0" w:color="auto"/>
            </w:tcBorders>
            <w:shd w:val="clear" w:color="auto" w:fill="auto"/>
            <w:vAlign w:val="center"/>
            <w:hideMark/>
          </w:tcPr>
          <w:p w14:paraId="397B1F53" w14:textId="77777777" w:rsidR="003D1B2E" w:rsidRPr="005D20FF" w:rsidRDefault="003D1B2E" w:rsidP="003D1B2E">
            <w:pPr>
              <w:jc w:val="center"/>
              <w:rPr>
                <w:bCs/>
                <w:i/>
                <w:color w:val="000000"/>
                <w:sz w:val="20"/>
                <w:szCs w:val="20"/>
              </w:rPr>
            </w:pPr>
            <w:r w:rsidRPr="005D20FF">
              <w:rPr>
                <w:bCs/>
                <w:i/>
                <w:color w:val="000000"/>
                <w:sz w:val="20"/>
                <w:szCs w:val="20"/>
              </w:rPr>
              <w:t>100,4</w:t>
            </w:r>
          </w:p>
        </w:tc>
        <w:tc>
          <w:tcPr>
            <w:tcW w:w="1163" w:type="dxa"/>
            <w:tcBorders>
              <w:top w:val="nil"/>
              <w:left w:val="nil"/>
              <w:bottom w:val="single" w:sz="4" w:space="0" w:color="auto"/>
              <w:right w:val="single" w:sz="4" w:space="0" w:color="auto"/>
            </w:tcBorders>
            <w:shd w:val="clear" w:color="auto" w:fill="auto"/>
            <w:vAlign w:val="center"/>
            <w:hideMark/>
          </w:tcPr>
          <w:p w14:paraId="436D88CC" w14:textId="77777777" w:rsidR="003D1B2E" w:rsidRPr="005D20FF" w:rsidRDefault="003D1B2E" w:rsidP="003D1B2E">
            <w:pPr>
              <w:jc w:val="center"/>
              <w:rPr>
                <w:bCs/>
                <w:i/>
                <w:color w:val="000000"/>
                <w:sz w:val="20"/>
                <w:szCs w:val="20"/>
              </w:rPr>
            </w:pPr>
            <w:r w:rsidRPr="005D20FF">
              <w:rPr>
                <w:bCs/>
                <w:i/>
                <w:color w:val="000000"/>
                <w:sz w:val="20"/>
                <w:szCs w:val="20"/>
              </w:rPr>
              <w:t>100,0</w:t>
            </w:r>
          </w:p>
        </w:tc>
      </w:tr>
      <w:tr w:rsidR="003D1B2E" w:rsidRPr="004A52CD" w14:paraId="36E27B7D"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00A9C6D" w14:textId="77777777" w:rsidR="003D1B2E" w:rsidRPr="005D20FF" w:rsidRDefault="003D1B2E" w:rsidP="003D1B2E">
            <w:pPr>
              <w:jc w:val="both"/>
              <w:rPr>
                <w:color w:val="000000"/>
                <w:sz w:val="20"/>
                <w:szCs w:val="20"/>
              </w:rPr>
            </w:pPr>
            <w:r w:rsidRPr="005D20FF">
              <w:rPr>
                <w:color w:val="000000"/>
                <w:sz w:val="20"/>
                <w:szCs w:val="20"/>
              </w:rPr>
              <w:t>Ведомственная целевая программа "Организация ветеринарного и фитосанитарного надзора"</w:t>
            </w:r>
          </w:p>
        </w:tc>
        <w:tc>
          <w:tcPr>
            <w:tcW w:w="1162" w:type="dxa"/>
            <w:tcBorders>
              <w:top w:val="nil"/>
              <w:left w:val="nil"/>
              <w:bottom w:val="single" w:sz="4" w:space="0" w:color="auto"/>
              <w:right w:val="single" w:sz="4" w:space="0" w:color="auto"/>
            </w:tcBorders>
            <w:shd w:val="clear" w:color="auto" w:fill="auto"/>
            <w:vAlign w:val="center"/>
          </w:tcPr>
          <w:p w14:paraId="221FE135" w14:textId="4E5A7D58" w:rsidR="003D1B2E" w:rsidRPr="005D20FF" w:rsidRDefault="003D1B2E" w:rsidP="009A0C49">
            <w:pPr>
              <w:jc w:val="center"/>
              <w:rPr>
                <w:color w:val="000000"/>
                <w:sz w:val="20"/>
                <w:szCs w:val="20"/>
              </w:rPr>
            </w:pPr>
            <w:r w:rsidRPr="009A0C49">
              <w:rPr>
                <w:color w:val="000000"/>
                <w:sz w:val="20"/>
                <w:szCs w:val="20"/>
              </w:rPr>
              <w:t>12,3</w:t>
            </w:r>
          </w:p>
        </w:tc>
        <w:tc>
          <w:tcPr>
            <w:tcW w:w="1162" w:type="dxa"/>
            <w:tcBorders>
              <w:top w:val="nil"/>
              <w:left w:val="nil"/>
              <w:bottom w:val="single" w:sz="4" w:space="0" w:color="auto"/>
              <w:right w:val="single" w:sz="4" w:space="0" w:color="auto"/>
            </w:tcBorders>
            <w:shd w:val="clear" w:color="auto" w:fill="auto"/>
            <w:vAlign w:val="center"/>
          </w:tcPr>
          <w:p w14:paraId="3C0F7F67" w14:textId="00878193" w:rsidR="003D1B2E" w:rsidRPr="005D20FF" w:rsidRDefault="003D1B2E" w:rsidP="009A0C49">
            <w:pPr>
              <w:jc w:val="center"/>
              <w:rPr>
                <w:color w:val="000000"/>
                <w:sz w:val="20"/>
                <w:szCs w:val="20"/>
              </w:rPr>
            </w:pPr>
            <w:r w:rsidRPr="009A0C49">
              <w:rPr>
                <w:color w:val="000000"/>
                <w:sz w:val="20"/>
                <w:szCs w:val="20"/>
              </w:rPr>
              <w:t>12,6</w:t>
            </w:r>
          </w:p>
        </w:tc>
        <w:tc>
          <w:tcPr>
            <w:tcW w:w="1162" w:type="dxa"/>
            <w:tcBorders>
              <w:top w:val="nil"/>
              <w:left w:val="nil"/>
              <w:bottom w:val="single" w:sz="4" w:space="0" w:color="auto"/>
              <w:right w:val="single" w:sz="4" w:space="0" w:color="auto"/>
            </w:tcBorders>
            <w:shd w:val="clear" w:color="auto" w:fill="auto"/>
            <w:vAlign w:val="center"/>
          </w:tcPr>
          <w:p w14:paraId="39976165" w14:textId="69828764" w:rsidR="003D1B2E" w:rsidRPr="005D20FF" w:rsidRDefault="003D1B2E" w:rsidP="009A0C49">
            <w:pPr>
              <w:jc w:val="center"/>
              <w:rPr>
                <w:color w:val="000000"/>
                <w:sz w:val="20"/>
                <w:szCs w:val="20"/>
              </w:rPr>
            </w:pPr>
            <w:r w:rsidRPr="009A0C49">
              <w:rPr>
                <w:color w:val="000000"/>
                <w:sz w:val="20"/>
                <w:szCs w:val="20"/>
              </w:rPr>
              <w:t>11,9</w:t>
            </w:r>
          </w:p>
        </w:tc>
        <w:tc>
          <w:tcPr>
            <w:tcW w:w="1162" w:type="dxa"/>
            <w:tcBorders>
              <w:top w:val="nil"/>
              <w:left w:val="nil"/>
              <w:bottom w:val="single" w:sz="4" w:space="0" w:color="auto"/>
              <w:right w:val="single" w:sz="4" w:space="0" w:color="auto"/>
            </w:tcBorders>
            <w:shd w:val="clear" w:color="auto" w:fill="auto"/>
            <w:vAlign w:val="center"/>
            <w:hideMark/>
          </w:tcPr>
          <w:p w14:paraId="7F802466" w14:textId="77777777" w:rsidR="003D1B2E" w:rsidRPr="005D20FF" w:rsidRDefault="003D1B2E" w:rsidP="003D1B2E">
            <w:pPr>
              <w:jc w:val="center"/>
              <w:rPr>
                <w:bCs/>
                <w:i/>
                <w:color w:val="000000"/>
                <w:sz w:val="20"/>
                <w:szCs w:val="20"/>
              </w:rPr>
            </w:pPr>
            <w:r w:rsidRPr="005D20FF">
              <w:rPr>
                <w:bCs/>
                <w:i/>
                <w:color w:val="000000"/>
                <w:sz w:val="20"/>
                <w:szCs w:val="20"/>
              </w:rPr>
              <w:t>102,0</w:t>
            </w:r>
          </w:p>
        </w:tc>
        <w:tc>
          <w:tcPr>
            <w:tcW w:w="1163" w:type="dxa"/>
            <w:tcBorders>
              <w:top w:val="nil"/>
              <w:left w:val="nil"/>
              <w:bottom w:val="single" w:sz="4" w:space="0" w:color="auto"/>
              <w:right w:val="single" w:sz="4" w:space="0" w:color="auto"/>
            </w:tcBorders>
            <w:shd w:val="clear" w:color="auto" w:fill="auto"/>
            <w:vAlign w:val="center"/>
            <w:hideMark/>
          </w:tcPr>
          <w:p w14:paraId="72014C8C" w14:textId="77777777" w:rsidR="003D1B2E" w:rsidRPr="005D20FF" w:rsidRDefault="003D1B2E" w:rsidP="003D1B2E">
            <w:pPr>
              <w:jc w:val="center"/>
              <w:rPr>
                <w:bCs/>
                <w:i/>
                <w:color w:val="000000"/>
                <w:sz w:val="20"/>
                <w:szCs w:val="20"/>
              </w:rPr>
            </w:pPr>
            <w:r w:rsidRPr="005D20FF">
              <w:rPr>
                <w:bCs/>
                <w:i/>
                <w:color w:val="000000"/>
                <w:sz w:val="20"/>
                <w:szCs w:val="20"/>
              </w:rPr>
              <w:t>94,9</w:t>
            </w:r>
          </w:p>
        </w:tc>
      </w:tr>
      <w:tr w:rsidR="003D1B2E" w:rsidRPr="004A52CD" w14:paraId="73B0BC8E"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9A84227" w14:textId="77777777" w:rsidR="003D1B2E" w:rsidRPr="00BE65E2" w:rsidRDefault="003D1B2E" w:rsidP="003D1B2E">
            <w:pPr>
              <w:jc w:val="both"/>
              <w:rPr>
                <w:color w:val="000000"/>
                <w:sz w:val="20"/>
                <w:szCs w:val="20"/>
              </w:rPr>
            </w:pPr>
            <w:r w:rsidRPr="00BE65E2">
              <w:rPr>
                <w:color w:val="000000"/>
                <w:sz w:val="20"/>
                <w:szCs w:val="20"/>
              </w:rPr>
              <w:t>Ведомственная целевая программа "Научно-техническое обеспечение развития отраслей агропромышленного комплекса"</w:t>
            </w:r>
          </w:p>
        </w:tc>
        <w:tc>
          <w:tcPr>
            <w:tcW w:w="1162" w:type="dxa"/>
            <w:tcBorders>
              <w:top w:val="nil"/>
              <w:left w:val="nil"/>
              <w:bottom w:val="single" w:sz="4" w:space="0" w:color="auto"/>
              <w:right w:val="single" w:sz="4" w:space="0" w:color="auto"/>
            </w:tcBorders>
            <w:shd w:val="clear" w:color="auto" w:fill="auto"/>
            <w:vAlign w:val="center"/>
          </w:tcPr>
          <w:p w14:paraId="36FEA08B" w14:textId="4F9100DD" w:rsidR="003D1B2E" w:rsidRPr="00BE65E2" w:rsidRDefault="003D1B2E" w:rsidP="009A0C49">
            <w:pPr>
              <w:jc w:val="center"/>
              <w:rPr>
                <w:color w:val="000000"/>
                <w:sz w:val="20"/>
                <w:szCs w:val="20"/>
              </w:rPr>
            </w:pPr>
            <w:r w:rsidRPr="009A0C49">
              <w:rPr>
                <w:color w:val="000000"/>
                <w:sz w:val="20"/>
                <w:szCs w:val="20"/>
              </w:rPr>
              <w:t>1,5</w:t>
            </w:r>
          </w:p>
        </w:tc>
        <w:tc>
          <w:tcPr>
            <w:tcW w:w="1162" w:type="dxa"/>
            <w:tcBorders>
              <w:top w:val="nil"/>
              <w:left w:val="nil"/>
              <w:bottom w:val="single" w:sz="4" w:space="0" w:color="auto"/>
              <w:right w:val="single" w:sz="4" w:space="0" w:color="auto"/>
            </w:tcBorders>
            <w:shd w:val="clear" w:color="auto" w:fill="auto"/>
            <w:vAlign w:val="center"/>
          </w:tcPr>
          <w:p w14:paraId="6161CE2F" w14:textId="08DAF50E" w:rsidR="003D1B2E" w:rsidRPr="00BE65E2" w:rsidRDefault="003D1B2E" w:rsidP="009A0C49">
            <w:pPr>
              <w:jc w:val="center"/>
              <w:rPr>
                <w:color w:val="000000"/>
                <w:sz w:val="20"/>
                <w:szCs w:val="20"/>
              </w:rPr>
            </w:pPr>
            <w:r w:rsidRPr="009A0C49">
              <w:rPr>
                <w:color w:val="000000"/>
                <w:sz w:val="20"/>
                <w:szCs w:val="20"/>
              </w:rPr>
              <w:t>0,5</w:t>
            </w:r>
          </w:p>
        </w:tc>
        <w:tc>
          <w:tcPr>
            <w:tcW w:w="1162" w:type="dxa"/>
            <w:tcBorders>
              <w:top w:val="nil"/>
              <w:left w:val="nil"/>
              <w:bottom w:val="single" w:sz="4" w:space="0" w:color="auto"/>
              <w:right w:val="single" w:sz="4" w:space="0" w:color="auto"/>
            </w:tcBorders>
            <w:shd w:val="clear" w:color="auto" w:fill="auto"/>
            <w:vAlign w:val="center"/>
          </w:tcPr>
          <w:p w14:paraId="002FCB2D" w14:textId="52F7DA99" w:rsidR="003D1B2E" w:rsidRPr="00BE65E2" w:rsidRDefault="003D1B2E" w:rsidP="009A0C49">
            <w:pPr>
              <w:jc w:val="center"/>
              <w:rPr>
                <w:color w:val="000000"/>
                <w:sz w:val="20"/>
                <w:szCs w:val="20"/>
              </w:rPr>
            </w:pPr>
            <w:r w:rsidRPr="009A0C49">
              <w:rPr>
                <w:color w:val="000000"/>
                <w:sz w:val="20"/>
                <w:szCs w:val="20"/>
              </w:rPr>
              <w:t>0,5</w:t>
            </w:r>
          </w:p>
        </w:tc>
        <w:tc>
          <w:tcPr>
            <w:tcW w:w="1162" w:type="dxa"/>
            <w:tcBorders>
              <w:top w:val="nil"/>
              <w:left w:val="nil"/>
              <w:bottom w:val="single" w:sz="4" w:space="0" w:color="auto"/>
              <w:right w:val="single" w:sz="4" w:space="0" w:color="auto"/>
            </w:tcBorders>
            <w:shd w:val="clear" w:color="auto" w:fill="auto"/>
            <w:vAlign w:val="center"/>
            <w:hideMark/>
          </w:tcPr>
          <w:p w14:paraId="4492389E" w14:textId="77777777" w:rsidR="003D1B2E" w:rsidRPr="00BE65E2" w:rsidRDefault="003D1B2E" w:rsidP="003D1B2E">
            <w:pPr>
              <w:jc w:val="center"/>
              <w:rPr>
                <w:bCs/>
                <w:i/>
                <w:color w:val="000000"/>
                <w:sz w:val="20"/>
                <w:szCs w:val="20"/>
              </w:rPr>
            </w:pPr>
            <w:r w:rsidRPr="00BE65E2">
              <w:rPr>
                <w:bCs/>
                <w:i/>
                <w:color w:val="000000"/>
                <w:sz w:val="20"/>
                <w:szCs w:val="20"/>
              </w:rPr>
              <w:t>33,0</w:t>
            </w:r>
          </w:p>
        </w:tc>
        <w:tc>
          <w:tcPr>
            <w:tcW w:w="1163" w:type="dxa"/>
            <w:tcBorders>
              <w:top w:val="nil"/>
              <w:left w:val="nil"/>
              <w:bottom w:val="single" w:sz="4" w:space="0" w:color="auto"/>
              <w:right w:val="single" w:sz="4" w:space="0" w:color="auto"/>
            </w:tcBorders>
            <w:shd w:val="clear" w:color="auto" w:fill="auto"/>
            <w:vAlign w:val="center"/>
            <w:hideMark/>
          </w:tcPr>
          <w:p w14:paraId="3892D2E0" w14:textId="77777777" w:rsidR="003D1B2E" w:rsidRPr="00BE65E2" w:rsidRDefault="003D1B2E" w:rsidP="003D1B2E">
            <w:pPr>
              <w:jc w:val="center"/>
              <w:rPr>
                <w:bCs/>
                <w:i/>
                <w:color w:val="000000"/>
                <w:sz w:val="20"/>
                <w:szCs w:val="20"/>
              </w:rPr>
            </w:pPr>
            <w:r w:rsidRPr="00BE65E2">
              <w:rPr>
                <w:bCs/>
                <w:i/>
                <w:color w:val="000000"/>
                <w:sz w:val="20"/>
                <w:szCs w:val="20"/>
              </w:rPr>
              <w:t>101,1</w:t>
            </w:r>
          </w:p>
        </w:tc>
      </w:tr>
      <w:tr w:rsidR="003D1B2E" w:rsidRPr="004A52CD" w14:paraId="05DB3663"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E3E83FA" w14:textId="77777777" w:rsidR="003D1B2E" w:rsidRPr="00BE65E2" w:rsidRDefault="003D1B2E" w:rsidP="003D1B2E">
            <w:pPr>
              <w:jc w:val="both"/>
              <w:rPr>
                <w:color w:val="000000"/>
                <w:sz w:val="20"/>
                <w:szCs w:val="20"/>
              </w:rPr>
            </w:pPr>
            <w:r w:rsidRPr="00BE65E2">
              <w:rPr>
                <w:color w:val="000000"/>
                <w:sz w:val="20"/>
                <w:szCs w:val="20"/>
              </w:rPr>
              <w:t>Ведомственная программа "Развитие мелиоративного комплекса России"</w:t>
            </w:r>
          </w:p>
        </w:tc>
        <w:tc>
          <w:tcPr>
            <w:tcW w:w="1162" w:type="dxa"/>
            <w:tcBorders>
              <w:top w:val="nil"/>
              <w:left w:val="nil"/>
              <w:bottom w:val="single" w:sz="4" w:space="0" w:color="auto"/>
              <w:right w:val="single" w:sz="4" w:space="0" w:color="auto"/>
            </w:tcBorders>
            <w:shd w:val="clear" w:color="auto" w:fill="auto"/>
            <w:vAlign w:val="center"/>
          </w:tcPr>
          <w:p w14:paraId="1F59F958" w14:textId="098A087C" w:rsidR="003D1B2E" w:rsidRPr="00BE65E2" w:rsidRDefault="003D1B2E" w:rsidP="009A0C49">
            <w:pPr>
              <w:jc w:val="center"/>
              <w:rPr>
                <w:color w:val="000000"/>
                <w:sz w:val="20"/>
                <w:szCs w:val="20"/>
              </w:rPr>
            </w:pPr>
            <w:r w:rsidRPr="009A0C49">
              <w:rPr>
                <w:color w:val="000000"/>
                <w:sz w:val="20"/>
                <w:szCs w:val="20"/>
              </w:rPr>
              <w:t>14,7</w:t>
            </w:r>
          </w:p>
        </w:tc>
        <w:tc>
          <w:tcPr>
            <w:tcW w:w="1162" w:type="dxa"/>
            <w:tcBorders>
              <w:top w:val="nil"/>
              <w:left w:val="nil"/>
              <w:bottom w:val="single" w:sz="4" w:space="0" w:color="auto"/>
              <w:right w:val="single" w:sz="4" w:space="0" w:color="auto"/>
            </w:tcBorders>
            <w:shd w:val="clear" w:color="auto" w:fill="auto"/>
            <w:vAlign w:val="center"/>
          </w:tcPr>
          <w:p w14:paraId="59BF718B" w14:textId="0F743BEA" w:rsidR="003D1B2E" w:rsidRPr="00BE65E2" w:rsidRDefault="003D1B2E" w:rsidP="009A0C49">
            <w:pPr>
              <w:jc w:val="center"/>
              <w:rPr>
                <w:color w:val="000000"/>
                <w:sz w:val="20"/>
                <w:szCs w:val="20"/>
              </w:rPr>
            </w:pPr>
            <w:r w:rsidRPr="009A0C49">
              <w:rPr>
                <w:color w:val="000000"/>
                <w:sz w:val="20"/>
                <w:szCs w:val="20"/>
              </w:rPr>
              <w:t>7,2</w:t>
            </w:r>
          </w:p>
        </w:tc>
        <w:tc>
          <w:tcPr>
            <w:tcW w:w="1162" w:type="dxa"/>
            <w:tcBorders>
              <w:top w:val="nil"/>
              <w:left w:val="nil"/>
              <w:bottom w:val="single" w:sz="4" w:space="0" w:color="auto"/>
              <w:right w:val="single" w:sz="4" w:space="0" w:color="auto"/>
            </w:tcBorders>
            <w:shd w:val="clear" w:color="auto" w:fill="auto"/>
            <w:vAlign w:val="center"/>
          </w:tcPr>
          <w:p w14:paraId="2073D3C4" w14:textId="792B42B1" w:rsidR="003D1B2E" w:rsidRPr="00BE65E2" w:rsidRDefault="003D1B2E" w:rsidP="009A0C49">
            <w:pPr>
              <w:jc w:val="center"/>
              <w:rPr>
                <w:color w:val="000000"/>
                <w:sz w:val="20"/>
                <w:szCs w:val="20"/>
              </w:rPr>
            </w:pPr>
            <w:r w:rsidRPr="009A0C49">
              <w:rPr>
                <w:color w:val="000000"/>
                <w:sz w:val="20"/>
                <w:szCs w:val="20"/>
              </w:rPr>
              <w:t>11,6</w:t>
            </w:r>
          </w:p>
        </w:tc>
        <w:tc>
          <w:tcPr>
            <w:tcW w:w="1162" w:type="dxa"/>
            <w:tcBorders>
              <w:top w:val="nil"/>
              <w:left w:val="nil"/>
              <w:bottom w:val="single" w:sz="4" w:space="0" w:color="auto"/>
              <w:right w:val="single" w:sz="4" w:space="0" w:color="auto"/>
            </w:tcBorders>
            <w:shd w:val="clear" w:color="auto" w:fill="auto"/>
            <w:vAlign w:val="center"/>
            <w:hideMark/>
          </w:tcPr>
          <w:p w14:paraId="168FB9C2" w14:textId="77777777" w:rsidR="003D1B2E" w:rsidRPr="00BE65E2" w:rsidRDefault="003D1B2E" w:rsidP="003D1B2E">
            <w:pPr>
              <w:jc w:val="center"/>
              <w:rPr>
                <w:bCs/>
                <w:i/>
                <w:color w:val="000000"/>
                <w:sz w:val="20"/>
                <w:szCs w:val="20"/>
              </w:rPr>
            </w:pPr>
            <w:r w:rsidRPr="00BE65E2">
              <w:rPr>
                <w:bCs/>
                <w:i/>
                <w:color w:val="000000"/>
                <w:sz w:val="20"/>
                <w:szCs w:val="20"/>
              </w:rPr>
              <w:t>49,0</w:t>
            </w:r>
          </w:p>
        </w:tc>
        <w:tc>
          <w:tcPr>
            <w:tcW w:w="1163" w:type="dxa"/>
            <w:tcBorders>
              <w:top w:val="nil"/>
              <w:left w:val="nil"/>
              <w:bottom w:val="single" w:sz="4" w:space="0" w:color="auto"/>
              <w:right w:val="single" w:sz="4" w:space="0" w:color="auto"/>
            </w:tcBorders>
            <w:shd w:val="clear" w:color="auto" w:fill="auto"/>
            <w:vAlign w:val="center"/>
            <w:hideMark/>
          </w:tcPr>
          <w:p w14:paraId="22D5F9C1" w14:textId="77777777" w:rsidR="003D1B2E" w:rsidRPr="00BE65E2" w:rsidRDefault="003D1B2E" w:rsidP="003D1B2E">
            <w:pPr>
              <w:jc w:val="center"/>
              <w:rPr>
                <w:bCs/>
                <w:i/>
                <w:color w:val="000000"/>
                <w:sz w:val="20"/>
                <w:szCs w:val="20"/>
              </w:rPr>
            </w:pPr>
            <w:r w:rsidRPr="00BE65E2">
              <w:rPr>
                <w:bCs/>
                <w:i/>
                <w:color w:val="000000"/>
                <w:sz w:val="20"/>
                <w:szCs w:val="20"/>
              </w:rPr>
              <w:t>160,9</w:t>
            </w:r>
          </w:p>
        </w:tc>
      </w:tr>
      <w:tr w:rsidR="003D1B2E" w:rsidRPr="004A52CD" w14:paraId="03EDEEE6"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5C21C34" w14:textId="77777777" w:rsidR="003D1B2E" w:rsidRPr="00BE65E2" w:rsidRDefault="003D1B2E" w:rsidP="003D1B2E">
            <w:pPr>
              <w:jc w:val="both"/>
              <w:rPr>
                <w:color w:val="000000"/>
                <w:sz w:val="20"/>
                <w:szCs w:val="20"/>
              </w:rPr>
            </w:pPr>
            <w:r w:rsidRPr="00BE65E2">
              <w:rPr>
                <w:color w:val="000000"/>
                <w:sz w:val="20"/>
                <w:szCs w:val="20"/>
              </w:rPr>
              <w:t>Реализация мер в области мелиорации земель с/х назначения (Субсидии, за исключением субсидий на софинансирование кап вложений в объекты гос. (муниципальной) собственности)</w:t>
            </w:r>
          </w:p>
        </w:tc>
        <w:tc>
          <w:tcPr>
            <w:tcW w:w="1162" w:type="dxa"/>
            <w:tcBorders>
              <w:top w:val="nil"/>
              <w:left w:val="nil"/>
              <w:bottom w:val="single" w:sz="4" w:space="0" w:color="auto"/>
              <w:right w:val="single" w:sz="4" w:space="0" w:color="auto"/>
            </w:tcBorders>
            <w:shd w:val="clear" w:color="auto" w:fill="auto"/>
            <w:vAlign w:val="center"/>
          </w:tcPr>
          <w:p w14:paraId="42C0BF1F" w14:textId="0BAA7378" w:rsidR="003D1B2E" w:rsidRPr="00BE65E2" w:rsidRDefault="003D1B2E" w:rsidP="009A0C49">
            <w:pPr>
              <w:jc w:val="center"/>
              <w:rPr>
                <w:color w:val="000000"/>
                <w:sz w:val="20"/>
                <w:szCs w:val="20"/>
              </w:rPr>
            </w:pPr>
            <w:r w:rsidRPr="009A0C49">
              <w:rPr>
                <w:color w:val="000000"/>
                <w:sz w:val="20"/>
                <w:szCs w:val="20"/>
              </w:rPr>
              <w:t>6,1</w:t>
            </w:r>
          </w:p>
        </w:tc>
        <w:tc>
          <w:tcPr>
            <w:tcW w:w="1162" w:type="dxa"/>
            <w:tcBorders>
              <w:top w:val="nil"/>
              <w:left w:val="nil"/>
              <w:bottom w:val="single" w:sz="4" w:space="0" w:color="auto"/>
              <w:right w:val="single" w:sz="4" w:space="0" w:color="auto"/>
            </w:tcBorders>
            <w:shd w:val="clear" w:color="auto" w:fill="auto"/>
            <w:vAlign w:val="center"/>
          </w:tcPr>
          <w:p w14:paraId="7770E5FE" w14:textId="251C7D1D" w:rsidR="003D1B2E" w:rsidRPr="00BE65E2" w:rsidRDefault="003D1B2E" w:rsidP="009A0C49">
            <w:pPr>
              <w:jc w:val="center"/>
              <w:rPr>
                <w:color w:val="000000"/>
                <w:sz w:val="20"/>
                <w:szCs w:val="20"/>
              </w:rPr>
            </w:pPr>
            <w:r w:rsidRPr="009A0C49">
              <w:rPr>
                <w:color w:val="000000"/>
                <w:sz w:val="20"/>
                <w:szCs w:val="20"/>
              </w:rPr>
              <w:t>3,5</w:t>
            </w:r>
          </w:p>
        </w:tc>
        <w:tc>
          <w:tcPr>
            <w:tcW w:w="1162" w:type="dxa"/>
            <w:tcBorders>
              <w:top w:val="nil"/>
              <w:left w:val="nil"/>
              <w:bottom w:val="single" w:sz="4" w:space="0" w:color="auto"/>
              <w:right w:val="single" w:sz="4" w:space="0" w:color="auto"/>
            </w:tcBorders>
            <w:shd w:val="clear" w:color="auto" w:fill="auto"/>
            <w:vAlign w:val="center"/>
          </w:tcPr>
          <w:p w14:paraId="41344A64" w14:textId="50F8960E" w:rsidR="003D1B2E" w:rsidRPr="00BE65E2" w:rsidRDefault="003D1B2E" w:rsidP="009A0C49">
            <w:pPr>
              <w:jc w:val="center"/>
              <w:rPr>
                <w:color w:val="000000"/>
                <w:sz w:val="20"/>
                <w:szCs w:val="20"/>
              </w:rPr>
            </w:pPr>
            <w:r w:rsidRPr="009A0C49">
              <w:rPr>
                <w:color w:val="000000"/>
                <w:sz w:val="20"/>
                <w:szCs w:val="20"/>
              </w:rPr>
              <w:t>3,5</w:t>
            </w:r>
          </w:p>
        </w:tc>
        <w:tc>
          <w:tcPr>
            <w:tcW w:w="1162" w:type="dxa"/>
            <w:tcBorders>
              <w:top w:val="nil"/>
              <w:left w:val="nil"/>
              <w:bottom w:val="single" w:sz="4" w:space="0" w:color="auto"/>
              <w:right w:val="single" w:sz="4" w:space="0" w:color="auto"/>
            </w:tcBorders>
            <w:shd w:val="clear" w:color="auto" w:fill="auto"/>
            <w:vAlign w:val="center"/>
            <w:hideMark/>
          </w:tcPr>
          <w:p w14:paraId="0E16C7C1" w14:textId="77777777" w:rsidR="003D1B2E" w:rsidRPr="00BE65E2" w:rsidRDefault="003D1B2E" w:rsidP="003D1B2E">
            <w:pPr>
              <w:jc w:val="center"/>
              <w:rPr>
                <w:bCs/>
                <w:i/>
                <w:color w:val="000000"/>
                <w:sz w:val="20"/>
                <w:szCs w:val="20"/>
              </w:rPr>
            </w:pPr>
            <w:r w:rsidRPr="00BE65E2">
              <w:rPr>
                <w:bCs/>
                <w:i/>
                <w:color w:val="000000"/>
                <w:sz w:val="20"/>
                <w:szCs w:val="20"/>
              </w:rPr>
              <w:t>56,5</w:t>
            </w:r>
          </w:p>
        </w:tc>
        <w:tc>
          <w:tcPr>
            <w:tcW w:w="1163" w:type="dxa"/>
            <w:tcBorders>
              <w:top w:val="nil"/>
              <w:left w:val="nil"/>
              <w:bottom w:val="single" w:sz="4" w:space="0" w:color="auto"/>
              <w:right w:val="single" w:sz="4" w:space="0" w:color="auto"/>
            </w:tcBorders>
            <w:shd w:val="clear" w:color="auto" w:fill="auto"/>
            <w:vAlign w:val="center"/>
            <w:hideMark/>
          </w:tcPr>
          <w:p w14:paraId="1AFA0065" w14:textId="77777777" w:rsidR="003D1B2E" w:rsidRPr="00BE65E2" w:rsidRDefault="003D1B2E" w:rsidP="003D1B2E">
            <w:pPr>
              <w:jc w:val="center"/>
              <w:rPr>
                <w:bCs/>
                <w:i/>
                <w:color w:val="000000"/>
                <w:sz w:val="20"/>
                <w:szCs w:val="20"/>
              </w:rPr>
            </w:pPr>
            <w:r w:rsidRPr="00BE65E2">
              <w:rPr>
                <w:bCs/>
                <w:i/>
                <w:color w:val="000000"/>
                <w:sz w:val="20"/>
                <w:szCs w:val="20"/>
              </w:rPr>
              <w:t>99,9</w:t>
            </w:r>
          </w:p>
        </w:tc>
      </w:tr>
      <w:tr w:rsidR="003D1B2E" w:rsidRPr="004A52CD" w14:paraId="4FB444CD"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9F2969D" w14:textId="77777777" w:rsidR="003D1B2E" w:rsidRPr="00BE65E2" w:rsidRDefault="003D1B2E" w:rsidP="003D1B2E">
            <w:pPr>
              <w:jc w:val="both"/>
              <w:rPr>
                <w:color w:val="000000"/>
                <w:sz w:val="20"/>
                <w:szCs w:val="20"/>
              </w:rPr>
            </w:pPr>
            <w:r w:rsidRPr="00BE65E2">
              <w:rPr>
                <w:color w:val="000000"/>
                <w:sz w:val="20"/>
                <w:szCs w:val="20"/>
              </w:rPr>
              <w:t>Расходы на обеспечение функций госорганов, в том числе территориальных органов (Научно-исследовательские и опытно-конструкторские работы)</w:t>
            </w:r>
          </w:p>
        </w:tc>
        <w:tc>
          <w:tcPr>
            <w:tcW w:w="1162" w:type="dxa"/>
            <w:tcBorders>
              <w:top w:val="nil"/>
              <w:left w:val="nil"/>
              <w:bottom w:val="single" w:sz="4" w:space="0" w:color="auto"/>
              <w:right w:val="single" w:sz="4" w:space="0" w:color="auto"/>
            </w:tcBorders>
            <w:shd w:val="clear" w:color="auto" w:fill="auto"/>
            <w:vAlign w:val="center"/>
          </w:tcPr>
          <w:p w14:paraId="4A88F38E" w14:textId="6BA16CBA" w:rsidR="003D1B2E" w:rsidRPr="00BE65E2" w:rsidRDefault="003D1B2E" w:rsidP="009A0C49">
            <w:pPr>
              <w:jc w:val="center"/>
              <w:rPr>
                <w:color w:val="000000"/>
                <w:sz w:val="20"/>
                <w:szCs w:val="20"/>
              </w:rPr>
            </w:pPr>
            <w:r w:rsidRPr="009A0C49">
              <w:rPr>
                <w:color w:val="000000"/>
                <w:sz w:val="20"/>
                <w:szCs w:val="20"/>
              </w:rPr>
              <w:t>0,0</w:t>
            </w:r>
          </w:p>
        </w:tc>
        <w:tc>
          <w:tcPr>
            <w:tcW w:w="1162" w:type="dxa"/>
            <w:tcBorders>
              <w:top w:val="nil"/>
              <w:left w:val="nil"/>
              <w:bottom w:val="single" w:sz="4" w:space="0" w:color="auto"/>
              <w:right w:val="single" w:sz="4" w:space="0" w:color="auto"/>
            </w:tcBorders>
            <w:shd w:val="clear" w:color="auto" w:fill="auto"/>
            <w:vAlign w:val="center"/>
          </w:tcPr>
          <w:p w14:paraId="02F4655B" w14:textId="2AD50D03" w:rsidR="003D1B2E" w:rsidRPr="00BE65E2" w:rsidRDefault="003D1B2E" w:rsidP="009A0C49">
            <w:pPr>
              <w:jc w:val="center"/>
              <w:rPr>
                <w:color w:val="000000"/>
                <w:sz w:val="20"/>
                <w:szCs w:val="20"/>
              </w:rPr>
            </w:pPr>
            <w:r w:rsidRPr="009A0C49">
              <w:rPr>
                <w:color w:val="000000"/>
                <w:sz w:val="20"/>
                <w:szCs w:val="20"/>
              </w:rPr>
              <w:t>0,0</w:t>
            </w:r>
          </w:p>
        </w:tc>
        <w:tc>
          <w:tcPr>
            <w:tcW w:w="1162" w:type="dxa"/>
            <w:tcBorders>
              <w:top w:val="nil"/>
              <w:left w:val="nil"/>
              <w:bottom w:val="single" w:sz="4" w:space="0" w:color="auto"/>
              <w:right w:val="single" w:sz="4" w:space="0" w:color="auto"/>
            </w:tcBorders>
            <w:shd w:val="clear" w:color="auto" w:fill="auto"/>
            <w:vAlign w:val="center"/>
          </w:tcPr>
          <w:p w14:paraId="74E11492" w14:textId="4A61063A" w:rsidR="003D1B2E" w:rsidRPr="00BE65E2" w:rsidRDefault="003D1B2E" w:rsidP="009A0C49">
            <w:pPr>
              <w:jc w:val="center"/>
              <w:rPr>
                <w:color w:val="000000"/>
                <w:sz w:val="20"/>
                <w:szCs w:val="20"/>
              </w:rPr>
            </w:pPr>
            <w:r w:rsidRPr="009A0C49">
              <w:rPr>
                <w:color w:val="000000"/>
                <w:sz w:val="20"/>
                <w:szCs w:val="20"/>
              </w:rPr>
              <w:t>0,0</w:t>
            </w:r>
          </w:p>
        </w:tc>
        <w:tc>
          <w:tcPr>
            <w:tcW w:w="1162" w:type="dxa"/>
            <w:tcBorders>
              <w:top w:val="nil"/>
              <w:left w:val="nil"/>
              <w:bottom w:val="single" w:sz="4" w:space="0" w:color="auto"/>
              <w:right w:val="single" w:sz="4" w:space="0" w:color="auto"/>
            </w:tcBorders>
            <w:shd w:val="clear" w:color="auto" w:fill="auto"/>
            <w:vAlign w:val="center"/>
            <w:hideMark/>
          </w:tcPr>
          <w:p w14:paraId="79DF0DF0" w14:textId="77777777" w:rsidR="003D1B2E" w:rsidRPr="00BE65E2" w:rsidRDefault="003D1B2E" w:rsidP="003D1B2E">
            <w:pPr>
              <w:jc w:val="center"/>
              <w:rPr>
                <w:bCs/>
                <w:i/>
                <w:color w:val="000000"/>
                <w:sz w:val="20"/>
                <w:szCs w:val="20"/>
              </w:rPr>
            </w:pPr>
            <w:r w:rsidRPr="00BE65E2">
              <w:rPr>
                <w:bCs/>
                <w:i/>
                <w:color w:val="000000"/>
                <w:sz w:val="20"/>
                <w:szCs w:val="20"/>
              </w:rPr>
              <w:t>86,0</w:t>
            </w:r>
          </w:p>
        </w:tc>
        <w:tc>
          <w:tcPr>
            <w:tcW w:w="1163" w:type="dxa"/>
            <w:tcBorders>
              <w:top w:val="nil"/>
              <w:left w:val="nil"/>
              <w:bottom w:val="single" w:sz="4" w:space="0" w:color="auto"/>
              <w:right w:val="single" w:sz="4" w:space="0" w:color="auto"/>
            </w:tcBorders>
            <w:shd w:val="clear" w:color="auto" w:fill="auto"/>
            <w:vAlign w:val="center"/>
            <w:hideMark/>
          </w:tcPr>
          <w:p w14:paraId="7D26AC7D" w14:textId="77777777" w:rsidR="003D1B2E" w:rsidRPr="00BE65E2" w:rsidRDefault="003D1B2E" w:rsidP="003D1B2E">
            <w:pPr>
              <w:jc w:val="center"/>
              <w:rPr>
                <w:bCs/>
                <w:i/>
                <w:color w:val="000000"/>
                <w:sz w:val="20"/>
                <w:szCs w:val="20"/>
              </w:rPr>
            </w:pPr>
            <w:r w:rsidRPr="00BE65E2">
              <w:rPr>
                <w:bCs/>
                <w:i/>
                <w:color w:val="000000"/>
                <w:sz w:val="20"/>
                <w:szCs w:val="20"/>
              </w:rPr>
              <w:t>108,1</w:t>
            </w:r>
          </w:p>
        </w:tc>
      </w:tr>
      <w:tr w:rsidR="003D1B2E" w:rsidRPr="004A52CD" w14:paraId="0A3DD30F"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1C03D05" w14:textId="77777777" w:rsidR="003D1B2E" w:rsidRPr="00BE65E2" w:rsidRDefault="003D1B2E" w:rsidP="003D1B2E">
            <w:pPr>
              <w:jc w:val="both"/>
              <w:rPr>
                <w:color w:val="000000"/>
                <w:sz w:val="20"/>
                <w:szCs w:val="20"/>
              </w:rPr>
            </w:pPr>
            <w:r w:rsidRPr="00BE65E2">
              <w:rPr>
                <w:color w:val="000000"/>
                <w:sz w:val="20"/>
                <w:szCs w:val="20"/>
              </w:rPr>
              <w:t xml:space="preserve">Создание объектов социального и производственного комплексов, в том числе объектов общегражданского назначения, жилья, инфраструктуры, и иных объектов </w:t>
            </w:r>
          </w:p>
        </w:tc>
        <w:tc>
          <w:tcPr>
            <w:tcW w:w="1162" w:type="dxa"/>
            <w:tcBorders>
              <w:top w:val="nil"/>
              <w:left w:val="nil"/>
              <w:bottom w:val="single" w:sz="4" w:space="0" w:color="auto"/>
              <w:right w:val="single" w:sz="4" w:space="0" w:color="auto"/>
            </w:tcBorders>
            <w:shd w:val="clear" w:color="auto" w:fill="auto"/>
            <w:vAlign w:val="center"/>
          </w:tcPr>
          <w:p w14:paraId="56F1CCC5" w14:textId="0738CC9F" w:rsidR="003D1B2E" w:rsidRPr="00BE65E2" w:rsidRDefault="003D1B2E" w:rsidP="009A0C49">
            <w:pPr>
              <w:jc w:val="center"/>
              <w:rPr>
                <w:color w:val="000000"/>
                <w:sz w:val="20"/>
                <w:szCs w:val="20"/>
              </w:rPr>
            </w:pPr>
            <w:r w:rsidRPr="009A0C49">
              <w:rPr>
                <w:color w:val="000000"/>
                <w:sz w:val="20"/>
                <w:szCs w:val="20"/>
              </w:rPr>
              <w:t>5,8</w:t>
            </w:r>
          </w:p>
        </w:tc>
        <w:tc>
          <w:tcPr>
            <w:tcW w:w="1162" w:type="dxa"/>
            <w:tcBorders>
              <w:top w:val="nil"/>
              <w:left w:val="nil"/>
              <w:bottom w:val="single" w:sz="4" w:space="0" w:color="auto"/>
              <w:right w:val="single" w:sz="4" w:space="0" w:color="auto"/>
            </w:tcBorders>
            <w:shd w:val="clear" w:color="auto" w:fill="auto"/>
            <w:vAlign w:val="center"/>
          </w:tcPr>
          <w:p w14:paraId="1549873F" w14:textId="290E924E" w:rsidR="003D1B2E" w:rsidRPr="00BE65E2" w:rsidRDefault="003D1B2E" w:rsidP="009A0C49">
            <w:pPr>
              <w:jc w:val="center"/>
              <w:rPr>
                <w:color w:val="000000"/>
                <w:sz w:val="20"/>
                <w:szCs w:val="20"/>
              </w:rPr>
            </w:pPr>
            <w:r w:rsidRPr="009A0C49">
              <w:rPr>
                <w:color w:val="000000"/>
                <w:sz w:val="20"/>
                <w:szCs w:val="20"/>
              </w:rPr>
              <w:t>1,6</w:t>
            </w:r>
          </w:p>
        </w:tc>
        <w:tc>
          <w:tcPr>
            <w:tcW w:w="1162" w:type="dxa"/>
            <w:tcBorders>
              <w:top w:val="nil"/>
              <w:left w:val="nil"/>
              <w:bottom w:val="single" w:sz="4" w:space="0" w:color="auto"/>
              <w:right w:val="single" w:sz="4" w:space="0" w:color="auto"/>
            </w:tcBorders>
            <w:shd w:val="clear" w:color="auto" w:fill="auto"/>
            <w:vAlign w:val="center"/>
          </w:tcPr>
          <w:p w14:paraId="40D64205" w14:textId="2F0F8A10" w:rsidR="003D1B2E" w:rsidRPr="00BE65E2" w:rsidRDefault="003D1B2E" w:rsidP="009A0C49">
            <w:pPr>
              <w:jc w:val="center"/>
              <w:rPr>
                <w:color w:val="000000"/>
                <w:sz w:val="20"/>
                <w:szCs w:val="20"/>
              </w:rPr>
            </w:pPr>
            <w:r w:rsidRPr="009A0C49">
              <w:rPr>
                <w:color w:val="000000"/>
                <w:sz w:val="20"/>
                <w:szCs w:val="20"/>
              </w:rPr>
              <w:t>6,0</w:t>
            </w:r>
          </w:p>
        </w:tc>
        <w:tc>
          <w:tcPr>
            <w:tcW w:w="1162" w:type="dxa"/>
            <w:tcBorders>
              <w:top w:val="nil"/>
              <w:left w:val="nil"/>
              <w:bottom w:val="single" w:sz="4" w:space="0" w:color="auto"/>
              <w:right w:val="single" w:sz="4" w:space="0" w:color="auto"/>
            </w:tcBorders>
            <w:shd w:val="clear" w:color="auto" w:fill="auto"/>
            <w:vAlign w:val="center"/>
            <w:hideMark/>
          </w:tcPr>
          <w:p w14:paraId="76AF9440" w14:textId="77777777" w:rsidR="003D1B2E" w:rsidRPr="00BE65E2" w:rsidRDefault="003D1B2E" w:rsidP="003D1B2E">
            <w:pPr>
              <w:jc w:val="center"/>
              <w:rPr>
                <w:bCs/>
                <w:i/>
                <w:color w:val="000000"/>
                <w:sz w:val="20"/>
                <w:szCs w:val="20"/>
              </w:rPr>
            </w:pPr>
            <w:r w:rsidRPr="00BE65E2">
              <w:rPr>
                <w:bCs/>
                <w:i/>
                <w:color w:val="000000"/>
                <w:sz w:val="20"/>
                <w:szCs w:val="20"/>
              </w:rPr>
              <w:t>27,9</w:t>
            </w:r>
          </w:p>
        </w:tc>
        <w:tc>
          <w:tcPr>
            <w:tcW w:w="1163" w:type="dxa"/>
            <w:tcBorders>
              <w:top w:val="nil"/>
              <w:left w:val="nil"/>
              <w:bottom w:val="single" w:sz="4" w:space="0" w:color="auto"/>
              <w:right w:val="single" w:sz="4" w:space="0" w:color="auto"/>
            </w:tcBorders>
            <w:shd w:val="clear" w:color="auto" w:fill="auto"/>
            <w:vAlign w:val="center"/>
            <w:hideMark/>
          </w:tcPr>
          <w:p w14:paraId="48D764AB" w14:textId="77777777" w:rsidR="003D1B2E" w:rsidRPr="00BE65E2" w:rsidRDefault="003D1B2E" w:rsidP="003D1B2E">
            <w:pPr>
              <w:jc w:val="center"/>
              <w:rPr>
                <w:bCs/>
                <w:i/>
                <w:color w:val="000000"/>
                <w:sz w:val="20"/>
                <w:szCs w:val="20"/>
              </w:rPr>
            </w:pPr>
            <w:r w:rsidRPr="00BE65E2">
              <w:rPr>
                <w:bCs/>
                <w:i/>
                <w:color w:val="000000"/>
                <w:sz w:val="20"/>
                <w:szCs w:val="20"/>
              </w:rPr>
              <w:t>372,9</w:t>
            </w:r>
          </w:p>
        </w:tc>
      </w:tr>
      <w:tr w:rsidR="003D1B2E" w:rsidRPr="004A52CD" w14:paraId="0D56DA88"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0D69F40" w14:textId="77777777" w:rsidR="003D1B2E" w:rsidRPr="00BE65E2" w:rsidRDefault="003D1B2E" w:rsidP="003D1B2E">
            <w:pPr>
              <w:jc w:val="both"/>
              <w:rPr>
                <w:color w:val="000000"/>
                <w:sz w:val="20"/>
                <w:szCs w:val="20"/>
              </w:rPr>
            </w:pPr>
            <w:r w:rsidRPr="00BE65E2">
              <w:rPr>
                <w:color w:val="000000"/>
                <w:sz w:val="20"/>
                <w:szCs w:val="20"/>
              </w:rPr>
              <w:t xml:space="preserve">Расходы на обеспечение деятельности (оказание услуг) государственных учреждений </w:t>
            </w:r>
          </w:p>
        </w:tc>
        <w:tc>
          <w:tcPr>
            <w:tcW w:w="1162" w:type="dxa"/>
            <w:tcBorders>
              <w:top w:val="nil"/>
              <w:left w:val="nil"/>
              <w:bottom w:val="single" w:sz="4" w:space="0" w:color="auto"/>
              <w:right w:val="single" w:sz="4" w:space="0" w:color="auto"/>
            </w:tcBorders>
            <w:shd w:val="clear" w:color="auto" w:fill="auto"/>
            <w:vAlign w:val="center"/>
          </w:tcPr>
          <w:p w14:paraId="44A80196" w14:textId="0230457C" w:rsidR="003D1B2E" w:rsidRPr="00BE65E2" w:rsidRDefault="003D1B2E" w:rsidP="009A0C49">
            <w:pPr>
              <w:jc w:val="center"/>
              <w:rPr>
                <w:color w:val="000000"/>
                <w:sz w:val="20"/>
                <w:szCs w:val="20"/>
              </w:rPr>
            </w:pPr>
            <w:r w:rsidRPr="009A0C49">
              <w:rPr>
                <w:color w:val="000000"/>
                <w:sz w:val="20"/>
                <w:szCs w:val="20"/>
              </w:rPr>
              <w:t>2,8</w:t>
            </w:r>
          </w:p>
        </w:tc>
        <w:tc>
          <w:tcPr>
            <w:tcW w:w="1162" w:type="dxa"/>
            <w:tcBorders>
              <w:top w:val="nil"/>
              <w:left w:val="nil"/>
              <w:bottom w:val="single" w:sz="4" w:space="0" w:color="auto"/>
              <w:right w:val="single" w:sz="4" w:space="0" w:color="auto"/>
            </w:tcBorders>
            <w:shd w:val="clear" w:color="auto" w:fill="auto"/>
            <w:vAlign w:val="center"/>
          </w:tcPr>
          <w:p w14:paraId="7C51BF31" w14:textId="10E645F8" w:rsidR="003D1B2E" w:rsidRPr="00BE65E2" w:rsidRDefault="003D1B2E" w:rsidP="009A0C49">
            <w:pPr>
              <w:jc w:val="center"/>
              <w:rPr>
                <w:color w:val="000000"/>
                <w:sz w:val="20"/>
                <w:szCs w:val="20"/>
              </w:rPr>
            </w:pPr>
            <w:r w:rsidRPr="009A0C49">
              <w:rPr>
                <w:color w:val="000000"/>
                <w:sz w:val="20"/>
                <w:szCs w:val="20"/>
              </w:rPr>
              <w:t>2,1</w:t>
            </w:r>
          </w:p>
        </w:tc>
        <w:tc>
          <w:tcPr>
            <w:tcW w:w="1162" w:type="dxa"/>
            <w:tcBorders>
              <w:top w:val="nil"/>
              <w:left w:val="nil"/>
              <w:bottom w:val="single" w:sz="4" w:space="0" w:color="auto"/>
              <w:right w:val="single" w:sz="4" w:space="0" w:color="auto"/>
            </w:tcBorders>
            <w:shd w:val="clear" w:color="auto" w:fill="auto"/>
            <w:vAlign w:val="center"/>
          </w:tcPr>
          <w:p w14:paraId="6720AF16" w14:textId="6D16FD1B" w:rsidR="003D1B2E" w:rsidRPr="00BE65E2" w:rsidRDefault="003D1B2E" w:rsidP="009A0C49">
            <w:pPr>
              <w:jc w:val="center"/>
              <w:rPr>
                <w:color w:val="000000"/>
                <w:sz w:val="20"/>
                <w:szCs w:val="20"/>
              </w:rPr>
            </w:pPr>
            <w:r w:rsidRPr="009A0C49">
              <w:rPr>
                <w:color w:val="000000"/>
                <w:sz w:val="20"/>
                <w:szCs w:val="20"/>
              </w:rPr>
              <w:t>2,1</w:t>
            </w:r>
          </w:p>
        </w:tc>
        <w:tc>
          <w:tcPr>
            <w:tcW w:w="1162" w:type="dxa"/>
            <w:tcBorders>
              <w:top w:val="nil"/>
              <w:left w:val="nil"/>
              <w:bottom w:val="single" w:sz="4" w:space="0" w:color="auto"/>
              <w:right w:val="single" w:sz="4" w:space="0" w:color="auto"/>
            </w:tcBorders>
            <w:shd w:val="clear" w:color="auto" w:fill="auto"/>
            <w:vAlign w:val="center"/>
            <w:hideMark/>
          </w:tcPr>
          <w:p w14:paraId="6BE9DB98" w14:textId="77777777" w:rsidR="003D1B2E" w:rsidRPr="00BE65E2" w:rsidRDefault="003D1B2E" w:rsidP="003D1B2E">
            <w:pPr>
              <w:jc w:val="center"/>
              <w:rPr>
                <w:bCs/>
                <w:i/>
                <w:color w:val="000000"/>
                <w:sz w:val="20"/>
                <w:szCs w:val="20"/>
              </w:rPr>
            </w:pPr>
            <w:r w:rsidRPr="00BE65E2">
              <w:rPr>
                <w:bCs/>
                <w:i/>
                <w:color w:val="000000"/>
                <w:sz w:val="20"/>
                <w:szCs w:val="20"/>
              </w:rPr>
              <w:t>75,3</w:t>
            </w:r>
          </w:p>
        </w:tc>
        <w:tc>
          <w:tcPr>
            <w:tcW w:w="1163" w:type="dxa"/>
            <w:tcBorders>
              <w:top w:val="nil"/>
              <w:left w:val="nil"/>
              <w:bottom w:val="single" w:sz="4" w:space="0" w:color="auto"/>
              <w:right w:val="single" w:sz="4" w:space="0" w:color="auto"/>
            </w:tcBorders>
            <w:shd w:val="clear" w:color="auto" w:fill="auto"/>
            <w:vAlign w:val="center"/>
            <w:hideMark/>
          </w:tcPr>
          <w:p w14:paraId="059A590C" w14:textId="77777777" w:rsidR="003D1B2E" w:rsidRPr="00BE65E2" w:rsidRDefault="003D1B2E" w:rsidP="003D1B2E">
            <w:pPr>
              <w:jc w:val="center"/>
              <w:rPr>
                <w:bCs/>
                <w:i/>
                <w:color w:val="000000"/>
                <w:sz w:val="20"/>
                <w:szCs w:val="20"/>
              </w:rPr>
            </w:pPr>
            <w:r w:rsidRPr="00BE65E2">
              <w:rPr>
                <w:bCs/>
                <w:i/>
                <w:color w:val="000000"/>
                <w:sz w:val="20"/>
                <w:szCs w:val="20"/>
              </w:rPr>
              <w:t>100,0</w:t>
            </w:r>
          </w:p>
        </w:tc>
      </w:tr>
      <w:tr w:rsidR="003D1B2E" w:rsidRPr="004A52CD" w14:paraId="37650EBB"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80A5D96" w14:textId="77777777" w:rsidR="003D1B2E" w:rsidRPr="00BE65E2" w:rsidRDefault="003D1B2E" w:rsidP="003D1B2E">
            <w:pPr>
              <w:jc w:val="both"/>
              <w:rPr>
                <w:color w:val="000000"/>
                <w:sz w:val="20"/>
                <w:szCs w:val="20"/>
              </w:rPr>
            </w:pPr>
            <w:r w:rsidRPr="00BE65E2">
              <w:rPr>
                <w:color w:val="000000"/>
                <w:sz w:val="20"/>
                <w:szCs w:val="20"/>
              </w:rPr>
              <w:t>Ведомственный проект "Цифровое сельское хозяйство"</w:t>
            </w:r>
          </w:p>
        </w:tc>
        <w:tc>
          <w:tcPr>
            <w:tcW w:w="1162" w:type="dxa"/>
            <w:tcBorders>
              <w:top w:val="nil"/>
              <w:left w:val="nil"/>
              <w:bottom w:val="single" w:sz="4" w:space="0" w:color="auto"/>
              <w:right w:val="single" w:sz="4" w:space="0" w:color="auto"/>
            </w:tcBorders>
            <w:shd w:val="clear" w:color="auto" w:fill="auto"/>
            <w:vAlign w:val="center"/>
          </w:tcPr>
          <w:p w14:paraId="20B51697" w14:textId="25F8E6A0" w:rsidR="003D1B2E" w:rsidRPr="00BE65E2" w:rsidRDefault="003D1B2E" w:rsidP="009A0C49">
            <w:pPr>
              <w:jc w:val="center"/>
              <w:rPr>
                <w:color w:val="000000"/>
                <w:sz w:val="20"/>
                <w:szCs w:val="20"/>
              </w:rPr>
            </w:pPr>
            <w:r w:rsidRPr="009A0C49">
              <w:rPr>
                <w:color w:val="000000"/>
                <w:sz w:val="20"/>
                <w:szCs w:val="20"/>
              </w:rPr>
              <w:t>0,3</w:t>
            </w:r>
          </w:p>
        </w:tc>
        <w:tc>
          <w:tcPr>
            <w:tcW w:w="1162" w:type="dxa"/>
            <w:tcBorders>
              <w:top w:val="nil"/>
              <w:left w:val="nil"/>
              <w:bottom w:val="single" w:sz="4" w:space="0" w:color="auto"/>
              <w:right w:val="single" w:sz="4" w:space="0" w:color="auto"/>
            </w:tcBorders>
            <w:shd w:val="clear" w:color="auto" w:fill="auto"/>
            <w:vAlign w:val="center"/>
          </w:tcPr>
          <w:p w14:paraId="5E306330" w14:textId="58B45EAA" w:rsidR="003D1B2E" w:rsidRPr="00BE65E2" w:rsidRDefault="003D1B2E" w:rsidP="009A0C49">
            <w:pPr>
              <w:jc w:val="center"/>
              <w:rPr>
                <w:color w:val="000000"/>
                <w:sz w:val="20"/>
                <w:szCs w:val="20"/>
              </w:rPr>
            </w:pPr>
            <w:r w:rsidRPr="009A0C49">
              <w:rPr>
                <w:color w:val="000000"/>
                <w:sz w:val="20"/>
                <w:szCs w:val="20"/>
              </w:rPr>
              <w:t>0,0</w:t>
            </w:r>
          </w:p>
        </w:tc>
        <w:tc>
          <w:tcPr>
            <w:tcW w:w="1162" w:type="dxa"/>
            <w:tcBorders>
              <w:top w:val="nil"/>
              <w:left w:val="nil"/>
              <w:bottom w:val="single" w:sz="4" w:space="0" w:color="auto"/>
              <w:right w:val="single" w:sz="4" w:space="0" w:color="auto"/>
            </w:tcBorders>
            <w:shd w:val="clear" w:color="auto" w:fill="auto"/>
            <w:vAlign w:val="center"/>
          </w:tcPr>
          <w:p w14:paraId="015A1B75" w14:textId="1AA09818" w:rsidR="003D1B2E" w:rsidRPr="00BE65E2" w:rsidRDefault="003D1B2E" w:rsidP="009A0C49">
            <w:pPr>
              <w:jc w:val="center"/>
              <w:rPr>
                <w:color w:val="000000"/>
                <w:sz w:val="20"/>
                <w:szCs w:val="20"/>
              </w:rPr>
            </w:pPr>
            <w:r w:rsidRPr="009A0C49">
              <w:rPr>
                <w:color w:val="000000"/>
                <w:sz w:val="20"/>
                <w:szCs w:val="20"/>
              </w:rPr>
              <w:t>0,0</w:t>
            </w:r>
          </w:p>
        </w:tc>
        <w:tc>
          <w:tcPr>
            <w:tcW w:w="1162" w:type="dxa"/>
            <w:tcBorders>
              <w:top w:val="nil"/>
              <w:left w:val="nil"/>
              <w:bottom w:val="single" w:sz="4" w:space="0" w:color="auto"/>
              <w:right w:val="single" w:sz="4" w:space="0" w:color="auto"/>
            </w:tcBorders>
            <w:shd w:val="clear" w:color="auto" w:fill="auto"/>
            <w:vAlign w:val="center"/>
            <w:hideMark/>
          </w:tcPr>
          <w:p w14:paraId="78DC0402" w14:textId="77777777" w:rsidR="003D1B2E" w:rsidRPr="00BE65E2" w:rsidRDefault="003D1B2E" w:rsidP="003D1B2E">
            <w:pPr>
              <w:jc w:val="center"/>
              <w:rPr>
                <w:bCs/>
                <w:i/>
                <w:color w:val="000000"/>
                <w:sz w:val="20"/>
                <w:szCs w:val="20"/>
              </w:rPr>
            </w:pPr>
            <w:r w:rsidRPr="00BE65E2">
              <w:rPr>
                <w:bCs/>
                <w:i/>
                <w:color w:val="000000"/>
                <w:sz w:val="20"/>
                <w:szCs w:val="20"/>
              </w:rPr>
              <w:t>0,0</w:t>
            </w:r>
          </w:p>
        </w:tc>
        <w:tc>
          <w:tcPr>
            <w:tcW w:w="1163" w:type="dxa"/>
            <w:tcBorders>
              <w:top w:val="nil"/>
              <w:left w:val="nil"/>
              <w:bottom w:val="single" w:sz="4" w:space="0" w:color="auto"/>
              <w:right w:val="single" w:sz="4" w:space="0" w:color="auto"/>
            </w:tcBorders>
            <w:shd w:val="clear" w:color="auto" w:fill="auto"/>
            <w:vAlign w:val="center"/>
            <w:hideMark/>
          </w:tcPr>
          <w:p w14:paraId="2B92BCE3" w14:textId="77777777" w:rsidR="003D1B2E" w:rsidRPr="00BE65E2" w:rsidRDefault="003D1B2E" w:rsidP="003D1B2E">
            <w:pPr>
              <w:jc w:val="center"/>
              <w:rPr>
                <w:bCs/>
                <w:i/>
                <w:color w:val="000000"/>
                <w:sz w:val="20"/>
                <w:szCs w:val="20"/>
              </w:rPr>
            </w:pPr>
          </w:p>
        </w:tc>
      </w:tr>
      <w:tr w:rsidR="003D1B2E" w:rsidRPr="004A52CD" w14:paraId="5BC2242D" w14:textId="77777777" w:rsidTr="001644A4">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AF2F39A" w14:textId="77777777" w:rsidR="003D1B2E" w:rsidRPr="00BE65E2" w:rsidRDefault="003D1B2E" w:rsidP="003D1B2E">
            <w:pPr>
              <w:jc w:val="both"/>
              <w:rPr>
                <w:color w:val="000000"/>
                <w:sz w:val="20"/>
                <w:szCs w:val="20"/>
              </w:rPr>
            </w:pPr>
            <w:r w:rsidRPr="00BE65E2">
              <w:rPr>
                <w:color w:val="000000"/>
                <w:sz w:val="20"/>
                <w:szCs w:val="20"/>
              </w:rPr>
              <w:t>Расходы на обеспечение функций гос. органов, в т.ч. территориальных органов (Закупка товаров, работ, услуг в сфере информационно-коммуникационных технологий)</w:t>
            </w:r>
          </w:p>
        </w:tc>
        <w:tc>
          <w:tcPr>
            <w:tcW w:w="1162" w:type="dxa"/>
            <w:tcBorders>
              <w:top w:val="nil"/>
              <w:left w:val="nil"/>
              <w:bottom w:val="single" w:sz="4" w:space="0" w:color="auto"/>
              <w:right w:val="single" w:sz="4" w:space="0" w:color="auto"/>
            </w:tcBorders>
            <w:shd w:val="clear" w:color="auto" w:fill="auto"/>
            <w:vAlign w:val="center"/>
          </w:tcPr>
          <w:p w14:paraId="1578225B" w14:textId="1DF79F9F" w:rsidR="003D1B2E" w:rsidRPr="00BE65E2" w:rsidRDefault="003D1B2E" w:rsidP="009A0C49">
            <w:pPr>
              <w:jc w:val="center"/>
              <w:rPr>
                <w:color w:val="000000"/>
                <w:sz w:val="20"/>
                <w:szCs w:val="20"/>
              </w:rPr>
            </w:pPr>
            <w:r w:rsidRPr="009A0C49">
              <w:rPr>
                <w:color w:val="000000"/>
                <w:sz w:val="20"/>
                <w:szCs w:val="20"/>
              </w:rPr>
              <w:t>0,3</w:t>
            </w:r>
          </w:p>
        </w:tc>
        <w:tc>
          <w:tcPr>
            <w:tcW w:w="1162" w:type="dxa"/>
            <w:tcBorders>
              <w:top w:val="nil"/>
              <w:left w:val="nil"/>
              <w:bottom w:val="single" w:sz="4" w:space="0" w:color="auto"/>
              <w:right w:val="single" w:sz="4" w:space="0" w:color="auto"/>
            </w:tcBorders>
            <w:shd w:val="clear" w:color="auto" w:fill="auto"/>
            <w:vAlign w:val="center"/>
          </w:tcPr>
          <w:p w14:paraId="3CCAB482" w14:textId="3FB35481" w:rsidR="003D1B2E" w:rsidRPr="00BE65E2" w:rsidRDefault="003D1B2E" w:rsidP="009A0C49">
            <w:pPr>
              <w:jc w:val="center"/>
              <w:rPr>
                <w:color w:val="000000"/>
                <w:sz w:val="20"/>
                <w:szCs w:val="20"/>
              </w:rPr>
            </w:pPr>
            <w:r w:rsidRPr="009A0C49">
              <w:rPr>
                <w:color w:val="000000"/>
                <w:sz w:val="20"/>
                <w:szCs w:val="20"/>
              </w:rPr>
              <w:t>0,0</w:t>
            </w:r>
          </w:p>
        </w:tc>
        <w:tc>
          <w:tcPr>
            <w:tcW w:w="1162" w:type="dxa"/>
            <w:tcBorders>
              <w:top w:val="nil"/>
              <w:left w:val="nil"/>
              <w:bottom w:val="single" w:sz="4" w:space="0" w:color="auto"/>
              <w:right w:val="single" w:sz="4" w:space="0" w:color="auto"/>
            </w:tcBorders>
            <w:shd w:val="clear" w:color="auto" w:fill="auto"/>
            <w:vAlign w:val="center"/>
          </w:tcPr>
          <w:p w14:paraId="477BA296" w14:textId="5DBDA61D" w:rsidR="003D1B2E" w:rsidRPr="00BE65E2" w:rsidRDefault="003D1B2E" w:rsidP="009A0C49">
            <w:pPr>
              <w:jc w:val="center"/>
              <w:rPr>
                <w:color w:val="000000"/>
                <w:sz w:val="20"/>
                <w:szCs w:val="20"/>
              </w:rPr>
            </w:pPr>
            <w:r w:rsidRPr="009A0C49">
              <w:rPr>
                <w:color w:val="000000"/>
                <w:sz w:val="20"/>
                <w:szCs w:val="20"/>
              </w:rPr>
              <w:t>0,0</w:t>
            </w:r>
          </w:p>
        </w:tc>
        <w:tc>
          <w:tcPr>
            <w:tcW w:w="1162" w:type="dxa"/>
            <w:tcBorders>
              <w:top w:val="nil"/>
              <w:left w:val="nil"/>
              <w:bottom w:val="single" w:sz="4" w:space="0" w:color="auto"/>
              <w:right w:val="single" w:sz="4" w:space="0" w:color="auto"/>
            </w:tcBorders>
            <w:shd w:val="clear" w:color="auto" w:fill="auto"/>
            <w:vAlign w:val="center"/>
            <w:hideMark/>
          </w:tcPr>
          <w:p w14:paraId="6D1939A5" w14:textId="77777777" w:rsidR="003D1B2E" w:rsidRPr="00BE65E2" w:rsidRDefault="003D1B2E" w:rsidP="003D1B2E">
            <w:pPr>
              <w:jc w:val="center"/>
              <w:rPr>
                <w:bCs/>
                <w:i/>
                <w:color w:val="000000"/>
                <w:sz w:val="20"/>
                <w:szCs w:val="20"/>
              </w:rPr>
            </w:pPr>
            <w:r w:rsidRPr="00BE65E2">
              <w:rPr>
                <w:bCs/>
                <w:i/>
                <w:color w:val="000000"/>
                <w:sz w:val="20"/>
                <w:szCs w:val="20"/>
              </w:rPr>
              <w:t>0,0</w:t>
            </w:r>
          </w:p>
        </w:tc>
        <w:tc>
          <w:tcPr>
            <w:tcW w:w="1163" w:type="dxa"/>
            <w:tcBorders>
              <w:top w:val="nil"/>
              <w:left w:val="nil"/>
              <w:bottom w:val="single" w:sz="4" w:space="0" w:color="auto"/>
              <w:right w:val="single" w:sz="4" w:space="0" w:color="auto"/>
            </w:tcBorders>
            <w:shd w:val="clear" w:color="auto" w:fill="auto"/>
            <w:vAlign w:val="center"/>
            <w:hideMark/>
          </w:tcPr>
          <w:p w14:paraId="7BC55105" w14:textId="77777777" w:rsidR="003D1B2E" w:rsidRPr="00BE65E2" w:rsidRDefault="003D1B2E" w:rsidP="003D1B2E">
            <w:pPr>
              <w:jc w:val="center"/>
              <w:rPr>
                <w:bCs/>
                <w:i/>
                <w:color w:val="000000"/>
                <w:sz w:val="20"/>
                <w:szCs w:val="20"/>
              </w:rPr>
            </w:pPr>
          </w:p>
        </w:tc>
      </w:tr>
    </w:tbl>
    <w:p w14:paraId="42D8A766" w14:textId="77777777" w:rsidR="00ED5AC1" w:rsidRPr="009D5EDD" w:rsidRDefault="00ED5AC1" w:rsidP="00ED5AC1">
      <w:pPr>
        <w:keepLines/>
        <w:spacing w:after="60"/>
        <w:ind w:firstLine="709"/>
        <w:jc w:val="both"/>
        <w:rPr>
          <w:sz w:val="20"/>
          <w:szCs w:val="20"/>
        </w:rPr>
      </w:pPr>
      <w:r w:rsidRPr="009D5EDD">
        <w:rPr>
          <w:i/>
          <w:sz w:val="20"/>
          <w:szCs w:val="20"/>
        </w:rPr>
        <w:t>Источники</w:t>
      </w:r>
      <w:r w:rsidRPr="009D5EDD">
        <w:rPr>
          <w:sz w:val="20"/>
          <w:szCs w:val="20"/>
        </w:rPr>
        <w:t>:</w:t>
      </w:r>
      <w:r>
        <w:rPr>
          <w:sz w:val="20"/>
          <w:szCs w:val="20"/>
        </w:rPr>
        <w:t xml:space="preserve"> составлено авторами на основе данных законопроекта</w:t>
      </w:r>
      <w:r w:rsidRPr="009D5EDD">
        <w:rPr>
          <w:sz w:val="20"/>
          <w:szCs w:val="20"/>
        </w:rPr>
        <w:t>.</w:t>
      </w:r>
    </w:p>
    <w:p w14:paraId="68FD9732" w14:textId="77777777" w:rsidR="00D15FA6" w:rsidRPr="00D15FA6" w:rsidRDefault="00D15FA6" w:rsidP="00CE6F4D">
      <w:pPr>
        <w:autoSpaceDE w:val="0"/>
        <w:autoSpaceDN w:val="0"/>
        <w:adjustRightInd w:val="0"/>
        <w:spacing w:after="60"/>
        <w:ind w:firstLine="709"/>
        <w:jc w:val="both"/>
        <w:rPr>
          <w:color w:val="000000"/>
        </w:rPr>
      </w:pPr>
    </w:p>
    <w:p w14:paraId="64C8CC0E" w14:textId="1F00A0AF" w:rsidR="00ED5AC1" w:rsidRDefault="00CE6F4D" w:rsidP="00CE6F4D">
      <w:pPr>
        <w:autoSpaceDE w:val="0"/>
        <w:autoSpaceDN w:val="0"/>
        <w:adjustRightInd w:val="0"/>
        <w:spacing w:after="60"/>
        <w:ind w:firstLine="709"/>
        <w:jc w:val="both"/>
        <w:rPr>
          <w:color w:val="000000"/>
        </w:rPr>
      </w:pPr>
      <w:r w:rsidRPr="00883243">
        <w:rPr>
          <w:color w:val="000000"/>
        </w:rPr>
        <w:t xml:space="preserve">Возрастающую долю в финансировании </w:t>
      </w:r>
      <w:r>
        <w:rPr>
          <w:color w:val="000000"/>
        </w:rPr>
        <w:t xml:space="preserve">Госпрограммы </w:t>
      </w:r>
      <w:r w:rsidRPr="00883243">
        <w:rPr>
          <w:color w:val="000000"/>
        </w:rPr>
        <w:t xml:space="preserve">занимает Федеральный проект "Экспорт продукции агропромышленного </w:t>
      </w:r>
      <w:r w:rsidRPr="00DB5864">
        <w:rPr>
          <w:color w:val="000000"/>
        </w:rPr>
        <w:t>комплекса" (</w:t>
      </w:r>
      <w:r w:rsidRPr="00DB5864">
        <w:rPr>
          <w:i/>
          <w:color w:val="000000"/>
        </w:rPr>
        <w:t>таблица</w:t>
      </w:r>
      <w:r w:rsidR="00DB5864" w:rsidRPr="00DB5864">
        <w:rPr>
          <w:color w:val="000000"/>
        </w:rPr>
        <w:t xml:space="preserve"> </w:t>
      </w:r>
      <w:r w:rsidR="00C84D38">
        <w:rPr>
          <w:i/>
          <w:noProof/>
        </w:rPr>
        <w:t>21</w:t>
      </w:r>
      <w:r w:rsidRPr="00DB5864">
        <w:rPr>
          <w:color w:val="000000"/>
        </w:rPr>
        <w:t>), отражающий направление аграрной политики на продвижение продукции отечественного</w:t>
      </w:r>
      <w:r>
        <w:rPr>
          <w:color w:val="000000"/>
        </w:rPr>
        <w:t xml:space="preserve"> АПК на внешние рынки: к 2022 г. его доля увеличится с 12 до 29% от всего финансирования Госпрограммы и составит 95 млрд руб. </w:t>
      </w:r>
    </w:p>
    <w:p w14:paraId="31001379" w14:textId="77777777" w:rsidR="00ED5AC1" w:rsidRDefault="00CE6F4D" w:rsidP="00CE6F4D">
      <w:pPr>
        <w:autoSpaceDE w:val="0"/>
        <w:autoSpaceDN w:val="0"/>
        <w:adjustRightInd w:val="0"/>
        <w:spacing w:after="60"/>
        <w:ind w:firstLine="709"/>
        <w:jc w:val="both"/>
        <w:rPr>
          <w:color w:val="000000"/>
        </w:rPr>
      </w:pPr>
      <w:r>
        <w:rPr>
          <w:color w:val="000000"/>
        </w:rPr>
        <w:t>Однако при ближайшем рассмотрении выясняется, что в основном произошла перегруппировка уже имеющихся мер поддержки</w:t>
      </w:r>
      <w:r w:rsidR="000026E2">
        <w:rPr>
          <w:color w:val="000000"/>
        </w:rPr>
        <w:t xml:space="preserve"> </w:t>
      </w:r>
      <w:r>
        <w:rPr>
          <w:color w:val="000000"/>
        </w:rPr>
        <w:t>– льготного кредитования, возмещения прямых понесенных затрат, мелиоративных мероприятий (</w:t>
      </w:r>
      <w:r w:rsidR="000026E2">
        <w:rPr>
          <w:color w:val="000000"/>
        </w:rPr>
        <w:t>отметим, что выделение в части экспорта данных мероприятий не обосновано)</w:t>
      </w:r>
      <w:r>
        <w:rPr>
          <w:color w:val="000000"/>
        </w:rPr>
        <w:t xml:space="preserve">, взноса в УК «Россельхозбанк» из других программ и проектов в </w:t>
      </w:r>
      <w:r w:rsidRPr="00883243">
        <w:rPr>
          <w:color w:val="000000"/>
        </w:rPr>
        <w:t>Федеральный проект "Экспорт продукции агропромышленного комплекса</w:t>
      </w:r>
      <w:r w:rsidRPr="00D95C93">
        <w:rPr>
          <w:color w:val="000000"/>
        </w:rPr>
        <w:t>"</w:t>
      </w:r>
      <w:r>
        <w:rPr>
          <w:color w:val="000000"/>
        </w:rPr>
        <w:t xml:space="preserve">, в части продукции, которая может быть поставлена на экспорт. </w:t>
      </w:r>
    </w:p>
    <w:p w14:paraId="7AAD9AE4" w14:textId="42941DD4" w:rsidR="00CE6F4D" w:rsidRDefault="00CE6F4D" w:rsidP="00CE6F4D">
      <w:pPr>
        <w:autoSpaceDE w:val="0"/>
        <w:autoSpaceDN w:val="0"/>
        <w:adjustRightInd w:val="0"/>
        <w:spacing w:after="60"/>
        <w:ind w:firstLine="709"/>
        <w:jc w:val="both"/>
        <w:rPr>
          <w:color w:val="000000"/>
        </w:rPr>
      </w:pPr>
      <w:r>
        <w:rPr>
          <w:color w:val="000000"/>
        </w:rPr>
        <w:t>Субсидируемый экспорт – чувствительная (запрещенная ныне) статья</w:t>
      </w:r>
      <w:r w:rsidR="000026E2">
        <w:rPr>
          <w:color w:val="000000"/>
        </w:rPr>
        <w:t>,</w:t>
      </w:r>
      <w:r>
        <w:rPr>
          <w:color w:val="000000"/>
        </w:rPr>
        <w:t xml:space="preserve"> с точки зрения выполнения обязательств ВТО, ЕАЭС</w:t>
      </w:r>
      <w:r w:rsidR="0025528A">
        <w:rPr>
          <w:color w:val="000000"/>
        </w:rPr>
        <w:t xml:space="preserve">. </w:t>
      </w:r>
      <w:r w:rsidR="00ED5AC1">
        <w:rPr>
          <w:color w:val="000000"/>
        </w:rPr>
        <w:t>Поэтому с</w:t>
      </w:r>
      <w:r>
        <w:rPr>
          <w:color w:val="000000"/>
        </w:rPr>
        <w:t xml:space="preserve">ледует избегать прямо ассоциируемых с поддержкой именно экспортируемой продукции статей (льготное кредитование, возмещение прямых затрат, субсидии на транспортировку), которые сейчас присутствуют в явном виде в бюджете, тем более, что все эти </w:t>
      </w:r>
      <w:r w:rsidR="00D43F7C">
        <w:rPr>
          <w:color w:val="000000"/>
        </w:rPr>
        <w:t xml:space="preserve">направления </w:t>
      </w:r>
      <w:r>
        <w:rPr>
          <w:color w:val="000000"/>
        </w:rPr>
        <w:t xml:space="preserve">поддержки можно реализовать в рамках иных подпрограмм и проектов, не рискуя </w:t>
      </w:r>
      <w:r w:rsidRPr="00AA5ABD">
        <w:rPr>
          <w:color w:val="000000"/>
        </w:rPr>
        <w:t>разбирательства</w:t>
      </w:r>
      <w:r w:rsidR="00AA5ABD" w:rsidRPr="00BE65E2">
        <w:rPr>
          <w:color w:val="000000"/>
        </w:rPr>
        <w:t>ми</w:t>
      </w:r>
      <w:r w:rsidRPr="00AA5ABD">
        <w:rPr>
          <w:color w:val="000000"/>
        </w:rPr>
        <w:t xml:space="preserve"> </w:t>
      </w:r>
      <w:r>
        <w:rPr>
          <w:color w:val="000000"/>
        </w:rPr>
        <w:t xml:space="preserve">в ВТО и ЕАЭС. </w:t>
      </w:r>
    </w:p>
    <w:p w14:paraId="0ECE162C" w14:textId="0B9008AE" w:rsidR="00DB5864" w:rsidRPr="00600DF7" w:rsidRDefault="00DB5864" w:rsidP="00DB5864">
      <w:pPr>
        <w:spacing w:after="60"/>
        <w:jc w:val="right"/>
        <w:rPr>
          <w:i/>
        </w:rPr>
      </w:pPr>
      <w:r w:rsidRPr="00600DF7">
        <w:rPr>
          <w:i/>
        </w:rPr>
        <w:t>Таблица</w:t>
      </w:r>
      <w:r>
        <w:rPr>
          <w:i/>
        </w:rPr>
        <w:t xml:space="preserve"> </w:t>
      </w:r>
      <w:bookmarkStart w:id="45" w:name="_Ref21345396"/>
      <w:r w:rsidR="00C84D38">
        <w:rPr>
          <w:i/>
          <w:noProof/>
        </w:rPr>
        <w:t>21</w:t>
      </w:r>
      <w:bookmarkEnd w:id="45"/>
    </w:p>
    <w:p w14:paraId="22B80B39" w14:textId="77777777" w:rsidR="00DB5864" w:rsidRPr="00BE65E2" w:rsidRDefault="00DB5864" w:rsidP="00DB5864">
      <w:pPr>
        <w:autoSpaceDE w:val="0"/>
        <w:autoSpaceDN w:val="0"/>
        <w:adjustRightInd w:val="0"/>
        <w:spacing w:after="60"/>
        <w:jc w:val="center"/>
        <w:rPr>
          <w:b/>
        </w:rPr>
      </w:pPr>
      <w:r w:rsidRPr="00BE65E2">
        <w:rPr>
          <w:b/>
        </w:rPr>
        <w:t>Структура финансирование мер Госпрограммы развития сельского хозяйства по годам планового периода, %</w:t>
      </w:r>
    </w:p>
    <w:tbl>
      <w:tblPr>
        <w:tblW w:w="9072" w:type="dxa"/>
        <w:tblInd w:w="-5" w:type="dxa"/>
        <w:tblLayout w:type="fixed"/>
        <w:tblLook w:val="04A0" w:firstRow="1" w:lastRow="0" w:firstColumn="1" w:lastColumn="0" w:noHBand="0" w:noVBand="1"/>
      </w:tblPr>
      <w:tblGrid>
        <w:gridCol w:w="4199"/>
        <w:gridCol w:w="1624"/>
        <w:gridCol w:w="1624"/>
        <w:gridCol w:w="1625"/>
      </w:tblGrid>
      <w:tr w:rsidR="00DB5864" w:rsidRPr="004A52CD" w14:paraId="7CBFE28D" w14:textId="77777777" w:rsidTr="000419EA">
        <w:trPr>
          <w:trHeight w:val="20"/>
          <w:tblHeader/>
        </w:trPr>
        <w:tc>
          <w:tcPr>
            <w:tcW w:w="4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341FB" w14:textId="77777777" w:rsidR="00DB5864" w:rsidRPr="00BE65E2" w:rsidRDefault="00DB5864" w:rsidP="000419EA">
            <w:pPr>
              <w:jc w:val="center"/>
              <w:rPr>
                <w:b/>
                <w:color w:val="000000"/>
                <w:sz w:val="20"/>
                <w:szCs w:val="20"/>
              </w:rPr>
            </w:pPr>
            <w:r w:rsidRPr="00BE65E2">
              <w:rPr>
                <w:b/>
                <w:color w:val="000000"/>
                <w:sz w:val="20"/>
                <w:szCs w:val="20"/>
              </w:rPr>
              <w:t>Наименование</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14:paraId="7156FD77" w14:textId="77777777" w:rsidR="00DB5864" w:rsidRPr="00BE65E2" w:rsidRDefault="00DB5864" w:rsidP="000419EA">
            <w:pPr>
              <w:jc w:val="center"/>
              <w:rPr>
                <w:b/>
                <w:color w:val="000000"/>
                <w:sz w:val="20"/>
                <w:szCs w:val="20"/>
              </w:rPr>
            </w:pPr>
            <w:r w:rsidRPr="00BE65E2">
              <w:rPr>
                <w:b/>
                <w:color w:val="000000"/>
                <w:sz w:val="20"/>
                <w:szCs w:val="20"/>
              </w:rPr>
              <w:t>2020 г.</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14:paraId="3146C2C8" w14:textId="77777777" w:rsidR="00DB5864" w:rsidRPr="00BE65E2" w:rsidRDefault="00DB5864" w:rsidP="000419EA">
            <w:pPr>
              <w:jc w:val="center"/>
              <w:rPr>
                <w:b/>
                <w:color w:val="000000"/>
                <w:sz w:val="20"/>
                <w:szCs w:val="20"/>
              </w:rPr>
            </w:pPr>
            <w:r w:rsidRPr="00BE65E2">
              <w:rPr>
                <w:b/>
                <w:color w:val="000000"/>
                <w:sz w:val="20"/>
                <w:szCs w:val="20"/>
              </w:rPr>
              <w:t>2021 г.</w:t>
            </w:r>
          </w:p>
        </w:tc>
        <w:tc>
          <w:tcPr>
            <w:tcW w:w="1625" w:type="dxa"/>
            <w:tcBorders>
              <w:top w:val="single" w:sz="4" w:space="0" w:color="auto"/>
              <w:left w:val="nil"/>
              <w:bottom w:val="single" w:sz="4" w:space="0" w:color="auto"/>
              <w:right w:val="single" w:sz="4" w:space="0" w:color="auto"/>
            </w:tcBorders>
            <w:shd w:val="clear" w:color="000000" w:fill="FFFFFF"/>
            <w:vAlign w:val="center"/>
            <w:hideMark/>
          </w:tcPr>
          <w:p w14:paraId="02AB3293" w14:textId="77777777" w:rsidR="00DB5864" w:rsidRPr="00BE65E2" w:rsidRDefault="00DB5864" w:rsidP="000419EA">
            <w:pPr>
              <w:jc w:val="center"/>
              <w:rPr>
                <w:b/>
                <w:color w:val="000000"/>
                <w:sz w:val="20"/>
                <w:szCs w:val="20"/>
              </w:rPr>
            </w:pPr>
            <w:r w:rsidRPr="00BE65E2">
              <w:rPr>
                <w:b/>
                <w:color w:val="000000"/>
                <w:sz w:val="20"/>
                <w:szCs w:val="20"/>
              </w:rPr>
              <w:t>2022 г.</w:t>
            </w:r>
          </w:p>
        </w:tc>
      </w:tr>
      <w:tr w:rsidR="00DB5864" w:rsidRPr="00DB5864" w14:paraId="29282988"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6863416B" w14:textId="77777777" w:rsidR="00DB5864" w:rsidRPr="00DB5864" w:rsidRDefault="00DB5864" w:rsidP="000419EA">
            <w:pPr>
              <w:jc w:val="both"/>
              <w:rPr>
                <w:b/>
                <w:bCs/>
                <w:color w:val="000000"/>
                <w:sz w:val="20"/>
                <w:szCs w:val="20"/>
              </w:rPr>
            </w:pPr>
            <w:r w:rsidRPr="00DB5864">
              <w:rPr>
                <w:b/>
                <w:bCs/>
                <w:color w:val="000000"/>
                <w:sz w:val="20"/>
                <w:szCs w:val="20"/>
              </w:rPr>
              <w:t>ГП итого</w:t>
            </w:r>
          </w:p>
        </w:tc>
        <w:tc>
          <w:tcPr>
            <w:tcW w:w="1624" w:type="dxa"/>
            <w:tcBorders>
              <w:top w:val="nil"/>
              <w:left w:val="nil"/>
              <w:bottom w:val="single" w:sz="4" w:space="0" w:color="auto"/>
              <w:right w:val="single" w:sz="4" w:space="0" w:color="auto"/>
            </w:tcBorders>
            <w:shd w:val="clear" w:color="auto" w:fill="auto"/>
            <w:noWrap/>
            <w:vAlign w:val="center"/>
            <w:hideMark/>
          </w:tcPr>
          <w:p w14:paraId="42D1A2ED" w14:textId="77777777" w:rsidR="00DB5864" w:rsidRPr="00DB5864" w:rsidRDefault="00DB5864" w:rsidP="000419EA">
            <w:pPr>
              <w:jc w:val="center"/>
              <w:rPr>
                <w:b/>
                <w:color w:val="000000"/>
                <w:sz w:val="20"/>
                <w:szCs w:val="20"/>
              </w:rPr>
            </w:pPr>
            <w:r w:rsidRPr="00DB5864">
              <w:rPr>
                <w:b/>
                <w:color w:val="000000"/>
                <w:sz w:val="20"/>
                <w:szCs w:val="20"/>
              </w:rPr>
              <w:t>100</w:t>
            </w:r>
          </w:p>
        </w:tc>
        <w:tc>
          <w:tcPr>
            <w:tcW w:w="1624" w:type="dxa"/>
            <w:tcBorders>
              <w:top w:val="nil"/>
              <w:left w:val="nil"/>
              <w:bottom w:val="single" w:sz="4" w:space="0" w:color="auto"/>
              <w:right w:val="single" w:sz="4" w:space="0" w:color="auto"/>
            </w:tcBorders>
            <w:shd w:val="clear" w:color="auto" w:fill="auto"/>
            <w:noWrap/>
            <w:vAlign w:val="center"/>
            <w:hideMark/>
          </w:tcPr>
          <w:p w14:paraId="7F643E01" w14:textId="77777777" w:rsidR="00DB5864" w:rsidRPr="00DB5864" w:rsidRDefault="00DB5864" w:rsidP="000419EA">
            <w:pPr>
              <w:jc w:val="center"/>
              <w:rPr>
                <w:b/>
                <w:color w:val="000000"/>
                <w:sz w:val="20"/>
                <w:szCs w:val="20"/>
              </w:rPr>
            </w:pPr>
            <w:r w:rsidRPr="00DB5864">
              <w:rPr>
                <w:b/>
                <w:color w:val="000000"/>
                <w:sz w:val="20"/>
                <w:szCs w:val="20"/>
              </w:rPr>
              <w:t>100</w:t>
            </w:r>
          </w:p>
        </w:tc>
        <w:tc>
          <w:tcPr>
            <w:tcW w:w="1625" w:type="dxa"/>
            <w:tcBorders>
              <w:top w:val="nil"/>
              <w:left w:val="nil"/>
              <w:bottom w:val="single" w:sz="4" w:space="0" w:color="auto"/>
              <w:right w:val="single" w:sz="4" w:space="0" w:color="auto"/>
            </w:tcBorders>
            <w:shd w:val="clear" w:color="auto" w:fill="auto"/>
            <w:noWrap/>
            <w:vAlign w:val="center"/>
            <w:hideMark/>
          </w:tcPr>
          <w:p w14:paraId="43AB9962" w14:textId="77777777" w:rsidR="00DB5864" w:rsidRPr="00DB5864" w:rsidRDefault="00DB5864" w:rsidP="000419EA">
            <w:pPr>
              <w:jc w:val="center"/>
              <w:rPr>
                <w:b/>
                <w:color w:val="000000"/>
                <w:sz w:val="20"/>
                <w:szCs w:val="20"/>
              </w:rPr>
            </w:pPr>
            <w:r w:rsidRPr="00DB5864">
              <w:rPr>
                <w:b/>
                <w:color w:val="000000"/>
                <w:sz w:val="20"/>
                <w:szCs w:val="20"/>
              </w:rPr>
              <w:t>100</w:t>
            </w:r>
          </w:p>
        </w:tc>
      </w:tr>
      <w:tr w:rsidR="00DB5864" w:rsidRPr="004A52CD" w14:paraId="2AC7CDC6"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04CE1396" w14:textId="77777777" w:rsidR="00DB5864" w:rsidRPr="00BE65E2" w:rsidRDefault="00DB5864" w:rsidP="000419EA">
            <w:pPr>
              <w:jc w:val="both"/>
              <w:rPr>
                <w:color w:val="000000"/>
                <w:sz w:val="20"/>
                <w:szCs w:val="20"/>
              </w:rPr>
            </w:pPr>
            <w:r w:rsidRPr="00BE65E2">
              <w:rPr>
                <w:color w:val="000000"/>
                <w:sz w:val="20"/>
                <w:szCs w:val="20"/>
              </w:rPr>
              <w:t>Подпрограмма "Развитие отраслей агропромышленного комплекса"</w:t>
            </w:r>
          </w:p>
        </w:tc>
        <w:tc>
          <w:tcPr>
            <w:tcW w:w="1624" w:type="dxa"/>
            <w:tcBorders>
              <w:top w:val="nil"/>
              <w:left w:val="nil"/>
              <w:bottom w:val="single" w:sz="4" w:space="0" w:color="auto"/>
              <w:right w:val="single" w:sz="4" w:space="0" w:color="auto"/>
            </w:tcBorders>
            <w:shd w:val="clear" w:color="auto" w:fill="auto"/>
            <w:noWrap/>
            <w:vAlign w:val="center"/>
            <w:hideMark/>
          </w:tcPr>
          <w:p w14:paraId="70D21869" w14:textId="77777777" w:rsidR="00DB5864" w:rsidRPr="00BE65E2" w:rsidRDefault="00DB5864" w:rsidP="000419EA">
            <w:pPr>
              <w:jc w:val="center"/>
              <w:rPr>
                <w:color w:val="000000"/>
                <w:sz w:val="20"/>
                <w:szCs w:val="20"/>
              </w:rPr>
            </w:pPr>
            <w:r w:rsidRPr="00BE65E2">
              <w:rPr>
                <w:color w:val="000000"/>
                <w:sz w:val="20"/>
                <w:szCs w:val="20"/>
              </w:rPr>
              <w:t>78,5</w:t>
            </w:r>
          </w:p>
        </w:tc>
        <w:tc>
          <w:tcPr>
            <w:tcW w:w="1624" w:type="dxa"/>
            <w:tcBorders>
              <w:top w:val="nil"/>
              <w:left w:val="nil"/>
              <w:bottom w:val="single" w:sz="4" w:space="0" w:color="auto"/>
              <w:right w:val="single" w:sz="4" w:space="0" w:color="auto"/>
            </w:tcBorders>
            <w:shd w:val="clear" w:color="auto" w:fill="auto"/>
            <w:noWrap/>
            <w:vAlign w:val="center"/>
            <w:hideMark/>
          </w:tcPr>
          <w:p w14:paraId="46FF79D1" w14:textId="77777777" w:rsidR="00DB5864" w:rsidRPr="00BE65E2" w:rsidRDefault="00DB5864" w:rsidP="000419EA">
            <w:pPr>
              <w:jc w:val="center"/>
              <w:rPr>
                <w:color w:val="000000"/>
                <w:sz w:val="20"/>
                <w:szCs w:val="20"/>
              </w:rPr>
            </w:pPr>
            <w:r w:rsidRPr="00BE65E2">
              <w:rPr>
                <w:color w:val="000000"/>
                <w:sz w:val="20"/>
                <w:szCs w:val="20"/>
              </w:rPr>
              <w:t>82,21</w:t>
            </w:r>
          </w:p>
        </w:tc>
        <w:tc>
          <w:tcPr>
            <w:tcW w:w="1625" w:type="dxa"/>
            <w:tcBorders>
              <w:top w:val="nil"/>
              <w:left w:val="nil"/>
              <w:bottom w:val="single" w:sz="4" w:space="0" w:color="auto"/>
              <w:right w:val="single" w:sz="4" w:space="0" w:color="auto"/>
            </w:tcBorders>
            <w:shd w:val="clear" w:color="auto" w:fill="auto"/>
            <w:noWrap/>
            <w:vAlign w:val="center"/>
            <w:hideMark/>
          </w:tcPr>
          <w:p w14:paraId="51F12290" w14:textId="77777777" w:rsidR="00DB5864" w:rsidRPr="00BE65E2" w:rsidRDefault="00DB5864" w:rsidP="000419EA">
            <w:pPr>
              <w:jc w:val="center"/>
              <w:rPr>
                <w:color w:val="000000"/>
                <w:sz w:val="20"/>
                <w:szCs w:val="20"/>
              </w:rPr>
            </w:pPr>
            <w:r w:rsidRPr="00BE65E2">
              <w:rPr>
                <w:color w:val="000000"/>
                <w:sz w:val="20"/>
                <w:szCs w:val="20"/>
              </w:rPr>
              <w:t>82,85</w:t>
            </w:r>
          </w:p>
        </w:tc>
      </w:tr>
      <w:tr w:rsidR="00DB5864" w:rsidRPr="004A52CD" w14:paraId="56C47F18"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4E2DE824" w14:textId="77777777" w:rsidR="00DB5864" w:rsidRPr="00BE65E2" w:rsidRDefault="00DB5864" w:rsidP="000419EA">
            <w:pPr>
              <w:jc w:val="both"/>
              <w:rPr>
                <w:color w:val="000000"/>
                <w:sz w:val="20"/>
                <w:szCs w:val="20"/>
              </w:rPr>
            </w:pPr>
            <w:r w:rsidRPr="00BE65E2">
              <w:rPr>
                <w:color w:val="000000"/>
                <w:sz w:val="20"/>
                <w:szCs w:val="20"/>
              </w:rPr>
              <w:t>Федеральный проект "Создание системы поддержки фермеров и развитие сельской кооперации"</w:t>
            </w:r>
          </w:p>
        </w:tc>
        <w:tc>
          <w:tcPr>
            <w:tcW w:w="1624" w:type="dxa"/>
            <w:tcBorders>
              <w:top w:val="nil"/>
              <w:left w:val="nil"/>
              <w:bottom w:val="single" w:sz="4" w:space="0" w:color="auto"/>
              <w:right w:val="single" w:sz="4" w:space="0" w:color="auto"/>
            </w:tcBorders>
            <w:shd w:val="clear" w:color="auto" w:fill="auto"/>
            <w:noWrap/>
            <w:vAlign w:val="center"/>
            <w:hideMark/>
          </w:tcPr>
          <w:p w14:paraId="522F844B" w14:textId="77777777" w:rsidR="00DB5864" w:rsidRPr="00BE65E2" w:rsidRDefault="00DB5864" w:rsidP="000419EA">
            <w:pPr>
              <w:jc w:val="center"/>
              <w:rPr>
                <w:color w:val="000000"/>
                <w:sz w:val="20"/>
                <w:szCs w:val="20"/>
              </w:rPr>
            </w:pPr>
            <w:r w:rsidRPr="00BE65E2">
              <w:rPr>
                <w:color w:val="000000"/>
                <w:sz w:val="20"/>
                <w:szCs w:val="20"/>
              </w:rPr>
              <w:t>1,3</w:t>
            </w:r>
          </w:p>
        </w:tc>
        <w:tc>
          <w:tcPr>
            <w:tcW w:w="1624" w:type="dxa"/>
            <w:tcBorders>
              <w:top w:val="nil"/>
              <w:left w:val="nil"/>
              <w:bottom w:val="single" w:sz="4" w:space="0" w:color="auto"/>
              <w:right w:val="single" w:sz="4" w:space="0" w:color="auto"/>
            </w:tcBorders>
            <w:shd w:val="clear" w:color="auto" w:fill="auto"/>
            <w:noWrap/>
            <w:vAlign w:val="center"/>
            <w:hideMark/>
          </w:tcPr>
          <w:p w14:paraId="03F31B93" w14:textId="77777777" w:rsidR="00DB5864" w:rsidRPr="00BE65E2" w:rsidRDefault="00DB5864" w:rsidP="000419EA">
            <w:pPr>
              <w:jc w:val="center"/>
              <w:rPr>
                <w:color w:val="000000"/>
                <w:sz w:val="20"/>
                <w:szCs w:val="20"/>
              </w:rPr>
            </w:pPr>
            <w:r w:rsidRPr="00BE65E2">
              <w:rPr>
                <w:color w:val="000000"/>
                <w:sz w:val="20"/>
                <w:szCs w:val="20"/>
              </w:rPr>
              <w:t>1,57</w:t>
            </w:r>
          </w:p>
        </w:tc>
        <w:tc>
          <w:tcPr>
            <w:tcW w:w="1625" w:type="dxa"/>
            <w:tcBorders>
              <w:top w:val="nil"/>
              <w:left w:val="nil"/>
              <w:bottom w:val="single" w:sz="4" w:space="0" w:color="auto"/>
              <w:right w:val="single" w:sz="4" w:space="0" w:color="auto"/>
            </w:tcBorders>
            <w:shd w:val="clear" w:color="auto" w:fill="auto"/>
            <w:noWrap/>
            <w:vAlign w:val="center"/>
            <w:hideMark/>
          </w:tcPr>
          <w:p w14:paraId="20758037" w14:textId="77777777" w:rsidR="00DB5864" w:rsidRPr="00BE65E2" w:rsidRDefault="00DB5864" w:rsidP="000419EA">
            <w:pPr>
              <w:jc w:val="center"/>
              <w:rPr>
                <w:color w:val="000000"/>
                <w:sz w:val="20"/>
                <w:szCs w:val="20"/>
              </w:rPr>
            </w:pPr>
            <w:r w:rsidRPr="00BE65E2">
              <w:rPr>
                <w:color w:val="000000"/>
                <w:sz w:val="20"/>
                <w:szCs w:val="20"/>
              </w:rPr>
              <w:t>1,80</w:t>
            </w:r>
          </w:p>
        </w:tc>
      </w:tr>
      <w:tr w:rsidR="00DB5864" w:rsidRPr="004A52CD" w14:paraId="3FC47B4B"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4B4C8FA3" w14:textId="77777777" w:rsidR="00DB5864" w:rsidRPr="00BE65E2" w:rsidRDefault="00DB5864" w:rsidP="000419EA">
            <w:pPr>
              <w:jc w:val="both"/>
              <w:rPr>
                <w:color w:val="000000"/>
                <w:sz w:val="20"/>
                <w:szCs w:val="20"/>
              </w:rPr>
            </w:pPr>
            <w:r w:rsidRPr="00BE65E2">
              <w:rPr>
                <w:color w:val="000000"/>
                <w:sz w:val="20"/>
                <w:szCs w:val="20"/>
              </w:rPr>
              <w:t>Федеральный проект "Экспорт продукции агропромышленного комплекса"</w:t>
            </w:r>
          </w:p>
        </w:tc>
        <w:tc>
          <w:tcPr>
            <w:tcW w:w="1624" w:type="dxa"/>
            <w:tcBorders>
              <w:top w:val="nil"/>
              <w:left w:val="nil"/>
              <w:bottom w:val="single" w:sz="4" w:space="0" w:color="auto"/>
              <w:right w:val="single" w:sz="4" w:space="0" w:color="auto"/>
            </w:tcBorders>
            <w:shd w:val="clear" w:color="auto" w:fill="auto"/>
            <w:noWrap/>
            <w:vAlign w:val="center"/>
            <w:hideMark/>
          </w:tcPr>
          <w:p w14:paraId="532F4AD6" w14:textId="77777777" w:rsidR="00DB5864" w:rsidRPr="00BE65E2" w:rsidRDefault="00DB5864" w:rsidP="000419EA">
            <w:pPr>
              <w:jc w:val="center"/>
              <w:rPr>
                <w:color w:val="000000"/>
                <w:sz w:val="20"/>
                <w:szCs w:val="20"/>
              </w:rPr>
            </w:pPr>
            <w:r w:rsidRPr="00BE65E2">
              <w:rPr>
                <w:color w:val="000000"/>
                <w:sz w:val="20"/>
                <w:szCs w:val="20"/>
              </w:rPr>
              <w:t>11,7</w:t>
            </w:r>
          </w:p>
        </w:tc>
        <w:tc>
          <w:tcPr>
            <w:tcW w:w="1624" w:type="dxa"/>
            <w:tcBorders>
              <w:top w:val="nil"/>
              <w:left w:val="nil"/>
              <w:bottom w:val="single" w:sz="4" w:space="0" w:color="auto"/>
              <w:right w:val="single" w:sz="4" w:space="0" w:color="auto"/>
            </w:tcBorders>
            <w:shd w:val="clear" w:color="auto" w:fill="auto"/>
            <w:noWrap/>
            <w:vAlign w:val="center"/>
            <w:hideMark/>
          </w:tcPr>
          <w:p w14:paraId="5856DFCA" w14:textId="77777777" w:rsidR="00DB5864" w:rsidRPr="00BE65E2" w:rsidRDefault="00DB5864" w:rsidP="000419EA">
            <w:pPr>
              <w:jc w:val="center"/>
              <w:rPr>
                <w:color w:val="000000"/>
                <w:sz w:val="20"/>
                <w:szCs w:val="20"/>
              </w:rPr>
            </w:pPr>
            <w:r w:rsidRPr="00BE65E2">
              <w:rPr>
                <w:color w:val="000000"/>
                <w:sz w:val="20"/>
                <w:szCs w:val="20"/>
              </w:rPr>
              <w:t>22,71</w:t>
            </w:r>
          </w:p>
        </w:tc>
        <w:tc>
          <w:tcPr>
            <w:tcW w:w="1625" w:type="dxa"/>
            <w:tcBorders>
              <w:top w:val="nil"/>
              <w:left w:val="nil"/>
              <w:bottom w:val="single" w:sz="4" w:space="0" w:color="auto"/>
              <w:right w:val="single" w:sz="4" w:space="0" w:color="auto"/>
            </w:tcBorders>
            <w:shd w:val="clear" w:color="auto" w:fill="auto"/>
            <w:noWrap/>
            <w:vAlign w:val="center"/>
            <w:hideMark/>
          </w:tcPr>
          <w:p w14:paraId="17D41F61" w14:textId="77777777" w:rsidR="00DB5864" w:rsidRPr="00BE65E2" w:rsidRDefault="00DB5864" w:rsidP="000419EA">
            <w:pPr>
              <w:jc w:val="center"/>
              <w:rPr>
                <w:color w:val="000000"/>
                <w:sz w:val="20"/>
                <w:szCs w:val="20"/>
              </w:rPr>
            </w:pPr>
            <w:r w:rsidRPr="00BE65E2">
              <w:rPr>
                <w:color w:val="000000"/>
                <w:sz w:val="20"/>
                <w:szCs w:val="20"/>
              </w:rPr>
              <w:t>28,89</w:t>
            </w:r>
          </w:p>
        </w:tc>
      </w:tr>
      <w:tr w:rsidR="00DB5864" w:rsidRPr="004A52CD" w14:paraId="2670DD99"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6FBAC8C8" w14:textId="77777777" w:rsidR="00DB5864" w:rsidRPr="00BE65E2" w:rsidRDefault="00DB5864" w:rsidP="000419EA">
            <w:pPr>
              <w:jc w:val="both"/>
              <w:rPr>
                <w:color w:val="000000"/>
                <w:sz w:val="20"/>
                <w:szCs w:val="20"/>
              </w:rPr>
            </w:pPr>
            <w:r w:rsidRPr="00BE65E2">
              <w:rPr>
                <w:color w:val="000000"/>
                <w:sz w:val="20"/>
                <w:szCs w:val="20"/>
              </w:rPr>
              <w:t>Реализация мер в области мелиорации земель с/х назначения (Бюджетные инвестиции в объекты кап. строительства гос. собственности)</w:t>
            </w:r>
          </w:p>
        </w:tc>
        <w:tc>
          <w:tcPr>
            <w:tcW w:w="1624" w:type="dxa"/>
            <w:tcBorders>
              <w:top w:val="nil"/>
              <w:left w:val="nil"/>
              <w:bottom w:val="single" w:sz="4" w:space="0" w:color="auto"/>
              <w:right w:val="single" w:sz="4" w:space="0" w:color="auto"/>
            </w:tcBorders>
            <w:shd w:val="clear" w:color="auto" w:fill="auto"/>
            <w:noWrap/>
            <w:vAlign w:val="center"/>
            <w:hideMark/>
          </w:tcPr>
          <w:p w14:paraId="6BB58702" w14:textId="77777777" w:rsidR="00DB5864" w:rsidRPr="00BE65E2" w:rsidRDefault="00DB5864" w:rsidP="000419EA">
            <w:pPr>
              <w:jc w:val="center"/>
              <w:rPr>
                <w:color w:val="000000"/>
                <w:sz w:val="20"/>
                <w:szCs w:val="20"/>
              </w:rPr>
            </w:pPr>
            <w:r w:rsidRPr="00BE65E2">
              <w:rPr>
                <w:color w:val="000000"/>
                <w:sz w:val="20"/>
                <w:szCs w:val="20"/>
              </w:rPr>
              <w:t>0,1</w:t>
            </w:r>
          </w:p>
        </w:tc>
        <w:tc>
          <w:tcPr>
            <w:tcW w:w="1624" w:type="dxa"/>
            <w:tcBorders>
              <w:top w:val="nil"/>
              <w:left w:val="nil"/>
              <w:bottom w:val="single" w:sz="4" w:space="0" w:color="auto"/>
              <w:right w:val="single" w:sz="4" w:space="0" w:color="auto"/>
            </w:tcBorders>
            <w:shd w:val="clear" w:color="auto" w:fill="auto"/>
            <w:noWrap/>
            <w:vAlign w:val="center"/>
            <w:hideMark/>
          </w:tcPr>
          <w:p w14:paraId="2E09365D" w14:textId="77777777" w:rsidR="00DB5864" w:rsidRPr="00BE65E2" w:rsidRDefault="00DB5864" w:rsidP="000419EA">
            <w:pPr>
              <w:jc w:val="center"/>
              <w:rPr>
                <w:color w:val="000000"/>
                <w:sz w:val="20"/>
                <w:szCs w:val="20"/>
              </w:rPr>
            </w:pPr>
            <w:r w:rsidRPr="00BE65E2">
              <w:rPr>
                <w:color w:val="000000"/>
                <w:sz w:val="20"/>
                <w:szCs w:val="20"/>
              </w:rPr>
              <w:t>1,49</w:t>
            </w:r>
          </w:p>
        </w:tc>
        <w:tc>
          <w:tcPr>
            <w:tcW w:w="1625" w:type="dxa"/>
            <w:tcBorders>
              <w:top w:val="nil"/>
              <w:left w:val="nil"/>
              <w:bottom w:val="single" w:sz="4" w:space="0" w:color="auto"/>
              <w:right w:val="single" w:sz="4" w:space="0" w:color="auto"/>
            </w:tcBorders>
            <w:shd w:val="clear" w:color="auto" w:fill="auto"/>
            <w:noWrap/>
            <w:vAlign w:val="center"/>
            <w:hideMark/>
          </w:tcPr>
          <w:p w14:paraId="32775126" w14:textId="77777777" w:rsidR="00DB5864" w:rsidRPr="00BE65E2" w:rsidRDefault="00DB5864" w:rsidP="000419EA">
            <w:pPr>
              <w:jc w:val="center"/>
              <w:rPr>
                <w:color w:val="000000"/>
                <w:sz w:val="20"/>
                <w:szCs w:val="20"/>
              </w:rPr>
            </w:pPr>
            <w:r w:rsidRPr="00BE65E2">
              <w:rPr>
                <w:color w:val="000000"/>
                <w:sz w:val="20"/>
                <w:szCs w:val="20"/>
              </w:rPr>
              <w:t>0,00</w:t>
            </w:r>
          </w:p>
        </w:tc>
      </w:tr>
      <w:tr w:rsidR="00DB5864" w:rsidRPr="004A52CD" w14:paraId="377CF889"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52F1F24D" w14:textId="77777777" w:rsidR="00DB5864" w:rsidRPr="00BE65E2" w:rsidRDefault="00DB5864" w:rsidP="000419EA">
            <w:pPr>
              <w:jc w:val="both"/>
              <w:rPr>
                <w:color w:val="000000"/>
                <w:sz w:val="20"/>
                <w:szCs w:val="20"/>
              </w:rPr>
            </w:pPr>
            <w:r w:rsidRPr="00BE65E2">
              <w:rPr>
                <w:color w:val="000000"/>
                <w:sz w:val="20"/>
                <w:szCs w:val="20"/>
              </w:rPr>
              <w:t>Господдержка аккредитации ветеринарных лабораторий в национальной системе аккредитации</w:t>
            </w:r>
          </w:p>
        </w:tc>
        <w:tc>
          <w:tcPr>
            <w:tcW w:w="1624" w:type="dxa"/>
            <w:tcBorders>
              <w:top w:val="nil"/>
              <w:left w:val="nil"/>
              <w:bottom w:val="single" w:sz="4" w:space="0" w:color="auto"/>
              <w:right w:val="single" w:sz="4" w:space="0" w:color="auto"/>
            </w:tcBorders>
            <w:shd w:val="clear" w:color="auto" w:fill="auto"/>
            <w:noWrap/>
            <w:vAlign w:val="center"/>
            <w:hideMark/>
          </w:tcPr>
          <w:p w14:paraId="26E944E6" w14:textId="77777777" w:rsidR="00DB5864" w:rsidRPr="00BE65E2" w:rsidRDefault="00DB5864" w:rsidP="000419EA">
            <w:pPr>
              <w:jc w:val="center"/>
              <w:rPr>
                <w:color w:val="000000"/>
                <w:sz w:val="20"/>
                <w:szCs w:val="20"/>
              </w:rPr>
            </w:pPr>
            <w:r w:rsidRPr="00BE65E2">
              <w:rPr>
                <w:color w:val="000000"/>
                <w:sz w:val="20"/>
                <w:szCs w:val="20"/>
              </w:rPr>
              <w:t>0,00</w:t>
            </w:r>
          </w:p>
        </w:tc>
        <w:tc>
          <w:tcPr>
            <w:tcW w:w="1624" w:type="dxa"/>
            <w:tcBorders>
              <w:top w:val="nil"/>
              <w:left w:val="nil"/>
              <w:bottom w:val="single" w:sz="4" w:space="0" w:color="auto"/>
              <w:right w:val="single" w:sz="4" w:space="0" w:color="auto"/>
            </w:tcBorders>
            <w:shd w:val="clear" w:color="auto" w:fill="auto"/>
            <w:noWrap/>
            <w:vAlign w:val="center"/>
            <w:hideMark/>
          </w:tcPr>
          <w:p w14:paraId="5E04E59F" w14:textId="77777777" w:rsidR="00DB5864" w:rsidRPr="00BE65E2" w:rsidRDefault="00DB5864" w:rsidP="000419EA">
            <w:pPr>
              <w:jc w:val="center"/>
              <w:rPr>
                <w:color w:val="000000"/>
                <w:sz w:val="20"/>
                <w:szCs w:val="20"/>
              </w:rPr>
            </w:pPr>
            <w:r w:rsidRPr="00BE65E2">
              <w:rPr>
                <w:color w:val="000000"/>
                <w:sz w:val="20"/>
                <w:szCs w:val="20"/>
              </w:rPr>
              <w:t>0,00</w:t>
            </w:r>
          </w:p>
        </w:tc>
        <w:tc>
          <w:tcPr>
            <w:tcW w:w="1625" w:type="dxa"/>
            <w:tcBorders>
              <w:top w:val="nil"/>
              <w:left w:val="nil"/>
              <w:bottom w:val="single" w:sz="4" w:space="0" w:color="auto"/>
              <w:right w:val="single" w:sz="4" w:space="0" w:color="auto"/>
            </w:tcBorders>
            <w:shd w:val="clear" w:color="auto" w:fill="auto"/>
            <w:noWrap/>
            <w:vAlign w:val="center"/>
            <w:hideMark/>
          </w:tcPr>
          <w:p w14:paraId="7CE9FC32" w14:textId="77777777" w:rsidR="00DB5864" w:rsidRPr="00BE65E2" w:rsidRDefault="00DB5864" w:rsidP="000419EA">
            <w:pPr>
              <w:jc w:val="center"/>
              <w:rPr>
                <w:color w:val="000000"/>
                <w:sz w:val="20"/>
                <w:szCs w:val="20"/>
              </w:rPr>
            </w:pPr>
            <w:r w:rsidRPr="00BE65E2">
              <w:rPr>
                <w:color w:val="000000"/>
                <w:sz w:val="20"/>
                <w:szCs w:val="20"/>
              </w:rPr>
              <w:t>0,61</w:t>
            </w:r>
          </w:p>
        </w:tc>
      </w:tr>
      <w:tr w:rsidR="00DB5864" w:rsidRPr="004A52CD" w14:paraId="312E39D1"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505768AD" w14:textId="77777777" w:rsidR="00DB5864" w:rsidRPr="00BE65E2" w:rsidRDefault="00DB5864" w:rsidP="000419EA">
            <w:pPr>
              <w:jc w:val="both"/>
              <w:rPr>
                <w:color w:val="000000"/>
                <w:sz w:val="20"/>
                <w:szCs w:val="20"/>
              </w:rPr>
            </w:pPr>
            <w:r w:rsidRPr="00BE65E2">
              <w:rPr>
                <w:color w:val="000000"/>
                <w:sz w:val="20"/>
                <w:szCs w:val="20"/>
              </w:rPr>
              <w:t xml:space="preserve">Возмещение части прямых понесенных затрат на создание и (или) модернизацию объектов АПК </w:t>
            </w:r>
          </w:p>
        </w:tc>
        <w:tc>
          <w:tcPr>
            <w:tcW w:w="1624" w:type="dxa"/>
            <w:tcBorders>
              <w:top w:val="nil"/>
              <w:left w:val="nil"/>
              <w:bottom w:val="single" w:sz="4" w:space="0" w:color="auto"/>
              <w:right w:val="single" w:sz="4" w:space="0" w:color="auto"/>
            </w:tcBorders>
            <w:shd w:val="clear" w:color="auto" w:fill="auto"/>
            <w:noWrap/>
            <w:vAlign w:val="center"/>
            <w:hideMark/>
          </w:tcPr>
          <w:p w14:paraId="44578492" w14:textId="77777777" w:rsidR="00DB5864" w:rsidRPr="00BE65E2" w:rsidRDefault="00DB5864" w:rsidP="000419EA">
            <w:pPr>
              <w:jc w:val="center"/>
              <w:rPr>
                <w:color w:val="000000"/>
                <w:sz w:val="20"/>
                <w:szCs w:val="20"/>
              </w:rPr>
            </w:pPr>
            <w:r w:rsidRPr="00BE65E2">
              <w:rPr>
                <w:color w:val="000000"/>
                <w:sz w:val="20"/>
                <w:szCs w:val="20"/>
              </w:rPr>
              <w:t>1,5</w:t>
            </w:r>
          </w:p>
        </w:tc>
        <w:tc>
          <w:tcPr>
            <w:tcW w:w="1624" w:type="dxa"/>
            <w:tcBorders>
              <w:top w:val="nil"/>
              <w:left w:val="nil"/>
              <w:bottom w:val="single" w:sz="4" w:space="0" w:color="auto"/>
              <w:right w:val="single" w:sz="4" w:space="0" w:color="auto"/>
            </w:tcBorders>
            <w:shd w:val="clear" w:color="auto" w:fill="auto"/>
            <w:noWrap/>
            <w:vAlign w:val="center"/>
            <w:hideMark/>
          </w:tcPr>
          <w:p w14:paraId="6C85B911" w14:textId="77777777" w:rsidR="00DB5864" w:rsidRPr="00BE65E2" w:rsidRDefault="00DB5864" w:rsidP="000419EA">
            <w:pPr>
              <w:jc w:val="center"/>
              <w:rPr>
                <w:color w:val="000000"/>
                <w:sz w:val="20"/>
                <w:szCs w:val="20"/>
              </w:rPr>
            </w:pPr>
            <w:r w:rsidRPr="00BE65E2">
              <w:rPr>
                <w:color w:val="000000"/>
                <w:sz w:val="20"/>
                <w:szCs w:val="20"/>
              </w:rPr>
              <w:t>1,02</w:t>
            </w:r>
          </w:p>
        </w:tc>
        <w:tc>
          <w:tcPr>
            <w:tcW w:w="1625" w:type="dxa"/>
            <w:tcBorders>
              <w:top w:val="nil"/>
              <w:left w:val="nil"/>
              <w:bottom w:val="single" w:sz="4" w:space="0" w:color="auto"/>
              <w:right w:val="single" w:sz="4" w:space="0" w:color="auto"/>
            </w:tcBorders>
            <w:shd w:val="clear" w:color="auto" w:fill="auto"/>
            <w:noWrap/>
            <w:vAlign w:val="center"/>
            <w:hideMark/>
          </w:tcPr>
          <w:p w14:paraId="6119ADD2" w14:textId="77777777" w:rsidR="00DB5864" w:rsidRPr="00BE65E2" w:rsidRDefault="00DB5864" w:rsidP="000419EA">
            <w:pPr>
              <w:jc w:val="center"/>
              <w:rPr>
                <w:color w:val="000000"/>
                <w:sz w:val="20"/>
                <w:szCs w:val="20"/>
              </w:rPr>
            </w:pPr>
            <w:r w:rsidRPr="00BE65E2">
              <w:rPr>
                <w:color w:val="000000"/>
                <w:sz w:val="20"/>
                <w:szCs w:val="20"/>
              </w:rPr>
              <w:t>0,20</w:t>
            </w:r>
          </w:p>
        </w:tc>
      </w:tr>
      <w:tr w:rsidR="00DB5864" w:rsidRPr="004A52CD" w14:paraId="6C7F584A"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556CC950" w14:textId="77777777" w:rsidR="00DB5864" w:rsidRPr="00BE65E2" w:rsidRDefault="00DB5864" w:rsidP="000419EA">
            <w:pPr>
              <w:jc w:val="both"/>
              <w:rPr>
                <w:color w:val="000000"/>
                <w:sz w:val="20"/>
                <w:szCs w:val="20"/>
              </w:rPr>
            </w:pPr>
            <w:r w:rsidRPr="00BE65E2">
              <w:rPr>
                <w:color w:val="000000"/>
                <w:sz w:val="20"/>
                <w:szCs w:val="20"/>
              </w:rPr>
              <w:t>Реализация мер в области мелиорации земель с/х назначения (Субсидии, за исключением субсидий на софинансирование кап. вложений в объекты гос. (муниципальной) собственности)</w:t>
            </w:r>
          </w:p>
        </w:tc>
        <w:tc>
          <w:tcPr>
            <w:tcW w:w="1624" w:type="dxa"/>
            <w:tcBorders>
              <w:top w:val="nil"/>
              <w:left w:val="nil"/>
              <w:bottom w:val="single" w:sz="4" w:space="0" w:color="auto"/>
              <w:right w:val="single" w:sz="4" w:space="0" w:color="auto"/>
            </w:tcBorders>
            <w:shd w:val="clear" w:color="auto" w:fill="auto"/>
            <w:noWrap/>
            <w:vAlign w:val="center"/>
            <w:hideMark/>
          </w:tcPr>
          <w:p w14:paraId="4973D95B" w14:textId="77777777" w:rsidR="00DB5864" w:rsidRPr="00BE65E2" w:rsidRDefault="00DB5864" w:rsidP="000419EA">
            <w:pPr>
              <w:jc w:val="center"/>
              <w:rPr>
                <w:color w:val="000000"/>
                <w:sz w:val="20"/>
                <w:szCs w:val="20"/>
              </w:rPr>
            </w:pPr>
            <w:r w:rsidRPr="00BE65E2">
              <w:rPr>
                <w:color w:val="000000"/>
                <w:sz w:val="20"/>
                <w:szCs w:val="20"/>
              </w:rPr>
              <w:t>0,8</w:t>
            </w:r>
          </w:p>
        </w:tc>
        <w:tc>
          <w:tcPr>
            <w:tcW w:w="1624" w:type="dxa"/>
            <w:tcBorders>
              <w:top w:val="nil"/>
              <w:left w:val="nil"/>
              <w:bottom w:val="single" w:sz="4" w:space="0" w:color="auto"/>
              <w:right w:val="single" w:sz="4" w:space="0" w:color="auto"/>
            </w:tcBorders>
            <w:shd w:val="clear" w:color="auto" w:fill="auto"/>
            <w:noWrap/>
            <w:vAlign w:val="center"/>
            <w:hideMark/>
          </w:tcPr>
          <w:p w14:paraId="7C6642FC" w14:textId="77777777" w:rsidR="00DB5864" w:rsidRPr="00BE65E2" w:rsidRDefault="00DB5864" w:rsidP="000419EA">
            <w:pPr>
              <w:jc w:val="center"/>
              <w:rPr>
                <w:color w:val="000000"/>
                <w:sz w:val="20"/>
                <w:szCs w:val="20"/>
              </w:rPr>
            </w:pPr>
            <w:r w:rsidRPr="00BE65E2">
              <w:rPr>
                <w:color w:val="000000"/>
                <w:sz w:val="20"/>
                <w:szCs w:val="20"/>
              </w:rPr>
              <w:t>0,49</w:t>
            </w:r>
          </w:p>
        </w:tc>
        <w:tc>
          <w:tcPr>
            <w:tcW w:w="1625" w:type="dxa"/>
            <w:tcBorders>
              <w:top w:val="nil"/>
              <w:left w:val="nil"/>
              <w:bottom w:val="single" w:sz="4" w:space="0" w:color="auto"/>
              <w:right w:val="single" w:sz="4" w:space="0" w:color="auto"/>
            </w:tcBorders>
            <w:shd w:val="clear" w:color="auto" w:fill="auto"/>
            <w:noWrap/>
            <w:vAlign w:val="center"/>
            <w:hideMark/>
          </w:tcPr>
          <w:p w14:paraId="7A24AFF6" w14:textId="77777777" w:rsidR="00DB5864" w:rsidRPr="00BE65E2" w:rsidRDefault="00DB5864" w:rsidP="000419EA">
            <w:pPr>
              <w:jc w:val="center"/>
              <w:rPr>
                <w:color w:val="000000"/>
                <w:sz w:val="20"/>
                <w:szCs w:val="20"/>
              </w:rPr>
            </w:pPr>
            <w:r w:rsidRPr="00BE65E2">
              <w:rPr>
                <w:color w:val="000000"/>
                <w:sz w:val="20"/>
                <w:szCs w:val="20"/>
              </w:rPr>
              <w:t>2,33</w:t>
            </w:r>
          </w:p>
        </w:tc>
      </w:tr>
      <w:tr w:rsidR="00DB5864" w:rsidRPr="004A52CD" w14:paraId="520547F2"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6C6B0CAF" w14:textId="77777777" w:rsidR="00DB5864" w:rsidRPr="00BE65E2" w:rsidRDefault="00DB5864" w:rsidP="000419EA">
            <w:pPr>
              <w:jc w:val="both"/>
              <w:rPr>
                <w:color w:val="000000"/>
                <w:sz w:val="20"/>
                <w:szCs w:val="20"/>
              </w:rPr>
            </w:pPr>
            <w:r w:rsidRPr="00BE65E2">
              <w:rPr>
                <w:color w:val="000000"/>
                <w:sz w:val="20"/>
                <w:szCs w:val="20"/>
              </w:rPr>
              <w:t xml:space="preserve">Господдержка организаций в целях продвижения продукции АПК на внешние рынки (Субсидии (гранты в форме субсидий) </w:t>
            </w:r>
          </w:p>
        </w:tc>
        <w:tc>
          <w:tcPr>
            <w:tcW w:w="1624" w:type="dxa"/>
            <w:tcBorders>
              <w:top w:val="nil"/>
              <w:left w:val="nil"/>
              <w:bottom w:val="single" w:sz="4" w:space="0" w:color="auto"/>
              <w:right w:val="single" w:sz="4" w:space="0" w:color="auto"/>
            </w:tcBorders>
            <w:shd w:val="clear" w:color="auto" w:fill="auto"/>
            <w:noWrap/>
            <w:vAlign w:val="center"/>
            <w:hideMark/>
          </w:tcPr>
          <w:p w14:paraId="61D294E0" w14:textId="77777777" w:rsidR="00DB5864" w:rsidRPr="00BE65E2" w:rsidRDefault="00DB5864" w:rsidP="000419EA">
            <w:pPr>
              <w:jc w:val="center"/>
              <w:rPr>
                <w:color w:val="000000"/>
                <w:sz w:val="20"/>
                <w:szCs w:val="20"/>
              </w:rPr>
            </w:pPr>
            <w:r w:rsidRPr="00BE65E2">
              <w:rPr>
                <w:color w:val="000000"/>
                <w:sz w:val="20"/>
                <w:szCs w:val="20"/>
              </w:rPr>
              <w:t>0,1</w:t>
            </w:r>
          </w:p>
        </w:tc>
        <w:tc>
          <w:tcPr>
            <w:tcW w:w="1624" w:type="dxa"/>
            <w:tcBorders>
              <w:top w:val="nil"/>
              <w:left w:val="nil"/>
              <w:bottom w:val="single" w:sz="4" w:space="0" w:color="auto"/>
              <w:right w:val="single" w:sz="4" w:space="0" w:color="auto"/>
            </w:tcBorders>
            <w:shd w:val="clear" w:color="auto" w:fill="auto"/>
            <w:noWrap/>
            <w:vAlign w:val="center"/>
            <w:hideMark/>
          </w:tcPr>
          <w:p w14:paraId="66A64697" w14:textId="77777777" w:rsidR="00DB5864" w:rsidRPr="00BE65E2" w:rsidRDefault="00DB5864" w:rsidP="000419EA">
            <w:pPr>
              <w:jc w:val="center"/>
              <w:rPr>
                <w:color w:val="000000"/>
                <w:sz w:val="20"/>
                <w:szCs w:val="20"/>
              </w:rPr>
            </w:pPr>
            <w:r w:rsidRPr="00BE65E2">
              <w:rPr>
                <w:color w:val="000000"/>
                <w:sz w:val="20"/>
                <w:szCs w:val="20"/>
              </w:rPr>
              <w:t>0,12</w:t>
            </w:r>
          </w:p>
        </w:tc>
        <w:tc>
          <w:tcPr>
            <w:tcW w:w="1625" w:type="dxa"/>
            <w:tcBorders>
              <w:top w:val="nil"/>
              <w:left w:val="nil"/>
              <w:bottom w:val="single" w:sz="4" w:space="0" w:color="auto"/>
              <w:right w:val="single" w:sz="4" w:space="0" w:color="auto"/>
            </w:tcBorders>
            <w:shd w:val="clear" w:color="auto" w:fill="auto"/>
            <w:noWrap/>
            <w:vAlign w:val="center"/>
            <w:hideMark/>
          </w:tcPr>
          <w:p w14:paraId="13EEFA4E" w14:textId="77777777" w:rsidR="00DB5864" w:rsidRPr="00BE65E2" w:rsidRDefault="00DB5864" w:rsidP="000419EA">
            <w:pPr>
              <w:jc w:val="center"/>
              <w:rPr>
                <w:color w:val="000000"/>
                <w:sz w:val="20"/>
                <w:szCs w:val="20"/>
              </w:rPr>
            </w:pPr>
            <w:r w:rsidRPr="00BE65E2">
              <w:rPr>
                <w:color w:val="000000"/>
                <w:sz w:val="20"/>
                <w:szCs w:val="20"/>
              </w:rPr>
              <w:t>0,10</w:t>
            </w:r>
          </w:p>
        </w:tc>
      </w:tr>
      <w:tr w:rsidR="00DB5864" w:rsidRPr="004A52CD" w14:paraId="73BEC5EC"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2FA5DEF0" w14:textId="77777777" w:rsidR="00DB5864" w:rsidRPr="00BE65E2" w:rsidRDefault="00DB5864" w:rsidP="000419EA">
            <w:pPr>
              <w:jc w:val="both"/>
              <w:rPr>
                <w:color w:val="000000"/>
                <w:sz w:val="20"/>
                <w:szCs w:val="20"/>
              </w:rPr>
            </w:pPr>
            <w:r w:rsidRPr="00BE65E2">
              <w:rPr>
                <w:color w:val="000000"/>
                <w:sz w:val="20"/>
                <w:szCs w:val="20"/>
              </w:rPr>
              <w:t xml:space="preserve">Господдержка организаций в целях компенсации части затрат, связанных с сертификацией продукции АПК на внешних рынках </w:t>
            </w:r>
          </w:p>
        </w:tc>
        <w:tc>
          <w:tcPr>
            <w:tcW w:w="1624" w:type="dxa"/>
            <w:tcBorders>
              <w:top w:val="nil"/>
              <w:left w:val="nil"/>
              <w:bottom w:val="single" w:sz="4" w:space="0" w:color="auto"/>
              <w:right w:val="single" w:sz="4" w:space="0" w:color="auto"/>
            </w:tcBorders>
            <w:shd w:val="clear" w:color="auto" w:fill="auto"/>
            <w:noWrap/>
            <w:vAlign w:val="center"/>
            <w:hideMark/>
          </w:tcPr>
          <w:p w14:paraId="096676BB" w14:textId="77777777" w:rsidR="00DB5864" w:rsidRPr="00BE65E2" w:rsidRDefault="00DB5864" w:rsidP="000419EA">
            <w:pPr>
              <w:jc w:val="center"/>
              <w:rPr>
                <w:color w:val="000000"/>
                <w:sz w:val="20"/>
                <w:szCs w:val="20"/>
              </w:rPr>
            </w:pPr>
            <w:r w:rsidRPr="00BE65E2">
              <w:rPr>
                <w:color w:val="000000"/>
                <w:sz w:val="20"/>
                <w:szCs w:val="20"/>
              </w:rPr>
              <w:t>0,1</w:t>
            </w:r>
          </w:p>
        </w:tc>
        <w:tc>
          <w:tcPr>
            <w:tcW w:w="1624" w:type="dxa"/>
            <w:tcBorders>
              <w:top w:val="nil"/>
              <w:left w:val="nil"/>
              <w:bottom w:val="single" w:sz="4" w:space="0" w:color="auto"/>
              <w:right w:val="single" w:sz="4" w:space="0" w:color="auto"/>
            </w:tcBorders>
            <w:shd w:val="clear" w:color="auto" w:fill="auto"/>
            <w:noWrap/>
            <w:vAlign w:val="center"/>
            <w:hideMark/>
          </w:tcPr>
          <w:p w14:paraId="3AE599BC" w14:textId="77777777" w:rsidR="00DB5864" w:rsidRPr="00BE65E2" w:rsidRDefault="00DB5864" w:rsidP="000419EA">
            <w:pPr>
              <w:jc w:val="center"/>
              <w:rPr>
                <w:color w:val="000000"/>
                <w:sz w:val="20"/>
                <w:szCs w:val="20"/>
              </w:rPr>
            </w:pPr>
            <w:r w:rsidRPr="00BE65E2">
              <w:rPr>
                <w:color w:val="000000"/>
                <w:sz w:val="20"/>
                <w:szCs w:val="20"/>
              </w:rPr>
              <w:t>0,15</w:t>
            </w:r>
          </w:p>
        </w:tc>
        <w:tc>
          <w:tcPr>
            <w:tcW w:w="1625" w:type="dxa"/>
            <w:tcBorders>
              <w:top w:val="nil"/>
              <w:left w:val="nil"/>
              <w:bottom w:val="single" w:sz="4" w:space="0" w:color="auto"/>
              <w:right w:val="single" w:sz="4" w:space="0" w:color="auto"/>
            </w:tcBorders>
            <w:shd w:val="clear" w:color="auto" w:fill="auto"/>
            <w:noWrap/>
            <w:vAlign w:val="center"/>
            <w:hideMark/>
          </w:tcPr>
          <w:p w14:paraId="154784CF" w14:textId="77777777" w:rsidR="00DB5864" w:rsidRPr="00BE65E2" w:rsidRDefault="00DB5864" w:rsidP="000419EA">
            <w:pPr>
              <w:jc w:val="center"/>
              <w:rPr>
                <w:color w:val="000000"/>
                <w:sz w:val="20"/>
                <w:szCs w:val="20"/>
              </w:rPr>
            </w:pPr>
            <w:r w:rsidRPr="00BE65E2">
              <w:rPr>
                <w:color w:val="000000"/>
                <w:sz w:val="20"/>
                <w:szCs w:val="20"/>
              </w:rPr>
              <w:t>0,17</w:t>
            </w:r>
          </w:p>
        </w:tc>
      </w:tr>
      <w:tr w:rsidR="00DB5864" w:rsidRPr="004A52CD" w14:paraId="1677AABB"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78BBEEEF" w14:textId="77777777" w:rsidR="00DB5864" w:rsidRPr="00BE65E2" w:rsidRDefault="00DB5864" w:rsidP="000419EA">
            <w:pPr>
              <w:jc w:val="both"/>
              <w:rPr>
                <w:color w:val="000000"/>
                <w:sz w:val="20"/>
                <w:szCs w:val="20"/>
              </w:rPr>
            </w:pPr>
            <w:r w:rsidRPr="00BE65E2">
              <w:rPr>
                <w:color w:val="000000"/>
                <w:sz w:val="20"/>
                <w:szCs w:val="20"/>
              </w:rPr>
              <w:t xml:space="preserve">Господдержка российских организаций в целях снижения затрат на транспортировку с/х и продовольственной продукции </w:t>
            </w:r>
          </w:p>
        </w:tc>
        <w:tc>
          <w:tcPr>
            <w:tcW w:w="1624" w:type="dxa"/>
            <w:tcBorders>
              <w:top w:val="nil"/>
              <w:left w:val="nil"/>
              <w:bottom w:val="single" w:sz="4" w:space="0" w:color="auto"/>
              <w:right w:val="single" w:sz="4" w:space="0" w:color="auto"/>
            </w:tcBorders>
            <w:shd w:val="clear" w:color="auto" w:fill="auto"/>
            <w:noWrap/>
            <w:vAlign w:val="center"/>
            <w:hideMark/>
          </w:tcPr>
          <w:p w14:paraId="5CCA3EEF" w14:textId="77777777" w:rsidR="00DB5864" w:rsidRPr="00BE65E2" w:rsidRDefault="00DB5864" w:rsidP="000419EA">
            <w:pPr>
              <w:jc w:val="center"/>
              <w:rPr>
                <w:color w:val="000000"/>
                <w:sz w:val="20"/>
                <w:szCs w:val="20"/>
              </w:rPr>
            </w:pPr>
            <w:r w:rsidRPr="00BE65E2">
              <w:rPr>
                <w:color w:val="000000"/>
                <w:sz w:val="20"/>
                <w:szCs w:val="20"/>
              </w:rPr>
              <w:t>0,8</w:t>
            </w:r>
          </w:p>
        </w:tc>
        <w:tc>
          <w:tcPr>
            <w:tcW w:w="1624" w:type="dxa"/>
            <w:tcBorders>
              <w:top w:val="nil"/>
              <w:left w:val="nil"/>
              <w:bottom w:val="single" w:sz="4" w:space="0" w:color="auto"/>
              <w:right w:val="single" w:sz="4" w:space="0" w:color="auto"/>
            </w:tcBorders>
            <w:shd w:val="clear" w:color="auto" w:fill="auto"/>
            <w:noWrap/>
            <w:vAlign w:val="center"/>
            <w:hideMark/>
          </w:tcPr>
          <w:p w14:paraId="55DD3742" w14:textId="77777777" w:rsidR="00DB5864" w:rsidRPr="00BE65E2" w:rsidRDefault="00DB5864" w:rsidP="000419EA">
            <w:pPr>
              <w:jc w:val="center"/>
              <w:rPr>
                <w:color w:val="000000"/>
                <w:sz w:val="20"/>
                <w:szCs w:val="20"/>
              </w:rPr>
            </w:pPr>
            <w:r w:rsidRPr="00BE65E2">
              <w:rPr>
                <w:color w:val="000000"/>
                <w:sz w:val="20"/>
                <w:szCs w:val="20"/>
              </w:rPr>
              <w:t>1,16</w:t>
            </w:r>
          </w:p>
        </w:tc>
        <w:tc>
          <w:tcPr>
            <w:tcW w:w="1625" w:type="dxa"/>
            <w:tcBorders>
              <w:top w:val="nil"/>
              <w:left w:val="nil"/>
              <w:bottom w:val="single" w:sz="4" w:space="0" w:color="auto"/>
              <w:right w:val="single" w:sz="4" w:space="0" w:color="auto"/>
            </w:tcBorders>
            <w:shd w:val="clear" w:color="auto" w:fill="auto"/>
            <w:noWrap/>
            <w:vAlign w:val="center"/>
            <w:hideMark/>
          </w:tcPr>
          <w:p w14:paraId="229DB00D" w14:textId="77777777" w:rsidR="00DB5864" w:rsidRPr="00BE65E2" w:rsidRDefault="00DB5864" w:rsidP="000419EA">
            <w:pPr>
              <w:jc w:val="center"/>
              <w:rPr>
                <w:color w:val="000000"/>
                <w:sz w:val="20"/>
                <w:szCs w:val="20"/>
              </w:rPr>
            </w:pPr>
            <w:r w:rsidRPr="00BE65E2">
              <w:rPr>
                <w:color w:val="000000"/>
                <w:sz w:val="20"/>
                <w:szCs w:val="20"/>
              </w:rPr>
              <w:t>1,22</w:t>
            </w:r>
          </w:p>
        </w:tc>
      </w:tr>
      <w:tr w:rsidR="00DB5864" w:rsidRPr="004A52CD" w14:paraId="037D12AA"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07DD90C5" w14:textId="77777777" w:rsidR="00DB5864" w:rsidRPr="00BE65E2" w:rsidRDefault="00DB5864" w:rsidP="000419EA">
            <w:pPr>
              <w:jc w:val="both"/>
              <w:rPr>
                <w:color w:val="000000"/>
                <w:sz w:val="20"/>
                <w:szCs w:val="20"/>
              </w:rPr>
            </w:pPr>
            <w:r w:rsidRPr="00BE65E2">
              <w:rPr>
                <w:color w:val="000000"/>
                <w:sz w:val="20"/>
                <w:szCs w:val="20"/>
              </w:rPr>
              <w:t xml:space="preserve">Взнос в уставный капитал АО "Россельхозбанк" </w:t>
            </w:r>
          </w:p>
        </w:tc>
        <w:tc>
          <w:tcPr>
            <w:tcW w:w="1624" w:type="dxa"/>
            <w:tcBorders>
              <w:top w:val="nil"/>
              <w:left w:val="nil"/>
              <w:bottom w:val="single" w:sz="4" w:space="0" w:color="auto"/>
              <w:right w:val="single" w:sz="4" w:space="0" w:color="auto"/>
            </w:tcBorders>
            <w:shd w:val="clear" w:color="auto" w:fill="auto"/>
            <w:noWrap/>
            <w:vAlign w:val="center"/>
            <w:hideMark/>
          </w:tcPr>
          <w:p w14:paraId="5A0777F5" w14:textId="77777777" w:rsidR="00DB5864" w:rsidRPr="00BE65E2" w:rsidRDefault="00DB5864" w:rsidP="000419EA">
            <w:pPr>
              <w:jc w:val="center"/>
              <w:rPr>
                <w:color w:val="000000"/>
                <w:sz w:val="20"/>
                <w:szCs w:val="20"/>
              </w:rPr>
            </w:pPr>
            <w:r w:rsidRPr="00BE65E2">
              <w:rPr>
                <w:color w:val="000000"/>
                <w:sz w:val="20"/>
                <w:szCs w:val="20"/>
              </w:rPr>
              <w:t>3,4</w:t>
            </w:r>
          </w:p>
        </w:tc>
        <w:tc>
          <w:tcPr>
            <w:tcW w:w="1624" w:type="dxa"/>
            <w:tcBorders>
              <w:top w:val="nil"/>
              <w:left w:val="nil"/>
              <w:bottom w:val="single" w:sz="4" w:space="0" w:color="auto"/>
              <w:right w:val="single" w:sz="4" w:space="0" w:color="auto"/>
            </w:tcBorders>
            <w:shd w:val="clear" w:color="auto" w:fill="auto"/>
            <w:noWrap/>
            <w:vAlign w:val="center"/>
            <w:hideMark/>
          </w:tcPr>
          <w:p w14:paraId="6B91DA27" w14:textId="77777777" w:rsidR="00DB5864" w:rsidRPr="00BE65E2" w:rsidRDefault="00DB5864" w:rsidP="000419EA">
            <w:pPr>
              <w:jc w:val="center"/>
              <w:rPr>
                <w:color w:val="000000"/>
                <w:sz w:val="20"/>
                <w:szCs w:val="20"/>
              </w:rPr>
            </w:pPr>
            <w:r w:rsidRPr="00BE65E2">
              <w:rPr>
                <w:color w:val="000000"/>
                <w:sz w:val="20"/>
                <w:szCs w:val="20"/>
              </w:rPr>
              <w:t>0,00</w:t>
            </w:r>
          </w:p>
        </w:tc>
        <w:tc>
          <w:tcPr>
            <w:tcW w:w="1625" w:type="dxa"/>
            <w:tcBorders>
              <w:top w:val="nil"/>
              <w:left w:val="nil"/>
              <w:bottom w:val="single" w:sz="4" w:space="0" w:color="auto"/>
              <w:right w:val="single" w:sz="4" w:space="0" w:color="auto"/>
            </w:tcBorders>
            <w:shd w:val="clear" w:color="auto" w:fill="auto"/>
            <w:noWrap/>
            <w:vAlign w:val="center"/>
            <w:hideMark/>
          </w:tcPr>
          <w:p w14:paraId="556AF670" w14:textId="77777777" w:rsidR="00DB5864" w:rsidRPr="00BE65E2" w:rsidRDefault="00DB5864" w:rsidP="000419EA">
            <w:pPr>
              <w:jc w:val="center"/>
              <w:rPr>
                <w:color w:val="000000"/>
                <w:sz w:val="20"/>
                <w:szCs w:val="20"/>
              </w:rPr>
            </w:pPr>
            <w:r w:rsidRPr="00BE65E2">
              <w:rPr>
                <w:color w:val="000000"/>
                <w:sz w:val="20"/>
                <w:szCs w:val="20"/>
              </w:rPr>
              <w:t>0,00</w:t>
            </w:r>
          </w:p>
        </w:tc>
      </w:tr>
      <w:tr w:rsidR="00DB5864" w:rsidRPr="004A52CD" w14:paraId="662C3F62"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7041AD6A" w14:textId="77777777" w:rsidR="00DB5864" w:rsidRPr="00BE65E2" w:rsidRDefault="00DB5864" w:rsidP="000419EA">
            <w:pPr>
              <w:jc w:val="both"/>
              <w:rPr>
                <w:color w:val="000000"/>
                <w:sz w:val="20"/>
                <w:szCs w:val="20"/>
              </w:rPr>
            </w:pPr>
            <w:r w:rsidRPr="00BE65E2">
              <w:rPr>
                <w:color w:val="000000"/>
                <w:sz w:val="20"/>
                <w:szCs w:val="20"/>
              </w:rPr>
              <w:t>Возмещение недополученных российскими кредитными организациями, международными финансовыми организациями и гос корпорацией развития "ВЭБ.РФ" доходов по кредитам, выданным с/х товаропроизводителям (за исключением с/х кредитных потребительских кооперативов), организациям и ИП, осуществляющим производство, первичную и (или) последующую (промышленную) переработку с/х продукции и ее реализацию, по льготной ставке</w:t>
            </w:r>
          </w:p>
        </w:tc>
        <w:tc>
          <w:tcPr>
            <w:tcW w:w="1624" w:type="dxa"/>
            <w:tcBorders>
              <w:top w:val="nil"/>
              <w:left w:val="nil"/>
              <w:bottom w:val="single" w:sz="4" w:space="0" w:color="auto"/>
              <w:right w:val="single" w:sz="4" w:space="0" w:color="auto"/>
            </w:tcBorders>
            <w:shd w:val="clear" w:color="auto" w:fill="auto"/>
            <w:noWrap/>
            <w:vAlign w:val="center"/>
            <w:hideMark/>
          </w:tcPr>
          <w:p w14:paraId="22A6BB6A" w14:textId="77777777" w:rsidR="00DB5864" w:rsidRPr="00BE65E2" w:rsidRDefault="00DB5864" w:rsidP="000419EA">
            <w:pPr>
              <w:jc w:val="center"/>
              <w:rPr>
                <w:color w:val="000000"/>
                <w:sz w:val="20"/>
                <w:szCs w:val="20"/>
              </w:rPr>
            </w:pPr>
            <w:r w:rsidRPr="00BE65E2">
              <w:rPr>
                <w:color w:val="000000"/>
                <w:sz w:val="20"/>
                <w:szCs w:val="20"/>
              </w:rPr>
              <w:t>3,6</w:t>
            </w:r>
          </w:p>
        </w:tc>
        <w:tc>
          <w:tcPr>
            <w:tcW w:w="1624" w:type="dxa"/>
            <w:tcBorders>
              <w:top w:val="nil"/>
              <w:left w:val="nil"/>
              <w:bottom w:val="single" w:sz="4" w:space="0" w:color="auto"/>
              <w:right w:val="single" w:sz="4" w:space="0" w:color="auto"/>
            </w:tcBorders>
            <w:shd w:val="clear" w:color="auto" w:fill="auto"/>
            <w:noWrap/>
            <w:vAlign w:val="center"/>
            <w:hideMark/>
          </w:tcPr>
          <w:p w14:paraId="71708761" w14:textId="77777777" w:rsidR="00DB5864" w:rsidRPr="00BE65E2" w:rsidRDefault="00DB5864" w:rsidP="000419EA">
            <w:pPr>
              <w:jc w:val="center"/>
              <w:rPr>
                <w:color w:val="000000"/>
                <w:sz w:val="20"/>
                <w:szCs w:val="20"/>
              </w:rPr>
            </w:pPr>
            <w:r w:rsidRPr="00BE65E2">
              <w:rPr>
                <w:color w:val="000000"/>
                <w:sz w:val="20"/>
                <w:szCs w:val="20"/>
              </w:rPr>
              <w:t>17,11</w:t>
            </w:r>
          </w:p>
        </w:tc>
        <w:tc>
          <w:tcPr>
            <w:tcW w:w="1625" w:type="dxa"/>
            <w:tcBorders>
              <w:top w:val="nil"/>
              <w:left w:val="nil"/>
              <w:bottom w:val="single" w:sz="4" w:space="0" w:color="auto"/>
              <w:right w:val="single" w:sz="4" w:space="0" w:color="auto"/>
            </w:tcBorders>
            <w:shd w:val="clear" w:color="auto" w:fill="auto"/>
            <w:noWrap/>
            <w:vAlign w:val="center"/>
            <w:hideMark/>
          </w:tcPr>
          <w:p w14:paraId="05068516" w14:textId="77777777" w:rsidR="00DB5864" w:rsidRPr="00BE65E2" w:rsidRDefault="00DB5864" w:rsidP="000419EA">
            <w:pPr>
              <w:jc w:val="center"/>
              <w:rPr>
                <w:color w:val="000000"/>
                <w:sz w:val="20"/>
                <w:szCs w:val="20"/>
              </w:rPr>
            </w:pPr>
            <w:r w:rsidRPr="00BE65E2">
              <w:rPr>
                <w:color w:val="000000"/>
                <w:sz w:val="20"/>
                <w:szCs w:val="20"/>
              </w:rPr>
              <w:t>23,21</w:t>
            </w:r>
          </w:p>
        </w:tc>
      </w:tr>
      <w:tr w:rsidR="00DB5864" w:rsidRPr="004A52CD" w14:paraId="2DF6FD82"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4A887AC0" w14:textId="77777777" w:rsidR="00DB5864" w:rsidRPr="00BE65E2" w:rsidRDefault="00DB5864" w:rsidP="000419EA">
            <w:pPr>
              <w:jc w:val="both"/>
              <w:rPr>
                <w:color w:val="000000"/>
                <w:sz w:val="20"/>
                <w:szCs w:val="20"/>
              </w:rPr>
            </w:pPr>
            <w:r w:rsidRPr="00BE65E2">
              <w:rPr>
                <w:color w:val="000000"/>
                <w:sz w:val="20"/>
                <w:szCs w:val="20"/>
              </w:rPr>
              <w:t>Расширение доступа на зарубежные рынки продукции российского АПК (Иные выплаты персоналу государственных (муниципальных) органов, за исключением фонда оплаты труда)</w:t>
            </w:r>
          </w:p>
        </w:tc>
        <w:tc>
          <w:tcPr>
            <w:tcW w:w="1624" w:type="dxa"/>
            <w:tcBorders>
              <w:top w:val="nil"/>
              <w:left w:val="nil"/>
              <w:bottom w:val="single" w:sz="4" w:space="0" w:color="auto"/>
              <w:right w:val="single" w:sz="4" w:space="0" w:color="auto"/>
            </w:tcBorders>
            <w:shd w:val="clear" w:color="auto" w:fill="auto"/>
            <w:noWrap/>
            <w:vAlign w:val="center"/>
            <w:hideMark/>
          </w:tcPr>
          <w:p w14:paraId="70DA0405" w14:textId="77777777" w:rsidR="00DB5864" w:rsidRPr="00BE65E2" w:rsidRDefault="00DB5864" w:rsidP="000419EA">
            <w:pPr>
              <w:jc w:val="center"/>
              <w:rPr>
                <w:color w:val="000000"/>
                <w:sz w:val="20"/>
                <w:szCs w:val="20"/>
              </w:rPr>
            </w:pPr>
            <w:r w:rsidRPr="00BE65E2">
              <w:rPr>
                <w:color w:val="000000"/>
                <w:sz w:val="20"/>
                <w:szCs w:val="20"/>
              </w:rPr>
              <w:t>0,002</w:t>
            </w:r>
          </w:p>
        </w:tc>
        <w:tc>
          <w:tcPr>
            <w:tcW w:w="1624" w:type="dxa"/>
            <w:tcBorders>
              <w:top w:val="nil"/>
              <w:left w:val="nil"/>
              <w:bottom w:val="single" w:sz="4" w:space="0" w:color="auto"/>
              <w:right w:val="single" w:sz="4" w:space="0" w:color="auto"/>
            </w:tcBorders>
            <w:shd w:val="clear" w:color="auto" w:fill="auto"/>
            <w:noWrap/>
            <w:vAlign w:val="center"/>
            <w:hideMark/>
          </w:tcPr>
          <w:p w14:paraId="76D91FB6" w14:textId="77777777" w:rsidR="00DB5864" w:rsidRPr="00BE65E2" w:rsidRDefault="00DB5864" w:rsidP="000419EA">
            <w:pPr>
              <w:jc w:val="center"/>
              <w:rPr>
                <w:color w:val="000000"/>
                <w:sz w:val="20"/>
                <w:szCs w:val="20"/>
              </w:rPr>
            </w:pPr>
            <w:r w:rsidRPr="00BE65E2">
              <w:rPr>
                <w:color w:val="000000"/>
                <w:sz w:val="20"/>
                <w:szCs w:val="20"/>
              </w:rPr>
              <w:t>0,002</w:t>
            </w:r>
          </w:p>
        </w:tc>
        <w:tc>
          <w:tcPr>
            <w:tcW w:w="1625" w:type="dxa"/>
            <w:tcBorders>
              <w:top w:val="nil"/>
              <w:left w:val="nil"/>
              <w:bottom w:val="single" w:sz="4" w:space="0" w:color="auto"/>
              <w:right w:val="single" w:sz="4" w:space="0" w:color="auto"/>
            </w:tcBorders>
            <w:shd w:val="clear" w:color="auto" w:fill="auto"/>
            <w:noWrap/>
            <w:vAlign w:val="center"/>
            <w:hideMark/>
          </w:tcPr>
          <w:p w14:paraId="02A2788A" w14:textId="77777777" w:rsidR="00DB5864" w:rsidRPr="00BE65E2" w:rsidRDefault="00DB5864" w:rsidP="000419EA">
            <w:pPr>
              <w:jc w:val="center"/>
              <w:rPr>
                <w:color w:val="000000"/>
                <w:sz w:val="20"/>
                <w:szCs w:val="20"/>
              </w:rPr>
            </w:pPr>
            <w:r w:rsidRPr="00BE65E2">
              <w:rPr>
                <w:color w:val="000000"/>
                <w:sz w:val="20"/>
                <w:szCs w:val="20"/>
              </w:rPr>
              <w:t>0,0018</w:t>
            </w:r>
          </w:p>
        </w:tc>
      </w:tr>
      <w:tr w:rsidR="00DB5864" w:rsidRPr="004A52CD" w14:paraId="37A43FAF"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7768209E" w14:textId="77777777" w:rsidR="00DB5864" w:rsidRPr="00BE65E2" w:rsidRDefault="00DB5864" w:rsidP="000419EA">
            <w:pPr>
              <w:jc w:val="both"/>
              <w:rPr>
                <w:color w:val="000000"/>
                <w:sz w:val="20"/>
                <w:szCs w:val="20"/>
              </w:rPr>
            </w:pPr>
            <w:r w:rsidRPr="00BE65E2">
              <w:rPr>
                <w:color w:val="000000"/>
                <w:sz w:val="20"/>
                <w:szCs w:val="20"/>
              </w:rPr>
              <w:t>Расширение доступа на зарубежные рынки продукции российского агропромышленного комплекса (Прочая закупка товаров, работ и услуг)</w:t>
            </w:r>
          </w:p>
        </w:tc>
        <w:tc>
          <w:tcPr>
            <w:tcW w:w="1624" w:type="dxa"/>
            <w:tcBorders>
              <w:top w:val="nil"/>
              <w:left w:val="nil"/>
              <w:bottom w:val="single" w:sz="4" w:space="0" w:color="auto"/>
              <w:right w:val="single" w:sz="4" w:space="0" w:color="auto"/>
            </w:tcBorders>
            <w:shd w:val="clear" w:color="auto" w:fill="auto"/>
            <w:noWrap/>
            <w:vAlign w:val="center"/>
            <w:hideMark/>
          </w:tcPr>
          <w:p w14:paraId="70B84DAC" w14:textId="77777777" w:rsidR="00DB5864" w:rsidRPr="00BE65E2" w:rsidRDefault="00DB5864" w:rsidP="000419EA">
            <w:pPr>
              <w:jc w:val="center"/>
              <w:rPr>
                <w:color w:val="000000"/>
                <w:sz w:val="20"/>
                <w:szCs w:val="20"/>
              </w:rPr>
            </w:pPr>
            <w:r w:rsidRPr="00BE65E2">
              <w:rPr>
                <w:color w:val="000000"/>
                <w:sz w:val="20"/>
                <w:szCs w:val="20"/>
              </w:rPr>
              <w:t>0,0</w:t>
            </w:r>
          </w:p>
        </w:tc>
        <w:tc>
          <w:tcPr>
            <w:tcW w:w="1624" w:type="dxa"/>
            <w:tcBorders>
              <w:top w:val="nil"/>
              <w:left w:val="nil"/>
              <w:bottom w:val="single" w:sz="4" w:space="0" w:color="auto"/>
              <w:right w:val="single" w:sz="4" w:space="0" w:color="auto"/>
            </w:tcBorders>
            <w:shd w:val="clear" w:color="auto" w:fill="auto"/>
            <w:noWrap/>
            <w:vAlign w:val="center"/>
            <w:hideMark/>
          </w:tcPr>
          <w:p w14:paraId="6988BE7C" w14:textId="77777777" w:rsidR="00DB5864" w:rsidRPr="00BE65E2" w:rsidRDefault="00DB5864" w:rsidP="000419EA">
            <w:pPr>
              <w:jc w:val="center"/>
              <w:rPr>
                <w:color w:val="000000"/>
                <w:sz w:val="20"/>
                <w:szCs w:val="20"/>
              </w:rPr>
            </w:pPr>
            <w:r w:rsidRPr="00BE65E2">
              <w:rPr>
                <w:color w:val="000000"/>
                <w:sz w:val="20"/>
                <w:szCs w:val="20"/>
              </w:rPr>
              <w:t>0,02</w:t>
            </w:r>
          </w:p>
        </w:tc>
        <w:tc>
          <w:tcPr>
            <w:tcW w:w="1625" w:type="dxa"/>
            <w:tcBorders>
              <w:top w:val="nil"/>
              <w:left w:val="nil"/>
              <w:bottom w:val="single" w:sz="4" w:space="0" w:color="auto"/>
              <w:right w:val="single" w:sz="4" w:space="0" w:color="auto"/>
            </w:tcBorders>
            <w:shd w:val="clear" w:color="auto" w:fill="auto"/>
            <w:noWrap/>
            <w:vAlign w:val="center"/>
            <w:hideMark/>
          </w:tcPr>
          <w:p w14:paraId="3E0096C1" w14:textId="77777777" w:rsidR="00DB5864" w:rsidRPr="00BE65E2" w:rsidRDefault="00DB5864" w:rsidP="000419EA">
            <w:pPr>
              <w:jc w:val="center"/>
              <w:rPr>
                <w:color w:val="000000"/>
                <w:sz w:val="20"/>
                <w:szCs w:val="20"/>
              </w:rPr>
            </w:pPr>
            <w:r w:rsidRPr="00BE65E2">
              <w:rPr>
                <w:color w:val="000000"/>
                <w:sz w:val="20"/>
                <w:szCs w:val="20"/>
              </w:rPr>
              <w:t>0,02</w:t>
            </w:r>
          </w:p>
        </w:tc>
      </w:tr>
      <w:tr w:rsidR="00DB5864" w:rsidRPr="004A52CD" w14:paraId="07692862"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332BE0AF" w14:textId="77777777" w:rsidR="00DB5864" w:rsidRPr="00BE65E2" w:rsidRDefault="00DB5864" w:rsidP="000419EA">
            <w:pPr>
              <w:jc w:val="both"/>
              <w:rPr>
                <w:color w:val="000000"/>
                <w:sz w:val="20"/>
                <w:szCs w:val="20"/>
              </w:rPr>
            </w:pPr>
            <w:r w:rsidRPr="00BE65E2">
              <w:rPr>
                <w:color w:val="000000"/>
                <w:sz w:val="20"/>
                <w:szCs w:val="20"/>
              </w:rPr>
              <w:t xml:space="preserve">Создание информационно-аналитического центра ФГБУ "Федеральный центр охраны здоровья животных" </w:t>
            </w:r>
          </w:p>
        </w:tc>
        <w:tc>
          <w:tcPr>
            <w:tcW w:w="1624" w:type="dxa"/>
            <w:tcBorders>
              <w:top w:val="nil"/>
              <w:left w:val="nil"/>
              <w:bottom w:val="single" w:sz="4" w:space="0" w:color="auto"/>
              <w:right w:val="single" w:sz="4" w:space="0" w:color="auto"/>
            </w:tcBorders>
            <w:shd w:val="clear" w:color="auto" w:fill="auto"/>
            <w:noWrap/>
            <w:vAlign w:val="center"/>
            <w:hideMark/>
          </w:tcPr>
          <w:p w14:paraId="355777AF" w14:textId="77777777" w:rsidR="00DB5864" w:rsidRPr="00BE65E2" w:rsidRDefault="00DB5864" w:rsidP="000419EA">
            <w:pPr>
              <w:jc w:val="center"/>
              <w:rPr>
                <w:color w:val="000000"/>
                <w:sz w:val="20"/>
                <w:szCs w:val="20"/>
              </w:rPr>
            </w:pPr>
            <w:r w:rsidRPr="00BE65E2">
              <w:rPr>
                <w:color w:val="000000"/>
                <w:sz w:val="20"/>
                <w:szCs w:val="20"/>
              </w:rPr>
              <w:t>0,1</w:t>
            </w:r>
          </w:p>
        </w:tc>
        <w:tc>
          <w:tcPr>
            <w:tcW w:w="1624" w:type="dxa"/>
            <w:tcBorders>
              <w:top w:val="nil"/>
              <w:left w:val="nil"/>
              <w:bottom w:val="single" w:sz="4" w:space="0" w:color="auto"/>
              <w:right w:val="single" w:sz="4" w:space="0" w:color="auto"/>
            </w:tcBorders>
            <w:shd w:val="clear" w:color="auto" w:fill="auto"/>
            <w:noWrap/>
            <w:vAlign w:val="center"/>
            <w:hideMark/>
          </w:tcPr>
          <w:p w14:paraId="779753CE" w14:textId="77777777" w:rsidR="00DB5864" w:rsidRPr="00BE65E2" w:rsidRDefault="00DB5864" w:rsidP="000419EA">
            <w:pPr>
              <w:jc w:val="center"/>
              <w:rPr>
                <w:color w:val="000000"/>
                <w:sz w:val="20"/>
                <w:szCs w:val="20"/>
              </w:rPr>
            </w:pPr>
            <w:r w:rsidRPr="00BE65E2">
              <w:rPr>
                <w:color w:val="000000"/>
                <w:sz w:val="20"/>
                <w:szCs w:val="20"/>
              </w:rPr>
              <w:t>0,11</w:t>
            </w:r>
          </w:p>
        </w:tc>
        <w:tc>
          <w:tcPr>
            <w:tcW w:w="1625" w:type="dxa"/>
            <w:tcBorders>
              <w:top w:val="nil"/>
              <w:left w:val="nil"/>
              <w:bottom w:val="single" w:sz="4" w:space="0" w:color="auto"/>
              <w:right w:val="single" w:sz="4" w:space="0" w:color="auto"/>
            </w:tcBorders>
            <w:shd w:val="clear" w:color="auto" w:fill="auto"/>
            <w:noWrap/>
            <w:vAlign w:val="center"/>
            <w:hideMark/>
          </w:tcPr>
          <w:p w14:paraId="037700DF" w14:textId="77777777" w:rsidR="00DB5864" w:rsidRPr="00BE65E2" w:rsidRDefault="00DB5864" w:rsidP="000419EA">
            <w:pPr>
              <w:jc w:val="center"/>
              <w:rPr>
                <w:color w:val="000000"/>
                <w:sz w:val="20"/>
                <w:szCs w:val="20"/>
              </w:rPr>
            </w:pPr>
            <w:r w:rsidRPr="00BE65E2">
              <w:rPr>
                <w:color w:val="000000"/>
                <w:sz w:val="20"/>
                <w:szCs w:val="20"/>
              </w:rPr>
              <w:t>0,00</w:t>
            </w:r>
          </w:p>
        </w:tc>
      </w:tr>
      <w:tr w:rsidR="00DB5864" w:rsidRPr="004A52CD" w14:paraId="36C17A61"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683EE202" w14:textId="77777777" w:rsidR="00DB5864" w:rsidRPr="00BE65E2" w:rsidRDefault="00DB5864" w:rsidP="000419EA">
            <w:pPr>
              <w:jc w:val="both"/>
              <w:rPr>
                <w:color w:val="000000"/>
                <w:sz w:val="20"/>
                <w:szCs w:val="20"/>
              </w:rPr>
            </w:pPr>
            <w:r w:rsidRPr="00BE65E2">
              <w:rPr>
                <w:color w:val="000000"/>
                <w:sz w:val="20"/>
                <w:szCs w:val="20"/>
              </w:rPr>
              <w:t xml:space="preserve">Проведение мониторинговых исследований экспортируемой продукции </w:t>
            </w:r>
          </w:p>
        </w:tc>
        <w:tc>
          <w:tcPr>
            <w:tcW w:w="1624" w:type="dxa"/>
            <w:tcBorders>
              <w:top w:val="nil"/>
              <w:left w:val="nil"/>
              <w:bottom w:val="single" w:sz="4" w:space="0" w:color="auto"/>
              <w:right w:val="single" w:sz="4" w:space="0" w:color="auto"/>
            </w:tcBorders>
            <w:shd w:val="clear" w:color="auto" w:fill="auto"/>
            <w:noWrap/>
            <w:vAlign w:val="center"/>
            <w:hideMark/>
          </w:tcPr>
          <w:p w14:paraId="4F715F96" w14:textId="77777777" w:rsidR="00DB5864" w:rsidRPr="00BE65E2" w:rsidRDefault="00DB5864" w:rsidP="000419EA">
            <w:pPr>
              <w:jc w:val="center"/>
              <w:rPr>
                <w:color w:val="000000"/>
                <w:sz w:val="20"/>
                <w:szCs w:val="20"/>
              </w:rPr>
            </w:pPr>
            <w:r w:rsidRPr="00BE65E2">
              <w:rPr>
                <w:color w:val="000000"/>
                <w:sz w:val="20"/>
                <w:szCs w:val="20"/>
              </w:rPr>
              <w:t>1,0</w:t>
            </w:r>
          </w:p>
        </w:tc>
        <w:tc>
          <w:tcPr>
            <w:tcW w:w="1624" w:type="dxa"/>
            <w:tcBorders>
              <w:top w:val="nil"/>
              <w:left w:val="nil"/>
              <w:bottom w:val="single" w:sz="4" w:space="0" w:color="auto"/>
              <w:right w:val="single" w:sz="4" w:space="0" w:color="auto"/>
            </w:tcBorders>
            <w:shd w:val="clear" w:color="auto" w:fill="auto"/>
            <w:noWrap/>
            <w:vAlign w:val="center"/>
            <w:hideMark/>
          </w:tcPr>
          <w:p w14:paraId="4B6CD6CE" w14:textId="77777777" w:rsidR="00DB5864" w:rsidRPr="00BE65E2" w:rsidRDefault="00DB5864" w:rsidP="000419EA">
            <w:pPr>
              <w:jc w:val="center"/>
              <w:rPr>
                <w:color w:val="000000"/>
                <w:sz w:val="20"/>
                <w:szCs w:val="20"/>
              </w:rPr>
            </w:pPr>
            <w:r w:rsidRPr="00BE65E2">
              <w:rPr>
                <w:color w:val="000000"/>
                <w:sz w:val="20"/>
                <w:szCs w:val="20"/>
              </w:rPr>
              <w:t>1,05</w:t>
            </w:r>
          </w:p>
        </w:tc>
        <w:tc>
          <w:tcPr>
            <w:tcW w:w="1625" w:type="dxa"/>
            <w:tcBorders>
              <w:top w:val="nil"/>
              <w:left w:val="nil"/>
              <w:bottom w:val="single" w:sz="4" w:space="0" w:color="auto"/>
              <w:right w:val="single" w:sz="4" w:space="0" w:color="auto"/>
            </w:tcBorders>
            <w:shd w:val="clear" w:color="auto" w:fill="auto"/>
            <w:noWrap/>
            <w:vAlign w:val="center"/>
            <w:hideMark/>
          </w:tcPr>
          <w:p w14:paraId="29798A75" w14:textId="77777777" w:rsidR="00DB5864" w:rsidRPr="00BE65E2" w:rsidRDefault="00DB5864" w:rsidP="000419EA">
            <w:pPr>
              <w:jc w:val="center"/>
              <w:rPr>
                <w:color w:val="000000"/>
                <w:sz w:val="20"/>
                <w:szCs w:val="20"/>
              </w:rPr>
            </w:pPr>
            <w:r w:rsidRPr="00BE65E2">
              <w:rPr>
                <w:color w:val="000000"/>
                <w:sz w:val="20"/>
                <w:szCs w:val="20"/>
              </w:rPr>
              <w:t>1,03</w:t>
            </w:r>
          </w:p>
        </w:tc>
      </w:tr>
      <w:tr w:rsidR="00DB5864" w:rsidRPr="004A52CD" w14:paraId="5A6357EA"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3780A6D7" w14:textId="77777777" w:rsidR="00DB5864" w:rsidRPr="00BE65E2" w:rsidRDefault="00DB5864" w:rsidP="000419EA">
            <w:pPr>
              <w:jc w:val="both"/>
              <w:rPr>
                <w:color w:val="000000"/>
                <w:sz w:val="20"/>
                <w:szCs w:val="20"/>
              </w:rPr>
            </w:pPr>
            <w:r w:rsidRPr="00BE65E2">
              <w:rPr>
                <w:color w:val="000000"/>
                <w:sz w:val="20"/>
                <w:szCs w:val="20"/>
              </w:rPr>
              <w:t>Ведомственный проект "Техническая модернизация агропромышленного комплекса"</w:t>
            </w:r>
          </w:p>
        </w:tc>
        <w:tc>
          <w:tcPr>
            <w:tcW w:w="1624" w:type="dxa"/>
            <w:tcBorders>
              <w:top w:val="nil"/>
              <w:left w:val="nil"/>
              <w:bottom w:val="single" w:sz="4" w:space="0" w:color="auto"/>
              <w:right w:val="single" w:sz="4" w:space="0" w:color="auto"/>
            </w:tcBorders>
            <w:shd w:val="clear" w:color="auto" w:fill="auto"/>
            <w:noWrap/>
            <w:vAlign w:val="center"/>
            <w:hideMark/>
          </w:tcPr>
          <w:p w14:paraId="5D8D6A82" w14:textId="77777777" w:rsidR="00DB5864" w:rsidRPr="00BE65E2" w:rsidRDefault="00DB5864" w:rsidP="000419EA">
            <w:pPr>
              <w:jc w:val="center"/>
              <w:rPr>
                <w:color w:val="000000"/>
                <w:sz w:val="20"/>
                <w:szCs w:val="20"/>
              </w:rPr>
            </w:pPr>
            <w:r w:rsidRPr="00BE65E2">
              <w:rPr>
                <w:color w:val="000000"/>
                <w:sz w:val="20"/>
                <w:szCs w:val="20"/>
              </w:rPr>
              <w:t>2,8</w:t>
            </w:r>
          </w:p>
        </w:tc>
        <w:tc>
          <w:tcPr>
            <w:tcW w:w="1624" w:type="dxa"/>
            <w:tcBorders>
              <w:top w:val="nil"/>
              <w:left w:val="nil"/>
              <w:bottom w:val="single" w:sz="4" w:space="0" w:color="auto"/>
              <w:right w:val="single" w:sz="4" w:space="0" w:color="auto"/>
            </w:tcBorders>
            <w:shd w:val="clear" w:color="auto" w:fill="auto"/>
            <w:noWrap/>
            <w:vAlign w:val="center"/>
            <w:hideMark/>
          </w:tcPr>
          <w:p w14:paraId="153BE65B" w14:textId="77777777" w:rsidR="00DB5864" w:rsidRPr="00BE65E2" w:rsidRDefault="00DB5864" w:rsidP="000419EA">
            <w:pPr>
              <w:jc w:val="center"/>
              <w:rPr>
                <w:color w:val="000000"/>
                <w:sz w:val="20"/>
                <w:szCs w:val="20"/>
              </w:rPr>
            </w:pPr>
            <w:r w:rsidRPr="00BE65E2">
              <w:rPr>
                <w:color w:val="000000"/>
                <w:sz w:val="20"/>
                <w:szCs w:val="20"/>
              </w:rPr>
              <w:t>1,43</w:t>
            </w:r>
          </w:p>
        </w:tc>
        <w:tc>
          <w:tcPr>
            <w:tcW w:w="1625" w:type="dxa"/>
            <w:tcBorders>
              <w:top w:val="nil"/>
              <w:left w:val="nil"/>
              <w:bottom w:val="single" w:sz="4" w:space="0" w:color="auto"/>
              <w:right w:val="single" w:sz="4" w:space="0" w:color="auto"/>
            </w:tcBorders>
            <w:shd w:val="clear" w:color="auto" w:fill="auto"/>
            <w:noWrap/>
            <w:vAlign w:val="center"/>
            <w:hideMark/>
          </w:tcPr>
          <w:p w14:paraId="3600DE77" w14:textId="77777777" w:rsidR="00DB5864" w:rsidRPr="00BE65E2" w:rsidRDefault="00DB5864" w:rsidP="000419EA">
            <w:pPr>
              <w:jc w:val="center"/>
              <w:rPr>
                <w:color w:val="000000"/>
                <w:sz w:val="20"/>
                <w:szCs w:val="20"/>
              </w:rPr>
            </w:pPr>
            <w:r w:rsidRPr="00BE65E2">
              <w:rPr>
                <w:color w:val="000000"/>
                <w:sz w:val="20"/>
                <w:szCs w:val="20"/>
              </w:rPr>
              <w:t>1,40</w:t>
            </w:r>
          </w:p>
        </w:tc>
      </w:tr>
      <w:tr w:rsidR="00DB5864" w:rsidRPr="004A52CD" w14:paraId="2134DD1E"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3030A04C" w14:textId="77777777" w:rsidR="00DB5864" w:rsidRPr="00BE65E2" w:rsidRDefault="00DB5864" w:rsidP="000419EA">
            <w:pPr>
              <w:jc w:val="both"/>
              <w:rPr>
                <w:color w:val="000000"/>
                <w:sz w:val="20"/>
                <w:szCs w:val="20"/>
              </w:rPr>
            </w:pPr>
            <w:r w:rsidRPr="00BE65E2">
              <w:rPr>
                <w:color w:val="000000"/>
                <w:sz w:val="20"/>
                <w:szCs w:val="20"/>
              </w:rPr>
              <w:t xml:space="preserve">Субсидии производителям сельскохозяйственной техники </w:t>
            </w:r>
          </w:p>
        </w:tc>
        <w:tc>
          <w:tcPr>
            <w:tcW w:w="1624" w:type="dxa"/>
            <w:tcBorders>
              <w:top w:val="nil"/>
              <w:left w:val="nil"/>
              <w:bottom w:val="single" w:sz="4" w:space="0" w:color="auto"/>
              <w:right w:val="single" w:sz="4" w:space="0" w:color="auto"/>
            </w:tcBorders>
            <w:shd w:val="clear" w:color="auto" w:fill="auto"/>
            <w:noWrap/>
            <w:vAlign w:val="center"/>
            <w:hideMark/>
          </w:tcPr>
          <w:p w14:paraId="548259DA" w14:textId="77777777" w:rsidR="00DB5864" w:rsidRPr="00BE65E2" w:rsidRDefault="00DB5864" w:rsidP="000419EA">
            <w:pPr>
              <w:jc w:val="center"/>
              <w:rPr>
                <w:color w:val="000000"/>
                <w:sz w:val="20"/>
                <w:szCs w:val="20"/>
              </w:rPr>
            </w:pPr>
            <w:r w:rsidRPr="00BE65E2">
              <w:rPr>
                <w:color w:val="000000"/>
                <w:sz w:val="20"/>
                <w:szCs w:val="20"/>
              </w:rPr>
              <w:t>2,4</w:t>
            </w:r>
          </w:p>
        </w:tc>
        <w:tc>
          <w:tcPr>
            <w:tcW w:w="1624" w:type="dxa"/>
            <w:tcBorders>
              <w:top w:val="nil"/>
              <w:left w:val="nil"/>
              <w:bottom w:val="single" w:sz="4" w:space="0" w:color="auto"/>
              <w:right w:val="single" w:sz="4" w:space="0" w:color="auto"/>
            </w:tcBorders>
            <w:shd w:val="clear" w:color="auto" w:fill="auto"/>
            <w:noWrap/>
            <w:vAlign w:val="center"/>
            <w:hideMark/>
          </w:tcPr>
          <w:p w14:paraId="27BDDCA9" w14:textId="77777777" w:rsidR="00DB5864" w:rsidRPr="00BE65E2" w:rsidRDefault="00DB5864" w:rsidP="000419EA">
            <w:pPr>
              <w:jc w:val="center"/>
              <w:rPr>
                <w:color w:val="000000"/>
                <w:sz w:val="20"/>
                <w:szCs w:val="20"/>
              </w:rPr>
            </w:pPr>
            <w:r w:rsidRPr="00BE65E2">
              <w:rPr>
                <w:color w:val="000000"/>
                <w:sz w:val="20"/>
                <w:szCs w:val="20"/>
              </w:rPr>
              <w:t>0,68</w:t>
            </w:r>
          </w:p>
        </w:tc>
        <w:tc>
          <w:tcPr>
            <w:tcW w:w="1625" w:type="dxa"/>
            <w:tcBorders>
              <w:top w:val="nil"/>
              <w:left w:val="nil"/>
              <w:bottom w:val="single" w:sz="4" w:space="0" w:color="auto"/>
              <w:right w:val="single" w:sz="4" w:space="0" w:color="auto"/>
            </w:tcBorders>
            <w:shd w:val="clear" w:color="auto" w:fill="auto"/>
            <w:noWrap/>
            <w:vAlign w:val="center"/>
            <w:hideMark/>
          </w:tcPr>
          <w:p w14:paraId="39C6F86A" w14:textId="77777777" w:rsidR="00DB5864" w:rsidRPr="00BE65E2" w:rsidRDefault="00DB5864" w:rsidP="000419EA">
            <w:pPr>
              <w:jc w:val="center"/>
              <w:rPr>
                <w:color w:val="000000"/>
                <w:sz w:val="20"/>
                <w:szCs w:val="20"/>
              </w:rPr>
            </w:pPr>
            <w:r w:rsidRPr="00BE65E2">
              <w:rPr>
                <w:color w:val="000000"/>
                <w:sz w:val="20"/>
                <w:szCs w:val="20"/>
              </w:rPr>
              <w:t>0,61</w:t>
            </w:r>
          </w:p>
        </w:tc>
      </w:tr>
      <w:tr w:rsidR="00DB5864" w:rsidRPr="004A52CD" w14:paraId="6B735B65"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04137CE0" w14:textId="77777777" w:rsidR="00DB5864" w:rsidRPr="00BE65E2" w:rsidRDefault="00DB5864" w:rsidP="000419EA">
            <w:pPr>
              <w:jc w:val="both"/>
              <w:rPr>
                <w:color w:val="000000"/>
                <w:sz w:val="20"/>
                <w:szCs w:val="20"/>
              </w:rPr>
            </w:pPr>
            <w:r w:rsidRPr="00BE65E2">
              <w:rPr>
                <w:color w:val="000000"/>
                <w:sz w:val="20"/>
                <w:szCs w:val="20"/>
              </w:rPr>
              <w:t xml:space="preserve">Субсидии АО "Росагролизинг", г. Москва, на возмещение недополученных доходов при уплате лизингополучателем лизинговых платежей по договорам финансовой аренды (лизинга), заключенным на льготных (специальных) условиях </w:t>
            </w:r>
          </w:p>
        </w:tc>
        <w:tc>
          <w:tcPr>
            <w:tcW w:w="1624" w:type="dxa"/>
            <w:tcBorders>
              <w:top w:val="nil"/>
              <w:left w:val="nil"/>
              <w:bottom w:val="single" w:sz="4" w:space="0" w:color="auto"/>
              <w:right w:val="single" w:sz="4" w:space="0" w:color="auto"/>
            </w:tcBorders>
            <w:shd w:val="clear" w:color="auto" w:fill="auto"/>
            <w:noWrap/>
            <w:vAlign w:val="center"/>
            <w:hideMark/>
          </w:tcPr>
          <w:p w14:paraId="7AAA60F5" w14:textId="77777777" w:rsidR="00DB5864" w:rsidRPr="00BE65E2" w:rsidRDefault="00DB5864" w:rsidP="000419EA">
            <w:pPr>
              <w:jc w:val="center"/>
              <w:rPr>
                <w:color w:val="000000"/>
                <w:sz w:val="20"/>
                <w:szCs w:val="20"/>
              </w:rPr>
            </w:pPr>
            <w:r w:rsidRPr="00BE65E2">
              <w:rPr>
                <w:color w:val="000000"/>
                <w:sz w:val="20"/>
                <w:szCs w:val="20"/>
              </w:rPr>
              <w:t>0,4</w:t>
            </w:r>
          </w:p>
        </w:tc>
        <w:tc>
          <w:tcPr>
            <w:tcW w:w="1624" w:type="dxa"/>
            <w:tcBorders>
              <w:top w:val="nil"/>
              <w:left w:val="nil"/>
              <w:bottom w:val="single" w:sz="4" w:space="0" w:color="auto"/>
              <w:right w:val="single" w:sz="4" w:space="0" w:color="auto"/>
            </w:tcBorders>
            <w:shd w:val="clear" w:color="auto" w:fill="auto"/>
            <w:noWrap/>
            <w:vAlign w:val="center"/>
            <w:hideMark/>
          </w:tcPr>
          <w:p w14:paraId="7556910F" w14:textId="77777777" w:rsidR="00DB5864" w:rsidRPr="00BE65E2" w:rsidRDefault="00DB5864" w:rsidP="000419EA">
            <w:pPr>
              <w:jc w:val="center"/>
              <w:rPr>
                <w:color w:val="000000"/>
                <w:sz w:val="20"/>
                <w:szCs w:val="20"/>
              </w:rPr>
            </w:pPr>
            <w:r w:rsidRPr="00BE65E2">
              <w:rPr>
                <w:color w:val="000000"/>
                <w:sz w:val="20"/>
                <w:szCs w:val="20"/>
              </w:rPr>
              <w:t>0,75</w:t>
            </w:r>
          </w:p>
        </w:tc>
        <w:tc>
          <w:tcPr>
            <w:tcW w:w="1625" w:type="dxa"/>
            <w:tcBorders>
              <w:top w:val="nil"/>
              <w:left w:val="nil"/>
              <w:bottom w:val="single" w:sz="4" w:space="0" w:color="auto"/>
              <w:right w:val="single" w:sz="4" w:space="0" w:color="auto"/>
            </w:tcBorders>
            <w:shd w:val="clear" w:color="auto" w:fill="auto"/>
            <w:noWrap/>
            <w:vAlign w:val="center"/>
            <w:hideMark/>
          </w:tcPr>
          <w:p w14:paraId="1507E89C" w14:textId="77777777" w:rsidR="00DB5864" w:rsidRPr="00BE65E2" w:rsidRDefault="00DB5864" w:rsidP="000419EA">
            <w:pPr>
              <w:jc w:val="center"/>
              <w:rPr>
                <w:color w:val="000000"/>
                <w:sz w:val="20"/>
                <w:szCs w:val="20"/>
              </w:rPr>
            </w:pPr>
            <w:r w:rsidRPr="00BE65E2">
              <w:rPr>
                <w:color w:val="000000"/>
                <w:sz w:val="20"/>
                <w:szCs w:val="20"/>
              </w:rPr>
              <w:t>0,79</w:t>
            </w:r>
          </w:p>
        </w:tc>
      </w:tr>
      <w:tr w:rsidR="00DB5864" w:rsidRPr="004A52CD" w14:paraId="02A98F20"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438630C5" w14:textId="77777777" w:rsidR="00DB5864" w:rsidRPr="00BE65E2" w:rsidRDefault="00DB5864" w:rsidP="000419EA">
            <w:pPr>
              <w:jc w:val="both"/>
              <w:rPr>
                <w:color w:val="000000"/>
                <w:sz w:val="20"/>
                <w:szCs w:val="20"/>
              </w:rPr>
            </w:pPr>
            <w:r w:rsidRPr="00BE65E2">
              <w:rPr>
                <w:color w:val="000000"/>
                <w:sz w:val="20"/>
                <w:szCs w:val="20"/>
              </w:rPr>
              <w:t>Ведомственный проект "Стимулирование инвестиционной деятельности в АПК"</w:t>
            </w:r>
          </w:p>
        </w:tc>
        <w:tc>
          <w:tcPr>
            <w:tcW w:w="1624" w:type="dxa"/>
            <w:tcBorders>
              <w:top w:val="nil"/>
              <w:left w:val="nil"/>
              <w:bottom w:val="single" w:sz="4" w:space="0" w:color="auto"/>
              <w:right w:val="single" w:sz="4" w:space="0" w:color="auto"/>
            </w:tcBorders>
            <w:shd w:val="clear" w:color="auto" w:fill="auto"/>
            <w:noWrap/>
            <w:vAlign w:val="center"/>
            <w:hideMark/>
          </w:tcPr>
          <w:p w14:paraId="0E09D1CE" w14:textId="77777777" w:rsidR="00DB5864" w:rsidRPr="00BE65E2" w:rsidRDefault="00DB5864" w:rsidP="000419EA">
            <w:pPr>
              <w:jc w:val="center"/>
              <w:rPr>
                <w:color w:val="000000"/>
                <w:sz w:val="20"/>
                <w:szCs w:val="20"/>
              </w:rPr>
            </w:pPr>
            <w:r w:rsidRPr="00BE65E2">
              <w:rPr>
                <w:color w:val="000000"/>
                <w:sz w:val="20"/>
                <w:szCs w:val="20"/>
              </w:rPr>
              <w:t>41,8</w:t>
            </w:r>
          </w:p>
        </w:tc>
        <w:tc>
          <w:tcPr>
            <w:tcW w:w="1624" w:type="dxa"/>
            <w:tcBorders>
              <w:top w:val="nil"/>
              <w:left w:val="nil"/>
              <w:bottom w:val="single" w:sz="4" w:space="0" w:color="auto"/>
              <w:right w:val="single" w:sz="4" w:space="0" w:color="auto"/>
            </w:tcBorders>
            <w:shd w:val="clear" w:color="auto" w:fill="auto"/>
            <w:noWrap/>
            <w:vAlign w:val="center"/>
            <w:hideMark/>
          </w:tcPr>
          <w:p w14:paraId="29C29651" w14:textId="77777777" w:rsidR="00DB5864" w:rsidRPr="00BE65E2" w:rsidRDefault="00DB5864" w:rsidP="000419EA">
            <w:pPr>
              <w:jc w:val="center"/>
              <w:rPr>
                <w:color w:val="000000"/>
                <w:sz w:val="20"/>
                <w:szCs w:val="20"/>
              </w:rPr>
            </w:pPr>
            <w:r w:rsidRPr="00BE65E2">
              <w:rPr>
                <w:color w:val="000000"/>
                <w:sz w:val="20"/>
                <w:szCs w:val="20"/>
              </w:rPr>
              <w:t>36,58</w:t>
            </w:r>
          </w:p>
        </w:tc>
        <w:tc>
          <w:tcPr>
            <w:tcW w:w="1625" w:type="dxa"/>
            <w:tcBorders>
              <w:top w:val="nil"/>
              <w:left w:val="nil"/>
              <w:bottom w:val="single" w:sz="4" w:space="0" w:color="auto"/>
              <w:right w:val="single" w:sz="4" w:space="0" w:color="auto"/>
            </w:tcBorders>
            <w:shd w:val="clear" w:color="auto" w:fill="auto"/>
            <w:noWrap/>
            <w:vAlign w:val="center"/>
            <w:hideMark/>
          </w:tcPr>
          <w:p w14:paraId="290D6A08" w14:textId="77777777" w:rsidR="00DB5864" w:rsidRPr="00BE65E2" w:rsidRDefault="00DB5864" w:rsidP="000419EA">
            <w:pPr>
              <w:jc w:val="center"/>
              <w:rPr>
                <w:color w:val="000000"/>
                <w:sz w:val="20"/>
                <w:szCs w:val="20"/>
              </w:rPr>
            </w:pPr>
            <w:r w:rsidRPr="00BE65E2">
              <w:rPr>
                <w:color w:val="000000"/>
                <w:sz w:val="20"/>
                <w:szCs w:val="20"/>
              </w:rPr>
              <w:t>33,03</w:t>
            </w:r>
          </w:p>
        </w:tc>
      </w:tr>
      <w:tr w:rsidR="00DB5864" w:rsidRPr="004A52CD" w14:paraId="066BAACC"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3DE4666A" w14:textId="77777777" w:rsidR="00DB5864" w:rsidRPr="00BE65E2" w:rsidRDefault="00DB5864" w:rsidP="000419EA">
            <w:pPr>
              <w:jc w:val="both"/>
              <w:rPr>
                <w:color w:val="000000"/>
                <w:sz w:val="20"/>
                <w:szCs w:val="20"/>
              </w:rPr>
            </w:pPr>
            <w:r w:rsidRPr="00BE65E2">
              <w:rPr>
                <w:color w:val="000000"/>
                <w:sz w:val="20"/>
                <w:szCs w:val="20"/>
              </w:rPr>
              <w:t>Межбюджетные трансферты на возмещение части затрат на уплату процентов по инвестиционным кредитам (займам) в АПК</w:t>
            </w:r>
          </w:p>
        </w:tc>
        <w:tc>
          <w:tcPr>
            <w:tcW w:w="1624" w:type="dxa"/>
            <w:tcBorders>
              <w:top w:val="nil"/>
              <w:left w:val="nil"/>
              <w:bottom w:val="single" w:sz="4" w:space="0" w:color="auto"/>
              <w:right w:val="single" w:sz="4" w:space="0" w:color="auto"/>
            </w:tcBorders>
            <w:shd w:val="clear" w:color="auto" w:fill="auto"/>
            <w:noWrap/>
            <w:vAlign w:val="center"/>
            <w:hideMark/>
          </w:tcPr>
          <w:p w14:paraId="7E39B54A" w14:textId="77777777" w:rsidR="00DB5864" w:rsidRPr="00BE65E2" w:rsidRDefault="00DB5864" w:rsidP="000419EA">
            <w:pPr>
              <w:jc w:val="center"/>
              <w:rPr>
                <w:color w:val="000000"/>
                <w:sz w:val="20"/>
                <w:szCs w:val="20"/>
              </w:rPr>
            </w:pPr>
            <w:r w:rsidRPr="00BE65E2">
              <w:rPr>
                <w:color w:val="000000"/>
                <w:sz w:val="20"/>
                <w:szCs w:val="20"/>
              </w:rPr>
              <w:t>10,4</w:t>
            </w:r>
          </w:p>
        </w:tc>
        <w:tc>
          <w:tcPr>
            <w:tcW w:w="1624" w:type="dxa"/>
            <w:tcBorders>
              <w:top w:val="nil"/>
              <w:left w:val="nil"/>
              <w:bottom w:val="single" w:sz="4" w:space="0" w:color="auto"/>
              <w:right w:val="single" w:sz="4" w:space="0" w:color="auto"/>
            </w:tcBorders>
            <w:shd w:val="clear" w:color="auto" w:fill="auto"/>
            <w:noWrap/>
            <w:vAlign w:val="center"/>
            <w:hideMark/>
          </w:tcPr>
          <w:p w14:paraId="06ECE55A" w14:textId="77777777" w:rsidR="00DB5864" w:rsidRPr="00BE65E2" w:rsidRDefault="00DB5864" w:rsidP="000419EA">
            <w:pPr>
              <w:jc w:val="center"/>
              <w:rPr>
                <w:color w:val="000000"/>
                <w:sz w:val="20"/>
                <w:szCs w:val="20"/>
              </w:rPr>
            </w:pPr>
            <w:r w:rsidRPr="00BE65E2">
              <w:rPr>
                <w:color w:val="000000"/>
                <w:sz w:val="20"/>
                <w:szCs w:val="20"/>
              </w:rPr>
              <w:t>7,80</w:t>
            </w:r>
          </w:p>
        </w:tc>
        <w:tc>
          <w:tcPr>
            <w:tcW w:w="1625" w:type="dxa"/>
            <w:tcBorders>
              <w:top w:val="nil"/>
              <w:left w:val="nil"/>
              <w:bottom w:val="single" w:sz="4" w:space="0" w:color="auto"/>
              <w:right w:val="single" w:sz="4" w:space="0" w:color="auto"/>
            </w:tcBorders>
            <w:shd w:val="clear" w:color="auto" w:fill="auto"/>
            <w:noWrap/>
            <w:vAlign w:val="center"/>
            <w:hideMark/>
          </w:tcPr>
          <w:p w14:paraId="49275EC6" w14:textId="77777777" w:rsidR="00DB5864" w:rsidRPr="00BE65E2" w:rsidRDefault="00DB5864" w:rsidP="000419EA">
            <w:pPr>
              <w:jc w:val="center"/>
              <w:rPr>
                <w:color w:val="000000"/>
                <w:sz w:val="20"/>
                <w:szCs w:val="20"/>
              </w:rPr>
            </w:pPr>
            <w:r w:rsidRPr="00BE65E2">
              <w:rPr>
                <w:color w:val="000000"/>
                <w:sz w:val="20"/>
                <w:szCs w:val="20"/>
              </w:rPr>
              <w:t>6,15</w:t>
            </w:r>
          </w:p>
        </w:tc>
      </w:tr>
      <w:tr w:rsidR="00DB5864" w:rsidRPr="004A52CD" w14:paraId="78E34099"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6B8417EB" w14:textId="77777777" w:rsidR="00DB5864" w:rsidRPr="00BE65E2" w:rsidRDefault="00DB5864" w:rsidP="000419EA">
            <w:pPr>
              <w:jc w:val="both"/>
              <w:rPr>
                <w:color w:val="000000"/>
                <w:sz w:val="20"/>
                <w:szCs w:val="20"/>
              </w:rPr>
            </w:pPr>
            <w:r w:rsidRPr="00BE65E2">
              <w:rPr>
                <w:color w:val="000000"/>
                <w:sz w:val="20"/>
                <w:szCs w:val="20"/>
              </w:rPr>
              <w:t xml:space="preserve">Возмещение части прямых понесенных затрат на создание и (или) модернизацию объектов АПК </w:t>
            </w:r>
          </w:p>
        </w:tc>
        <w:tc>
          <w:tcPr>
            <w:tcW w:w="1624" w:type="dxa"/>
            <w:tcBorders>
              <w:top w:val="nil"/>
              <w:left w:val="nil"/>
              <w:bottom w:val="single" w:sz="4" w:space="0" w:color="auto"/>
              <w:right w:val="single" w:sz="4" w:space="0" w:color="auto"/>
            </w:tcBorders>
            <w:shd w:val="clear" w:color="auto" w:fill="auto"/>
            <w:noWrap/>
            <w:vAlign w:val="center"/>
            <w:hideMark/>
          </w:tcPr>
          <w:p w14:paraId="45967AF9" w14:textId="77777777" w:rsidR="00DB5864" w:rsidRPr="00BE65E2" w:rsidRDefault="00DB5864" w:rsidP="000419EA">
            <w:pPr>
              <w:jc w:val="center"/>
              <w:rPr>
                <w:color w:val="000000"/>
                <w:sz w:val="20"/>
                <w:szCs w:val="20"/>
              </w:rPr>
            </w:pPr>
            <w:r w:rsidRPr="00BE65E2">
              <w:rPr>
                <w:color w:val="000000"/>
                <w:sz w:val="20"/>
                <w:szCs w:val="20"/>
              </w:rPr>
              <w:t>0,03</w:t>
            </w:r>
          </w:p>
        </w:tc>
        <w:tc>
          <w:tcPr>
            <w:tcW w:w="1624" w:type="dxa"/>
            <w:tcBorders>
              <w:top w:val="nil"/>
              <w:left w:val="nil"/>
              <w:bottom w:val="single" w:sz="4" w:space="0" w:color="auto"/>
              <w:right w:val="single" w:sz="4" w:space="0" w:color="auto"/>
            </w:tcBorders>
            <w:shd w:val="clear" w:color="auto" w:fill="auto"/>
            <w:noWrap/>
            <w:vAlign w:val="center"/>
            <w:hideMark/>
          </w:tcPr>
          <w:p w14:paraId="38F86BD0" w14:textId="77777777" w:rsidR="00DB5864" w:rsidRPr="00BE65E2" w:rsidRDefault="00DB5864" w:rsidP="000419EA">
            <w:pPr>
              <w:jc w:val="center"/>
              <w:rPr>
                <w:color w:val="000000"/>
                <w:sz w:val="20"/>
                <w:szCs w:val="20"/>
              </w:rPr>
            </w:pPr>
            <w:r w:rsidRPr="00BE65E2">
              <w:rPr>
                <w:color w:val="000000"/>
                <w:sz w:val="20"/>
                <w:szCs w:val="20"/>
              </w:rPr>
              <w:t>0,03</w:t>
            </w:r>
          </w:p>
        </w:tc>
        <w:tc>
          <w:tcPr>
            <w:tcW w:w="1625" w:type="dxa"/>
            <w:tcBorders>
              <w:top w:val="nil"/>
              <w:left w:val="nil"/>
              <w:bottom w:val="single" w:sz="4" w:space="0" w:color="auto"/>
              <w:right w:val="single" w:sz="4" w:space="0" w:color="auto"/>
            </w:tcBorders>
            <w:shd w:val="clear" w:color="auto" w:fill="auto"/>
            <w:noWrap/>
            <w:vAlign w:val="center"/>
            <w:hideMark/>
          </w:tcPr>
          <w:p w14:paraId="2D4CDDBC" w14:textId="77777777" w:rsidR="00DB5864" w:rsidRPr="00BE65E2" w:rsidRDefault="00DB5864" w:rsidP="000419EA">
            <w:pPr>
              <w:jc w:val="center"/>
              <w:rPr>
                <w:color w:val="000000"/>
                <w:sz w:val="20"/>
                <w:szCs w:val="20"/>
              </w:rPr>
            </w:pPr>
            <w:r w:rsidRPr="00BE65E2">
              <w:rPr>
                <w:color w:val="000000"/>
                <w:sz w:val="20"/>
                <w:szCs w:val="20"/>
              </w:rPr>
              <w:t>0,03</w:t>
            </w:r>
          </w:p>
        </w:tc>
      </w:tr>
      <w:tr w:rsidR="00DB5864" w:rsidRPr="004A52CD" w14:paraId="05353890"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41321C7A" w14:textId="3442DFCE" w:rsidR="00DB5864" w:rsidRPr="00BE65E2" w:rsidRDefault="00DB5864" w:rsidP="00111372">
            <w:pPr>
              <w:jc w:val="both"/>
              <w:rPr>
                <w:color w:val="000000"/>
                <w:sz w:val="20"/>
                <w:szCs w:val="20"/>
              </w:rPr>
            </w:pPr>
            <w:r w:rsidRPr="00BE65E2">
              <w:rPr>
                <w:color w:val="000000"/>
                <w:sz w:val="20"/>
                <w:szCs w:val="20"/>
              </w:rPr>
              <w:t>Возмещение недополученных российскими кредитными организациями, международными финансовыми организациями и госкорпорацией развития "ВЭБ.РФ" доходов по кредитам, выданным с/х товаропроизводителям (за исключением с/х кредитных потреб. кооперативов), организациям и ИП, осуществляющим производство, первичную и (или) последующую (промышленную) переработку с/х продукции и ее реализацию, по льготной ставке</w:t>
            </w:r>
          </w:p>
        </w:tc>
        <w:tc>
          <w:tcPr>
            <w:tcW w:w="1624" w:type="dxa"/>
            <w:tcBorders>
              <w:top w:val="nil"/>
              <w:left w:val="nil"/>
              <w:bottom w:val="single" w:sz="4" w:space="0" w:color="auto"/>
              <w:right w:val="single" w:sz="4" w:space="0" w:color="auto"/>
            </w:tcBorders>
            <w:shd w:val="clear" w:color="auto" w:fill="auto"/>
            <w:noWrap/>
            <w:vAlign w:val="center"/>
            <w:hideMark/>
          </w:tcPr>
          <w:p w14:paraId="3A7B4791" w14:textId="77777777" w:rsidR="00DB5864" w:rsidRPr="00BE65E2" w:rsidRDefault="00DB5864" w:rsidP="000419EA">
            <w:pPr>
              <w:jc w:val="center"/>
              <w:rPr>
                <w:color w:val="000000"/>
                <w:sz w:val="20"/>
                <w:szCs w:val="20"/>
              </w:rPr>
            </w:pPr>
            <w:r w:rsidRPr="00BE65E2">
              <w:rPr>
                <w:color w:val="000000"/>
                <w:sz w:val="20"/>
                <w:szCs w:val="20"/>
              </w:rPr>
              <w:t>31,3</w:t>
            </w:r>
          </w:p>
        </w:tc>
        <w:tc>
          <w:tcPr>
            <w:tcW w:w="1624" w:type="dxa"/>
            <w:tcBorders>
              <w:top w:val="nil"/>
              <w:left w:val="nil"/>
              <w:bottom w:val="single" w:sz="4" w:space="0" w:color="auto"/>
              <w:right w:val="single" w:sz="4" w:space="0" w:color="auto"/>
            </w:tcBorders>
            <w:shd w:val="clear" w:color="auto" w:fill="auto"/>
            <w:noWrap/>
            <w:vAlign w:val="center"/>
            <w:hideMark/>
          </w:tcPr>
          <w:p w14:paraId="267557F3" w14:textId="77777777" w:rsidR="00DB5864" w:rsidRPr="00BE65E2" w:rsidRDefault="00DB5864" w:rsidP="000419EA">
            <w:pPr>
              <w:jc w:val="center"/>
              <w:rPr>
                <w:color w:val="000000"/>
                <w:sz w:val="20"/>
                <w:szCs w:val="20"/>
              </w:rPr>
            </w:pPr>
            <w:r w:rsidRPr="00BE65E2">
              <w:rPr>
                <w:color w:val="000000"/>
                <w:sz w:val="20"/>
                <w:szCs w:val="20"/>
              </w:rPr>
              <w:t>28,75</w:t>
            </w:r>
          </w:p>
        </w:tc>
        <w:tc>
          <w:tcPr>
            <w:tcW w:w="1625" w:type="dxa"/>
            <w:tcBorders>
              <w:top w:val="nil"/>
              <w:left w:val="nil"/>
              <w:bottom w:val="single" w:sz="4" w:space="0" w:color="auto"/>
              <w:right w:val="single" w:sz="4" w:space="0" w:color="auto"/>
            </w:tcBorders>
            <w:shd w:val="clear" w:color="auto" w:fill="auto"/>
            <w:noWrap/>
            <w:vAlign w:val="center"/>
            <w:hideMark/>
          </w:tcPr>
          <w:p w14:paraId="7EBBC9AF" w14:textId="77777777" w:rsidR="00DB5864" w:rsidRPr="00BE65E2" w:rsidRDefault="00DB5864" w:rsidP="000419EA">
            <w:pPr>
              <w:jc w:val="center"/>
              <w:rPr>
                <w:color w:val="000000"/>
                <w:sz w:val="20"/>
                <w:szCs w:val="20"/>
              </w:rPr>
            </w:pPr>
            <w:r w:rsidRPr="00BE65E2">
              <w:rPr>
                <w:color w:val="000000"/>
                <w:sz w:val="20"/>
                <w:szCs w:val="20"/>
              </w:rPr>
              <w:t>26,85</w:t>
            </w:r>
          </w:p>
        </w:tc>
      </w:tr>
      <w:tr w:rsidR="00DB5864" w:rsidRPr="004A52CD" w14:paraId="02DB8601"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65C794B2" w14:textId="77777777" w:rsidR="00DB5864" w:rsidRPr="00BE65E2" w:rsidRDefault="00DB5864" w:rsidP="000419EA">
            <w:pPr>
              <w:jc w:val="both"/>
              <w:rPr>
                <w:color w:val="000000"/>
                <w:sz w:val="20"/>
                <w:szCs w:val="20"/>
              </w:rPr>
            </w:pPr>
            <w:r w:rsidRPr="00BE65E2">
              <w:rPr>
                <w:color w:val="000000"/>
                <w:sz w:val="20"/>
                <w:szCs w:val="20"/>
              </w:rPr>
              <w:t>Ведомственный проект "Развитие отраслей АПК, обеспечивающих ускоренное импортозамещение основных видов сельскохозяйственной продукции, сырья и продовольствия"</w:t>
            </w:r>
          </w:p>
        </w:tc>
        <w:tc>
          <w:tcPr>
            <w:tcW w:w="1624" w:type="dxa"/>
            <w:tcBorders>
              <w:top w:val="nil"/>
              <w:left w:val="nil"/>
              <w:bottom w:val="single" w:sz="4" w:space="0" w:color="auto"/>
              <w:right w:val="single" w:sz="4" w:space="0" w:color="auto"/>
            </w:tcBorders>
            <w:shd w:val="clear" w:color="auto" w:fill="auto"/>
            <w:noWrap/>
            <w:vAlign w:val="center"/>
            <w:hideMark/>
          </w:tcPr>
          <w:p w14:paraId="34A06D32" w14:textId="77777777" w:rsidR="00DB5864" w:rsidRPr="00BE65E2" w:rsidRDefault="00DB5864" w:rsidP="000419EA">
            <w:pPr>
              <w:jc w:val="center"/>
              <w:rPr>
                <w:color w:val="000000"/>
                <w:sz w:val="20"/>
                <w:szCs w:val="20"/>
              </w:rPr>
            </w:pPr>
            <w:r w:rsidRPr="00BE65E2">
              <w:rPr>
                <w:color w:val="000000"/>
                <w:sz w:val="20"/>
                <w:szCs w:val="20"/>
              </w:rPr>
              <w:t>21,0</w:t>
            </w:r>
          </w:p>
        </w:tc>
        <w:tc>
          <w:tcPr>
            <w:tcW w:w="1624" w:type="dxa"/>
            <w:tcBorders>
              <w:top w:val="nil"/>
              <w:left w:val="nil"/>
              <w:bottom w:val="single" w:sz="4" w:space="0" w:color="auto"/>
              <w:right w:val="single" w:sz="4" w:space="0" w:color="auto"/>
            </w:tcBorders>
            <w:shd w:val="clear" w:color="auto" w:fill="auto"/>
            <w:noWrap/>
            <w:vAlign w:val="center"/>
            <w:hideMark/>
          </w:tcPr>
          <w:p w14:paraId="0989ECA9" w14:textId="77777777" w:rsidR="00DB5864" w:rsidRPr="00BE65E2" w:rsidRDefault="00DB5864" w:rsidP="000419EA">
            <w:pPr>
              <w:jc w:val="center"/>
              <w:rPr>
                <w:color w:val="000000"/>
                <w:sz w:val="20"/>
                <w:szCs w:val="20"/>
              </w:rPr>
            </w:pPr>
            <w:r w:rsidRPr="00BE65E2">
              <w:rPr>
                <w:color w:val="000000"/>
                <w:sz w:val="20"/>
                <w:szCs w:val="20"/>
              </w:rPr>
              <w:t>19,91</w:t>
            </w:r>
          </w:p>
        </w:tc>
        <w:tc>
          <w:tcPr>
            <w:tcW w:w="1625" w:type="dxa"/>
            <w:tcBorders>
              <w:top w:val="nil"/>
              <w:left w:val="nil"/>
              <w:bottom w:val="single" w:sz="4" w:space="0" w:color="auto"/>
              <w:right w:val="single" w:sz="4" w:space="0" w:color="auto"/>
            </w:tcBorders>
            <w:shd w:val="clear" w:color="auto" w:fill="auto"/>
            <w:noWrap/>
            <w:vAlign w:val="center"/>
            <w:hideMark/>
          </w:tcPr>
          <w:p w14:paraId="0B48CC8A" w14:textId="77777777" w:rsidR="00DB5864" w:rsidRPr="00BE65E2" w:rsidRDefault="00DB5864" w:rsidP="000419EA">
            <w:pPr>
              <w:jc w:val="center"/>
              <w:rPr>
                <w:color w:val="000000"/>
                <w:sz w:val="20"/>
                <w:szCs w:val="20"/>
              </w:rPr>
            </w:pPr>
            <w:r w:rsidRPr="00BE65E2">
              <w:rPr>
                <w:color w:val="000000"/>
                <w:sz w:val="20"/>
                <w:szCs w:val="20"/>
              </w:rPr>
              <w:t>17,73</w:t>
            </w:r>
          </w:p>
        </w:tc>
      </w:tr>
      <w:tr w:rsidR="00DB5864" w:rsidRPr="004A52CD" w14:paraId="1A041062"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3AB08CDC" w14:textId="77777777" w:rsidR="00DB5864" w:rsidRPr="00BE65E2" w:rsidRDefault="00DB5864" w:rsidP="000419EA">
            <w:pPr>
              <w:jc w:val="both"/>
              <w:rPr>
                <w:color w:val="000000"/>
                <w:sz w:val="20"/>
                <w:szCs w:val="20"/>
              </w:rPr>
            </w:pPr>
            <w:r w:rsidRPr="00BE65E2">
              <w:rPr>
                <w:color w:val="000000"/>
                <w:sz w:val="20"/>
                <w:szCs w:val="20"/>
              </w:rPr>
              <w:t>Субсидии на стимулирование развития приоритетных подотраслей агропромышленного комплекса и развитие малых форм хозяйствования (Консолидированные субсидии)</w:t>
            </w:r>
          </w:p>
        </w:tc>
        <w:tc>
          <w:tcPr>
            <w:tcW w:w="1624" w:type="dxa"/>
            <w:tcBorders>
              <w:top w:val="nil"/>
              <w:left w:val="nil"/>
              <w:bottom w:val="single" w:sz="4" w:space="0" w:color="auto"/>
              <w:right w:val="single" w:sz="4" w:space="0" w:color="auto"/>
            </w:tcBorders>
            <w:shd w:val="clear" w:color="auto" w:fill="auto"/>
            <w:noWrap/>
            <w:vAlign w:val="center"/>
            <w:hideMark/>
          </w:tcPr>
          <w:p w14:paraId="2218AC1E" w14:textId="77777777" w:rsidR="00DB5864" w:rsidRPr="00BE65E2" w:rsidRDefault="00DB5864" w:rsidP="000419EA">
            <w:pPr>
              <w:jc w:val="center"/>
              <w:rPr>
                <w:color w:val="000000"/>
                <w:sz w:val="20"/>
                <w:szCs w:val="20"/>
              </w:rPr>
            </w:pPr>
            <w:r w:rsidRPr="00BE65E2">
              <w:rPr>
                <w:color w:val="000000"/>
                <w:sz w:val="20"/>
                <w:szCs w:val="20"/>
              </w:rPr>
              <w:t>9,3</w:t>
            </w:r>
          </w:p>
        </w:tc>
        <w:tc>
          <w:tcPr>
            <w:tcW w:w="1624" w:type="dxa"/>
            <w:tcBorders>
              <w:top w:val="nil"/>
              <w:left w:val="nil"/>
              <w:bottom w:val="single" w:sz="4" w:space="0" w:color="auto"/>
              <w:right w:val="single" w:sz="4" w:space="0" w:color="auto"/>
            </w:tcBorders>
            <w:shd w:val="clear" w:color="auto" w:fill="auto"/>
            <w:noWrap/>
            <w:vAlign w:val="center"/>
            <w:hideMark/>
          </w:tcPr>
          <w:p w14:paraId="278FBD5D" w14:textId="77777777" w:rsidR="00DB5864" w:rsidRPr="00BE65E2" w:rsidRDefault="00DB5864" w:rsidP="000419EA">
            <w:pPr>
              <w:jc w:val="center"/>
              <w:rPr>
                <w:color w:val="000000"/>
                <w:sz w:val="20"/>
                <w:szCs w:val="20"/>
              </w:rPr>
            </w:pPr>
            <w:r w:rsidRPr="00BE65E2">
              <w:rPr>
                <w:color w:val="000000"/>
                <w:sz w:val="20"/>
                <w:szCs w:val="20"/>
              </w:rPr>
              <w:t>8,85</w:t>
            </w:r>
          </w:p>
        </w:tc>
        <w:tc>
          <w:tcPr>
            <w:tcW w:w="1625" w:type="dxa"/>
            <w:tcBorders>
              <w:top w:val="nil"/>
              <w:left w:val="nil"/>
              <w:bottom w:val="single" w:sz="4" w:space="0" w:color="auto"/>
              <w:right w:val="single" w:sz="4" w:space="0" w:color="auto"/>
            </w:tcBorders>
            <w:shd w:val="clear" w:color="auto" w:fill="auto"/>
            <w:noWrap/>
            <w:vAlign w:val="center"/>
            <w:hideMark/>
          </w:tcPr>
          <w:p w14:paraId="506050AE" w14:textId="77777777" w:rsidR="00DB5864" w:rsidRPr="00BE65E2" w:rsidRDefault="00DB5864" w:rsidP="000419EA">
            <w:pPr>
              <w:jc w:val="center"/>
              <w:rPr>
                <w:color w:val="000000"/>
                <w:sz w:val="20"/>
                <w:szCs w:val="20"/>
              </w:rPr>
            </w:pPr>
            <w:r w:rsidRPr="00BE65E2">
              <w:rPr>
                <w:color w:val="000000"/>
                <w:sz w:val="20"/>
                <w:szCs w:val="20"/>
              </w:rPr>
              <w:t>7,88</w:t>
            </w:r>
          </w:p>
        </w:tc>
      </w:tr>
      <w:tr w:rsidR="00DB5864" w:rsidRPr="004A52CD" w14:paraId="23C833FA"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28F54C08" w14:textId="77777777" w:rsidR="00DB5864" w:rsidRPr="00BE65E2" w:rsidRDefault="00DB5864" w:rsidP="000419EA">
            <w:pPr>
              <w:jc w:val="both"/>
              <w:rPr>
                <w:color w:val="000000"/>
                <w:sz w:val="20"/>
                <w:szCs w:val="20"/>
              </w:rPr>
            </w:pPr>
            <w:r w:rsidRPr="00BE65E2">
              <w:rPr>
                <w:color w:val="000000"/>
                <w:sz w:val="20"/>
                <w:szCs w:val="20"/>
              </w:rPr>
              <w:t>Субсидии на поддержку с/х производства по отдельным подотраслям растениеводства и животноводства (Консолидированные субсидии)</w:t>
            </w:r>
          </w:p>
        </w:tc>
        <w:tc>
          <w:tcPr>
            <w:tcW w:w="1624" w:type="dxa"/>
            <w:tcBorders>
              <w:top w:val="nil"/>
              <w:left w:val="nil"/>
              <w:bottom w:val="single" w:sz="4" w:space="0" w:color="auto"/>
              <w:right w:val="single" w:sz="4" w:space="0" w:color="auto"/>
            </w:tcBorders>
            <w:shd w:val="clear" w:color="auto" w:fill="auto"/>
            <w:noWrap/>
            <w:vAlign w:val="center"/>
            <w:hideMark/>
          </w:tcPr>
          <w:p w14:paraId="65728CDF" w14:textId="77777777" w:rsidR="00DB5864" w:rsidRPr="00BE65E2" w:rsidRDefault="00DB5864" w:rsidP="000419EA">
            <w:pPr>
              <w:jc w:val="center"/>
              <w:rPr>
                <w:color w:val="000000"/>
                <w:sz w:val="20"/>
                <w:szCs w:val="20"/>
              </w:rPr>
            </w:pPr>
            <w:r w:rsidRPr="00BE65E2">
              <w:rPr>
                <w:color w:val="000000"/>
                <w:sz w:val="20"/>
                <w:szCs w:val="20"/>
              </w:rPr>
              <w:t>11,7</w:t>
            </w:r>
          </w:p>
        </w:tc>
        <w:tc>
          <w:tcPr>
            <w:tcW w:w="1624" w:type="dxa"/>
            <w:tcBorders>
              <w:top w:val="nil"/>
              <w:left w:val="nil"/>
              <w:bottom w:val="single" w:sz="4" w:space="0" w:color="auto"/>
              <w:right w:val="single" w:sz="4" w:space="0" w:color="auto"/>
            </w:tcBorders>
            <w:shd w:val="clear" w:color="auto" w:fill="auto"/>
            <w:noWrap/>
            <w:vAlign w:val="center"/>
            <w:hideMark/>
          </w:tcPr>
          <w:p w14:paraId="7693292A" w14:textId="77777777" w:rsidR="00DB5864" w:rsidRPr="00BE65E2" w:rsidRDefault="00DB5864" w:rsidP="000419EA">
            <w:pPr>
              <w:jc w:val="center"/>
              <w:rPr>
                <w:color w:val="000000"/>
                <w:sz w:val="20"/>
                <w:szCs w:val="20"/>
              </w:rPr>
            </w:pPr>
            <w:r w:rsidRPr="00BE65E2">
              <w:rPr>
                <w:color w:val="000000"/>
                <w:sz w:val="20"/>
                <w:szCs w:val="20"/>
              </w:rPr>
              <w:t>11,06</w:t>
            </w:r>
          </w:p>
        </w:tc>
        <w:tc>
          <w:tcPr>
            <w:tcW w:w="1625" w:type="dxa"/>
            <w:tcBorders>
              <w:top w:val="nil"/>
              <w:left w:val="nil"/>
              <w:bottom w:val="single" w:sz="4" w:space="0" w:color="auto"/>
              <w:right w:val="single" w:sz="4" w:space="0" w:color="auto"/>
            </w:tcBorders>
            <w:shd w:val="clear" w:color="auto" w:fill="auto"/>
            <w:noWrap/>
            <w:vAlign w:val="center"/>
            <w:hideMark/>
          </w:tcPr>
          <w:p w14:paraId="069F2E84" w14:textId="77777777" w:rsidR="00DB5864" w:rsidRPr="00BE65E2" w:rsidRDefault="00DB5864" w:rsidP="000419EA">
            <w:pPr>
              <w:jc w:val="center"/>
              <w:rPr>
                <w:color w:val="000000"/>
                <w:sz w:val="20"/>
                <w:szCs w:val="20"/>
              </w:rPr>
            </w:pPr>
            <w:r w:rsidRPr="00BE65E2">
              <w:rPr>
                <w:color w:val="000000"/>
                <w:sz w:val="20"/>
                <w:szCs w:val="20"/>
              </w:rPr>
              <w:t>9,85</w:t>
            </w:r>
          </w:p>
        </w:tc>
      </w:tr>
      <w:tr w:rsidR="00DB5864" w:rsidRPr="004A52CD" w14:paraId="265762A9"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527ED63C" w14:textId="77777777" w:rsidR="00DB5864" w:rsidRPr="00BE65E2" w:rsidRDefault="00DB5864" w:rsidP="000419EA">
            <w:pPr>
              <w:jc w:val="both"/>
              <w:rPr>
                <w:color w:val="000000"/>
                <w:sz w:val="20"/>
                <w:szCs w:val="20"/>
              </w:rPr>
            </w:pPr>
            <w:r w:rsidRPr="00BE65E2">
              <w:rPr>
                <w:color w:val="000000"/>
                <w:sz w:val="20"/>
                <w:szCs w:val="20"/>
              </w:rPr>
              <w:t>Подпрограмма "Обеспечение условий развития агропромышленного комплекса"</w:t>
            </w:r>
          </w:p>
        </w:tc>
        <w:tc>
          <w:tcPr>
            <w:tcW w:w="1624" w:type="dxa"/>
            <w:tcBorders>
              <w:top w:val="nil"/>
              <w:left w:val="nil"/>
              <w:bottom w:val="single" w:sz="4" w:space="0" w:color="auto"/>
              <w:right w:val="single" w:sz="4" w:space="0" w:color="auto"/>
            </w:tcBorders>
            <w:shd w:val="clear" w:color="auto" w:fill="auto"/>
            <w:noWrap/>
            <w:vAlign w:val="center"/>
            <w:hideMark/>
          </w:tcPr>
          <w:p w14:paraId="66EDA286" w14:textId="77777777" w:rsidR="00DB5864" w:rsidRPr="00BE65E2" w:rsidRDefault="00DB5864" w:rsidP="000419EA">
            <w:pPr>
              <w:jc w:val="center"/>
              <w:rPr>
                <w:color w:val="000000"/>
                <w:sz w:val="20"/>
                <w:szCs w:val="20"/>
              </w:rPr>
            </w:pPr>
            <w:r w:rsidRPr="00BE65E2">
              <w:rPr>
                <w:color w:val="000000"/>
                <w:sz w:val="20"/>
                <w:szCs w:val="20"/>
              </w:rPr>
              <w:t>21,5</w:t>
            </w:r>
          </w:p>
        </w:tc>
        <w:tc>
          <w:tcPr>
            <w:tcW w:w="1624" w:type="dxa"/>
            <w:tcBorders>
              <w:top w:val="nil"/>
              <w:left w:val="nil"/>
              <w:bottom w:val="single" w:sz="4" w:space="0" w:color="auto"/>
              <w:right w:val="single" w:sz="4" w:space="0" w:color="auto"/>
            </w:tcBorders>
            <w:shd w:val="clear" w:color="auto" w:fill="auto"/>
            <w:noWrap/>
            <w:vAlign w:val="center"/>
            <w:hideMark/>
          </w:tcPr>
          <w:p w14:paraId="4580C9A5" w14:textId="77777777" w:rsidR="00DB5864" w:rsidRPr="00BE65E2" w:rsidRDefault="00DB5864" w:rsidP="000419EA">
            <w:pPr>
              <w:jc w:val="center"/>
              <w:rPr>
                <w:color w:val="000000"/>
                <w:sz w:val="20"/>
                <w:szCs w:val="20"/>
              </w:rPr>
            </w:pPr>
            <w:r w:rsidRPr="00BE65E2">
              <w:rPr>
                <w:color w:val="000000"/>
                <w:sz w:val="20"/>
                <w:szCs w:val="20"/>
              </w:rPr>
              <w:t>17,79</w:t>
            </w:r>
          </w:p>
        </w:tc>
        <w:tc>
          <w:tcPr>
            <w:tcW w:w="1625" w:type="dxa"/>
            <w:tcBorders>
              <w:top w:val="nil"/>
              <w:left w:val="nil"/>
              <w:bottom w:val="single" w:sz="4" w:space="0" w:color="auto"/>
              <w:right w:val="single" w:sz="4" w:space="0" w:color="auto"/>
            </w:tcBorders>
            <w:shd w:val="clear" w:color="auto" w:fill="auto"/>
            <w:noWrap/>
            <w:vAlign w:val="center"/>
            <w:hideMark/>
          </w:tcPr>
          <w:p w14:paraId="78C4860C" w14:textId="77777777" w:rsidR="00DB5864" w:rsidRPr="00BE65E2" w:rsidRDefault="00DB5864" w:rsidP="000419EA">
            <w:pPr>
              <w:jc w:val="center"/>
              <w:rPr>
                <w:color w:val="000000"/>
                <w:sz w:val="20"/>
                <w:szCs w:val="20"/>
              </w:rPr>
            </w:pPr>
            <w:r w:rsidRPr="00BE65E2">
              <w:rPr>
                <w:color w:val="000000"/>
                <w:sz w:val="20"/>
                <w:szCs w:val="20"/>
              </w:rPr>
              <w:t>17,15</w:t>
            </w:r>
          </w:p>
        </w:tc>
      </w:tr>
      <w:tr w:rsidR="00DB5864" w:rsidRPr="004A52CD" w14:paraId="42849960"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0170C13E" w14:textId="77777777" w:rsidR="00DB5864" w:rsidRPr="00BE65E2" w:rsidRDefault="00DB5864" w:rsidP="000419EA">
            <w:pPr>
              <w:jc w:val="both"/>
              <w:rPr>
                <w:color w:val="000000"/>
                <w:sz w:val="20"/>
                <w:szCs w:val="20"/>
              </w:rPr>
            </w:pPr>
            <w:r w:rsidRPr="00BE65E2">
              <w:rPr>
                <w:color w:val="000000"/>
                <w:sz w:val="20"/>
                <w:szCs w:val="20"/>
              </w:rPr>
              <w:t>Основное мероприятие "Реализация функций аппарата ответственного исполнителя госпрограммы"</w:t>
            </w:r>
          </w:p>
        </w:tc>
        <w:tc>
          <w:tcPr>
            <w:tcW w:w="1624" w:type="dxa"/>
            <w:tcBorders>
              <w:top w:val="nil"/>
              <w:left w:val="nil"/>
              <w:bottom w:val="single" w:sz="4" w:space="0" w:color="auto"/>
              <w:right w:val="single" w:sz="4" w:space="0" w:color="auto"/>
            </w:tcBorders>
            <w:shd w:val="clear" w:color="auto" w:fill="auto"/>
            <w:noWrap/>
            <w:vAlign w:val="center"/>
            <w:hideMark/>
          </w:tcPr>
          <w:p w14:paraId="5DB224D0" w14:textId="77777777" w:rsidR="00DB5864" w:rsidRPr="00BE65E2" w:rsidRDefault="00DB5864" w:rsidP="000419EA">
            <w:pPr>
              <w:jc w:val="center"/>
              <w:rPr>
                <w:color w:val="000000"/>
                <w:sz w:val="20"/>
                <w:szCs w:val="20"/>
              </w:rPr>
            </w:pPr>
            <w:r w:rsidRPr="00BE65E2">
              <w:rPr>
                <w:color w:val="000000"/>
                <w:sz w:val="20"/>
                <w:szCs w:val="20"/>
              </w:rPr>
              <w:t>0,4</w:t>
            </w:r>
          </w:p>
        </w:tc>
        <w:tc>
          <w:tcPr>
            <w:tcW w:w="1624" w:type="dxa"/>
            <w:tcBorders>
              <w:top w:val="nil"/>
              <w:left w:val="nil"/>
              <w:bottom w:val="single" w:sz="4" w:space="0" w:color="auto"/>
              <w:right w:val="single" w:sz="4" w:space="0" w:color="auto"/>
            </w:tcBorders>
            <w:shd w:val="clear" w:color="auto" w:fill="auto"/>
            <w:noWrap/>
            <w:vAlign w:val="center"/>
            <w:hideMark/>
          </w:tcPr>
          <w:p w14:paraId="163B2FBC" w14:textId="77777777" w:rsidR="00DB5864" w:rsidRPr="00BE65E2" w:rsidRDefault="00DB5864" w:rsidP="000419EA">
            <w:pPr>
              <w:jc w:val="center"/>
              <w:rPr>
                <w:color w:val="000000"/>
                <w:sz w:val="20"/>
                <w:szCs w:val="20"/>
              </w:rPr>
            </w:pPr>
            <w:r w:rsidRPr="00BE65E2">
              <w:rPr>
                <w:color w:val="000000"/>
                <w:sz w:val="20"/>
                <w:szCs w:val="20"/>
              </w:rPr>
              <w:t>0,40</w:t>
            </w:r>
          </w:p>
        </w:tc>
        <w:tc>
          <w:tcPr>
            <w:tcW w:w="1625" w:type="dxa"/>
            <w:tcBorders>
              <w:top w:val="nil"/>
              <w:left w:val="nil"/>
              <w:bottom w:val="single" w:sz="4" w:space="0" w:color="auto"/>
              <w:right w:val="single" w:sz="4" w:space="0" w:color="auto"/>
            </w:tcBorders>
            <w:shd w:val="clear" w:color="auto" w:fill="auto"/>
            <w:noWrap/>
            <w:vAlign w:val="center"/>
            <w:hideMark/>
          </w:tcPr>
          <w:p w14:paraId="77A2FB03" w14:textId="77777777" w:rsidR="00DB5864" w:rsidRPr="00BE65E2" w:rsidRDefault="00DB5864" w:rsidP="000419EA">
            <w:pPr>
              <w:jc w:val="center"/>
              <w:rPr>
                <w:color w:val="000000"/>
                <w:sz w:val="20"/>
                <w:szCs w:val="20"/>
              </w:rPr>
            </w:pPr>
            <w:r w:rsidRPr="00BE65E2">
              <w:rPr>
                <w:color w:val="000000"/>
                <w:sz w:val="20"/>
                <w:szCs w:val="20"/>
              </w:rPr>
              <w:t>0,36</w:t>
            </w:r>
          </w:p>
        </w:tc>
      </w:tr>
      <w:tr w:rsidR="00DB5864" w:rsidRPr="004A52CD" w14:paraId="6853025A"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73FCD84E" w14:textId="77777777" w:rsidR="00DB5864" w:rsidRPr="00BE65E2" w:rsidRDefault="00DB5864" w:rsidP="000419EA">
            <w:pPr>
              <w:jc w:val="both"/>
              <w:rPr>
                <w:color w:val="000000"/>
                <w:sz w:val="20"/>
                <w:szCs w:val="20"/>
              </w:rPr>
            </w:pPr>
            <w:r w:rsidRPr="00BE65E2">
              <w:rPr>
                <w:color w:val="000000"/>
                <w:sz w:val="20"/>
                <w:szCs w:val="20"/>
              </w:rPr>
              <w:t>Ведомственная целевая программа "Обеспечение общих условий функционирования отраслей агропромышленного комплекса"</w:t>
            </w:r>
          </w:p>
        </w:tc>
        <w:tc>
          <w:tcPr>
            <w:tcW w:w="1624" w:type="dxa"/>
            <w:tcBorders>
              <w:top w:val="nil"/>
              <w:left w:val="nil"/>
              <w:bottom w:val="single" w:sz="4" w:space="0" w:color="auto"/>
              <w:right w:val="single" w:sz="4" w:space="0" w:color="auto"/>
            </w:tcBorders>
            <w:shd w:val="clear" w:color="auto" w:fill="auto"/>
            <w:noWrap/>
            <w:vAlign w:val="center"/>
            <w:hideMark/>
          </w:tcPr>
          <w:p w14:paraId="46031FC6" w14:textId="77777777" w:rsidR="00DB5864" w:rsidRPr="00BE65E2" w:rsidRDefault="00DB5864" w:rsidP="000419EA">
            <w:pPr>
              <w:jc w:val="center"/>
              <w:rPr>
                <w:color w:val="000000"/>
                <w:sz w:val="20"/>
                <w:szCs w:val="20"/>
              </w:rPr>
            </w:pPr>
            <w:r w:rsidRPr="00BE65E2">
              <w:rPr>
                <w:color w:val="000000"/>
                <w:sz w:val="20"/>
                <w:szCs w:val="20"/>
              </w:rPr>
              <w:t>11,1</w:t>
            </w:r>
          </w:p>
        </w:tc>
        <w:tc>
          <w:tcPr>
            <w:tcW w:w="1624" w:type="dxa"/>
            <w:tcBorders>
              <w:top w:val="nil"/>
              <w:left w:val="nil"/>
              <w:bottom w:val="single" w:sz="4" w:space="0" w:color="auto"/>
              <w:right w:val="single" w:sz="4" w:space="0" w:color="auto"/>
            </w:tcBorders>
            <w:shd w:val="clear" w:color="auto" w:fill="auto"/>
            <w:noWrap/>
            <w:vAlign w:val="center"/>
            <w:hideMark/>
          </w:tcPr>
          <w:p w14:paraId="00E6B717" w14:textId="77777777" w:rsidR="00DB5864" w:rsidRPr="00BE65E2" w:rsidRDefault="00DB5864" w:rsidP="000419EA">
            <w:pPr>
              <w:jc w:val="center"/>
              <w:rPr>
                <w:color w:val="000000"/>
                <w:sz w:val="20"/>
                <w:szCs w:val="20"/>
              </w:rPr>
            </w:pPr>
            <w:r w:rsidRPr="00BE65E2">
              <w:rPr>
                <w:color w:val="000000"/>
                <w:sz w:val="20"/>
                <w:szCs w:val="20"/>
              </w:rPr>
              <w:t>10,46</w:t>
            </w:r>
          </w:p>
        </w:tc>
        <w:tc>
          <w:tcPr>
            <w:tcW w:w="1625" w:type="dxa"/>
            <w:tcBorders>
              <w:top w:val="nil"/>
              <w:left w:val="nil"/>
              <w:bottom w:val="single" w:sz="4" w:space="0" w:color="auto"/>
              <w:right w:val="single" w:sz="4" w:space="0" w:color="auto"/>
            </w:tcBorders>
            <w:shd w:val="clear" w:color="auto" w:fill="auto"/>
            <w:noWrap/>
            <w:vAlign w:val="center"/>
            <w:hideMark/>
          </w:tcPr>
          <w:p w14:paraId="2E0A9DC3" w14:textId="77777777" w:rsidR="00DB5864" w:rsidRPr="00BE65E2" w:rsidRDefault="00DB5864" w:rsidP="000419EA">
            <w:pPr>
              <w:jc w:val="center"/>
              <w:rPr>
                <w:color w:val="000000"/>
                <w:sz w:val="20"/>
                <w:szCs w:val="20"/>
              </w:rPr>
            </w:pPr>
            <w:r w:rsidRPr="00BE65E2">
              <w:rPr>
                <w:color w:val="000000"/>
                <w:sz w:val="20"/>
                <w:szCs w:val="20"/>
              </w:rPr>
              <w:t>9,48</w:t>
            </w:r>
          </w:p>
        </w:tc>
      </w:tr>
      <w:tr w:rsidR="00DB5864" w:rsidRPr="004A52CD" w14:paraId="19AB01C1"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538E2B18" w14:textId="77777777" w:rsidR="00DB5864" w:rsidRPr="00BE65E2" w:rsidRDefault="00DB5864" w:rsidP="000419EA">
            <w:pPr>
              <w:jc w:val="both"/>
              <w:rPr>
                <w:color w:val="000000"/>
                <w:sz w:val="20"/>
                <w:szCs w:val="20"/>
              </w:rPr>
            </w:pPr>
            <w:r w:rsidRPr="00BE65E2">
              <w:rPr>
                <w:color w:val="000000"/>
                <w:sz w:val="20"/>
                <w:szCs w:val="20"/>
              </w:rPr>
              <w:t xml:space="preserve">Субсидии открытому АО "Российские железные дороги" на возмещение потерь в доходах, возникающих в результате установления льготных тарифов на перевозку зерна </w:t>
            </w:r>
          </w:p>
        </w:tc>
        <w:tc>
          <w:tcPr>
            <w:tcW w:w="1624" w:type="dxa"/>
            <w:tcBorders>
              <w:top w:val="nil"/>
              <w:left w:val="nil"/>
              <w:bottom w:val="single" w:sz="4" w:space="0" w:color="auto"/>
              <w:right w:val="single" w:sz="4" w:space="0" w:color="auto"/>
            </w:tcBorders>
            <w:shd w:val="clear" w:color="auto" w:fill="auto"/>
            <w:noWrap/>
            <w:vAlign w:val="center"/>
            <w:hideMark/>
          </w:tcPr>
          <w:p w14:paraId="10182B90" w14:textId="77777777" w:rsidR="00DB5864" w:rsidRPr="00BE65E2" w:rsidRDefault="00DB5864" w:rsidP="000419EA">
            <w:pPr>
              <w:jc w:val="center"/>
              <w:rPr>
                <w:color w:val="000000"/>
                <w:sz w:val="20"/>
                <w:szCs w:val="20"/>
              </w:rPr>
            </w:pPr>
            <w:r w:rsidRPr="00BE65E2">
              <w:rPr>
                <w:color w:val="000000"/>
                <w:sz w:val="20"/>
                <w:szCs w:val="20"/>
              </w:rPr>
              <w:t>0,9</w:t>
            </w:r>
          </w:p>
        </w:tc>
        <w:tc>
          <w:tcPr>
            <w:tcW w:w="1624" w:type="dxa"/>
            <w:tcBorders>
              <w:top w:val="nil"/>
              <w:left w:val="nil"/>
              <w:bottom w:val="single" w:sz="4" w:space="0" w:color="auto"/>
              <w:right w:val="single" w:sz="4" w:space="0" w:color="auto"/>
            </w:tcBorders>
            <w:shd w:val="clear" w:color="auto" w:fill="auto"/>
            <w:noWrap/>
            <w:vAlign w:val="center"/>
            <w:hideMark/>
          </w:tcPr>
          <w:p w14:paraId="0A4BDFC0" w14:textId="77777777" w:rsidR="00DB5864" w:rsidRPr="00BE65E2" w:rsidRDefault="00DB5864" w:rsidP="000419EA">
            <w:pPr>
              <w:jc w:val="center"/>
              <w:rPr>
                <w:color w:val="000000"/>
                <w:sz w:val="20"/>
                <w:szCs w:val="20"/>
              </w:rPr>
            </w:pPr>
            <w:r w:rsidRPr="00BE65E2">
              <w:rPr>
                <w:color w:val="000000"/>
                <w:sz w:val="20"/>
                <w:szCs w:val="20"/>
              </w:rPr>
              <w:t>0,88</w:t>
            </w:r>
          </w:p>
        </w:tc>
        <w:tc>
          <w:tcPr>
            <w:tcW w:w="1625" w:type="dxa"/>
            <w:tcBorders>
              <w:top w:val="nil"/>
              <w:left w:val="nil"/>
              <w:bottom w:val="single" w:sz="4" w:space="0" w:color="auto"/>
              <w:right w:val="single" w:sz="4" w:space="0" w:color="auto"/>
            </w:tcBorders>
            <w:shd w:val="clear" w:color="auto" w:fill="auto"/>
            <w:noWrap/>
            <w:vAlign w:val="center"/>
            <w:hideMark/>
          </w:tcPr>
          <w:p w14:paraId="1BD37137" w14:textId="77777777" w:rsidR="00DB5864" w:rsidRPr="00BE65E2" w:rsidRDefault="00DB5864" w:rsidP="000419EA">
            <w:pPr>
              <w:jc w:val="center"/>
              <w:rPr>
                <w:color w:val="000000"/>
                <w:sz w:val="20"/>
                <w:szCs w:val="20"/>
              </w:rPr>
            </w:pPr>
            <w:r w:rsidRPr="00BE65E2">
              <w:rPr>
                <w:color w:val="000000"/>
                <w:sz w:val="20"/>
                <w:szCs w:val="20"/>
              </w:rPr>
              <w:t>0,78</w:t>
            </w:r>
          </w:p>
        </w:tc>
      </w:tr>
      <w:tr w:rsidR="00DB5864" w:rsidRPr="004A52CD" w14:paraId="4DA0F334"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506F1A7C" w14:textId="77777777" w:rsidR="00DB5864" w:rsidRPr="00BE65E2" w:rsidRDefault="00DB5864" w:rsidP="000419EA">
            <w:pPr>
              <w:jc w:val="both"/>
              <w:rPr>
                <w:color w:val="000000"/>
                <w:sz w:val="20"/>
                <w:szCs w:val="20"/>
              </w:rPr>
            </w:pPr>
            <w:r w:rsidRPr="00BE65E2">
              <w:rPr>
                <w:color w:val="000000"/>
                <w:sz w:val="20"/>
                <w:szCs w:val="20"/>
              </w:rPr>
              <w:t>Реализация мер в сфере информационно-коммуникационных технологий (Закупка товаров, работ, услуг в сфере ИКТ)</w:t>
            </w:r>
          </w:p>
        </w:tc>
        <w:tc>
          <w:tcPr>
            <w:tcW w:w="1624" w:type="dxa"/>
            <w:tcBorders>
              <w:top w:val="nil"/>
              <w:left w:val="nil"/>
              <w:bottom w:val="single" w:sz="4" w:space="0" w:color="auto"/>
              <w:right w:val="single" w:sz="4" w:space="0" w:color="auto"/>
            </w:tcBorders>
            <w:shd w:val="clear" w:color="auto" w:fill="auto"/>
            <w:noWrap/>
            <w:vAlign w:val="center"/>
            <w:hideMark/>
          </w:tcPr>
          <w:p w14:paraId="5157EAED" w14:textId="77777777" w:rsidR="00DB5864" w:rsidRPr="00BE65E2" w:rsidRDefault="00DB5864" w:rsidP="000419EA">
            <w:pPr>
              <w:jc w:val="center"/>
              <w:rPr>
                <w:color w:val="000000"/>
                <w:sz w:val="20"/>
                <w:szCs w:val="20"/>
              </w:rPr>
            </w:pPr>
            <w:r w:rsidRPr="00BE65E2">
              <w:rPr>
                <w:color w:val="000000"/>
                <w:sz w:val="20"/>
                <w:szCs w:val="20"/>
              </w:rPr>
              <w:t>1,4</w:t>
            </w:r>
          </w:p>
        </w:tc>
        <w:tc>
          <w:tcPr>
            <w:tcW w:w="1624" w:type="dxa"/>
            <w:tcBorders>
              <w:top w:val="nil"/>
              <w:left w:val="nil"/>
              <w:bottom w:val="single" w:sz="4" w:space="0" w:color="auto"/>
              <w:right w:val="single" w:sz="4" w:space="0" w:color="auto"/>
            </w:tcBorders>
            <w:shd w:val="clear" w:color="auto" w:fill="auto"/>
            <w:noWrap/>
            <w:vAlign w:val="center"/>
            <w:hideMark/>
          </w:tcPr>
          <w:p w14:paraId="34DC64CF" w14:textId="77777777" w:rsidR="00DB5864" w:rsidRPr="00BE65E2" w:rsidRDefault="00DB5864" w:rsidP="000419EA">
            <w:pPr>
              <w:jc w:val="center"/>
              <w:rPr>
                <w:color w:val="000000"/>
                <w:sz w:val="20"/>
                <w:szCs w:val="20"/>
              </w:rPr>
            </w:pPr>
            <w:r w:rsidRPr="00BE65E2">
              <w:rPr>
                <w:color w:val="000000"/>
                <w:sz w:val="20"/>
                <w:szCs w:val="20"/>
              </w:rPr>
              <w:t>1,36</w:t>
            </w:r>
          </w:p>
        </w:tc>
        <w:tc>
          <w:tcPr>
            <w:tcW w:w="1625" w:type="dxa"/>
            <w:tcBorders>
              <w:top w:val="nil"/>
              <w:left w:val="nil"/>
              <w:bottom w:val="single" w:sz="4" w:space="0" w:color="auto"/>
              <w:right w:val="single" w:sz="4" w:space="0" w:color="auto"/>
            </w:tcBorders>
            <w:shd w:val="clear" w:color="auto" w:fill="auto"/>
            <w:noWrap/>
            <w:vAlign w:val="center"/>
            <w:hideMark/>
          </w:tcPr>
          <w:p w14:paraId="06142375" w14:textId="77777777" w:rsidR="00DB5864" w:rsidRPr="00BE65E2" w:rsidRDefault="00DB5864" w:rsidP="000419EA">
            <w:pPr>
              <w:jc w:val="center"/>
              <w:rPr>
                <w:color w:val="000000"/>
                <w:sz w:val="20"/>
                <w:szCs w:val="20"/>
              </w:rPr>
            </w:pPr>
            <w:r w:rsidRPr="00BE65E2">
              <w:rPr>
                <w:color w:val="000000"/>
                <w:sz w:val="20"/>
                <w:szCs w:val="20"/>
              </w:rPr>
              <w:t>1,21</w:t>
            </w:r>
          </w:p>
        </w:tc>
      </w:tr>
      <w:tr w:rsidR="00DB5864" w:rsidRPr="004A52CD" w14:paraId="289A0419"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329EF878" w14:textId="77777777" w:rsidR="00DB5864" w:rsidRPr="00BE65E2" w:rsidRDefault="00DB5864" w:rsidP="000419EA">
            <w:pPr>
              <w:jc w:val="both"/>
              <w:rPr>
                <w:color w:val="000000"/>
                <w:sz w:val="20"/>
                <w:szCs w:val="20"/>
              </w:rPr>
            </w:pPr>
            <w:r w:rsidRPr="00BE65E2">
              <w:rPr>
                <w:color w:val="000000"/>
                <w:sz w:val="20"/>
                <w:szCs w:val="20"/>
              </w:rPr>
              <w:t xml:space="preserve">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ФБ, расположенных в районах Крайнего Севера и приравненных к ним местностях </w:t>
            </w:r>
          </w:p>
        </w:tc>
        <w:tc>
          <w:tcPr>
            <w:tcW w:w="1624" w:type="dxa"/>
            <w:tcBorders>
              <w:top w:val="nil"/>
              <w:left w:val="nil"/>
              <w:bottom w:val="single" w:sz="4" w:space="0" w:color="auto"/>
              <w:right w:val="single" w:sz="4" w:space="0" w:color="auto"/>
            </w:tcBorders>
            <w:shd w:val="clear" w:color="auto" w:fill="auto"/>
            <w:noWrap/>
            <w:vAlign w:val="center"/>
            <w:hideMark/>
          </w:tcPr>
          <w:p w14:paraId="17AEE09F" w14:textId="77777777" w:rsidR="00DB5864" w:rsidRPr="00BE65E2" w:rsidRDefault="00DB5864" w:rsidP="000419EA">
            <w:pPr>
              <w:jc w:val="center"/>
              <w:rPr>
                <w:color w:val="000000"/>
                <w:sz w:val="20"/>
                <w:szCs w:val="20"/>
              </w:rPr>
            </w:pPr>
            <w:r w:rsidRPr="00BE65E2">
              <w:rPr>
                <w:color w:val="000000"/>
                <w:sz w:val="20"/>
                <w:szCs w:val="20"/>
              </w:rPr>
              <w:t>6,0</w:t>
            </w:r>
          </w:p>
        </w:tc>
        <w:tc>
          <w:tcPr>
            <w:tcW w:w="1624" w:type="dxa"/>
            <w:tcBorders>
              <w:top w:val="nil"/>
              <w:left w:val="nil"/>
              <w:bottom w:val="single" w:sz="4" w:space="0" w:color="auto"/>
              <w:right w:val="single" w:sz="4" w:space="0" w:color="auto"/>
            </w:tcBorders>
            <w:shd w:val="clear" w:color="auto" w:fill="auto"/>
            <w:noWrap/>
            <w:vAlign w:val="center"/>
            <w:hideMark/>
          </w:tcPr>
          <w:p w14:paraId="2AEC031D" w14:textId="77777777" w:rsidR="00DB5864" w:rsidRPr="00BE65E2" w:rsidRDefault="00DB5864" w:rsidP="000419EA">
            <w:pPr>
              <w:jc w:val="center"/>
              <w:rPr>
                <w:color w:val="000000"/>
                <w:sz w:val="20"/>
                <w:szCs w:val="20"/>
              </w:rPr>
            </w:pPr>
            <w:r w:rsidRPr="00BE65E2">
              <w:rPr>
                <w:color w:val="000000"/>
                <w:sz w:val="20"/>
                <w:szCs w:val="20"/>
              </w:rPr>
              <w:t>5,39</w:t>
            </w:r>
          </w:p>
        </w:tc>
        <w:tc>
          <w:tcPr>
            <w:tcW w:w="1625" w:type="dxa"/>
            <w:tcBorders>
              <w:top w:val="nil"/>
              <w:left w:val="nil"/>
              <w:bottom w:val="single" w:sz="4" w:space="0" w:color="auto"/>
              <w:right w:val="single" w:sz="4" w:space="0" w:color="auto"/>
            </w:tcBorders>
            <w:shd w:val="clear" w:color="auto" w:fill="auto"/>
            <w:noWrap/>
            <w:vAlign w:val="center"/>
            <w:hideMark/>
          </w:tcPr>
          <w:p w14:paraId="3B4030B9" w14:textId="77777777" w:rsidR="00DB5864" w:rsidRPr="00BE65E2" w:rsidRDefault="00DB5864" w:rsidP="000419EA">
            <w:pPr>
              <w:jc w:val="center"/>
              <w:rPr>
                <w:color w:val="000000"/>
                <w:sz w:val="20"/>
                <w:szCs w:val="20"/>
              </w:rPr>
            </w:pPr>
            <w:r w:rsidRPr="00BE65E2">
              <w:rPr>
                <w:color w:val="000000"/>
                <w:sz w:val="20"/>
                <w:szCs w:val="20"/>
              </w:rPr>
              <w:t>4,93</w:t>
            </w:r>
          </w:p>
        </w:tc>
      </w:tr>
      <w:tr w:rsidR="00DB5864" w:rsidRPr="004A52CD" w14:paraId="21F2FF8C"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379BF339" w14:textId="77777777" w:rsidR="00DB5864" w:rsidRPr="00BE65E2" w:rsidRDefault="00DB5864" w:rsidP="000419EA">
            <w:pPr>
              <w:jc w:val="both"/>
              <w:rPr>
                <w:color w:val="000000"/>
                <w:sz w:val="20"/>
                <w:szCs w:val="20"/>
              </w:rPr>
            </w:pPr>
            <w:r w:rsidRPr="00BE65E2">
              <w:rPr>
                <w:color w:val="000000"/>
                <w:sz w:val="20"/>
                <w:szCs w:val="20"/>
              </w:rPr>
              <w:t xml:space="preserve">Расходы на обеспечение деятельности (оказание услуг) гос. учреждений </w:t>
            </w:r>
          </w:p>
        </w:tc>
        <w:tc>
          <w:tcPr>
            <w:tcW w:w="1624" w:type="dxa"/>
            <w:tcBorders>
              <w:top w:val="nil"/>
              <w:left w:val="nil"/>
              <w:bottom w:val="single" w:sz="4" w:space="0" w:color="auto"/>
              <w:right w:val="single" w:sz="4" w:space="0" w:color="auto"/>
            </w:tcBorders>
            <w:shd w:val="clear" w:color="auto" w:fill="auto"/>
            <w:noWrap/>
            <w:vAlign w:val="center"/>
            <w:hideMark/>
          </w:tcPr>
          <w:p w14:paraId="74CE97C3" w14:textId="77777777" w:rsidR="00DB5864" w:rsidRPr="00BE65E2" w:rsidRDefault="00DB5864" w:rsidP="000419EA">
            <w:pPr>
              <w:jc w:val="center"/>
              <w:rPr>
                <w:color w:val="000000"/>
                <w:sz w:val="20"/>
                <w:szCs w:val="20"/>
              </w:rPr>
            </w:pPr>
            <w:r w:rsidRPr="00BE65E2">
              <w:rPr>
                <w:color w:val="000000"/>
                <w:sz w:val="20"/>
                <w:szCs w:val="20"/>
              </w:rPr>
              <w:t>0,3</w:t>
            </w:r>
          </w:p>
        </w:tc>
        <w:tc>
          <w:tcPr>
            <w:tcW w:w="1624" w:type="dxa"/>
            <w:tcBorders>
              <w:top w:val="nil"/>
              <w:left w:val="nil"/>
              <w:bottom w:val="single" w:sz="4" w:space="0" w:color="auto"/>
              <w:right w:val="single" w:sz="4" w:space="0" w:color="auto"/>
            </w:tcBorders>
            <w:shd w:val="clear" w:color="auto" w:fill="auto"/>
            <w:noWrap/>
            <w:vAlign w:val="center"/>
            <w:hideMark/>
          </w:tcPr>
          <w:p w14:paraId="34A10DAD" w14:textId="77777777" w:rsidR="00DB5864" w:rsidRPr="00BE65E2" w:rsidRDefault="00DB5864" w:rsidP="000419EA">
            <w:pPr>
              <w:jc w:val="center"/>
              <w:rPr>
                <w:color w:val="000000"/>
                <w:sz w:val="20"/>
                <w:szCs w:val="20"/>
              </w:rPr>
            </w:pPr>
            <w:r w:rsidRPr="00BE65E2">
              <w:rPr>
                <w:color w:val="000000"/>
                <w:sz w:val="20"/>
                <w:szCs w:val="20"/>
              </w:rPr>
              <w:t>0,34</w:t>
            </w:r>
          </w:p>
        </w:tc>
        <w:tc>
          <w:tcPr>
            <w:tcW w:w="1625" w:type="dxa"/>
            <w:tcBorders>
              <w:top w:val="nil"/>
              <w:left w:val="nil"/>
              <w:bottom w:val="single" w:sz="4" w:space="0" w:color="auto"/>
              <w:right w:val="single" w:sz="4" w:space="0" w:color="auto"/>
            </w:tcBorders>
            <w:shd w:val="clear" w:color="auto" w:fill="auto"/>
            <w:noWrap/>
            <w:vAlign w:val="center"/>
            <w:hideMark/>
          </w:tcPr>
          <w:p w14:paraId="219666D0" w14:textId="77777777" w:rsidR="00DB5864" w:rsidRPr="00BE65E2" w:rsidRDefault="00DB5864" w:rsidP="000419EA">
            <w:pPr>
              <w:jc w:val="center"/>
              <w:rPr>
                <w:color w:val="000000"/>
                <w:sz w:val="20"/>
                <w:szCs w:val="20"/>
              </w:rPr>
            </w:pPr>
            <w:r w:rsidRPr="00BE65E2">
              <w:rPr>
                <w:color w:val="000000"/>
                <w:sz w:val="20"/>
                <w:szCs w:val="20"/>
              </w:rPr>
              <w:t>0,33</w:t>
            </w:r>
          </w:p>
        </w:tc>
      </w:tr>
      <w:tr w:rsidR="00DB5864" w:rsidRPr="004A52CD" w14:paraId="363DC574"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02426A5E" w14:textId="77777777" w:rsidR="00DB5864" w:rsidRPr="00BE65E2" w:rsidRDefault="00DB5864" w:rsidP="000419EA">
            <w:pPr>
              <w:jc w:val="both"/>
              <w:rPr>
                <w:color w:val="000000"/>
                <w:sz w:val="20"/>
                <w:szCs w:val="20"/>
              </w:rPr>
            </w:pPr>
            <w:r w:rsidRPr="00BE65E2">
              <w:rPr>
                <w:color w:val="000000"/>
                <w:sz w:val="20"/>
                <w:szCs w:val="20"/>
              </w:rPr>
              <w:t xml:space="preserve">Расходы на обеспечение деятельности (оказание услуг) гос. учреждений </w:t>
            </w:r>
          </w:p>
        </w:tc>
        <w:tc>
          <w:tcPr>
            <w:tcW w:w="1624" w:type="dxa"/>
            <w:tcBorders>
              <w:top w:val="nil"/>
              <w:left w:val="nil"/>
              <w:bottom w:val="single" w:sz="4" w:space="0" w:color="auto"/>
              <w:right w:val="single" w:sz="4" w:space="0" w:color="auto"/>
            </w:tcBorders>
            <w:shd w:val="clear" w:color="auto" w:fill="auto"/>
            <w:noWrap/>
            <w:vAlign w:val="center"/>
            <w:hideMark/>
          </w:tcPr>
          <w:p w14:paraId="48F736B8" w14:textId="77777777" w:rsidR="00DB5864" w:rsidRPr="00BE65E2" w:rsidRDefault="00DB5864" w:rsidP="000419EA">
            <w:pPr>
              <w:jc w:val="center"/>
              <w:rPr>
                <w:color w:val="000000"/>
                <w:sz w:val="20"/>
                <w:szCs w:val="20"/>
              </w:rPr>
            </w:pPr>
            <w:r w:rsidRPr="00BE65E2">
              <w:rPr>
                <w:color w:val="000000"/>
                <w:sz w:val="20"/>
                <w:szCs w:val="20"/>
              </w:rPr>
              <w:t>0,2</w:t>
            </w:r>
          </w:p>
        </w:tc>
        <w:tc>
          <w:tcPr>
            <w:tcW w:w="1624" w:type="dxa"/>
            <w:tcBorders>
              <w:top w:val="nil"/>
              <w:left w:val="nil"/>
              <w:bottom w:val="single" w:sz="4" w:space="0" w:color="auto"/>
              <w:right w:val="single" w:sz="4" w:space="0" w:color="auto"/>
            </w:tcBorders>
            <w:shd w:val="clear" w:color="auto" w:fill="auto"/>
            <w:noWrap/>
            <w:vAlign w:val="center"/>
            <w:hideMark/>
          </w:tcPr>
          <w:p w14:paraId="4EFB0EE1" w14:textId="77777777" w:rsidR="00DB5864" w:rsidRPr="00BE65E2" w:rsidRDefault="00DB5864" w:rsidP="000419EA">
            <w:pPr>
              <w:jc w:val="center"/>
              <w:rPr>
                <w:color w:val="000000"/>
                <w:sz w:val="20"/>
                <w:szCs w:val="20"/>
              </w:rPr>
            </w:pPr>
            <w:r w:rsidRPr="00BE65E2">
              <w:rPr>
                <w:color w:val="000000"/>
                <w:sz w:val="20"/>
                <w:szCs w:val="20"/>
              </w:rPr>
              <w:t>0,12</w:t>
            </w:r>
          </w:p>
        </w:tc>
        <w:tc>
          <w:tcPr>
            <w:tcW w:w="1625" w:type="dxa"/>
            <w:tcBorders>
              <w:top w:val="nil"/>
              <w:left w:val="nil"/>
              <w:bottom w:val="single" w:sz="4" w:space="0" w:color="auto"/>
              <w:right w:val="single" w:sz="4" w:space="0" w:color="auto"/>
            </w:tcBorders>
            <w:shd w:val="clear" w:color="auto" w:fill="auto"/>
            <w:noWrap/>
            <w:vAlign w:val="center"/>
            <w:hideMark/>
          </w:tcPr>
          <w:p w14:paraId="1076BD03" w14:textId="77777777" w:rsidR="00DB5864" w:rsidRPr="00BE65E2" w:rsidRDefault="00DB5864" w:rsidP="000419EA">
            <w:pPr>
              <w:jc w:val="center"/>
              <w:rPr>
                <w:color w:val="000000"/>
                <w:sz w:val="20"/>
                <w:szCs w:val="20"/>
              </w:rPr>
            </w:pPr>
            <w:r w:rsidRPr="00BE65E2">
              <w:rPr>
                <w:color w:val="000000"/>
                <w:sz w:val="20"/>
                <w:szCs w:val="20"/>
              </w:rPr>
              <w:t>0,11</w:t>
            </w:r>
          </w:p>
        </w:tc>
      </w:tr>
      <w:tr w:rsidR="00DB5864" w:rsidRPr="004A52CD" w14:paraId="0D3125A8"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7ACCB0CE" w14:textId="77777777" w:rsidR="00DB5864" w:rsidRPr="00BE65E2" w:rsidRDefault="00DB5864" w:rsidP="000419EA">
            <w:pPr>
              <w:jc w:val="both"/>
              <w:rPr>
                <w:color w:val="000000"/>
                <w:sz w:val="20"/>
                <w:szCs w:val="20"/>
              </w:rPr>
            </w:pPr>
            <w:r w:rsidRPr="00BE65E2">
              <w:rPr>
                <w:color w:val="000000"/>
                <w:sz w:val="20"/>
                <w:szCs w:val="20"/>
              </w:rPr>
              <w:t>Обеспечение реализации международных обязательств РФ (Взносы в международные организации)</w:t>
            </w:r>
          </w:p>
        </w:tc>
        <w:tc>
          <w:tcPr>
            <w:tcW w:w="1624" w:type="dxa"/>
            <w:tcBorders>
              <w:top w:val="nil"/>
              <w:left w:val="nil"/>
              <w:bottom w:val="single" w:sz="4" w:space="0" w:color="auto"/>
              <w:right w:val="single" w:sz="4" w:space="0" w:color="auto"/>
            </w:tcBorders>
            <w:shd w:val="clear" w:color="auto" w:fill="auto"/>
            <w:noWrap/>
            <w:vAlign w:val="center"/>
            <w:hideMark/>
          </w:tcPr>
          <w:p w14:paraId="19A7BB7C" w14:textId="77777777" w:rsidR="00DB5864" w:rsidRPr="00BE65E2" w:rsidRDefault="00DB5864" w:rsidP="000419EA">
            <w:pPr>
              <w:jc w:val="center"/>
              <w:rPr>
                <w:color w:val="000000"/>
                <w:sz w:val="20"/>
                <w:szCs w:val="20"/>
              </w:rPr>
            </w:pPr>
            <w:r w:rsidRPr="00BE65E2">
              <w:rPr>
                <w:color w:val="000000"/>
                <w:sz w:val="20"/>
                <w:szCs w:val="20"/>
              </w:rPr>
              <w:t>0,0</w:t>
            </w:r>
          </w:p>
        </w:tc>
        <w:tc>
          <w:tcPr>
            <w:tcW w:w="1624" w:type="dxa"/>
            <w:tcBorders>
              <w:top w:val="nil"/>
              <w:left w:val="nil"/>
              <w:bottom w:val="single" w:sz="4" w:space="0" w:color="auto"/>
              <w:right w:val="single" w:sz="4" w:space="0" w:color="auto"/>
            </w:tcBorders>
            <w:shd w:val="clear" w:color="auto" w:fill="auto"/>
            <w:noWrap/>
            <w:vAlign w:val="center"/>
            <w:hideMark/>
          </w:tcPr>
          <w:p w14:paraId="52D04635" w14:textId="77777777" w:rsidR="00DB5864" w:rsidRPr="00BE65E2" w:rsidRDefault="00DB5864" w:rsidP="000419EA">
            <w:pPr>
              <w:jc w:val="center"/>
              <w:rPr>
                <w:color w:val="000000"/>
                <w:sz w:val="20"/>
                <w:szCs w:val="20"/>
              </w:rPr>
            </w:pPr>
            <w:r w:rsidRPr="00BE65E2">
              <w:rPr>
                <w:color w:val="000000"/>
                <w:sz w:val="20"/>
                <w:szCs w:val="20"/>
              </w:rPr>
              <w:t>0,01</w:t>
            </w:r>
          </w:p>
        </w:tc>
        <w:tc>
          <w:tcPr>
            <w:tcW w:w="1625" w:type="dxa"/>
            <w:tcBorders>
              <w:top w:val="nil"/>
              <w:left w:val="nil"/>
              <w:bottom w:val="single" w:sz="4" w:space="0" w:color="auto"/>
              <w:right w:val="single" w:sz="4" w:space="0" w:color="auto"/>
            </w:tcBorders>
            <w:shd w:val="clear" w:color="auto" w:fill="auto"/>
            <w:noWrap/>
            <w:vAlign w:val="center"/>
            <w:hideMark/>
          </w:tcPr>
          <w:p w14:paraId="1B224802" w14:textId="77777777" w:rsidR="00DB5864" w:rsidRPr="00BE65E2" w:rsidRDefault="00DB5864" w:rsidP="000419EA">
            <w:pPr>
              <w:jc w:val="center"/>
              <w:rPr>
                <w:color w:val="000000"/>
                <w:sz w:val="20"/>
                <w:szCs w:val="20"/>
              </w:rPr>
            </w:pPr>
            <w:r w:rsidRPr="00BE65E2">
              <w:rPr>
                <w:color w:val="000000"/>
                <w:sz w:val="20"/>
                <w:szCs w:val="20"/>
              </w:rPr>
              <w:t>0,01</w:t>
            </w:r>
          </w:p>
        </w:tc>
      </w:tr>
      <w:tr w:rsidR="00DB5864" w:rsidRPr="004A52CD" w14:paraId="17277A54"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317E68F6" w14:textId="77777777" w:rsidR="00DB5864" w:rsidRPr="00BE65E2" w:rsidRDefault="00DB5864" w:rsidP="000419EA">
            <w:pPr>
              <w:jc w:val="both"/>
              <w:rPr>
                <w:color w:val="000000"/>
                <w:sz w:val="20"/>
                <w:szCs w:val="20"/>
              </w:rPr>
            </w:pPr>
            <w:r w:rsidRPr="00BE65E2">
              <w:rPr>
                <w:color w:val="000000"/>
                <w:sz w:val="20"/>
                <w:szCs w:val="20"/>
              </w:rPr>
              <w:t xml:space="preserve">Проведение закупочных и товарных интервенций на рынках сельскохозяйственной продукции, а также залоговых операций </w:t>
            </w:r>
          </w:p>
        </w:tc>
        <w:tc>
          <w:tcPr>
            <w:tcW w:w="1624" w:type="dxa"/>
            <w:tcBorders>
              <w:top w:val="nil"/>
              <w:left w:val="nil"/>
              <w:bottom w:val="single" w:sz="4" w:space="0" w:color="auto"/>
              <w:right w:val="single" w:sz="4" w:space="0" w:color="auto"/>
            </w:tcBorders>
            <w:shd w:val="clear" w:color="auto" w:fill="auto"/>
            <w:noWrap/>
            <w:vAlign w:val="center"/>
            <w:hideMark/>
          </w:tcPr>
          <w:p w14:paraId="598D716B" w14:textId="77777777" w:rsidR="00DB5864" w:rsidRPr="00BE65E2" w:rsidRDefault="00DB5864" w:rsidP="000419EA">
            <w:pPr>
              <w:jc w:val="center"/>
              <w:rPr>
                <w:color w:val="000000"/>
                <w:sz w:val="20"/>
                <w:szCs w:val="20"/>
              </w:rPr>
            </w:pPr>
            <w:r w:rsidRPr="00BE65E2">
              <w:rPr>
                <w:color w:val="000000"/>
                <w:sz w:val="20"/>
                <w:szCs w:val="20"/>
              </w:rPr>
              <w:t>2,4</w:t>
            </w:r>
          </w:p>
        </w:tc>
        <w:tc>
          <w:tcPr>
            <w:tcW w:w="1624" w:type="dxa"/>
            <w:tcBorders>
              <w:top w:val="nil"/>
              <w:left w:val="nil"/>
              <w:bottom w:val="single" w:sz="4" w:space="0" w:color="auto"/>
              <w:right w:val="single" w:sz="4" w:space="0" w:color="auto"/>
            </w:tcBorders>
            <w:shd w:val="clear" w:color="auto" w:fill="auto"/>
            <w:noWrap/>
            <w:vAlign w:val="center"/>
            <w:hideMark/>
          </w:tcPr>
          <w:p w14:paraId="2244FDB9" w14:textId="77777777" w:rsidR="00DB5864" w:rsidRPr="00BE65E2" w:rsidRDefault="00DB5864" w:rsidP="000419EA">
            <w:pPr>
              <w:jc w:val="center"/>
              <w:rPr>
                <w:color w:val="000000"/>
                <w:sz w:val="20"/>
                <w:szCs w:val="20"/>
              </w:rPr>
            </w:pPr>
            <w:r w:rsidRPr="00BE65E2">
              <w:rPr>
                <w:color w:val="000000"/>
                <w:sz w:val="20"/>
                <w:szCs w:val="20"/>
              </w:rPr>
              <w:t>2,36</w:t>
            </w:r>
          </w:p>
        </w:tc>
        <w:tc>
          <w:tcPr>
            <w:tcW w:w="1625" w:type="dxa"/>
            <w:tcBorders>
              <w:top w:val="nil"/>
              <w:left w:val="nil"/>
              <w:bottom w:val="single" w:sz="4" w:space="0" w:color="auto"/>
              <w:right w:val="single" w:sz="4" w:space="0" w:color="auto"/>
            </w:tcBorders>
            <w:shd w:val="clear" w:color="auto" w:fill="auto"/>
            <w:noWrap/>
            <w:vAlign w:val="center"/>
            <w:hideMark/>
          </w:tcPr>
          <w:p w14:paraId="4BC6729B" w14:textId="77777777" w:rsidR="00DB5864" w:rsidRPr="00BE65E2" w:rsidRDefault="00DB5864" w:rsidP="000419EA">
            <w:pPr>
              <w:jc w:val="center"/>
              <w:rPr>
                <w:color w:val="000000"/>
                <w:sz w:val="20"/>
                <w:szCs w:val="20"/>
              </w:rPr>
            </w:pPr>
            <w:r w:rsidRPr="00BE65E2">
              <w:rPr>
                <w:color w:val="000000"/>
                <w:sz w:val="20"/>
                <w:szCs w:val="20"/>
              </w:rPr>
              <w:t>2,10</w:t>
            </w:r>
          </w:p>
        </w:tc>
      </w:tr>
      <w:tr w:rsidR="00DB5864" w:rsidRPr="004A52CD" w14:paraId="450451F5"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608CB012" w14:textId="77777777" w:rsidR="00DB5864" w:rsidRPr="00BE65E2" w:rsidRDefault="00DB5864" w:rsidP="000419EA">
            <w:pPr>
              <w:jc w:val="both"/>
              <w:rPr>
                <w:color w:val="000000"/>
                <w:sz w:val="20"/>
                <w:szCs w:val="20"/>
              </w:rPr>
            </w:pPr>
            <w:r w:rsidRPr="00BE65E2">
              <w:rPr>
                <w:color w:val="000000"/>
                <w:sz w:val="20"/>
                <w:szCs w:val="20"/>
              </w:rPr>
              <w:t>Ведомственная целевая программа "Организация ветеринарного и фитосанитарного надзора"</w:t>
            </w:r>
          </w:p>
        </w:tc>
        <w:tc>
          <w:tcPr>
            <w:tcW w:w="1624" w:type="dxa"/>
            <w:tcBorders>
              <w:top w:val="nil"/>
              <w:left w:val="nil"/>
              <w:bottom w:val="single" w:sz="4" w:space="0" w:color="auto"/>
              <w:right w:val="single" w:sz="4" w:space="0" w:color="auto"/>
            </w:tcBorders>
            <w:shd w:val="clear" w:color="auto" w:fill="auto"/>
            <w:noWrap/>
            <w:vAlign w:val="center"/>
            <w:hideMark/>
          </w:tcPr>
          <w:p w14:paraId="104B8E4A" w14:textId="77777777" w:rsidR="00DB5864" w:rsidRPr="00BE65E2" w:rsidRDefault="00DB5864" w:rsidP="000419EA">
            <w:pPr>
              <w:jc w:val="center"/>
              <w:rPr>
                <w:color w:val="000000"/>
                <w:sz w:val="20"/>
                <w:szCs w:val="20"/>
              </w:rPr>
            </w:pPr>
            <w:r w:rsidRPr="00BE65E2">
              <w:rPr>
                <w:color w:val="000000"/>
                <w:sz w:val="20"/>
                <w:szCs w:val="20"/>
              </w:rPr>
              <w:t>4,2</w:t>
            </w:r>
          </w:p>
        </w:tc>
        <w:tc>
          <w:tcPr>
            <w:tcW w:w="1624" w:type="dxa"/>
            <w:tcBorders>
              <w:top w:val="nil"/>
              <w:left w:val="nil"/>
              <w:bottom w:val="single" w:sz="4" w:space="0" w:color="auto"/>
              <w:right w:val="single" w:sz="4" w:space="0" w:color="auto"/>
            </w:tcBorders>
            <w:shd w:val="clear" w:color="auto" w:fill="auto"/>
            <w:noWrap/>
            <w:vAlign w:val="center"/>
            <w:hideMark/>
          </w:tcPr>
          <w:p w14:paraId="3D9E6800" w14:textId="77777777" w:rsidR="00DB5864" w:rsidRPr="00BE65E2" w:rsidRDefault="00DB5864" w:rsidP="000419EA">
            <w:pPr>
              <w:jc w:val="center"/>
              <w:rPr>
                <w:color w:val="000000"/>
                <w:sz w:val="20"/>
                <w:szCs w:val="20"/>
              </w:rPr>
            </w:pPr>
            <w:r w:rsidRPr="00BE65E2">
              <w:rPr>
                <w:color w:val="000000"/>
                <w:sz w:val="20"/>
                <w:szCs w:val="20"/>
              </w:rPr>
              <w:t>4,29</w:t>
            </w:r>
          </w:p>
        </w:tc>
        <w:tc>
          <w:tcPr>
            <w:tcW w:w="1625" w:type="dxa"/>
            <w:tcBorders>
              <w:top w:val="nil"/>
              <w:left w:val="nil"/>
              <w:bottom w:val="single" w:sz="4" w:space="0" w:color="auto"/>
              <w:right w:val="single" w:sz="4" w:space="0" w:color="auto"/>
            </w:tcBorders>
            <w:shd w:val="clear" w:color="auto" w:fill="auto"/>
            <w:noWrap/>
            <w:vAlign w:val="center"/>
            <w:hideMark/>
          </w:tcPr>
          <w:p w14:paraId="0108ADE8" w14:textId="77777777" w:rsidR="00DB5864" w:rsidRPr="00BE65E2" w:rsidRDefault="00DB5864" w:rsidP="000419EA">
            <w:pPr>
              <w:jc w:val="center"/>
              <w:rPr>
                <w:color w:val="000000"/>
                <w:sz w:val="20"/>
                <w:szCs w:val="20"/>
              </w:rPr>
            </w:pPr>
            <w:r w:rsidRPr="00BE65E2">
              <w:rPr>
                <w:color w:val="000000"/>
                <w:sz w:val="20"/>
                <w:szCs w:val="20"/>
              </w:rPr>
              <w:t>3,63</w:t>
            </w:r>
          </w:p>
        </w:tc>
      </w:tr>
      <w:tr w:rsidR="00DB5864" w:rsidRPr="004A52CD" w14:paraId="12854E23"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51C8F214" w14:textId="77777777" w:rsidR="00DB5864" w:rsidRPr="00BE65E2" w:rsidRDefault="00DB5864" w:rsidP="000419EA">
            <w:pPr>
              <w:jc w:val="both"/>
              <w:rPr>
                <w:color w:val="000000"/>
                <w:sz w:val="20"/>
                <w:szCs w:val="20"/>
              </w:rPr>
            </w:pPr>
            <w:r w:rsidRPr="00BE65E2">
              <w:rPr>
                <w:color w:val="000000"/>
                <w:sz w:val="20"/>
                <w:szCs w:val="20"/>
              </w:rPr>
              <w:t>Ведомственная целевая программа "Научно-техническое обеспечение развития отраслей агропромышленного комплекса"</w:t>
            </w:r>
          </w:p>
        </w:tc>
        <w:tc>
          <w:tcPr>
            <w:tcW w:w="1624" w:type="dxa"/>
            <w:tcBorders>
              <w:top w:val="nil"/>
              <w:left w:val="nil"/>
              <w:bottom w:val="single" w:sz="4" w:space="0" w:color="auto"/>
              <w:right w:val="single" w:sz="4" w:space="0" w:color="auto"/>
            </w:tcBorders>
            <w:shd w:val="clear" w:color="auto" w:fill="auto"/>
            <w:noWrap/>
            <w:vAlign w:val="center"/>
            <w:hideMark/>
          </w:tcPr>
          <w:p w14:paraId="24FBD8E9" w14:textId="77777777" w:rsidR="00DB5864" w:rsidRPr="00BE65E2" w:rsidRDefault="00DB5864" w:rsidP="000419EA">
            <w:pPr>
              <w:jc w:val="center"/>
              <w:rPr>
                <w:color w:val="000000"/>
                <w:sz w:val="20"/>
                <w:szCs w:val="20"/>
              </w:rPr>
            </w:pPr>
            <w:r w:rsidRPr="00BE65E2">
              <w:rPr>
                <w:color w:val="000000"/>
                <w:sz w:val="20"/>
                <w:szCs w:val="20"/>
              </w:rPr>
              <w:t>0,5</w:t>
            </w:r>
          </w:p>
        </w:tc>
        <w:tc>
          <w:tcPr>
            <w:tcW w:w="1624" w:type="dxa"/>
            <w:tcBorders>
              <w:top w:val="nil"/>
              <w:left w:val="nil"/>
              <w:bottom w:val="single" w:sz="4" w:space="0" w:color="auto"/>
              <w:right w:val="single" w:sz="4" w:space="0" w:color="auto"/>
            </w:tcBorders>
            <w:shd w:val="clear" w:color="auto" w:fill="auto"/>
            <w:noWrap/>
            <w:vAlign w:val="center"/>
            <w:hideMark/>
          </w:tcPr>
          <w:p w14:paraId="6CBD2ED8" w14:textId="77777777" w:rsidR="00DB5864" w:rsidRPr="00BE65E2" w:rsidRDefault="00DB5864" w:rsidP="000419EA">
            <w:pPr>
              <w:jc w:val="center"/>
              <w:rPr>
                <w:color w:val="000000"/>
                <w:sz w:val="20"/>
                <w:szCs w:val="20"/>
              </w:rPr>
            </w:pPr>
            <w:r w:rsidRPr="00BE65E2">
              <w:rPr>
                <w:color w:val="000000"/>
                <w:sz w:val="20"/>
                <w:szCs w:val="20"/>
              </w:rPr>
              <w:t>0,17</w:t>
            </w:r>
          </w:p>
        </w:tc>
        <w:tc>
          <w:tcPr>
            <w:tcW w:w="1625" w:type="dxa"/>
            <w:tcBorders>
              <w:top w:val="nil"/>
              <w:left w:val="nil"/>
              <w:bottom w:val="single" w:sz="4" w:space="0" w:color="auto"/>
              <w:right w:val="single" w:sz="4" w:space="0" w:color="auto"/>
            </w:tcBorders>
            <w:shd w:val="clear" w:color="auto" w:fill="auto"/>
            <w:noWrap/>
            <w:vAlign w:val="center"/>
            <w:hideMark/>
          </w:tcPr>
          <w:p w14:paraId="30BB0A42" w14:textId="77777777" w:rsidR="00DB5864" w:rsidRPr="00BE65E2" w:rsidRDefault="00DB5864" w:rsidP="000419EA">
            <w:pPr>
              <w:jc w:val="center"/>
              <w:rPr>
                <w:color w:val="000000"/>
                <w:sz w:val="20"/>
                <w:szCs w:val="20"/>
              </w:rPr>
            </w:pPr>
            <w:r w:rsidRPr="00BE65E2">
              <w:rPr>
                <w:color w:val="000000"/>
                <w:sz w:val="20"/>
                <w:szCs w:val="20"/>
              </w:rPr>
              <w:t>0,15</w:t>
            </w:r>
          </w:p>
        </w:tc>
      </w:tr>
      <w:tr w:rsidR="00DB5864" w:rsidRPr="004A52CD" w14:paraId="67FB7792"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1F13451F" w14:textId="77777777" w:rsidR="00DB5864" w:rsidRPr="00BE65E2" w:rsidRDefault="00DB5864" w:rsidP="000419EA">
            <w:pPr>
              <w:jc w:val="both"/>
              <w:rPr>
                <w:color w:val="000000"/>
                <w:sz w:val="20"/>
                <w:szCs w:val="20"/>
              </w:rPr>
            </w:pPr>
            <w:r w:rsidRPr="00BE65E2">
              <w:rPr>
                <w:color w:val="000000"/>
                <w:sz w:val="20"/>
                <w:szCs w:val="20"/>
              </w:rPr>
              <w:t>Ведомственная программа "Развитие мелиоративного комплекса России"</w:t>
            </w:r>
          </w:p>
        </w:tc>
        <w:tc>
          <w:tcPr>
            <w:tcW w:w="1624" w:type="dxa"/>
            <w:tcBorders>
              <w:top w:val="nil"/>
              <w:left w:val="nil"/>
              <w:bottom w:val="single" w:sz="4" w:space="0" w:color="auto"/>
              <w:right w:val="single" w:sz="4" w:space="0" w:color="auto"/>
            </w:tcBorders>
            <w:shd w:val="clear" w:color="auto" w:fill="auto"/>
            <w:noWrap/>
            <w:vAlign w:val="center"/>
            <w:hideMark/>
          </w:tcPr>
          <w:p w14:paraId="414F76C6" w14:textId="77777777" w:rsidR="00DB5864" w:rsidRPr="00BE65E2" w:rsidRDefault="00DB5864" w:rsidP="000419EA">
            <w:pPr>
              <w:jc w:val="center"/>
              <w:rPr>
                <w:color w:val="000000"/>
                <w:sz w:val="20"/>
                <w:szCs w:val="20"/>
              </w:rPr>
            </w:pPr>
            <w:r w:rsidRPr="00BE65E2">
              <w:rPr>
                <w:color w:val="000000"/>
                <w:sz w:val="20"/>
                <w:szCs w:val="20"/>
              </w:rPr>
              <w:t>5,1</w:t>
            </w:r>
          </w:p>
        </w:tc>
        <w:tc>
          <w:tcPr>
            <w:tcW w:w="1624" w:type="dxa"/>
            <w:tcBorders>
              <w:top w:val="nil"/>
              <w:left w:val="nil"/>
              <w:bottom w:val="single" w:sz="4" w:space="0" w:color="auto"/>
              <w:right w:val="single" w:sz="4" w:space="0" w:color="auto"/>
            </w:tcBorders>
            <w:shd w:val="clear" w:color="auto" w:fill="auto"/>
            <w:noWrap/>
            <w:vAlign w:val="center"/>
            <w:hideMark/>
          </w:tcPr>
          <w:p w14:paraId="208C72D5" w14:textId="77777777" w:rsidR="00DB5864" w:rsidRPr="00BE65E2" w:rsidRDefault="00DB5864" w:rsidP="000419EA">
            <w:pPr>
              <w:jc w:val="center"/>
              <w:rPr>
                <w:color w:val="000000"/>
                <w:sz w:val="20"/>
                <w:szCs w:val="20"/>
              </w:rPr>
            </w:pPr>
            <w:r w:rsidRPr="00BE65E2">
              <w:rPr>
                <w:color w:val="000000"/>
                <w:sz w:val="20"/>
                <w:szCs w:val="20"/>
              </w:rPr>
              <w:t>2,46</w:t>
            </w:r>
          </w:p>
        </w:tc>
        <w:tc>
          <w:tcPr>
            <w:tcW w:w="1625" w:type="dxa"/>
            <w:tcBorders>
              <w:top w:val="nil"/>
              <w:left w:val="nil"/>
              <w:bottom w:val="single" w:sz="4" w:space="0" w:color="auto"/>
              <w:right w:val="single" w:sz="4" w:space="0" w:color="auto"/>
            </w:tcBorders>
            <w:shd w:val="clear" w:color="auto" w:fill="auto"/>
            <w:noWrap/>
            <w:vAlign w:val="center"/>
            <w:hideMark/>
          </w:tcPr>
          <w:p w14:paraId="471E143E" w14:textId="77777777" w:rsidR="00DB5864" w:rsidRPr="00BE65E2" w:rsidRDefault="00DB5864" w:rsidP="000419EA">
            <w:pPr>
              <w:jc w:val="center"/>
              <w:rPr>
                <w:color w:val="000000"/>
                <w:sz w:val="20"/>
                <w:szCs w:val="20"/>
              </w:rPr>
            </w:pPr>
            <w:r w:rsidRPr="00BE65E2">
              <w:rPr>
                <w:color w:val="000000"/>
                <w:sz w:val="20"/>
                <w:szCs w:val="20"/>
              </w:rPr>
              <w:t>3,53</w:t>
            </w:r>
          </w:p>
        </w:tc>
      </w:tr>
      <w:tr w:rsidR="00DB5864" w:rsidRPr="004A52CD" w14:paraId="370CED1C"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35270F34" w14:textId="77777777" w:rsidR="00DB5864" w:rsidRPr="00BE65E2" w:rsidRDefault="00DB5864" w:rsidP="000419EA">
            <w:pPr>
              <w:jc w:val="both"/>
              <w:rPr>
                <w:color w:val="000000"/>
                <w:sz w:val="20"/>
                <w:szCs w:val="20"/>
              </w:rPr>
            </w:pPr>
            <w:r w:rsidRPr="00BE65E2">
              <w:rPr>
                <w:color w:val="000000"/>
                <w:sz w:val="20"/>
                <w:szCs w:val="20"/>
              </w:rPr>
              <w:t>Реализация мер в области мелиорации земель с/х назначения (Субсидии, за исключением субсидий на софинансирование кап вложений в объекты гос. (муниципальной) собственности)</w:t>
            </w:r>
          </w:p>
        </w:tc>
        <w:tc>
          <w:tcPr>
            <w:tcW w:w="1624" w:type="dxa"/>
            <w:tcBorders>
              <w:top w:val="nil"/>
              <w:left w:val="nil"/>
              <w:bottom w:val="single" w:sz="4" w:space="0" w:color="auto"/>
              <w:right w:val="single" w:sz="4" w:space="0" w:color="auto"/>
            </w:tcBorders>
            <w:shd w:val="clear" w:color="auto" w:fill="auto"/>
            <w:noWrap/>
            <w:vAlign w:val="center"/>
            <w:hideMark/>
          </w:tcPr>
          <w:p w14:paraId="367F1EB3" w14:textId="77777777" w:rsidR="00DB5864" w:rsidRPr="00BE65E2" w:rsidRDefault="00DB5864" w:rsidP="000419EA">
            <w:pPr>
              <w:jc w:val="center"/>
              <w:rPr>
                <w:color w:val="000000"/>
                <w:sz w:val="20"/>
                <w:szCs w:val="20"/>
              </w:rPr>
            </w:pPr>
            <w:r w:rsidRPr="00BE65E2">
              <w:rPr>
                <w:color w:val="000000"/>
                <w:sz w:val="20"/>
                <w:szCs w:val="20"/>
              </w:rPr>
              <w:t>2,1</w:t>
            </w:r>
          </w:p>
        </w:tc>
        <w:tc>
          <w:tcPr>
            <w:tcW w:w="1624" w:type="dxa"/>
            <w:tcBorders>
              <w:top w:val="nil"/>
              <w:left w:val="nil"/>
              <w:bottom w:val="single" w:sz="4" w:space="0" w:color="auto"/>
              <w:right w:val="single" w:sz="4" w:space="0" w:color="auto"/>
            </w:tcBorders>
            <w:shd w:val="clear" w:color="auto" w:fill="auto"/>
            <w:noWrap/>
            <w:vAlign w:val="center"/>
            <w:hideMark/>
          </w:tcPr>
          <w:p w14:paraId="45C98694" w14:textId="77777777" w:rsidR="00DB5864" w:rsidRPr="00BE65E2" w:rsidRDefault="00DB5864" w:rsidP="000419EA">
            <w:pPr>
              <w:jc w:val="center"/>
              <w:rPr>
                <w:color w:val="000000"/>
                <w:sz w:val="20"/>
                <w:szCs w:val="20"/>
              </w:rPr>
            </w:pPr>
            <w:r w:rsidRPr="00BE65E2">
              <w:rPr>
                <w:color w:val="000000"/>
                <w:sz w:val="20"/>
                <w:szCs w:val="20"/>
              </w:rPr>
              <w:t>1,19</w:t>
            </w:r>
          </w:p>
        </w:tc>
        <w:tc>
          <w:tcPr>
            <w:tcW w:w="1625" w:type="dxa"/>
            <w:tcBorders>
              <w:top w:val="nil"/>
              <w:left w:val="nil"/>
              <w:bottom w:val="single" w:sz="4" w:space="0" w:color="auto"/>
              <w:right w:val="single" w:sz="4" w:space="0" w:color="auto"/>
            </w:tcBorders>
            <w:shd w:val="clear" w:color="auto" w:fill="auto"/>
            <w:noWrap/>
            <w:vAlign w:val="center"/>
            <w:hideMark/>
          </w:tcPr>
          <w:p w14:paraId="5F3CB587" w14:textId="77777777" w:rsidR="00DB5864" w:rsidRPr="00BE65E2" w:rsidRDefault="00DB5864" w:rsidP="000419EA">
            <w:pPr>
              <w:jc w:val="center"/>
              <w:rPr>
                <w:color w:val="000000"/>
                <w:sz w:val="20"/>
                <w:szCs w:val="20"/>
              </w:rPr>
            </w:pPr>
            <w:r w:rsidRPr="00BE65E2">
              <w:rPr>
                <w:color w:val="000000"/>
                <w:sz w:val="20"/>
                <w:szCs w:val="20"/>
              </w:rPr>
              <w:t>1,06</w:t>
            </w:r>
          </w:p>
        </w:tc>
      </w:tr>
      <w:tr w:rsidR="00DB5864" w:rsidRPr="004A52CD" w14:paraId="2EC0F43B"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05F128B0" w14:textId="77777777" w:rsidR="00DB5864" w:rsidRPr="00BE65E2" w:rsidRDefault="00DB5864" w:rsidP="000419EA">
            <w:pPr>
              <w:jc w:val="both"/>
              <w:rPr>
                <w:color w:val="000000"/>
                <w:sz w:val="20"/>
                <w:szCs w:val="20"/>
              </w:rPr>
            </w:pPr>
            <w:r w:rsidRPr="00BE65E2">
              <w:rPr>
                <w:color w:val="000000"/>
                <w:sz w:val="20"/>
                <w:szCs w:val="20"/>
              </w:rPr>
              <w:t>Расходы на обеспечение функций госорганов, в том числе территориальных органов (Научно-исследовательские и опытно-конструкторские работы)</w:t>
            </w:r>
          </w:p>
        </w:tc>
        <w:tc>
          <w:tcPr>
            <w:tcW w:w="1624" w:type="dxa"/>
            <w:tcBorders>
              <w:top w:val="nil"/>
              <w:left w:val="nil"/>
              <w:bottom w:val="single" w:sz="4" w:space="0" w:color="auto"/>
              <w:right w:val="single" w:sz="4" w:space="0" w:color="auto"/>
            </w:tcBorders>
            <w:shd w:val="clear" w:color="auto" w:fill="auto"/>
            <w:noWrap/>
            <w:vAlign w:val="center"/>
            <w:hideMark/>
          </w:tcPr>
          <w:p w14:paraId="0FB28F6E" w14:textId="77777777" w:rsidR="00DB5864" w:rsidRPr="00BE65E2" w:rsidRDefault="00DB5864" w:rsidP="000419EA">
            <w:pPr>
              <w:jc w:val="center"/>
              <w:rPr>
                <w:color w:val="000000"/>
                <w:sz w:val="20"/>
                <w:szCs w:val="20"/>
              </w:rPr>
            </w:pPr>
            <w:r w:rsidRPr="00BE65E2">
              <w:rPr>
                <w:color w:val="000000"/>
                <w:sz w:val="20"/>
                <w:szCs w:val="20"/>
              </w:rPr>
              <w:t>0,01</w:t>
            </w:r>
          </w:p>
        </w:tc>
        <w:tc>
          <w:tcPr>
            <w:tcW w:w="1624" w:type="dxa"/>
            <w:tcBorders>
              <w:top w:val="nil"/>
              <w:left w:val="nil"/>
              <w:bottom w:val="single" w:sz="4" w:space="0" w:color="auto"/>
              <w:right w:val="single" w:sz="4" w:space="0" w:color="auto"/>
            </w:tcBorders>
            <w:shd w:val="clear" w:color="auto" w:fill="auto"/>
            <w:noWrap/>
            <w:vAlign w:val="center"/>
            <w:hideMark/>
          </w:tcPr>
          <w:p w14:paraId="503517DF" w14:textId="77777777" w:rsidR="00DB5864" w:rsidRPr="00BE65E2" w:rsidRDefault="00DB5864" w:rsidP="000419EA">
            <w:pPr>
              <w:jc w:val="center"/>
              <w:rPr>
                <w:color w:val="000000"/>
                <w:sz w:val="20"/>
                <w:szCs w:val="20"/>
              </w:rPr>
            </w:pPr>
            <w:r w:rsidRPr="00BE65E2">
              <w:rPr>
                <w:color w:val="000000"/>
                <w:sz w:val="20"/>
                <w:szCs w:val="20"/>
              </w:rPr>
              <w:t>0,01</w:t>
            </w:r>
          </w:p>
        </w:tc>
        <w:tc>
          <w:tcPr>
            <w:tcW w:w="1625" w:type="dxa"/>
            <w:tcBorders>
              <w:top w:val="nil"/>
              <w:left w:val="nil"/>
              <w:bottom w:val="single" w:sz="4" w:space="0" w:color="auto"/>
              <w:right w:val="single" w:sz="4" w:space="0" w:color="auto"/>
            </w:tcBorders>
            <w:shd w:val="clear" w:color="auto" w:fill="auto"/>
            <w:noWrap/>
            <w:vAlign w:val="center"/>
            <w:hideMark/>
          </w:tcPr>
          <w:p w14:paraId="1FE1A699" w14:textId="77777777" w:rsidR="00DB5864" w:rsidRPr="00BE65E2" w:rsidRDefault="00DB5864" w:rsidP="000419EA">
            <w:pPr>
              <w:jc w:val="center"/>
              <w:rPr>
                <w:color w:val="000000"/>
                <w:sz w:val="20"/>
                <w:szCs w:val="20"/>
              </w:rPr>
            </w:pPr>
            <w:r w:rsidRPr="00BE65E2">
              <w:rPr>
                <w:color w:val="000000"/>
                <w:sz w:val="20"/>
                <w:szCs w:val="20"/>
              </w:rPr>
              <w:t>0,01</w:t>
            </w:r>
          </w:p>
        </w:tc>
      </w:tr>
      <w:tr w:rsidR="00DB5864" w:rsidRPr="004A52CD" w14:paraId="244A5270"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3B663B33" w14:textId="77777777" w:rsidR="00DB5864" w:rsidRPr="00BE65E2" w:rsidRDefault="00DB5864" w:rsidP="000419EA">
            <w:pPr>
              <w:jc w:val="both"/>
              <w:rPr>
                <w:color w:val="000000"/>
                <w:sz w:val="20"/>
                <w:szCs w:val="20"/>
              </w:rPr>
            </w:pPr>
            <w:r w:rsidRPr="00BE65E2">
              <w:rPr>
                <w:color w:val="000000"/>
                <w:sz w:val="20"/>
                <w:szCs w:val="20"/>
              </w:rPr>
              <w:t xml:space="preserve">Создание объектов социального и производственного комплексов, в том числе объектов общегражданского назначения, жилья, инфраструктуры, и иных объектов </w:t>
            </w:r>
          </w:p>
        </w:tc>
        <w:tc>
          <w:tcPr>
            <w:tcW w:w="1624" w:type="dxa"/>
            <w:tcBorders>
              <w:top w:val="nil"/>
              <w:left w:val="nil"/>
              <w:bottom w:val="single" w:sz="4" w:space="0" w:color="auto"/>
              <w:right w:val="single" w:sz="4" w:space="0" w:color="auto"/>
            </w:tcBorders>
            <w:shd w:val="clear" w:color="auto" w:fill="auto"/>
            <w:noWrap/>
            <w:vAlign w:val="center"/>
            <w:hideMark/>
          </w:tcPr>
          <w:p w14:paraId="5BF9DD1B" w14:textId="77777777" w:rsidR="00DB5864" w:rsidRPr="00BE65E2" w:rsidRDefault="00DB5864" w:rsidP="000419EA">
            <w:pPr>
              <w:jc w:val="center"/>
              <w:rPr>
                <w:color w:val="000000"/>
                <w:sz w:val="20"/>
                <w:szCs w:val="20"/>
              </w:rPr>
            </w:pPr>
            <w:r w:rsidRPr="00BE65E2">
              <w:rPr>
                <w:color w:val="000000"/>
                <w:sz w:val="20"/>
                <w:szCs w:val="20"/>
              </w:rPr>
              <w:t>2,0</w:t>
            </w:r>
          </w:p>
        </w:tc>
        <w:tc>
          <w:tcPr>
            <w:tcW w:w="1624" w:type="dxa"/>
            <w:tcBorders>
              <w:top w:val="nil"/>
              <w:left w:val="nil"/>
              <w:bottom w:val="single" w:sz="4" w:space="0" w:color="auto"/>
              <w:right w:val="single" w:sz="4" w:space="0" w:color="auto"/>
            </w:tcBorders>
            <w:shd w:val="clear" w:color="auto" w:fill="auto"/>
            <w:noWrap/>
            <w:vAlign w:val="center"/>
            <w:hideMark/>
          </w:tcPr>
          <w:p w14:paraId="1BA43CE3" w14:textId="77777777" w:rsidR="00DB5864" w:rsidRPr="00BE65E2" w:rsidRDefault="00DB5864" w:rsidP="000419EA">
            <w:pPr>
              <w:jc w:val="center"/>
              <w:rPr>
                <w:color w:val="000000"/>
                <w:sz w:val="20"/>
                <w:szCs w:val="20"/>
              </w:rPr>
            </w:pPr>
            <w:r w:rsidRPr="00BE65E2">
              <w:rPr>
                <w:color w:val="000000"/>
                <w:sz w:val="20"/>
                <w:szCs w:val="20"/>
              </w:rPr>
              <w:t>0,55</w:t>
            </w:r>
          </w:p>
        </w:tc>
        <w:tc>
          <w:tcPr>
            <w:tcW w:w="1625" w:type="dxa"/>
            <w:tcBorders>
              <w:top w:val="nil"/>
              <w:left w:val="nil"/>
              <w:bottom w:val="single" w:sz="4" w:space="0" w:color="auto"/>
              <w:right w:val="single" w:sz="4" w:space="0" w:color="auto"/>
            </w:tcBorders>
            <w:shd w:val="clear" w:color="auto" w:fill="auto"/>
            <w:noWrap/>
            <w:vAlign w:val="center"/>
            <w:hideMark/>
          </w:tcPr>
          <w:p w14:paraId="06C08F69" w14:textId="77777777" w:rsidR="00DB5864" w:rsidRPr="00BE65E2" w:rsidRDefault="00DB5864" w:rsidP="000419EA">
            <w:pPr>
              <w:jc w:val="center"/>
              <w:rPr>
                <w:color w:val="000000"/>
                <w:sz w:val="20"/>
                <w:szCs w:val="20"/>
              </w:rPr>
            </w:pPr>
            <w:r w:rsidRPr="00BE65E2">
              <w:rPr>
                <w:color w:val="000000"/>
                <w:sz w:val="20"/>
                <w:szCs w:val="20"/>
              </w:rPr>
              <w:t>1,83</w:t>
            </w:r>
          </w:p>
        </w:tc>
      </w:tr>
      <w:tr w:rsidR="00DB5864" w:rsidRPr="004A52CD" w14:paraId="676F9269"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52495B5E" w14:textId="77777777" w:rsidR="00DB5864" w:rsidRPr="00BE65E2" w:rsidRDefault="00DB5864" w:rsidP="000419EA">
            <w:pPr>
              <w:jc w:val="both"/>
              <w:rPr>
                <w:color w:val="000000"/>
                <w:sz w:val="20"/>
                <w:szCs w:val="20"/>
              </w:rPr>
            </w:pPr>
            <w:r w:rsidRPr="00BE65E2">
              <w:rPr>
                <w:color w:val="000000"/>
                <w:sz w:val="20"/>
                <w:szCs w:val="20"/>
              </w:rPr>
              <w:t xml:space="preserve">Расходы на обеспечение деятельности (оказание услуг) государственных учреждений </w:t>
            </w:r>
          </w:p>
        </w:tc>
        <w:tc>
          <w:tcPr>
            <w:tcW w:w="1624" w:type="dxa"/>
            <w:tcBorders>
              <w:top w:val="nil"/>
              <w:left w:val="nil"/>
              <w:bottom w:val="single" w:sz="4" w:space="0" w:color="auto"/>
              <w:right w:val="single" w:sz="4" w:space="0" w:color="auto"/>
            </w:tcBorders>
            <w:shd w:val="clear" w:color="auto" w:fill="auto"/>
            <w:noWrap/>
            <w:vAlign w:val="center"/>
            <w:hideMark/>
          </w:tcPr>
          <w:p w14:paraId="63430654" w14:textId="77777777" w:rsidR="00DB5864" w:rsidRPr="00BE65E2" w:rsidRDefault="00DB5864" w:rsidP="000419EA">
            <w:pPr>
              <w:jc w:val="center"/>
              <w:rPr>
                <w:color w:val="000000"/>
                <w:sz w:val="20"/>
                <w:szCs w:val="20"/>
              </w:rPr>
            </w:pPr>
            <w:r w:rsidRPr="00BE65E2">
              <w:rPr>
                <w:color w:val="000000"/>
                <w:sz w:val="20"/>
                <w:szCs w:val="20"/>
              </w:rPr>
              <w:t>1,0</w:t>
            </w:r>
          </w:p>
        </w:tc>
        <w:tc>
          <w:tcPr>
            <w:tcW w:w="1624" w:type="dxa"/>
            <w:tcBorders>
              <w:top w:val="nil"/>
              <w:left w:val="nil"/>
              <w:bottom w:val="single" w:sz="4" w:space="0" w:color="auto"/>
              <w:right w:val="single" w:sz="4" w:space="0" w:color="auto"/>
            </w:tcBorders>
            <w:shd w:val="clear" w:color="auto" w:fill="auto"/>
            <w:noWrap/>
            <w:vAlign w:val="center"/>
            <w:hideMark/>
          </w:tcPr>
          <w:p w14:paraId="1D56B4E9" w14:textId="77777777" w:rsidR="00DB5864" w:rsidRPr="00BE65E2" w:rsidRDefault="00DB5864" w:rsidP="000419EA">
            <w:pPr>
              <w:jc w:val="center"/>
              <w:rPr>
                <w:color w:val="000000"/>
                <w:sz w:val="20"/>
                <w:szCs w:val="20"/>
              </w:rPr>
            </w:pPr>
            <w:r w:rsidRPr="00BE65E2">
              <w:rPr>
                <w:color w:val="000000"/>
                <w:sz w:val="20"/>
                <w:szCs w:val="20"/>
              </w:rPr>
              <w:t>0,72</w:t>
            </w:r>
          </w:p>
        </w:tc>
        <w:tc>
          <w:tcPr>
            <w:tcW w:w="1625" w:type="dxa"/>
            <w:tcBorders>
              <w:top w:val="nil"/>
              <w:left w:val="nil"/>
              <w:bottom w:val="single" w:sz="4" w:space="0" w:color="auto"/>
              <w:right w:val="single" w:sz="4" w:space="0" w:color="auto"/>
            </w:tcBorders>
            <w:shd w:val="clear" w:color="auto" w:fill="auto"/>
            <w:noWrap/>
            <w:vAlign w:val="center"/>
            <w:hideMark/>
          </w:tcPr>
          <w:p w14:paraId="226713CE" w14:textId="77777777" w:rsidR="00DB5864" w:rsidRPr="00BE65E2" w:rsidRDefault="00DB5864" w:rsidP="000419EA">
            <w:pPr>
              <w:jc w:val="center"/>
              <w:rPr>
                <w:color w:val="000000"/>
                <w:sz w:val="20"/>
                <w:szCs w:val="20"/>
              </w:rPr>
            </w:pPr>
            <w:r w:rsidRPr="00BE65E2">
              <w:rPr>
                <w:color w:val="000000"/>
                <w:sz w:val="20"/>
                <w:szCs w:val="20"/>
              </w:rPr>
              <w:t>0,64</w:t>
            </w:r>
          </w:p>
        </w:tc>
      </w:tr>
      <w:tr w:rsidR="00DB5864" w:rsidRPr="004A52CD" w14:paraId="7ED791DF"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3E50B869" w14:textId="77777777" w:rsidR="00DB5864" w:rsidRPr="00BE65E2" w:rsidRDefault="00DB5864" w:rsidP="000419EA">
            <w:pPr>
              <w:jc w:val="both"/>
              <w:rPr>
                <w:color w:val="000000"/>
                <w:sz w:val="20"/>
                <w:szCs w:val="20"/>
              </w:rPr>
            </w:pPr>
            <w:r w:rsidRPr="00BE65E2">
              <w:rPr>
                <w:color w:val="000000"/>
                <w:sz w:val="20"/>
                <w:szCs w:val="20"/>
              </w:rPr>
              <w:t>Ведомственный проект "Цифровое сельское хозяйство"</w:t>
            </w:r>
          </w:p>
        </w:tc>
        <w:tc>
          <w:tcPr>
            <w:tcW w:w="1624" w:type="dxa"/>
            <w:tcBorders>
              <w:top w:val="nil"/>
              <w:left w:val="nil"/>
              <w:bottom w:val="single" w:sz="4" w:space="0" w:color="auto"/>
              <w:right w:val="single" w:sz="4" w:space="0" w:color="auto"/>
            </w:tcBorders>
            <w:shd w:val="clear" w:color="auto" w:fill="auto"/>
            <w:noWrap/>
            <w:vAlign w:val="center"/>
            <w:hideMark/>
          </w:tcPr>
          <w:p w14:paraId="39BF6E0F" w14:textId="77777777" w:rsidR="00DB5864" w:rsidRPr="00BE65E2" w:rsidRDefault="00DB5864" w:rsidP="000419EA">
            <w:pPr>
              <w:jc w:val="center"/>
              <w:rPr>
                <w:color w:val="000000"/>
                <w:sz w:val="20"/>
                <w:szCs w:val="20"/>
              </w:rPr>
            </w:pPr>
            <w:r w:rsidRPr="00BE65E2">
              <w:rPr>
                <w:color w:val="000000"/>
                <w:sz w:val="20"/>
                <w:szCs w:val="20"/>
              </w:rPr>
              <w:t>0,1</w:t>
            </w:r>
          </w:p>
        </w:tc>
        <w:tc>
          <w:tcPr>
            <w:tcW w:w="1624" w:type="dxa"/>
            <w:tcBorders>
              <w:top w:val="nil"/>
              <w:left w:val="nil"/>
              <w:bottom w:val="single" w:sz="4" w:space="0" w:color="auto"/>
              <w:right w:val="single" w:sz="4" w:space="0" w:color="auto"/>
            </w:tcBorders>
            <w:shd w:val="clear" w:color="auto" w:fill="auto"/>
            <w:noWrap/>
            <w:vAlign w:val="center"/>
            <w:hideMark/>
          </w:tcPr>
          <w:p w14:paraId="7FEE0E16" w14:textId="77777777" w:rsidR="00DB5864" w:rsidRPr="00BE65E2" w:rsidRDefault="00DB5864" w:rsidP="000419EA">
            <w:pPr>
              <w:jc w:val="center"/>
              <w:rPr>
                <w:color w:val="000000"/>
                <w:sz w:val="20"/>
                <w:szCs w:val="20"/>
              </w:rPr>
            </w:pPr>
            <w:r w:rsidRPr="00BE65E2">
              <w:rPr>
                <w:color w:val="000000"/>
                <w:sz w:val="20"/>
                <w:szCs w:val="20"/>
              </w:rPr>
              <w:t>0,00</w:t>
            </w:r>
          </w:p>
        </w:tc>
        <w:tc>
          <w:tcPr>
            <w:tcW w:w="1625" w:type="dxa"/>
            <w:tcBorders>
              <w:top w:val="nil"/>
              <w:left w:val="nil"/>
              <w:bottom w:val="single" w:sz="4" w:space="0" w:color="auto"/>
              <w:right w:val="single" w:sz="4" w:space="0" w:color="auto"/>
            </w:tcBorders>
            <w:shd w:val="clear" w:color="auto" w:fill="auto"/>
            <w:noWrap/>
            <w:vAlign w:val="center"/>
            <w:hideMark/>
          </w:tcPr>
          <w:p w14:paraId="6A9F5D9F" w14:textId="77777777" w:rsidR="00DB5864" w:rsidRPr="00BE65E2" w:rsidRDefault="00DB5864" w:rsidP="000419EA">
            <w:pPr>
              <w:jc w:val="center"/>
              <w:rPr>
                <w:color w:val="000000"/>
                <w:sz w:val="20"/>
                <w:szCs w:val="20"/>
              </w:rPr>
            </w:pPr>
            <w:r w:rsidRPr="00BE65E2">
              <w:rPr>
                <w:color w:val="000000"/>
                <w:sz w:val="20"/>
                <w:szCs w:val="20"/>
              </w:rPr>
              <w:t>0,00</w:t>
            </w:r>
          </w:p>
        </w:tc>
      </w:tr>
      <w:tr w:rsidR="00DB5864" w:rsidRPr="004A52CD" w14:paraId="34999BED" w14:textId="77777777" w:rsidTr="000419EA">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2F04148B" w14:textId="77777777" w:rsidR="00DB5864" w:rsidRPr="00BE65E2" w:rsidRDefault="00DB5864" w:rsidP="000419EA">
            <w:pPr>
              <w:jc w:val="both"/>
              <w:rPr>
                <w:color w:val="000000"/>
                <w:sz w:val="20"/>
                <w:szCs w:val="20"/>
              </w:rPr>
            </w:pPr>
            <w:r w:rsidRPr="00BE65E2">
              <w:rPr>
                <w:color w:val="000000"/>
                <w:sz w:val="20"/>
                <w:szCs w:val="20"/>
              </w:rPr>
              <w:t>Расходы на обеспечение функций государственных органов, в том числе территориальных органов (Закупка товаров, работ, услуг в сфере информационно-коммуникационных технологий)</w:t>
            </w:r>
          </w:p>
        </w:tc>
        <w:tc>
          <w:tcPr>
            <w:tcW w:w="1624" w:type="dxa"/>
            <w:tcBorders>
              <w:top w:val="nil"/>
              <w:left w:val="nil"/>
              <w:bottom w:val="single" w:sz="4" w:space="0" w:color="auto"/>
              <w:right w:val="single" w:sz="4" w:space="0" w:color="auto"/>
            </w:tcBorders>
            <w:shd w:val="clear" w:color="auto" w:fill="auto"/>
            <w:noWrap/>
            <w:vAlign w:val="center"/>
            <w:hideMark/>
          </w:tcPr>
          <w:p w14:paraId="4A94EE24" w14:textId="77777777" w:rsidR="00DB5864" w:rsidRPr="00BE65E2" w:rsidRDefault="00DB5864" w:rsidP="000419EA">
            <w:pPr>
              <w:jc w:val="center"/>
              <w:rPr>
                <w:color w:val="000000"/>
                <w:sz w:val="20"/>
                <w:szCs w:val="20"/>
              </w:rPr>
            </w:pPr>
            <w:r w:rsidRPr="00BE65E2">
              <w:rPr>
                <w:color w:val="000000"/>
                <w:sz w:val="20"/>
                <w:szCs w:val="20"/>
              </w:rPr>
              <w:t>0,1</w:t>
            </w:r>
          </w:p>
        </w:tc>
        <w:tc>
          <w:tcPr>
            <w:tcW w:w="1624" w:type="dxa"/>
            <w:tcBorders>
              <w:top w:val="nil"/>
              <w:left w:val="nil"/>
              <w:bottom w:val="single" w:sz="4" w:space="0" w:color="auto"/>
              <w:right w:val="single" w:sz="4" w:space="0" w:color="auto"/>
            </w:tcBorders>
            <w:shd w:val="clear" w:color="auto" w:fill="auto"/>
            <w:noWrap/>
            <w:vAlign w:val="center"/>
            <w:hideMark/>
          </w:tcPr>
          <w:p w14:paraId="4E80A628" w14:textId="77777777" w:rsidR="00DB5864" w:rsidRPr="00BE65E2" w:rsidRDefault="00DB5864" w:rsidP="000419EA">
            <w:pPr>
              <w:jc w:val="center"/>
              <w:rPr>
                <w:color w:val="000000"/>
                <w:sz w:val="20"/>
                <w:szCs w:val="20"/>
              </w:rPr>
            </w:pPr>
            <w:r w:rsidRPr="00BE65E2">
              <w:rPr>
                <w:color w:val="000000"/>
                <w:sz w:val="20"/>
                <w:szCs w:val="20"/>
              </w:rPr>
              <w:t>0,00</w:t>
            </w:r>
          </w:p>
        </w:tc>
        <w:tc>
          <w:tcPr>
            <w:tcW w:w="1625" w:type="dxa"/>
            <w:tcBorders>
              <w:top w:val="nil"/>
              <w:left w:val="nil"/>
              <w:bottom w:val="single" w:sz="4" w:space="0" w:color="auto"/>
              <w:right w:val="single" w:sz="4" w:space="0" w:color="auto"/>
            </w:tcBorders>
            <w:shd w:val="clear" w:color="auto" w:fill="auto"/>
            <w:noWrap/>
            <w:vAlign w:val="center"/>
            <w:hideMark/>
          </w:tcPr>
          <w:p w14:paraId="38732685" w14:textId="77777777" w:rsidR="00DB5864" w:rsidRPr="00BE65E2" w:rsidRDefault="00DB5864" w:rsidP="000419EA">
            <w:pPr>
              <w:jc w:val="center"/>
              <w:rPr>
                <w:color w:val="000000"/>
                <w:sz w:val="20"/>
                <w:szCs w:val="20"/>
              </w:rPr>
            </w:pPr>
            <w:r w:rsidRPr="00BE65E2">
              <w:rPr>
                <w:color w:val="000000"/>
                <w:sz w:val="20"/>
                <w:szCs w:val="20"/>
              </w:rPr>
              <w:t>0,00</w:t>
            </w:r>
          </w:p>
        </w:tc>
      </w:tr>
    </w:tbl>
    <w:p w14:paraId="593ACA41" w14:textId="77777777" w:rsidR="00ED5AC1" w:rsidRPr="009D5EDD" w:rsidRDefault="00ED5AC1" w:rsidP="00ED5AC1">
      <w:pPr>
        <w:keepLines/>
        <w:spacing w:after="60"/>
        <w:ind w:firstLine="709"/>
        <w:jc w:val="both"/>
        <w:rPr>
          <w:sz w:val="20"/>
          <w:szCs w:val="20"/>
        </w:rPr>
      </w:pPr>
      <w:r w:rsidRPr="009D5EDD">
        <w:rPr>
          <w:i/>
          <w:sz w:val="20"/>
          <w:szCs w:val="20"/>
        </w:rPr>
        <w:t>Источники</w:t>
      </w:r>
      <w:r w:rsidRPr="009D5EDD">
        <w:rPr>
          <w:sz w:val="20"/>
          <w:szCs w:val="20"/>
        </w:rPr>
        <w:t>:</w:t>
      </w:r>
      <w:r>
        <w:rPr>
          <w:sz w:val="20"/>
          <w:szCs w:val="20"/>
        </w:rPr>
        <w:t xml:space="preserve"> составлено авторами на основе данных законопроекта</w:t>
      </w:r>
      <w:r w:rsidRPr="009D5EDD">
        <w:rPr>
          <w:sz w:val="20"/>
          <w:szCs w:val="20"/>
        </w:rPr>
        <w:t>.</w:t>
      </w:r>
    </w:p>
    <w:p w14:paraId="711C28CB" w14:textId="7AA2A033" w:rsidR="00CE6F4D" w:rsidRPr="00883243" w:rsidRDefault="00CE6F4D" w:rsidP="00DB5864">
      <w:pPr>
        <w:autoSpaceDE w:val="0"/>
        <w:autoSpaceDN w:val="0"/>
        <w:adjustRightInd w:val="0"/>
        <w:spacing w:before="120" w:after="60"/>
        <w:ind w:firstLine="709"/>
        <w:jc w:val="both"/>
        <w:rPr>
          <w:color w:val="000000"/>
        </w:rPr>
      </w:pPr>
      <w:r>
        <w:rPr>
          <w:color w:val="000000"/>
        </w:rPr>
        <w:t xml:space="preserve">Вызывает вопросы обоснованность выделения по 3 млрд руб. в год на «мониторинговые исследования экспортируемой продукции» в рамках </w:t>
      </w:r>
      <w:r w:rsidR="006B246C" w:rsidRPr="00883243">
        <w:rPr>
          <w:color w:val="000000"/>
        </w:rPr>
        <w:t>Федеральн</w:t>
      </w:r>
      <w:r w:rsidR="006B246C">
        <w:rPr>
          <w:color w:val="000000"/>
        </w:rPr>
        <w:t>ого</w:t>
      </w:r>
      <w:r w:rsidR="006B246C" w:rsidRPr="00883243">
        <w:rPr>
          <w:color w:val="000000"/>
        </w:rPr>
        <w:t xml:space="preserve"> проекта</w:t>
      </w:r>
      <w:r w:rsidRPr="00883243">
        <w:rPr>
          <w:color w:val="000000"/>
        </w:rPr>
        <w:t xml:space="preserve"> "Экспорт продукции агропромышленного комплекса</w:t>
      </w:r>
      <w:r w:rsidRPr="00D95C93">
        <w:rPr>
          <w:color w:val="000000"/>
        </w:rPr>
        <w:t>"</w:t>
      </w:r>
      <w:r>
        <w:rPr>
          <w:color w:val="000000"/>
        </w:rPr>
        <w:t xml:space="preserve">. Так как эти средства предназначены на «финансирование </w:t>
      </w:r>
      <w:r w:rsidRPr="00883243">
        <w:rPr>
          <w:color w:val="000000"/>
        </w:rPr>
        <w:t>бюджетных учреждений для выполнения государственного задания на оказание государственных услуг (выполнение работ)</w:t>
      </w:r>
      <w:r>
        <w:rPr>
          <w:color w:val="000000"/>
        </w:rPr>
        <w:t>», следует выяснить, действительно ли услуга «мониторинговые исследования экспортируемой продукции» стоит 3 млрд руб. в год. Возможно, это неудачная формулировка целевой бюджетной статьи, и бюджетные учреждения, на которые выделяется финансирование</w:t>
      </w:r>
      <w:r w:rsidR="006B246C">
        <w:rPr>
          <w:color w:val="000000"/>
        </w:rPr>
        <w:t>,</w:t>
      </w:r>
      <w:r>
        <w:rPr>
          <w:color w:val="000000"/>
        </w:rPr>
        <w:t xml:space="preserve"> </w:t>
      </w:r>
      <w:r w:rsidR="006B246C">
        <w:rPr>
          <w:color w:val="000000"/>
        </w:rPr>
        <w:t xml:space="preserve">предоставляют </w:t>
      </w:r>
      <w:r>
        <w:rPr>
          <w:color w:val="000000"/>
        </w:rPr>
        <w:t>и др</w:t>
      </w:r>
      <w:r w:rsidR="006B246C">
        <w:rPr>
          <w:color w:val="000000"/>
        </w:rPr>
        <w:t xml:space="preserve">угие </w:t>
      </w:r>
      <w:r>
        <w:rPr>
          <w:color w:val="000000"/>
        </w:rPr>
        <w:t xml:space="preserve">услуги. В этом случае формулировку следует изменить, тем более, что в сравнении финансирование целой </w:t>
      </w:r>
      <w:r w:rsidRPr="00BE65E2">
        <w:rPr>
          <w:color w:val="000000"/>
        </w:rPr>
        <w:t>Ведомственной целевой программы с громким названием "Научно-техническое обеспечение развития отраслей агропромышленного комплекса»</w:t>
      </w:r>
      <w:r w:rsidRPr="00883243">
        <w:rPr>
          <w:color w:val="000000"/>
        </w:rPr>
        <w:t xml:space="preserve"> выглядит намного скромнее указанных </w:t>
      </w:r>
      <w:r>
        <w:rPr>
          <w:color w:val="000000"/>
        </w:rPr>
        <w:t>«</w:t>
      </w:r>
      <w:r w:rsidRPr="00883243">
        <w:rPr>
          <w:color w:val="000000"/>
        </w:rPr>
        <w:t>мониторинговых исследований</w:t>
      </w:r>
      <w:r>
        <w:rPr>
          <w:color w:val="000000"/>
        </w:rPr>
        <w:t>»</w:t>
      </w:r>
      <w:r w:rsidR="006B246C">
        <w:rPr>
          <w:color w:val="000000"/>
        </w:rPr>
        <w:t xml:space="preserve">: </w:t>
      </w:r>
      <w:r>
        <w:rPr>
          <w:color w:val="000000"/>
        </w:rPr>
        <w:t>на ее реализацию в 2020 г. запланировано всего 1</w:t>
      </w:r>
      <w:r w:rsidR="003D1B2E">
        <w:rPr>
          <w:color w:val="000000"/>
        </w:rPr>
        <w:t>,5 млрд</w:t>
      </w:r>
      <w:r>
        <w:rPr>
          <w:color w:val="000000"/>
        </w:rPr>
        <w:t xml:space="preserve"> руб., в 2021 г. </w:t>
      </w:r>
      <w:r w:rsidR="006B246C">
        <w:rPr>
          <w:color w:val="000000"/>
        </w:rPr>
        <w:t xml:space="preserve">– </w:t>
      </w:r>
      <w:r>
        <w:rPr>
          <w:color w:val="000000"/>
        </w:rPr>
        <w:t xml:space="preserve">только </w:t>
      </w:r>
      <w:r w:rsidR="003D1B2E">
        <w:rPr>
          <w:color w:val="000000"/>
        </w:rPr>
        <w:t>0,5 млрд</w:t>
      </w:r>
      <w:r>
        <w:rPr>
          <w:color w:val="000000"/>
        </w:rPr>
        <w:t xml:space="preserve"> руб</w:t>
      </w:r>
      <w:r w:rsidR="006B246C">
        <w:rPr>
          <w:color w:val="000000"/>
        </w:rPr>
        <w:t>.</w:t>
      </w:r>
      <w:r>
        <w:rPr>
          <w:color w:val="000000"/>
        </w:rPr>
        <w:t xml:space="preserve">, и в 2022 г. – </w:t>
      </w:r>
      <w:r w:rsidR="003D1B2E">
        <w:rPr>
          <w:color w:val="000000"/>
        </w:rPr>
        <w:t xml:space="preserve">0,5 млрд </w:t>
      </w:r>
      <w:r>
        <w:rPr>
          <w:color w:val="000000"/>
        </w:rPr>
        <w:t>руб. Снижение связано в основном с сокращением в 10 раз финансирования грантов «</w:t>
      </w:r>
      <w:r w:rsidRPr="00883243">
        <w:rPr>
          <w:color w:val="000000"/>
        </w:rPr>
        <w:t>на реализацию комплексных научно-технических проектов в агропромышленном комплексе</w:t>
      </w:r>
      <w:r>
        <w:rPr>
          <w:color w:val="000000"/>
        </w:rPr>
        <w:t xml:space="preserve">» с </w:t>
      </w:r>
      <w:r w:rsidR="003D1B2E">
        <w:rPr>
          <w:color w:val="000000"/>
        </w:rPr>
        <w:t>0,9 млрд</w:t>
      </w:r>
      <w:r>
        <w:rPr>
          <w:color w:val="000000"/>
        </w:rPr>
        <w:t xml:space="preserve"> руб. до </w:t>
      </w:r>
      <w:r w:rsidRPr="00883243">
        <w:rPr>
          <w:color w:val="000000"/>
        </w:rPr>
        <w:t xml:space="preserve"> </w:t>
      </w:r>
      <w:r w:rsidR="003D1B2E">
        <w:rPr>
          <w:color w:val="000000"/>
        </w:rPr>
        <w:t>0,09 млрд</w:t>
      </w:r>
      <w:r>
        <w:rPr>
          <w:color w:val="000000"/>
        </w:rPr>
        <w:t xml:space="preserve"> руб. Почему в 2021 г. должна в 10 раз снизиться потребность в реализации комплексных научно-технических проектов в АПК не понятно. Именно это направление должно носить системный стабильный характер и также поддерживаться.</w:t>
      </w:r>
    </w:p>
    <w:p w14:paraId="6055D946" w14:textId="3C430682" w:rsidR="00CE6F4D" w:rsidRPr="00A9498D" w:rsidRDefault="00CE6F4D" w:rsidP="00CE6F4D">
      <w:pPr>
        <w:autoSpaceDE w:val="0"/>
        <w:autoSpaceDN w:val="0"/>
        <w:adjustRightInd w:val="0"/>
        <w:spacing w:after="60"/>
        <w:ind w:firstLine="709"/>
        <w:jc w:val="both"/>
        <w:rPr>
          <w:color w:val="000000"/>
        </w:rPr>
      </w:pPr>
      <w:r>
        <w:rPr>
          <w:color w:val="000000"/>
        </w:rPr>
        <w:t>Не совсем понятно снижение размера с</w:t>
      </w:r>
      <w:r w:rsidRPr="00D95C93">
        <w:rPr>
          <w:color w:val="000000"/>
        </w:rPr>
        <w:t>убсидии производителям сельскохозяйственной техники</w:t>
      </w:r>
      <w:r>
        <w:rPr>
          <w:color w:val="000000"/>
        </w:rPr>
        <w:t xml:space="preserve"> с 7 млрд руб. в 2020 г. до 2 млрд руб. в 2021 и 2022 гг. Техническое перевооружение отрасли – один из залогов ее успеха.</w:t>
      </w:r>
    </w:p>
    <w:p w14:paraId="587D3110" w14:textId="1D0B95A0" w:rsidR="00CE6F4D" w:rsidRDefault="00CE6F4D" w:rsidP="00CE6F4D">
      <w:pPr>
        <w:autoSpaceDE w:val="0"/>
        <w:autoSpaceDN w:val="0"/>
        <w:adjustRightInd w:val="0"/>
        <w:spacing w:after="60"/>
        <w:ind w:firstLine="709"/>
        <w:jc w:val="both"/>
        <w:rPr>
          <w:color w:val="000000"/>
        </w:rPr>
      </w:pPr>
      <w:r w:rsidRPr="00A9498D">
        <w:rPr>
          <w:color w:val="000000"/>
        </w:rPr>
        <w:t xml:space="preserve">Есть вопросы к выборочной поддержке отдельных структур за счет федеральных средств, </w:t>
      </w:r>
      <w:r w:rsidR="006B246C">
        <w:rPr>
          <w:color w:val="000000"/>
        </w:rPr>
        <w:t>–</w:t>
      </w:r>
      <w:r w:rsidRPr="00A9498D">
        <w:rPr>
          <w:color w:val="000000"/>
        </w:rPr>
        <w:t xml:space="preserve"> Россельхозбанка, ОАО «Росагролизинг», </w:t>
      </w:r>
      <w:r w:rsidR="006B246C">
        <w:rPr>
          <w:color w:val="000000"/>
        </w:rPr>
        <w:t>поскольку,</w:t>
      </w:r>
      <w:r w:rsidRPr="00A9498D">
        <w:rPr>
          <w:color w:val="000000"/>
        </w:rPr>
        <w:t xml:space="preserve"> </w:t>
      </w:r>
      <w:r>
        <w:rPr>
          <w:color w:val="000000"/>
        </w:rPr>
        <w:t>например, лизингом с федеральной поддержкой могли бы заниматься и др</w:t>
      </w:r>
      <w:r w:rsidR="006B246C">
        <w:rPr>
          <w:color w:val="000000"/>
        </w:rPr>
        <w:t>угие</w:t>
      </w:r>
      <w:r>
        <w:rPr>
          <w:color w:val="000000"/>
        </w:rPr>
        <w:t xml:space="preserve"> лизинговые структуры, что способствовало </w:t>
      </w:r>
      <w:r w:rsidR="006B246C">
        <w:rPr>
          <w:color w:val="000000"/>
        </w:rPr>
        <w:t xml:space="preserve">бы </w:t>
      </w:r>
      <w:r>
        <w:rPr>
          <w:color w:val="000000"/>
        </w:rPr>
        <w:t xml:space="preserve">развитию конкуренции в этой сфере, удешевлению услуг и более широкому охвату участников. </w:t>
      </w:r>
    </w:p>
    <w:p w14:paraId="55D01C76" w14:textId="1EC73065" w:rsidR="00CE6F4D" w:rsidRDefault="00CE6F4D" w:rsidP="00CE6F4D">
      <w:pPr>
        <w:autoSpaceDE w:val="0"/>
        <w:autoSpaceDN w:val="0"/>
        <w:adjustRightInd w:val="0"/>
        <w:spacing w:after="60"/>
        <w:ind w:firstLine="709"/>
        <w:jc w:val="both"/>
        <w:rPr>
          <w:i/>
          <w:color w:val="000000"/>
        </w:rPr>
      </w:pPr>
      <w:r>
        <w:rPr>
          <w:color w:val="000000"/>
        </w:rPr>
        <w:t xml:space="preserve">Структура </w:t>
      </w:r>
      <w:r w:rsidRPr="00BE65E2">
        <w:rPr>
          <w:color w:val="000000"/>
        </w:rPr>
        <w:t>Ведомственной целевой программы "Обеспечение общих условий функционирования отраслей агропромышленного комплекса"</w:t>
      </w:r>
      <w:r w:rsidRPr="0004340A">
        <w:rPr>
          <w:color w:val="000000"/>
        </w:rPr>
        <w:t xml:space="preserve"> </w:t>
      </w:r>
      <w:r>
        <w:rPr>
          <w:color w:val="000000"/>
        </w:rPr>
        <w:t xml:space="preserve">также вызывает вопросы. По смыслу названия в программе должны содержаться меры, способствующие общему обеспечению </w:t>
      </w:r>
      <w:r w:rsidR="006B246C">
        <w:rPr>
          <w:color w:val="000000"/>
        </w:rPr>
        <w:t xml:space="preserve">функционирования </w:t>
      </w:r>
      <w:r>
        <w:rPr>
          <w:color w:val="000000"/>
        </w:rPr>
        <w:t xml:space="preserve">всех отраслей АПК, однако она </w:t>
      </w:r>
      <w:r w:rsidR="006B246C">
        <w:rPr>
          <w:color w:val="000000"/>
        </w:rPr>
        <w:t xml:space="preserve">включает </w:t>
      </w:r>
      <w:r>
        <w:rPr>
          <w:color w:val="000000"/>
        </w:rPr>
        <w:t xml:space="preserve">меры поддержки, явно благоприятствующие одной отрасли, </w:t>
      </w:r>
      <w:r w:rsidR="006B246C">
        <w:rPr>
          <w:color w:val="000000"/>
        </w:rPr>
        <w:t>–</w:t>
      </w:r>
      <w:r>
        <w:rPr>
          <w:color w:val="000000"/>
        </w:rPr>
        <w:t xml:space="preserve"> производству зерна</w:t>
      </w:r>
      <w:r w:rsidR="006B246C">
        <w:rPr>
          <w:color w:val="000000"/>
        </w:rPr>
        <w:t xml:space="preserve"> (</w:t>
      </w:r>
      <w:r>
        <w:rPr>
          <w:color w:val="000000"/>
        </w:rPr>
        <w:t>«</w:t>
      </w:r>
      <w:r w:rsidRPr="0004340A">
        <w:rPr>
          <w:color w:val="000000"/>
        </w:rPr>
        <w:t>Субсидии открытому АО "Российские железные дороги" на возмещение потерь в доходах, возникающих в результате установления льготных тарифов на перевозку зерна</w:t>
      </w:r>
      <w:r>
        <w:rPr>
          <w:color w:val="000000"/>
        </w:rPr>
        <w:t>»</w:t>
      </w:r>
      <w:r w:rsidR="006B246C">
        <w:rPr>
          <w:color w:val="000000"/>
        </w:rPr>
        <w:t>)</w:t>
      </w:r>
      <w:r>
        <w:rPr>
          <w:color w:val="000000"/>
        </w:rPr>
        <w:t>. Мероприятие «</w:t>
      </w:r>
      <w:r w:rsidRPr="00BE65E2">
        <w:rPr>
          <w:color w:val="000000"/>
        </w:rPr>
        <w:t>Проведение закупочных и товарных интервенций на рынках сельскохозяйственной продукции, а также залоговых операций</w:t>
      </w:r>
      <w:r>
        <w:rPr>
          <w:color w:val="000000"/>
        </w:rPr>
        <w:t>»</w:t>
      </w:r>
      <w:r w:rsidR="006B246C">
        <w:rPr>
          <w:color w:val="000000"/>
        </w:rPr>
        <w:t xml:space="preserve"> преимущественно</w:t>
      </w:r>
      <w:r>
        <w:rPr>
          <w:color w:val="000000"/>
        </w:rPr>
        <w:t xml:space="preserve"> также </w:t>
      </w:r>
      <w:r w:rsidR="006B246C">
        <w:rPr>
          <w:color w:val="000000"/>
        </w:rPr>
        <w:t xml:space="preserve">связано с регулированием </w:t>
      </w:r>
      <w:r>
        <w:rPr>
          <w:color w:val="000000"/>
        </w:rPr>
        <w:t>рынка зерна. Эти меры</w:t>
      </w:r>
      <w:r w:rsidR="00557157">
        <w:rPr>
          <w:color w:val="000000"/>
        </w:rPr>
        <w:t>,</w:t>
      </w:r>
      <w:r>
        <w:rPr>
          <w:color w:val="000000"/>
        </w:rPr>
        <w:t xml:space="preserve"> скорее</w:t>
      </w:r>
      <w:r w:rsidR="00557157">
        <w:rPr>
          <w:color w:val="000000"/>
        </w:rPr>
        <w:t>,</w:t>
      </w:r>
      <w:r>
        <w:rPr>
          <w:color w:val="000000"/>
        </w:rPr>
        <w:t xml:space="preserve"> относятся к Подпрограмме</w:t>
      </w:r>
      <w:r w:rsidRPr="0004340A">
        <w:rPr>
          <w:color w:val="000000"/>
        </w:rPr>
        <w:t xml:space="preserve"> "Развитие отраслей агропромышленного комплекса"</w:t>
      </w:r>
      <w:r>
        <w:rPr>
          <w:color w:val="000000"/>
        </w:rPr>
        <w:t>, которая</w:t>
      </w:r>
      <w:r w:rsidR="006B246C">
        <w:rPr>
          <w:color w:val="000000"/>
        </w:rPr>
        <w:t>,</w:t>
      </w:r>
      <w:r>
        <w:rPr>
          <w:color w:val="000000"/>
        </w:rPr>
        <w:t xml:space="preserve"> в свою очередь</w:t>
      </w:r>
      <w:r w:rsidR="006B246C">
        <w:rPr>
          <w:color w:val="000000"/>
        </w:rPr>
        <w:t>,</w:t>
      </w:r>
      <w:r>
        <w:rPr>
          <w:color w:val="000000"/>
        </w:rPr>
        <w:t xml:space="preserve"> содержит меры общего характера, например, поддержку мелиоративных мероприятий или «г</w:t>
      </w:r>
      <w:r w:rsidRPr="0004340A">
        <w:rPr>
          <w:color w:val="000000"/>
        </w:rPr>
        <w:t>о</w:t>
      </w:r>
      <w:r>
        <w:rPr>
          <w:color w:val="000000"/>
        </w:rPr>
        <w:t>с</w:t>
      </w:r>
      <w:r w:rsidRPr="0004340A">
        <w:rPr>
          <w:color w:val="000000"/>
        </w:rPr>
        <w:t>поддержк</w:t>
      </w:r>
      <w:r>
        <w:rPr>
          <w:color w:val="000000"/>
        </w:rPr>
        <w:t>у</w:t>
      </w:r>
      <w:r w:rsidRPr="0004340A">
        <w:rPr>
          <w:color w:val="000000"/>
        </w:rPr>
        <w:t xml:space="preserve"> аккредитации ветеринарных лабораторий в национальной системе аккредитации</w:t>
      </w:r>
      <w:r>
        <w:rPr>
          <w:color w:val="000000"/>
        </w:rPr>
        <w:t xml:space="preserve">», искусственно включенных в Федеральный проект </w:t>
      </w:r>
      <w:r w:rsidRPr="0004340A">
        <w:rPr>
          <w:color w:val="000000"/>
        </w:rPr>
        <w:t>"Экспорт продукции агропромышленного комплекса"</w:t>
      </w:r>
      <w:r>
        <w:rPr>
          <w:color w:val="000000"/>
        </w:rPr>
        <w:t xml:space="preserve">. Кроме того, огромные суммы (по 16-17 млрд руб. в год) в </w:t>
      </w:r>
      <w:r w:rsidRPr="00BE65E2">
        <w:rPr>
          <w:color w:val="000000"/>
        </w:rPr>
        <w:t>Ведомственной целевой программы "Обеспечение общих условий функционирования отраслей агропромышленного комплекса", т</w:t>
      </w:r>
      <w:r w:rsidR="006B246C">
        <w:rPr>
          <w:color w:val="000000"/>
        </w:rPr>
        <w:t xml:space="preserve">о есть </w:t>
      </w:r>
      <w:r>
        <w:rPr>
          <w:color w:val="000000"/>
        </w:rPr>
        <w:t>более половины ее расходов относятся к чисто социальной статье «</w:t>
      </w:r>
      <w:r w:rsidRPr="00BE65E2">
        <w:rPr>
          <w:color w:val="00000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ФБ, расположенных в районах Крайнего Севера и приравненных к ним местностях</w:t>
      </w:r>
      <w:r>
        <w:rPr>
          <w:color w:val="000000"/>
        </w:rPr>
        <w:t xml:space="preserve">», что мало связанно с целью ВЦП </w:t>
      </w:r>
      <w:r w:rsidR="006B246C">
        <w:rPr>
          <w:color w:val="000000"/>
        </w:rPr>
        <w:t xml:space="preserve">– </w:t>
      </w:r>
      <w:r>
        <w:rPr>
          <w:color w:val="000000"/>
        </w:rPr>
        <w:t xml:space="preserve"> </w:t>
      </w:r>
      <w:r w:rsidR="006B246C" w:rsidRPr="00BE65E2">
        <w:rPr>
          <w:color w:val="000000"/>
        </w:rPr>
        <w:t>о</w:t>
      </w:r>
      <w:r w:rsidRPr="00BE65E2">
        <w:rPr>
          <w:color w:val="000000"/>
        </w:rPr>
        <w:t>беспечением общих условий функционирования отраслей агропромышленного комплекса.</w:t>
      </w:r>
    </w:p>
    <w:p w14:paraId="67280DEC" w14:textId="77777777" w:rsidR="00CE6F4D" w:rsidRDefault="00CE6F4D" w:rsidP="00CE6F4D">
      <w:pPr>
        <w:autoSpaceDE w:val="0"/>
        <w:autoSpaceDN w:val="0"/>
        <w:adjustRightInd w:val="0"/>
        <w:spacing w:after="60"/>
        <w:ind w:firstLine="709"/>
        <w:jc w:val="both"/>
        <w:rPr>
          <w:color w:val="000000"/>
        </w:rPr>
      </w:pPr>
    </w:p>
    <w:p w14:paraId="6937E595" w14:textId="77777777" w:rsidR="00995E45" w:rsidRPr="008E6B24" w:rsidRDefault="00995E45" w:rsidP="0035761E">
      <w:pPr>
        <w:keepNext/>
        <w:spacing w:before="60" w:after="60"/>
        <w:jc w:val="center"/>
        <w:outlineLvl w:val="2"/>
        <w:rPr>
          <w:b/>
          <w:szCs w:val="20"/>
        </w:rPr>
      </w:pPr>
      <w:bookmarkStart w:id="46" w:name="_Toc465966608"/>
      <w:bookmarkStart w:id="47" w:name="_Toc21436753"/>
      <w:r w:rsidRPr="00BE65E2">
        <w:rPr>
          <w:b/>
          <w:szCs w:val="20"/>
        </w:rPr>
        <w:t>Расходы на образование</w:t>
      </w:r>
      <w:bookmarkEnd w:id="46"/>
      <w:bookmarkEnd w:id="47"/>
    </w:p>
    <w:p w14:paraId="6E327D0D" w14:textId="3C542E87" w:rsidR="00733417" w:rsidRDefault="005028DF" w:rsidP="00733417">
      <w:pPr>
        <w:spacing w:after="60"/>
        <w:ind w:firstLine="709"/>
        <w:jc w:val="both"/>
      </w:pPr>
      <w:bookmarkStart w:id="48" w:name="_Toc465966609"/>
      <w:r>
        <w:t>Д</w:t>
      </w:r>
      <w:r w:rsidR="00733417" w:rsidRPr="00B6277F">
        <w:t xml:space="preserve">ля системы образования с ее длительными циклами представляется важным фактором обеспечения устойчивости и возможности среднесрочного планирования. </w:t>
      </w:r>
      <w:r>
        <w:t xml:space="preserve">Однако, </w:t>
      </w:r>
      <w:r w:rsidR="00733417" w:rsidRPr="00B6277F">
        <w:t>как показывает опыт реализации 3-летних бюджетов, через год их ждет достаточно серьезная корректировка, что делает среднесрочное планирование расходов на образование затруднительным. Фактически определяется только вектор изменений и выявляются основные тенденции – растут или сокращаются расходы на об</w:t>
      </w:r>
      <w:r>
        <w:t>разование в реальном выражении.</w:t>
      </w:r>
    </w:p>
    <w:p w14:paraId="21F45974" w14:textId="1AE47A81" w:rsidR="00733417" w:rsidRDefault="00733417" w:rsidP="00733417">
      <w:pPr>
        <w:spacing w:after="60"/>
        <w:ind w:firstLine="709"/>
        <w:jc w:val="both"/>
        <w:rPr>
          <w:i/>
          <w:iCs/>
        </w:rPr>
      </w:pPr>
      <w:r>
        <w:t>Указом Президента Российской Федерации № 204 был дан старт реализации национальных проектов во многих областях экономики и социальной сферы, в том числе национальному проекту «Образование». Соответственно, усилия двух министерств</w:t>
      </w:r>
      <w:r w:rsidR="00EF0869">
        <w:t xml:space="preserve"> – </w:t>
      </w:r>
      <w:r w:rsidRPr="001A412B">
        <w:t xml:space="preserve"> </w:t>
      </w:r>
      <w:r w:rsidRPr="00B6277F">
        <w:t>Министерств</w:t>
      </w:r>
      <w:r>
        <w:t>а</w:t>
      </w:r>
      <w:r w:rsidRPr="00B6277F">
        <w:t xml:space="preserve"> просвещения Российской Федерации и Министерств</w:t>
      </w:r>
      <w:r>
        <w:t>а</w:t>
      </w:r>
      <w:r w:rsidRPr="00B6277F">
        <w:t xml:space="preserve"> науки и высшего образования Российской Федерации</w:t>
      </w:r>
      <w:r>
        <w:t>, реализующих государственную политику в сфере общего и профессионального образования</w:t>
      </w:r>
      <w:r w:rsidR="00EF0869">
        <w:t xml:space="preserve">, </w:t>
      </w:r>
      <w:r>
        <w:t xml:space="preserve">были направлены на обеспечение реализации национального проекта «Образование». При этом Минпрос России курирует в рамках </w:t>
      </w:r>
      <w:r w:rsidR="00EF0869">
        <w:t xml:space="preserve">данного </w:t>
      </w:r>
      <w:r>
        <w:t xml:space="preserve">Национального проекта реализацию таких Федеральных проектов, как «Современная школа» (295,1 млрд рублей </w:t>
      </w:r>
      <w:r w:rsidR="00EF0869">
        <w:t>–</w:t>
      </w:r>
      <w:r w:rsidR="0025013E">
        <w:t xml:space="preserve"> </w:t>
      </w:r>
      <w:r>
        <w:t>наиболее дорогостоящий ФП из всех федеральных проектов данного национального проекта),  «Успех каждого ребенка» (80,5 млрд рублей), «Учитель будущего» (15,4 млрд рублей), «Поддержка семей, имеющих детей (8,6 млрд рублей), «Цифровая образовательная среда» (79,8 млрд рублей), «Молодые профессионалы» (Повышение конкурентоспособности профессионального образования) (156,2 млрд рублей) в части модернизации среднего профессионального образования, вторую составляющую данного проекта «Глобальная конкурентоспособность высшего образования» курирует Министерство высшего образования и науки, как и проекты «Новые возможности для каждого»(9,2 млрд рублей) и «Экспорт образования»(107,5 млрд рублей). Федеральный проект «Социальная активность» (27,3 млрд рублей) курирует Федеральное агентство по делам молодежи, а Федеральный проект «Социальные лифты для каждого» (4,7 млрд рублей) АНО «Россия страна возможностей</w:t>
      </w:r>
      <w:r w:rsidR="0025013E">
        <w:t>»</w:t>
      </w:r>
      <w:r>
        <w:t>, Минпрос России и Минобрнауки России.  Соответственно, значительные расходы на Национальный проект «Образование» осущест</w:t>
      </w:r>
      <w:r w:rsidR="005028DF">
        <w:t>вляются в 2019 г. и заложены в законопроект</w:t>
      </w:r>
      <w:r>
        <w:t xml:space="preserve"> </w:t>
      </w:r>
      <w:r w:rsidRPr="0025013E">
        <w:rPr>
          <w:i/>
          <w:iCs/>
        </w:rPr>
        <w:t>(табл</w:t>
      </w:r>
      <w:r w:rsidR="0025013E">
        <w:rPr>
          <w:i/>
          <w:iCs/>
        </w:rPr>
        <w:t xml:space="preserve">ица </w:t>
      </w:r>
      <w:r w:rsidR="00C84D38">
        <w:rPr>
          <w:i/>
          <w:noProof/>
        </w:rPr>
        <w:t>22</w:t>
      </w:r>
      <w:r w:rsidRPr="0025013E">
        <w:rPr>
          <w:i/>
          <w:iCs/>
        </w:rPr>
        <w:t>).</w:t>
      </w:r>
    </w:p>
    <w:p w14:paraId="40FB6823" w14:textId="102AD8EC" w:rsidR="0025013E" w:rsidRPr="00600DF7" w:rsidRDefault="0025013E" w:rsidP="0025013E">
      <w:pPr>
        <w:spacing w:after="60"/>
        <w:jc w:val="right"/>
        <w:rPr>
          <w:i/>
        </w:rPr>
      </w:pPr>
      <w:r w:rsidRPr="00600DF7">
        <w:rPr>
          <w:i/>
        </w:rPr>
        <w:t>Таблица</w:t>
      </w:r>
      <w:r>
        <w:rPr>
          <w:i/>
        </w:rPr>
        <w:t xml:space="preserve"> </w:t>
      </w:r>
      <w:bookmarkStart w:id="49" w:name="_Ref21355404"/>
      <w:r w:rsidR="00C84D38">
        <w:rPr>
          <w:i/>
          <w:noProof/>
        </w:rPr>
        <w:t>22</w:t>
      </w:r>
      <w:bookmarkEnd w:id="49"/>
    </w:p>
    <w:p w14:paraId="6653CC4E" w14:textId="28AA0ED4" w:rsidR="00733417" w:rsidRPr="00681D8A" w:rsidRDefault="00681D8A" w:rsidP="00681D8A">
      <w:pPr>
        <w:spacing w:after="60"/>
        <w:jc w:val="center"/>
        <w:rPr>
          <w:b/>
          <w:iCs/>
        </w:rPr>
      </w:pPr>
      <w:r>
        <w:rPr>
          <w:b/>
          <w:iCs/>
        </w:rPr>
        <w:t xml:space="preserve">Расходы на </w:t>
      </w:r>
      <w:r w:rsidR="00DA35EE">
        <w:rPr>
          <w:b/>
          <w:iCs/>
        </w:rPr>
        <w:t xml:space="preserve">федеральные проекты </w:t>
      </w:r>
      <w:r>
        <w:rPr>
          <w:b/>
          <w:iCs/>
        </w:rPr>
        <w:t>Националь</w:t>
      </w:r>
      <w:r w:rsidR="00DA35EE">
        <w:rPr>
          <w:b/>
          <w:iCs/>
        </w:rPr>
        <w:t>ного</w:t>
      </w:r>
      <w:r>
        <w:rPr>
          <w:b/>
          <w:iCs/>
        </w:rPr>
        <w:t xml:space="preserve"> проект</w:t>
      </w:r>
      <w:r w:rsidR="00DA35EE">
        <w:rPr>
          <w:b/>
          <w:iCs/>
        </w:rPr>
        <w:t>а</w:t>
      </w:r>
      <w:r>
        <w:rPr>
          <w:b/>
          <w:iCs/>
        </w:rPr>
        <w:t xml:space="preserve"> «Образование»</w:t>
      </w:r>
      <w:r w:rsidR="00DA35EE">
        <w:rPr>
          <w:b/>
          <w:iCs/>
        </w:rPr>
        <w:t xml:space="preserve"> в 2019-2022 гг., млрд руб.</w:t>
      </w:r>
    </w:p>
    <w:tbl>
      <w:tblPr>
        <w:tblW w:w="9498" w:type="dxa"/>
        <w:tblInd w:w="-147" w:type="dxa"/>
        <w:tblLayout w:type="fixed"/>
        <w:tblLook w:val="04A0" w:firstRow="1" w:lastRow="0" w:firstColumn="1" w:lastColumn="0" w:noHBand="0" w:noVBand="1"/>
      </w:tblPr>
      <w:tblGrid>
        <w:gridCol w:w="1418"/>
        <w:gridCol w:w="709"/>
        <w:gridCol w:w="709"/>
        <w:gridCol w:w="708"/>
        <w:gridCol w:w="851"/>
        <w:gridCol w:w="709"/>
        <w:gridCol w:w="850"/>
        <w:gridCol w:w="851"/>
        <w:gridCol w:w="850"/>
        <w:gridCol w:w="851"/>
        <w:gridCol w:w="992"/>
      </w:tblGrid>
      <w:tr w:rsidR="00681D8A" w:rsidRPr="00476A01" w14:paraId="1445BF4B" w14:textId="77777777" w:rsidTr="00476A01">
        <w:trPr>
          <w:trHeight w:val="307"/>
          <w:tblHeader/>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D1AC52" w14:textId="77777777" w:rsidR="00733417" w:rsidRPr="00476A01" w:rsidRDefault="00733417" w:rsidP="006919BE">
            <w:pPr>
              <w:spacing w:after="60"/>
              <w:jc w:val="center"/>
              <w:rPr>
                <w:b/>
                <w:color w:val="000000"/>
                <w:sz w:val="17"/>
                <w:szCs w:val="17"/>
              </w:rPr>
            </w:pPr>
            <w:r w:rsidRPr="00476A01">
              <w:rPr>
                <w:b/>
                <w:color w:val="000000"/>
                <w:sz w:val="17"/>
                <w:szCs w:val="17"/>
              </w:rPr>
              <w:t>Наименование федерального проекта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CC936B" w14:textId="0DBAC141" w:rsidR="00733417" w:rsidRPr="00476A01" w:rsidRDefault="00681D8A" w:rsidP="006919BE">
            <w:pPr>
              <w:spacing w:after="60"/>
              <w:jc w:val="center"/>
              <w:rPr>
                <w:b/>
                <w:color w:val="000000"/>
                <w:sz w:val="17"/>
                <w:szCs w:val="17"/>
              </w:rPr>
            </w:pPr>
            <w:r w:rsidRPr="00476A01">
              <w:rPr>
                <w:b/>
                <w:color w:val="000000"/>
                <w:sz w:val="17"/>
                <w:szCs w:val="17"/>
              </w:rPr>
              <w:t>2019 г.</w:t>
            </w:r>
            <w:r w:rsidR="00733417" w:rsidRPr="00476A01">
              <w:rPr>
                <w:b/>
                <w:color w:val="000000"/>
                <w:sz w:val="17"/>
                <w:szCs w:val="17"/>
              </w:rPr>
              <w:t>*</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14:paraId="20402A3E" w14:textId="1F07A5DF" w:rsidR="00733417" w:rsidRPr="00476A01" w:rsidRDefault="00733417" w:rsidP="006919BE">
            <w:pPr>
              <w:spacing w:after="60"/>
              <w:jc w:val="center"/>
              <w:rPr>
                <w:b/>
                <w:color w:val="000000"/>
                <w:sz w:val="17"/>
                <w:szCs w:val="17"/>
              </w:rPr>
            </w:pPr>
            <w:r w:rsidRPr="00476A01">
              <w:rPr>
                <w:b/>
                <w:color w:val="000000"/>
                <w:sz w:val="17"/>
                <w:szCs w:val="17"/>
              </w:rPr>
              <w:t>2020 г</w:t>
            </w:r>
            <w:r w:rsidR="0025013E" w:rsidRPr="00476A01">
              <w:rPr>
                <w:b/>
                <w:color w:val="000000"/>
                <w:sz w:val="17"/>
                <w:szCs w:val="17"/>
              </w:rPr>
              <w:t>.</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58A1531B" w14:textId="0373211A" w:rsidR="00733417" w:rsidRPr="00476A01" w:rsidRDefault="00733417" w:rsidP="006919BE">
            <w:pPr>
              <w:spacing w:after="60"/>
              <w:jc w:val="center"/>
              <w:rPr>
                <w:b/>
                <w:color w:val="000000"/>
                <w:sz w:val="17"/>
                <w:szCs w:val="17"/>
              </w:rPr>
            </w:pPr>
            <w:r w:rsidRPr="00476A01">
              <w:rPr>
                <w:b/>
                <w:color w:val="000000"/>
                <w:sz w:val="17"/>
                <w:szCs w:val="17"/>
              </w:rPr>
              <w:t xml:space="preserve">2021 </w:t>
            </w:r>
            <w:r w:rsidR="0025013E" w:rsidRPr="00476A01">
              <w:rPr>
                <w:b/>
                <w:color w:val="000000"/>
                <w:sz w:val="17"/>
                <w:szCs w:val="17"/>
              </w:rPr>
              <w:t>г.</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14:paraId="3FFE27B2" w14:textId="72C981B0" w:rsidR="00733417" w:rsidRPr="00476A01" w:rsidRDefault="00733417" w:rsidP="006919BE">
            <w:pPr>
              <w:spacing w:after="60"/>
              <w:jc w:val="center"/>
              <w:rPr>
                <w:b/>
                <w:color w:val="000000"/>
                <w:sz w:val="17"/>
                <w:szCs w:val="17"/>
              </w:rPr>
            </w:pPr>
            <w:r w:rsidRPr="00476A01">
              <w:rPr>
                <w:b/>
                <w:color w:val="000000"/>
                <w:sz w:val="17"/>
                <w:szCs w:val="17"/>
              </w:rPr>
              <w:t xml:space="preserve">2022 </w:t>
            </w:r>
            <w:r w:rsidR="0025013E" w:rsidRPr="00476A01">
              <w:rPr>
                <w:b/>
                <w:color w:val="000000"/>
                <w:sz w:val="17"/>
                <w:szCs w:val="17"/>
              </w:rPr>
              <w:t>г.</w:t>
            </w:r>
          </w:p>
        </w:tc>
      </w:tr>
      <w:tr w:rsidR="00681D8A" w:rsidRPr="00476A01" w14:paraId="0CA7D50A" w14:textId="77777777" w:rsidTr="00476A01">
        <w:trPr>
          <w:trHeight w:val="645"/>
          <w:tblHeader/>
        </w:trPr>
        <w:tc>
          <w:tcPr>
            <w:tcW w:w="1418" w:type="dxa"/>
            <w:vMerge/>
            <w:tcBorders>
              <w:top w:val="single" w:sz="4" w:space="0" w:color="auto"/>
              <w:left w:val="single" w:sz="4" w:space="0" w:color="auto"/>
              <w:bottom w:val="single" w:sz="4" w:space="0" w:color="000000"/>
              <w:right w:val="single" w:sz="4" w:space="0" w:color="auto"/>
            </w:tcBorders>
            <w:vAlign w:val="center"/>
            <w:hideMark/>
          </w:tcPr>
          <w:p w14:paraId="52C85BBD" w14:textId="77777777" w:rsidR="00733417" w:rsidRPr="001644A4" w:rsidRDefault="00733417" w:rsidP="006919BE">
            <w:pPr>
              <w:spacing w:after="60"/>
              <w:rPr>
                <w:b/>
                <w:color w:val="000000"/>
                <w:sz w:val="17"/>
                <w:szCs w:val="17"/>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B74440A" w14:textId="77777777" w:rsidR="00733417" w:rsidRPr="001644A4" w:rsidRDefault="00733417" w:rsidP="006919BE">
            <w:pPr>
              <w:spacing w:after="60"/>
              <w:rPr>
                <w:b/>
                <w:color w:val="000000"/>
                <w:sz w:val="17"/>
                <w:szCs w:val="17"/>
              </w:rPr>
            </w:pPr>
          </w:p>
        </w:tc>
        <w:tc>
          <w:tcPr>
            <w:tcW w:w="709" w:type="dxa"/>
            <w:tcBorders>
              <w:top w:val="nil"/>
              <w:left w:val="nil"/>
              <w:bottom w:val="single" w:sz="4" w:space="0" w:color="auto"/>
              <w:right w:val="single" w:sz="4" w:space="0" w:color="auto"/>
            </w:tcBorders>
            <w:shd w:val="clear" w:color="auto" w:fill="auto"/>
            <w:vAlign w:val="center"/>
            <w:hideMark/>
          </w:tcPr>
          <w:p w14:paraId="6663206D" w14:textId="77777777" w:rsidR="00733417" w:rsidRPr="001644A4" w:rsidRDefault="00733417" w:rsidP="006919BE">
            <w:pPr>
              <w:spacing w:after="60"/>
              <w:jc w:val="center"/>
              <w:rPr>
                <w:b/>
                <w:color w:val="000000"/>
                <w:sz w:val="17"/>
                <w:szCs w:val="17"/>
              </w:rPr>
            </w:pPr>
            <w:r w:rsidRPr="001644A4">
              <w:rPr>
                <w:b/>
                <w:color w:val="000000"/>
                <w:sz w:val="17"/>
                <w:szCs w:val="17"/>
              </w:rPr>
              <w:t>Закон</w:t>
            </w:r>
            <w:r w:rsidRPr="001644A4">
              <w:rPr>
                <w:b/>
                <w:color w:val="000000"/>
                <w:sz w:val="17"/>
                <w:szCs w:val="17"/>
              </w:rPr>
              <w:br/>
              <w:t>№ 459-ФЗ</w:t>
            </w:r>
          </w:p>
        </w:tc>
        <w:tc>
          <w:tcPr>
            <w:tcW w:w="708" w:type="dxa"/>
            <w:tcBorders>
              <w:top w:val="nil"/>
              <w:left w:val="nil"/>
              <w:bottom w:val="single" w:sz="4" w:space="0" w:color="auto"/>
              <w:right w:val="single" w:sz="4" w:space="0" w:color="auto"/>
            </w:tcBorders>
            <w:shd w:val="clear" w:color="auto" w:fill="auto"/>
            <w:vAlign w:val="center"/>
            <w:hideMark/>
          </w:tcPr>
          <w:p w14:paraId="03DFEBEA" w14:textId="77777777" w:rsidR="00733417" w:rsidRPr="001644A4" w:rsidRDefault="00733417" w:rsidP="006919BE">
            <w:pPr>
              <w:spacing w:after="60"/>
              <w:jc w:val="center"/>
              <w:rPr>
                <w:b/>
                <w:color w:val="000000"/>
                <w:sz w:val="17"/>
                <w:szCs w:val="17"/>
              </w:rPr>
            </w:pPr>
            <w:r w:rsidRPr="001644A4">
              <w:rPr>
                <w:b/>
                <w:color w:val="000000"/>
                <w:sz w:val="17"/>
                <w:szCs w:val="17"/>
              </w:rPr>
              <w:t>Законо-</w:t>
            </w:r>
            <w:r w:rsidRPr="001644A4">
              <w:rPr>
                <w:b/>
                <w:color w:val="000000"/>
                <w:sz w:val="17"/>
                <w:szCs w:val="17"/>
              </w:rPr>
              <w:br/>
              <w:t>проект</w:t>
            </w:r>
          </w:p>
        </w:tc>
        <w:tc>
          <w:tcPr>
            <w:tcW w:w="851" w:type="dxa"/>
            <w:tcBorders>
              <w:top w:val="nil"/>
              <w:left w:val="nil"/>
              <w:bottom w:val="single" w:sz="4" w:space="0" w:color="auto"/>
              <w:right w:val="single" w:sz="4" w:space="0" w:color="auto"/>
            </w:tcBorders>
            <w:shd w:val="clear" w:color="auto" w:fill="auto"/>
            <w:vAlign w:val="center"/>
            <w:hideMark/>
          </w:tcPr>
          <w:p w14:paraId="406A1C37" w14:textId="77777777" w:rsidR="00733417" w:rsidRPr="00476A01" w:rsidRDefault="00733417" w:rsidP="006919BE">
            <w:pPr>
              <w:spacing w:after="60"/>
              <w:jc w:val="center"/>
              <w:rPr>
                <w:b/>
                <w:i/>
                <w:color w:val="000000"/>
                <w:sz w:val="17"/>
                <w:szCs w:val="17"/>
              </w:rPr>
            </w:pPr>
            <w:r w:rsidRPr="00476A01">
              <w:rPr>
                <w:b/>
                <w:i/>
                <w:color w:val="000000"/>
                <w:sz w:val="17"/>
                <w:szCs w:val="17"/>
              </w:rPr>
              <w:t>Δ к закону, %</w:t>
            </w:r>
          </w:p>
        </w:tc>
        <w:tc>
          <w:tcPr>
            <w:tcW w:w="709" w:type="dxa"/>
            <w:tcBorders>
              <w:top w:val="nil"/>
              <w:left w:val="nil"/>
              <w:bottom w:val="single" w:sz="4" w:space="0" w:color="auto"/>
              <w:right w:val="single" w:sz="4" w:space="0" w:color="auto"/>
            </w:tcBorders>
            <w:shd w:val="clear" w:color="auto" w:fill="auto"/>
            <w:vAlign w:val="center"/>
            <w:hideMark/>
          </w:tcPr>
          <w:p w14:paraId="41C94A43" w14:textId="77777777" w:rsidR="00733417" w:rsidRPr="00476A01" w:rsidRDefault="00733417" w:rsidP="006919BE">
            <w:pPr>
              <w:spacing w:after="60"/>
              <w:jc w:val="center"/>
              <w:rPr>
                <w:b/>
                <w:color w:val="000000"/>
                <w:sz w:val="17"/>
                <w:szCs w:val="17"/>
              </w:rPr>
            </w:pPr>
            <w:r w:rsidRPr="00476A01">
              <w:rPr>
                <w:b/>
                <w:color w:val="000000"/>
                <w:sz w:val="17"/>
                <w:szCs w:val="17"/>
              </w:rPr>
              <w:t>Закон</w:t>
            </w:r>
            <w:r w:rsidRPr="00476A01">
              <w:rPr>
                <w:b/>
                <w:color w:val="000000"/>
                <w:sz w:val="17"/>
                <w:szCs w:val="17"/>
              </w:rPr>
              <w:br/>
              <w:t>№ 459-ФЗ</w:t>
            </w:r>
          </w:p>
        </w:tc>
        <w:tc>
          <w:tcPr>
            <w:tcW w:w="850" w:type="dxa"/>
            <w:tcBorders>
              <w:top w:val="nil"/>
              <w:left w:val="nil"/>
              <w:bottom w:val="single" w:sz="4" w:space="0" w:color="auto"/>
              <w:right w:val="single" w:sz="4" w:space="0" w:color="auto"/>
            </w:tcBorders>
            <w:shd w:val="clear" w:color="auto" w:fill="auto"/>
            <w:vAlign w:val="center"/>
            <w:hideMark/>
          </w:tcPr>
          <w:p w14:paraId="6232D5D6" w14:textId="77777777" w:rsidR="00733417" w:rsidRPr="00476A01" w:rsidRDefault="00733417" w:rsidP="006919BE">
            <w:pPr>
              <w:spacing w:after="60"/>
              <w:jc w:val="center"/>
              <w:rPr>
                <w:b/>
                <w:color w:val="000000"/>
                <w:sz w:val="17"/>
                <w:szCs w:val="17"/>
              </w:rPr>
            </w:pPr>
            <w:r w:rsidRPr="00476A01">
              <w:rPr>
                <w:b/>
                <w:color w:val="000000"/>
                <w:sz w:val="17"/>
                <w:szCs w:val="17"/>
              </w:rPr>
              <w:t>Законо-</w:t>
            </w:r>
            <w:r w:rsidRPr="00476A01">
              <w:rPr>
                <w:b/>
                <w:color w:val="000000"/>
                <w:sz w:val="17"/>
                <w:szCs w:val="17"/>
              </w:rPr>
              <w:br/>
              <w:t>проект</w:t>
            </w:r>
          </w:p>
        </w:tc>
        <w:tc>
          <w:tcPr>
            <w:tcW w:w="851" w:type="dxa"/>
            <w:tcBorders>
              <w:top w:val="nil"/>
              <w:left w:val="nil"/>
              <w:bottom w:val="single" w:sz="4" w:space="0" w:color="auto"/>
              <w:right w:val="single" w:sz="4" w:space="0" w:color="auto"/>
            </w:tcBorders>
            <w:shd w:val="clear" w:color="auto" w:fill="auto"/>
            <w:vAlign w:val="center"/>
            <w:hideMark/>
          </w:tcPr>
          <w:p w14:paraId="5342695A" w14:textId="77777777" w:rsidR="00733417" w:rsidRPr="00476A01" w:rsidRDefault="00733417" w:rsidP="006919BE">
            <w:pPr>
              <w:spacing w:after="60"/>
              <w:jc w:val="center"/>
              <w:rPr>
                <w:b/>
                <w:i/>
                <w:color w:val="000000"/>
                <w:sz w:val="17"/>
                <w:szCs w:val="17"/>
              </w:rPr>
            </w:pPr>
            <w:r w:rsidRPr="00476A01">
              <w:rPr>
                <w:b/>
                <w:i/>
                <w:color w:val="000000"/>
                <w:sz w:val="17"/>
                <w:szCs w:val="17"/>
              </w:rPr>
              <w:t>Δ к закону, %</w:t>
            </w:r>
          </w:p>
        </w:tc>
        <w:tc>
          <w:tcPr>
            <w:tcW w:w="850" w:type="dxa"/>
            <w:tcBorders>
              <w:top w:val="nil"/>
              <w:left w:val="nil"/>
              <w:bottom w:val="single" w:sz="4" w:space="0" w:color="auto"/>
              <w:right w:val="single" w:sz="4" w:space="0" w:color="auto"/>
            </w:tcBorders>
            <w:shd w:val="clear" w:color="auto" w:fill="auto"/>
            <w:vAlign w:val="center"/>
            <w:hideMark/>
          </w:tcPr>
          <w:p w14:paraId="35D09024" w14:textId="77777777" w:rsidR="00733417" w:rsidRPr="00476A01" w:rsidRDefault="00733417" w:rsidP="006919BE">
            <w:pPr>
              <w:spacing w:after="60"/>
              <w:jc w:val="center"/>
              <w:rPr>
                <w:b/>
                <w:color w:val="000000"/>
                <w:sz w:val="17"/>
                <w:szCs w:val="17"/>
              </w:rPr>
            </w:pPr>
            <w:r w:rsidRPr="00476A01">
              <w:rPr>
                <w:b/>
                <w:color w:val="000000"/>
                <w:sz w:val="17"/>
                <w:szCs w:val="17"/>
              </w:rPr>
              <w:t>Паспорт проекта</w:t>
            </w:r>
          </w:p>
        </w:tc>
        <w:tc>
          <w:tcPr>
            <w:tcW w:w="851" w:type="dxa"/>
            <w:tcBorders>
              <w:top w:val="nil"/>
              <w:left w:val="nil"/>
              <w:bottom w:val="single" w:sz="4" w:space="0" w:color="auto"/>
              <w:right w:val="single" w:sz="4" w:space="0" w:color="auto"/>
            </w:tcBorders>
            <w:shd w:val="clear" w:color="auto" w:fill="auto"/>
            <w:vAlign w:val="center"/>
            <w:hideMark/>
          </w:tcPr>
          <w:p w14:paraId="1D3684E1" w14:textId="77777777" w:rsidR="00733417" w:rsidRPr="00476A01" w:rsidRDefault="00733417" w:rsidP="006919BE">
            <w:pPr>
              <w:spacing w:after="60"/>
              <w:jc w:val="center"/>
              <w:rPr>
                <w:b/>
                <w:color w:val="000000"/>
                <w:sz w:val="17"/>
                <w:szCs w:val="17"/>
              </w:rPr>
            </w:pPr>
            <w:r w:rsidRPr="00476A01">
              <w:rPr>
                <w:b/>
                <w:color w:val="000000"/>
                <w:sz w:val="17"/>
                <w:szCs w:val="17"/>
              </w:rPr>
              <w:t>Законо-</w:t>
            </w:r>
            <w:r w:rsidRPr="00476A01">
              <w:rPr>
                <w:b/>
                <w:color w:val="000000"/>
                <w:sz w:val="17"/>
                <w:szCs w:val="17"/>
              </w:rPr>
              <w:br/>
              <w:t>проект</w:t>
            </w:r>
          </w:p>
        </w:tc>
        <w:tc>
          <w:tcPr>
            <w:tcW w:w="992" w:type="dxa"/>
            <w:tcBorders>
              <w:top w:val="nil"/>
              <w:left w:val="nil"/>
              <w:bottom w:val="single" w:sz="4" w:space="0" w:color="auto"/>
              <w:right w:val="single" w:sz="4" w:space="0" w:color="auto"/>
            </w:tcBorders>
            <w:shd w:val="clear" w:color="auto" w:fill="auto"/>
            <w:vAlign w:val="center"/>
            <w:hideMark/>
          </w:tcPr>
          <w:p w14:paraId="4F94705F" w14:textId="77777777" w:rsidR="00733417" w:rsidRPr="00476A01" w:rsidRDefault="00733417" w:rsidP="006919BE">
            <w:pPr>
              <w:spacing w:after="60"/>
              <w:jc w:val="center"/>
              <w:rPr>
                <w:b/>
                <w:i/>
                <w:color w:val="000000"/>
                <w:sz w:val="17"/>
                <w:szCs w:val="17"/>
              </w:rPr>
            </w:pPr>
            <w:r w:rsidRPr="00476A01">
              <w:rPr>
                <w:b/>
                <w:i/>
                <w:color w:val="000000"/>
                <w:sz w:val="17"/>
                <w:szCs w:val="17"/>
              </w:rPr>
              <w:t>Δ к паспорту проекта на 2022 год, %</w:t>
            </w:r>
          </w:p>
        </w:tc>
      </w:tr>
      <w:tr w:rsidR="00681D8A" w:rsidRPr="00476A01" w14:paraId="7FDE05FD" w14:textId="77777777" w:rsidTr="00476A01">
        <w:trPr>
          <w:trHeight w:val="245"/>
          <w:tblHeader/>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DA4A306" w14:textId="77777777" w:rsidR="00733417" w:rsidRPr="00476A01" w:rsidRDefault="00733417" w:rsidP="006919BE">
            <w:pPr>
              <w:spacing w:after="60"/>
              <w:jc w:val="center"/>
              <w:rPr>
                <w:color w:val="000000"/>
                <w:sz w:val="17"/>
                <w:szCs w:val="17"/>
              </w:rPr>
            </w:pPr>
            <w:r w:rsidRPr="00476A01">
              <w:rPr>
                <w:color w:val="000000"/>
                <w:sz w:val="17"/>
                <w:szCs w:val="17"/>
              </w:rPr>
              <w:t>1</w:t>
            </w:r>
          </w:p>
        </w:tc>
        <w:tc>
          <w:tcPr>
            <w:tcW w:w="709" w:type="dxa"/>
            <w:tcBorders>
              <w:top w:val="nil"/>
              <w:left w:val="nil"/>
              <w:bottom w:val="single" w:sz="4" w:space="0" w:color="auto"/>
              <w:right w:val="single" w:sz="4" w:space="0" w:color="auto"/>
            </w:tcBorders>
            <w:shd w:val="clear" w:color="auto" w:fill="auto"/>
            <w:vAlign w:val="center"/>
            <w:hideMark/>
          </w:tcPr>
          <w:p w14:paraId="500ECE1B" w14:textId="77777777" w:rsidR="00733417" w:rsidRPr="00476A01" w:rsidRDefault="00733417" w:rsidP="006919BE">
            <w:pPr>
              <w:spacing w:after="60"/>
              <w:jc w:val="center"/>
              <w:rPr>
                <w:color w:val="000000"/>
                <w:sz w:val="17"/>
                <w:szCs w:val="17"/>
              </w:rPr>
            </w:pPr>
            <w:r w:rsidRPr="00476A01">
              <w:rPr>
                <w:color w:val="000000"/>
                <w:sz w:val="17"/>
                <w:szCs w:val="17"/>
              </w:rPr>
              <w:t>2</w:t>
            </w:r>
          </w:p>
        </w:tc>
        <w:tc>
          <w:tcPr>
            <w:tcW w:w="709" w:type="dxa"/>
            <w:tcBorders>
              <w:top w:val="nil"/>
              <w:left w:val="nil"/>
              <w:bottom w:val="single" w:sz="4" w:space="0" w:color="auto"/>
              <w:right w:val="single" w:sz="4" w:space="0" w:color="auto"/>
            </w:tcBorders>
            <w:shd w:val="clear" w:color="auto" w:fill="auto"/>
            <w:vAlign w:val="center"/>
            <w:hideMark/>
          </w:tcPr>
          <w:p w14:paraId="6305D319" w14:textId="77777777" w:rsidR="00733417" w:rsidRPr="00476A01" w:rsidRDefault="00733417" w:rsidP="006919BE">
            <w:pPr>
              <w:spacing w:after="60"/>
              <w:jc w:val="center"/>
              <w:rPr>
                <w:color w:val="000000"/>
                <w:sz w:val="17"/>
                <w:szCs w:val="17"/>
              </w:rPr>
            </w:pPr>
            <w:r w:rsidRPr="00476A01">
              <w:rPr>
                <w:color w:val="000000"/>
                <w:sz w:val="17"/>
                <w:szCs w:val="17"/>
              </w:rPr>
              <w:t>3</w:t>
            </w:r>
          </w:p>
        </w:tc>
        <w:tc>
          <w:tcPr>
            <w:tcW w:w="708" w:type="dxa"/>
            <w:tcBorders>
              <w:top w:val="nil"/>
              <w:left w:val="nil"/>
              <w:bottom w:val="single" w:sz="4" w:space="0" w:color="auto"/>
              <w:right w:val="single" w:sz="4" w:space="0" w:color="auto"/>
            </w:tcBorders>
            <w:shd w:val="clear" w:color="auto" w:fill="auto"/>
            <w:vAlign w:val="center"/>
            <w:hideMark/>
          </w:tcPr>
          <w:p w14:paraId="7180587F" w14:textId="77777777" w:rsidR="00733417" w:rsidRPr="00476A01" w:rsidRDefault="00733417" w:rsidP="006919BE">
            <w:pPr>
              <w:spacing w:after="60"/>
              <w:jc w:val="center"/>
              <w:rPr>
                <w:color w:val="000000"/>
                <w:sz w:val="17"/>
                <w:szCs w:val="17"/>
              </w:rPr>
            </w:pPr>
            <w:r w:rsidRPr="00476A01">
              <w:rPr>
                <w:color w:val="000000"/>
                <w:sz w:val="17"/>
                <w:szCs w:val="17"/>
              </w:rPr>
              <w:t>4</w:t>
            </w:r>
          </w:p>
        </w:tc>
        <w:tc>
          <w:tcPr>
            <w:tcW w:w="851" w:type="dxa"/>
            <w:tcBorders>
              <w:top w:val="nil"/>
              <w:left w:val="nil"/>
              <w:bottom w:val="single" w:sz="4" w:space="0" w:color="auto"/>
              <w:right w:val="single" w:sz="4" w:space="0" w:color="auto"/>
            </w:tcBorders>
            <w:shd w:val="clear" w:color="auto" w:fill="auto"/>
            <w:vAlign w:val="center"/>
            <w:hideMark/>
          </w:tcPr>
          <w:p w14:paraId="1CD29B7F" w14:textId="77777777" w:rsidR="00681D8A" w:rsidRPr="00476A01" w:rsidRDefault="00733417" w:rsidP="006919BE">
            <w:pPr>
              <w:spacing w:after="60"/>
              <w:jc w:val="center"/>
              <w:rPr>
                <w:i/>
                <w:color w:val="000000"/>
                <w:sz w:val="17"/>
                <w:szCs w:val="17"/>
              </w:rPr>
            </w:pPr>
            <w:r w:rsidRPr="00476A01">
              <w:rPr>
                <w:i/>
                <w:color w:val="000000"/>
                <w:sz w:val="17"/>
                <w:szCs w:val="17"/>
              </w:rPr>
              <w:t>5=4/3*</w:t>
            </w:r>
          </w:p>
          <w:p w14:paraId="63CFE7FC" w14:textId="444B6E48" w:rsidR="00733417" w:rsidRPr="00476A01" w:rsidRDefault="00733417" w:rsidP="006919BE">
            <w:pPr>
              <w:spacing w:after="60"/>
              <w:jc w:val="center"/>
              <w:rPr>
                <w:i/>
                <w:color w:val="000000"/>
                <w:sz w:val="17"/>
                <w:szCs w:val="17"/>
              </w:rPr>
            </w:pPr>
            <w:r w:rsidRPr="00476A01">
              <w:rPr>
                <w:i/>
                <w:color w:val="000000"/>
                <w:sz w:val="17"/>
                <w:szCs w:val="17"/>
              </w:rPr>
              <w:t>100</w:t>
            </w:r>
          </w:p>
        </w:tc>
        <w:tc>
          <w:tcPr>
            <w:tcW w:w="709" w:type="dxa"/>
            <w:tcBorders>
              <w:top w:val="nil"/>
              <w:left w:val="nil"/>
              <w:bottom w:val="single" w:sz="4" w:space="0" w:color="auto"/>
              <w:right w:val="single" w:sz="4" w:space="0" w:color="auto"/>
            </w:tcBorders>
            <w:shd w:val="clear" w:color="auto" w:fill="auto"/>
            <w:vAlign w:val="center"/>
            <w:hideMark/>
          </w:tcPr>
          <w:p w14:paraId="3A03A575" w14:textId="77777777" w:rsidR="00733417" w:rsidRPr="00476A01" w:rsidRDefault="00733417" w:rsidP="006919BE">
            <w:pPr>
              <w:spacing w:after="60"/>
              <w:jc w:val="center"/>
              <w:rPr>
                <w:color w:val="000000"/>
                <w:sz w:val="17"/>
                <w:szCs w:val="17"/>
              </w:rPr>
            </w:pPr>
            <w:r w:rsidRPr="00476A01">
              <w:rPr>
                <w:color w:val="000000"/>
                <w:sz w:val="17"/>
                <w:szCs w:val="17"/>
              </w:rPr>
              <w:t>6</w:t>
            </w:r>
          </w:p>
        </w:tc>
        <w:tc>
          <w:tcPr>
            <w:tcW w:w="850" w:type="dxa"/>
            <w:tcBorders>
              <w:top w:val="nil"/>
              <w:left w:val="nil"/>
              <w:bottom w:val="single" w:sz="4" w:space="0" w:color="auto"/>
              <w:right w:val="single" w:sz="4" w:space="0" w:color="auto"/>
            </w:tcBorders>
            <w:shd w:val="clear" w:color="auto" w:fill="auto"/>
            <w:vAlign w:val="center"/>
            <w:hideMark/>
          </w:tcPr>
          <w:p w14:paraId="38EF5D76" w14:textId="77777777" w:rsidR="00733417" w:rsidRPr="00476A01" w:rsidRDefault="00733417" w:rsidP="006919BE">
            <w:pPr>
              <w:spacing w:after="60"/>
              <w:jc w:val="center"/>
              <w:rPr>
                <w:color w:val="000000"/>
                <w:sz w:val="17"/>
                <w:szCs w:val="17"/>
              </w:rPr>
            </w:pPr>
            <w:r w:rsidRPr="00476A01">
              <w:rPr>
                <w:color w:val="000000"/>
                <w:sz w:val="17"/>
                <w:szCs w:val="17"/>
              </w:rPr>
              <w:t>7</w:t>
            </w:r>
          </w:p>
        </w:tc>
        <w:tc>
          <w:tcPr>
            <w:tcW w:w="851" w:type="dxa"/>
            <w:tcBorders>
              <w:top w:val="nil"/>
              <w:left w:val="nil"/>
              <w:bottom w:val="single" w:sz="4" w:space="0" w:color="auto"/>
              <w:right w:val="single" w:sz="4" w:space="0" w:color="auto"/>
            </w:tcBorders>
            <w:shd w:val="clear" w:color="auto" w:fill="auto"/>
            <w:vAlign w:val="center"/>
            <w:hideMark/>
          </w:tcPr>
          <w:p w14:paraId="15E4CBED" w14:textId="77777777" w:rsidR="00681D8A" w:rsidRPr="00476A01" w:rsidRDefault="00733417" w:rsidP="006919BE">
            <w:pPr>
              <w:spacing w:after="60"/>
              <w:jc w:val="center"/>
              <w:rPr>
                <w:i/>
                <w:color w:val="000000"/>
                <w:sz w:val="17"/>
                <w:szCs w:val="17"/>
              </w:rPr>
            </w:pPr>
            <w:r w:rsidRPr="00476A01">
              <w:rPr>
                <w:i/>
                <w:color w:val="000000"/>
                <w:sz w:val="17"/>
                <w:szCs w:val="17"/>
              </w:rPr>
              <w:t>8=7/6*</w:t>
            </w:r>
          </w:p>
          <w:p w14:paraId="51E1372E" w14:textId="3049AFAA" w:rsidR="00733417" w:rsidRPr="00476A01" w:rsidRDefault="00733417" w:rsidP="006919BE">
            <w:pPr>
              <w:spacing w:after="60"/>
              <w:jc w:val="center"/>
              <w:rPr>
                <w:i/>
                <w:color w:val="000000"/>
                <w:sz w:val="17"/>
                <w:szCs w:val="17"/>
              </w:rPr>
            </w:pPr>
            <w:r w:rsidRPr="00476A01">
              <w:rPr>
                <w:i/>
                <w:color w:val="000000"/>
                <w:sz w:val="17"/>
                <w:szCs w:val="17"/>
              </w:rPr>
              <w:t>100</w:t>
            </w:r>
          </w:p>
        </w:tc>
        <w:tc>
          <w:tcPr>
            <w:tcW w:w="850" w:type="dxa"/>
            <w:tcBorders>
              <w:top w:val="nil"/>
              <w:left w:val="nil"/>
              <w:bottom w:val="single" w:sz="4" w:space="0" w:color="auto"/>
              <w:right w:val="single" w:sz="4" w:space="0" w:color="auto"/>
            </w:tcBorders>
            <w:shd w:val="clear" w:color="auto" w:fill="auto"/>
            <w:vAlign w:val="center"/>
            <w:hideMark/>
          </w:tcPr>
          <w:p w14:paraId="480ECC35" w14:textId="77777777" w:rsidR="00733417" w:rsidRPr="00476A01" w:rsidRDefault="00733417" w:rsidP="006919BE">
            <w:pPr>
              <w:spacing w:after="60"/>
              <w:jc w:val="center"/>
              <w:rPr>
                <w:color w:val="000000"/>
                <w:sz w:val="17"/>
                <w:szCs w:val="17"/>
              </w:rPr>
            </w:pPr>
            <w:r w:rsidRPr="00476A01">
              <w:rPr>
                <w:color w:val="000000"/>
                <w:sz w:val="17"/>
                <w:szCs w:val="17"/>
              </w:rPr>
              <w:t>9</w:t>
            </w:r>
          </w:p>
        </w:tc>
        <w:tc>
          <w:tcPr>
            <w:tcW w:w="851" w:type="dxa"/>
            <w:tcBorders>
              <w:top w:val="nil"/>
              <w:left w:val="nil"/>
              <w:bottom w:val="single" w:sz="4" w:space="0" w:color="auto"/>
              <w:right w:val="single" w:sz="4" w:space="0" w:color="auto"/>
            </w:tcBorders>
            <w:shd w:val="clear" w:color="auto" w:fill="auto"/>
            <w:vAlign w:val="center"/>
            <w:hideMark/>
          </w:tcPr>
          <w:p w14:paraId="7ABCE7B0" w14:textId="77777777" w:rsidR="00733417" w:rsidRPr="00476A01" w:rsidRDefault="00733417" w:rsidP="006919BE">
            <w:pPr>
              <w:spacing w:after="60"/>
              <w:jc w:val="center"/>
              <w:rPr>
                <w:color w:val="000000"/>
                <w:sz w:val="17"/>
                <w:szCs w:val="17"/>
              </w:rPr>
            </w:pPr>
            <w:r w:rsidRPr="00476A01">
              <w:rPr>
                <w:color w:val="000000"/>
                <w:sz w:val="17"/>
                <w:szCs w:val="17"/>
              </w:rPr>
              <w:t>10</w:t>
            </w:r>
          </w:p>
        </w:tc>
        <w:tc>
          <w:tcPr>
            <w:tcW w:w="992" w:type="dxa"/>
            <w:tcBorders>
              <w:top w:val="nil"/>
              <w:left w:val="nil"/>
              <w:bottom w:val="single" w:sz="4" w:space="0" w:color="auto"/>
              <w:right w:val="single" w:sz="4" w:space="0" w:color="auto"/>
            </w:tcBorders>
            <w:shd w:val="clear" w:color="auto" w:fill="auto"/>
            <w:vAlign w:val="center"/>
            <w:hideMark/>
          </w:tcPr>
          <w:p w14:paraId="37D856E2" w14:textId="77777777" w:rsidR="00681D8A" w:rsidRPr="00476A01" w:rsidRDefault="00733417" w:rsidP="006919BE">
            <w:pPr>
              <w:spacing w:after="60"/>
              <w:jc w:val="center"/>
              <w:rPr>
                <w:i/>
                <w:color w:val="000000"/>
                <w:sz w:val="17"/>
                <w:szCs w:val="17"/>
              </w:rPr>
            </w:pPr>
            <w:r w:rsidRPr="00476A01">
              <w:rPr>
                <w:i/>
                <w:color w:val="000000"/>
                <w:sz w:val="17"/>
                <w:szCs w:val="17"/>
              </w:rPr>
              <w:t>11=10/9*</w:t>
            </w:r>
          </w:p>
          <w:p w14:paraId="3C11545B" w14:textId="0753E081" w:rsidR="00733417" w:rsidRPr="00476A01" w:rsidRDefault="00733417" w:rsidP="006919BE">
            <w:pPr>
              <w:spacing w:after="60"/>
              <w:jc w:val="center"/>
              <w:rPr>
                <w:i/>
                <w:color w:val="000000"/>
                <w:sz w:val="17"/>
                <w:szCs w:val="17"/>
              </w:rPr>
            </w:pPr>
            <w:r w:rsidRPr="00476A01">
              <w:rPr>
                <w:i/>
                <w:color w:val="000000"/>
                <w:sz w:val="17"/>
                <w:szCs w:val="17"/>
              </w:rPr>
              <w:t>100</w:t>
            </w:r>
          </w:p>
        </w:tc>
      </w:tr>
      <w:tr w:rsidR="00681D8A" w:rsidRPr="00476A01" w14:paraId="06C614F4" w14:textId="77777777" w:rsidTr="00476A01">
        <w:trPr>
          <w:trHeight w:val="30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398C070" w14:textId="77777777" w:rsidR="00563506" w:rsidRPr="00476A01" w:rsidRDefault="00563506" w:rsidP="006919BE">
            <w:pPr>
              <w:spacing w:after="60"/>
              <w:rPr>
                <w:b/>
                <w:bCs/>
                <w:color w:val="000000"/>
                <w:sz w:val="17"/>
                <w:szCs w:val="17"/>
              </w:rPr>
            </w:pPr>
            <w:r w:rsidRPr="00476A01">
              <w:rPr>
                <w:b/>
                <w:bCs/>
                <w:color w:val="000000"/>
                <w:sz w:val="17"/>
                <w:szCs w:val="17"/>
              </w:rPr>
              <w:t>Всего</w:t>
            </w:r>
          </w:p>
        </w:tc>
        <w:tc>
          <w:tcPr>
            <w:tcW w:w="709" w:type="dxa"/>
            <w:tcBorders>
              <w:top w:val="nil"/>
              <w:left w:val="nil"/>
              <w:bottom w:val="single" w:sz="4" w:space="0" w:color="auto"/>
              <w:right w:val="single" w:sz="4" w:space="0" w:color="auto"/>
            </w:tcBorders>
            <w:shd w:val="clear" w:color="auto" w:fill="auto"/>
            <w:vAlign w:val="center"/>
            <w:hideMark/>
          </w:tcPr>
          <w:p w14:paraId="161B302D" w14:textId="37813353" w:rsidR="00563506" w:rsidRPr="00476A01" w:rsidRDefault="00563506" w:rsidP="006919BE">
            <w:pPr>
              <w:spacing w:after="60"/>
              <w:ind w:left="-74" w:right="-108"/>
              <w:jc w:val="center"/>
              <w:rPr>
                <w:b/>
                <w:bCs/>
                <w:color w:val="000000"/>
                <w:sz w:val="17"/>
                <w:szCs w:val="17"/>
              </w:rPr>
            </w:pPr>
            <w:r w:rsidRPr="00476A01">
              <w:rPr>
                <w:b/>
                <w:color w:val="000000"/>
                <w:sz w:val="17"/>
                <w:szCs w:val="17"/>
              </w:rPr>
              <w:t>108,0</w:t>
            </w:r>
          </w:p>
        </w:tc>
        <w:tc>
          <w:tcPr>
            <w:tcW w:w="709" w:type="dxa"/>
            <w:tcBorders>
              <w:top w:val="nil"/>
              <w:left w:val="nil"/>
              <w:bottom w:val="single" w:sz="4" w:space="0" w:color="auto"/>
              <w:right w:val="single" w:sz="4" w:space="0" w:color="auto"/>
            </w:tcBorders>
            <w:shd w:val="clear" w:color="auto" w:fill="auto"/>
            <w:vAlign w:val="center"/>
            <w:hideMark/>
          </w:tcPr>
          <w:p w14:paraId="2C13FDA0" w14:textId="729AD0B0" w:rsidR="00563506" w:rsidRPr="00476A01" w:rsidRDefault="00563506" w:rsidP="006919BE">
            <w:pPr>
              <w:spacing w:after="60"/>
              <w:ind w:left="-74" w:right="-108"/>
              <w:jc w:val="center"/>
              <w:rPr>
                <w:b/>
                <w:bCs/>
                <w:color w:val="000000"/>
                <w:sz w:val="17"/>
                <w:szCs w:val="17"/>
              </w:rPr>
            </w:pPr>
            <w:r w:rsidRPr="00476A01">
              <w:rPr>
                <w:b/>
                <w:color w:val="000000"/>
                <w:sz w:val="17"/>
                <w:szCs w:val="17"/>
              </w:rPr>
              <w:t>122,7</w:t>
            </w:r>
          </w:p>
        </w:tc>
        <w:tc>
          <w:tcPr>
            <w:tcW w:w="708" w:type="dxa"/>
            <w:tcBorders>
              <w:top w:val="nil"/>
              <w:left w:val="nil"/>
              <w:bottom w:val="single" w:sz="4" w:space="0" w:color="auto"/>
              <w:right w:val="single" w:sz="4" w:space="0" w:color="auto"/>
            </w:tcBorders>
            <w:shd w:val="clear" w:color="auto" w:fill="auto"/>
            <w:vAlign w:val="center"/>
            <w:hideMark/>
          </w:tcPr>
          <w:p w14:paraId="15F59D59" w14:textId="3844F277" w:rsidR="00563506" w:rsidRPr="00476A01" w:rsidRDefault="00563506" w:rsidP="006919BE">
            <w:pPr>
              <w:spacing w:after="60"/>
              <w:ind w:left="-74" w:right="-108"/>
              <w:jc w:val="center"/>
              <w:rPr>
                <w:b/>
                <w:bCs/>
                <w:color w:val="000000"/>
                <w:sz w:val="17"/>
                <w:szCs w:val="17"/>
              </w:rPr>
            </w:pPr>
            <w:r w:rsidRPr="00476A01">
              <w:rPr>
                <w:b/>
                <w:color w:val="000000"/>
                <w:sz w:val="17"/>
                <w:szCs w:val="17"/>
              </w:rPr>
              <w:t>125,9</w:t>
            </w:r>
          </w:p>
        </w:tc>
        <w:tc>
          <w:tcPr>
            <w:tcW w:w="851" w:type="dxa"/>
            <w:tcBorders>
              <w:top w:val="nil"/>
              <w:left w:val="nil"/>
              <w:bottom w:val="single" w:sz="4" w:space="0" w:color="auto"/>
              <w:right w:val="single" w:sz="4" w:space="0" w:color="auto"/>
            </w:tcBorders>
            <w:shd w:val="clear" w:color="auto" w:fill="auto"/>
            <w:vAlign w:val="center"/>
            <w:hideMark/>
          </w:tcPr>
          <w:p w14:paraId="0AA217FB" w14:textId="77777777" w:rsidR="00563506" w:rsidRPr="00476A01" w:rsidRDefault="00563506" w:rsidP="006919BE">
            <w:pPr>
              <w:spacing w:after="60"/>
              <w:ind w:left="-74" w:right="-108"/>
              <w:jc w:val="center"/>
              <w:rPr>
                <w:b/>
                <w:bCs/>
                <w:i/>
                <w:color w:val="000000"/>
                <w:sz w:val="17"/>
                <w:szCs w:val="17"/>
              </w:rPr>
            </w:pPr>
            <w:r w:rsidRPr="00476A01">
              <w:rPr>
                <w:b/>
                <w:bCs/>
                <w:i/>
                <w:color w:val="000000"/>
                <w:sz w:val="17"/>
                <w:szCs w:val="17"/>
              </w:rPr>
              <w:t>102,6</w:t>
            </w:r>
          </w:p>
        </w:tc>
        <w:tc>
          <w:tcPr>
            <w:tcW w:w="709" w:type="dxa"/>
            <w:tcBorders>
              <w:top w:val="nil"/>
              <w:left w:val="nil"/>
              <w:bottom w:val="single" w:sz="4" w:space="0" w:color="auto"/>
              <w:right w:val="single" w:sz="4" w:space="0" w:color="auto"/>
            </w:tcBorders>
            <w:shd w:val="clear" w:color="auto" w:fill="auto"/>
            <w:vAlign w:val="center"/>
            <w:hideMark/>
          </w:tcPr>
          <w:p w14:paraId="077EB7F4" w14:textId="481682E4" w:rsidR="00563506" w:rsidRPr="00476A01" w:rsidRDefault="00563506" w:rsidP="006919BE">
            <w:pPr>
              <w:spacing w:after="60"/>
              <w:ind w:left="-74" w:right="-108"/>
              <w:jc w:val="center"/>
              <w:rPr>
                <w:b/>
                <w:bCs/>
                <w:color w:val="000000"/>
                <w:sz w:val="17"/>
                <w:szCs w:val="17"/>
              </w:rPr>
            </w:pPr>
            <w:r w:rsidRPr="00476A01">
              <w:rPr>
                <w:b/>
                <w:color w:val="000000"/>
                <w:sz w:val="17"/>
                <w:szCs w:val="17"/>
              </w:rPr>
              <w:t>133,3</w:t>
            </w:r>
          </w:p>
        </w:tc>
        <w:tc>
          <w:tcPr>
            <w:tcW w:w="850" w:type="dxa"/>
            <w:tcBorders>
              <w:top w:val="nil"/>
              <w:left w:val="nil"/>
              <w:bottom w:val="single" w:sz="4" w:space="0" w:color="auto"/>
              <w:right w:val="single" w:sz="4" w:space="0" w:color="auto"/>
            </w:tcBorders>
            <w:shd w:val="clear" w:color="auto" w:fill="auto"/>
            <w:vAlign w:val="center"/>
            <w:hideMark/>
          </w:tcPr>
          <w:p w14:paraId="2363AEDC" w14:textId="22A83F7E" w:rsidR="00563506" w:rsidRPr="00476A01" w:rsidRDefault="00563506" w:rsidP="006919BE">
            <w:pPr>
              <w:spacing w:after="60"/>
              <w:ind w:left="-74" w:right="-108"/>
              <w:jc w:val="center"/>
              <w:rPr>
                <w:b/>
                <w:bCs/>
                <w:color w:val="000000"/>
                <w:sz w:val="17"/>
                <w:szCs w:val="17"/>
              </w:rPr>
            </w:pPr>
            <w:r w:rsidRPr="00476A01">
              <w:rPr>
                <w:b/>
                <w:color w:val="000000"/>
                <w:sz w:val="17"/>
                <w:szCs w:val="17"/>
              </w:rPr>
              <w:t>134,7</w:t>
            </w:r>
          </w:p>
        </w:tc>
        <w:tc>
          <w:tcPr>
            <w:tcW w:w="851" w:type="dxa"/>
            <w:tcBorders>
              <w:top w:val="nil"/>
              <w:left w:val="nil"/>
              <w:bottom w:val="single" w:sz="4" w:space="0" w:color="auto"/>
              <w:right w:val="single" w:sz="4" w:space="0" w:color="auto"/>
            </w:tcBorders>
            <w:shd w:val="clear" w:color="auto" w:fill="auto"/>
            <w:vAlign w:val="center"/>
            <w:hideMark/>
          </w:tcPr>
          <w:p w14:paraId="4237EFA2" w14:textId="77777777" w:rsidR="00563506" w:rsidRPr="00476A01" w:rsidRDefault="00563506" w:rsidP="006919BE">
            <w:pPr>
              <w:spacing w:after="60"/>
              <w:ind w:left="-74" w:right="-108"/>
              <w:jc w:val="center"/>
              <w:rPr>
                <w:b/>
                <w:bCs/>
                <w:i/>
                <w:color w:val="000000"/>
                <w:sz w:val="17"/>
                <w:szCs w:val="17"/>
              </w:rPr>
            </w:pPr>
            <w:r w:rsidRPr="00476A01">
              <w:rPr>
                <w:b/>
                <w:bCs/>
                <w:i/>
                <w:color w:val="000000"/>
                <w:sz w:val="17"/>
                <w:szCs w:val="17"/>
              </w:rPr>
              <w:t>101,0</w:t>
            </w:r>
          </w:p>
        </w:tc>
        <w:tc>
          <w:tcPr>
            <w:tcW w:w="850" w:type="dxa"/>
            <w:tcBorders>
              <w:top w:val="nil"/>
              <w:left w:val="nil"/>
              <w:bottom w:val="single" w:sz="4" w:space="0" w:color="auto"/>
              <w:right w:val="single" w:sz="4" w:space="0" w:color="auto"/>
            </w:tcBorders>
            <w:shd w:val="clear" w:color="auto" w:fill="auto"/>
            <w:vAlign w:val="center"/>
            <w:hideMark/>
          </w:tcPr>
          <w:p w14:paraId="76F0FF27" w14:textId="2B98965F" w:rsidR="00563506" w:rsidRPr="00476A01" w:rsidRDefault="00563506" w:rsidP="006919BE">
            <w:pPr>
              <w:spacing w:after="60"/>
              <w:ind w:left="-74" w:right="-108"/>
              <w:jc w:val="center"/>
              <w:rPr>
                <w:b/>
                <w:bCs/>
                <w:color w:val="000000"/>
                <w:sz w:val="17"/>
                <w:szCs w:val="17"/>
              </w:rPr>
            </w:pPr>
            <w:r w:rsidRPr="00476A01">
              <w:rPr>
                <w:b/>
                <w:color w:val="000000"/>
                <w:sz w:val="17"/>
                <w:szCs w:val="17"/>
              </w:rPr>
              <w:t>118,4</w:t>
            </w:r>
          </w:p>
        </w:tc>
        <w:tc>
          <w:tcPr>
            <w:tcW w:w="851" w:type="dxa"/>
            <w:tcBorders>
              <w:top w:val="nil"/>
              <w:left w:val="nil"/>
              <w:bottom w:val="single" w:sz="4" w:space="0" w:color="auto"/>
              <w:right w:val="single" w:sz="4" w:space="0" w:color="auto"/>
            </w:tcBorders>
            <w:shd w:val="clear" w:color="auto" w:fill="auto"/>
            <w:vAlign w:val="center"/>
            <w:hideMark/>
          </w:tcPr>
          <w:p w14:paraId="16796B30" w14:textId="17CD8CF0" w:rsidR="00563506" w:rsidRPr="00476A01" w:rsidRDefault="00563506" w:rsidP="006919BE">
            <w:pPr>
              <w:spacing w:after="60"/>
              <w:ind w:left="-74" w:right="-108"/>
              <w:jc w:val="center"/>
              <w:rPr>
                <w:b/>
                <w:bCs/>
                <w:color w:val="000000"/>
                <w:sz w:val="17"/>
                <w:szCs w:val="17"/>
              </w:rPr>
            </w:pPr>
            <w:r w:rsidRPr="00476A01">
              <w:rPr>
                <w:b/>
                <w:color w:val="000000"/>
                <w:sz w:val="17"/>
                <w:szCs w:val="17"/>
              </w:rPr>
              <w:t>119,2</w:t>
            </w:r>
          </w:p>
        </w:tc>
        <w:tc>
          <w:tcPr>
            <w:tcW w:w="992" w:type="dxa"/>
            <w:tcBorders>
              <w:top w:val="nil"/>
              <w:left w:val="nil"/>
              <w:bottom w:val="single" w:sz="4" w:space="0" w:color="auto"/>
              <w:right w:val="single" w:sz="4" w:space="0" w:color="auto"/>
            </w:tcBorders>
            <w:shd w:val="clear" w:color="auto" w:fill="auto"/>
            <w:vAlign w:val="center"/>
            <w:hideMark/>
          </w:tcPr>
          <w:p w14:paraId="4B11D931" w14:textId="77777777" w:rsidR="00563506" w:rsidRPr="00476A01" w:rsidRDefault="00563506" w:rsidP="006919BE">
            <w:pPr>
              <w:spacing w:after="60"/>
              <w:ind w:left="-74" w:right="-108"/>
              <w:jc w:val="center"/>
              <w:rPr>
                <w:b/>
                <w:bCs/>
                <w:i/>
                <w:color w:val="000000"/>
                <w:sz w:val="17"/>
                <w:szCs w:val="17"/>
              </w:rPr>
            </w:pPr>
            <w:r w:rsidRPr="00476A01">
              <w:rPr>
                <w:b/>
                <w:bCs/>
                <w:i/>
                <w:color w:val="000000"/>
                <w:sz w:val="17"/>
                <w:szCs w:val="17"/>
              </w:rPr>
              <w:t>100,7</w:t>
            </w:r>
          </w:p>
        </w:tc>
      </w:tr>
      <w:tr w:rsidR="00681D8A" w:rsidRPr="00476A01" w14:paraId="0D427DBD" w14:textId="77777777" w:rsidTr="00476A01">
        <w:trPr>
          <w:trHeight w:val="30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81E9A8C" w14:textId="77777777" w:rsidR="00733417" w:rsidRPr="00476A01" w:rsidRDefault="00733417" w:rsidP="006919BE">
            <w:pPr>
              <w:spacing w:after="60"/>
              <w:rPr>
                <w:i/>
                <w:iCs/>
                <w:color w:val="000000"/>
                <w:sz w:val="17"/>
                <w:szCs w:val="17"/>
              </w:rPr>
            </w:pPr>
            <w:r w:rsidRPr="00476A01">
              <w:rPr>
                <w:i/>
                <w:iCs/>
                <w:color w:val="000000"/>
                <w:sz w:val="17"/>
                <w:szCs w:val="17"/>
              </w:rPr>
              <w:t>в том числе:</w:t>
            </w:r>
          </w:p>
        </w:tc>
        <w:tc>
          <w:tcPr>
            <w:tcW w:w="709" w:type="dxa"/>
            <w:tcBorders>
              <w:top w:val="nil"/>
              <w:left w:val="nil"/>
              <w:bottom w:val="single" w:sz="4" w:space="0" w:color="auto"/>
              <w:right w:val="single" w:sz="4" w:space="0" w:color="auto"/>
            </w:tcBorders>
            <w:shd w:val="clear" w:color="auto" w:fill="auto"/>
            <w:noWrap/>
            <w:vAlign w:val="bottom"/>
            <w:hideMark/>
          </w:tcPr>
          <w:p w14:paraId="491BD8C2" w14:textId="77777777" w:rsidR="00733417" w:rsidRPr="00476A01" w:rsidRDefault="00733417" w:rsidP="006919BE">
            <w:pPr>
              <w:spacing w:after="60"/>
              <w:ind w:left="-74" w:right="-108"/>
              <w:rPr>
                <w:color w:val="000000"/>
                <w:sz w:val="17"/>
                <w:szCs w:val="17"/>
              </w:rPr>
            </w:pPr>
            <w:r w:rsidRPr="00476A01">
              <w:rPr>
                <w:color w:val="000000"/>
                <w:sz w:val="17"/>
                <w:szCs w:val="17"/>
              </w:rPr>
              <w:t> </w:t>
            </w:r>
          </w:p>
        </w:tc>
        <w:tc>
          <w:tcPr>
            <w:tcW w:w="709" w:type="dxa"/>
            <w:tcBorders>
              <w:top w:val="nil"/>
              <w:left w:val="nil"/>
              <w:bottom w:val="single" w:sz="4" w:space="0" w:color="auto"/>
              <w:right w:val="single" w:sz="4" w:space="0" w:color="auto"/>
            </w:tcBorders>
            <w:shd w:val="clear" w:color="auto" w:fill="auto"/>
            <w:noWrap/>
            <w:vAlign w:val="bottom"/>
            <w:hideMark/>
          </w:tcPr>
          <w:p w14:paraId="4C575388" w14:textId="77777777" w:rsidR="00733417" w:rsidRPr="00476A01" w:rsidRDefault="00733417" w:rsidP="006919BE">
            <w:pPr>
              <w:spacing w:after="60"/>
              <w:ind w:left="-74" w:right="-108"/>
              <w:rPr>
                <w:color w:val="000000"/>
                <w:sz w:val="17"/>
                <w:szCs w:val="17"/>
              </w:rPr>
            </w:pPr>
            <w:r w:rsidRPr="00476A01">
              <w:rPr>
                <w:color w:val="000000"/>
                <w:sz w:val="17"/>
                <w:szCs w:val="17"/>
              </w:rPr>
              <w:t> </w:t>
            </w:r>
          </w:p>
        </w:tc>
        <w:tc>
          <w:tcPr>
            <w:tcW w:w="708" w:type="dxa"/>
            <w:tcBorders>
              <w:top w:val="nil"/>
              <w:left w:val="nil"/>
              <w:bottom w:val="single" w:sz="4" w:space="0" w:color="auto"/>
              <w:right w:val="single" w:sz="4" w:space="0" w:color="auto"/>
            </w:tcBorders>
            <w:shd w:val="clear" w:color="auto" w:fill="auto"/>
            <w:noWrap/>
            <w:vAlign w:val="bottom"/>
            <w:hideMark/>
          </w:tcPr>
          <w:p w14:paraId="4D2C6611" w14:textId="77777777" w:rsidR="00733417" w:rsidRPr="00476A01" w:rsidRDefault="00733417" w:rsidP="006919BE">
            <w:pPr>
              <w:spacing w:after="60"/>
              <w:ind w:left="-74" w:right="-108"/>
              <w:rPr>
                <w:color w:val="000000"/>
                <w:sz w:val="17"/>
                <w:szCs w:val="17"/>
              </w:rPr>
            </w:pPr>
            <w:r w:rsidRPr="00476A01">
              <w:rPr>
                <w:color w:val="000000"/>
                <w:sz w:val="17"/>
                <w:szCs w:val="17"/>
              </w:rPr>
              <w:t> </w:t>
            </w:r>
          </w:p>
        </w:tc>
        <w:tc>
          <w:tcPr>
            <w:tcW w:w="851" w:type="dxa"/>
            <w:tcBorders>
              <w:top w:val="nil"/>
              <w:left w:val="nil"/>
              <w:bottom w:val="single" w:sz="4" w:space="0" w:color="auto"/>
              <w:right w:val="single" w:sz="4" w:space="0" w:color="auto"/>
            </w:tcBorders>
            <w:shd w:val="clear" w:color="auto" w:fill="auto"/>
            <w:noWrap/>
            <w:vAlign w:val="bottom"/>
            <w:hideMark/>
          </w:tcPr>
          <w:p w14:paraId="3B5475F7" w14:textId="77777777" w:rsidR="00733417" w:rsidRPr="00476A01" w:rsidRDefault="00733417" w:rsidP="006919BE">
            <w:pPr>
              <w:spacing w:after="60"/>
              <w:ind w:left="-74" w:right="-108"/>
              <w:rPr>
                <w:i/>
                <w:color w:val="000000"/>
                <w:sz w:val="17"/>
                <w:szCs w:val="17"/>
              </w:rPr>
            </w:pPr>
            <w:r w:rsidRPr="00476A01">
              <w:rPr>
                <w:i/>
                <w:color w:val="000000"/>
                <w:sz w:val="17"/>
                <w:szCs w:val="17"/>
              </w:rPr>
              <w:t> </w:t>
            </w:r>
          </w:p>
        </w:tc>
        <w:tc>
          <w:tcPr>
            <w:tcW w:w="709" w:type="dxa"/>
            <w:tcBorders>
              <w:top w:val="nil"/>
              <w:left w:val="nil"/>
              <w:bottom w:val="single" w:sz="4" w:space="0" w:color="auto"/>
              <w:right w:val="single" w:sz="4" w:space="0" w:color="auto"/>
            </w:tcBorders>
            <w:shd w:val="clear" w:color="auto" w:fill="auto"/>
            <w:noWrap/>
            <w:vAlign w:val="bottom"/>
            <w:hideMark/>
          </w:tcPr>
          <w:p w14:paraId="323E4BC3" w14:textId="77777777" w:rsidR="00733417" w:rsidRPr="00476A01" w:rsidRDefault="00733417" w:rsidP="006919BE">
            <w:pPr>
              <w:spacing w:after="60"/>
              <w:ind w:left="-74" w:right="-108"/>
              <w:rPr>
                <w:color w:val="000000"/>
                <w:sz w:val="17"/>
                <w:szCs w:val="17"/>
              </w:rPr>
            </w:pPr>
            <w:r w:rsidRPr="00476A01">
              <w:rPr>
                <w:color w:val="000000"/>
                <w:sz w:val="17"/>
                <w:szCs w:val="17"/>
              </w:rPr>
              <w:t> </w:t>
            </w:r>
          </w:p>
        </w:tc>
        <w:tc>
          <w:tcPr>
            <w:tcW w:w="850" w:type="dxa"/>
            <w:tcBorders>
              <w:top w:val="nil"/>
              <w:left w:val="nil"/>
              <w:bottom w:val="single" w:sz="4" w:space="0" w:color="auto"/>
              <w:right w:val="single" w:sz="4" w:space="0" w:color="auto"/>
            </w:tcBorders>
            <w:shd w:val="clear" w:color="auto" w:fill="auto"/>
            <w:noWrap/>
            <w:vAlign w:val="bottom"/>
            <w:hideMark/>
          </w:tcPr>
          <w:p w14:paraId="1AED592D" w14:textId="77777777" w:rsidR="00733417" w:rsidRPr="00476A01" w:rsidRDefault="00733417" w:rsidP="006919BE">
            <w:pPr>
              <w:spacing w:after="60"/>
              <w:ind w:left="-74" w:right="-108"/>
              <w:rPr>
                <w:color w:val="000000"/>
                <w:sz w:val="17"/>
                <w:szCs w:val="17"/>
              </w:rPr>
            </w:pPr>
            <w:r w:rsidRPr="00476A01">
              <w:rPr>
                <w:color w:val="000000"/>
                <w:sz w:val="17"/>
                <w:szCs w:val="17"/>
              </w:rPr>
              <w:t> </w:t>
            </w:r>
          </w:p>
        </w:tc>
        <w:tc>
          <w:tcPr>
            <w:tcW w:w="851" w:type="dxa"/>
            <w:tcBorders>
              <w:top w:val="nil"/>
              <w:left w:val="nil"/>
              <w:bottom w:val="single" w:sz="4" w:space="0" w:color="auto"/>
              <w:right w:val="single" w:sz="4" w:space="0" w:color="auto"/>
            </w:tcBorders>
            <w:shd w:val="clear" w:color="auto" w:fill="auto"/>
            <w:noWrap/>
            <w:vAlign w:val="bottom"/>
            <w:hideMark/>
          </w:tcPr>
          <w:p w14:paraId="1E82C4F4" w14:textId="77777777" w:rsidR="00733417" w:rsidRPr="00476A01" w:rsidRDefault="00733417" w:rsidP="006919BE">
            <w:pPr>
              <w:spacing w:after="60"/>
              <w:ind w:left="-74" w:right="-108"/>
              <w:rPr>
                <w:i/>
                <w:color w:val="000000"/>
                <w:sz w:val="17"/>
                <w:szCs w:val="17"/>
              </w:rPr>
            </w:pPr>
            <w:r w:rsidRPr="00476A01">
              <w:rPr>
                <w:i/>
                <w:color w:val="000000"/>
                <w:sz w:val="17"/>
                <w:szCs w:val="17"/>
              </w:rPr>
              <w:t> </w:t>
            </w:r>
          </w:p>
        </w:tc>
        <w:tc>
          <w:tcPr>
            <w:tcW w:w="850" w:type="dxa"/>
            <w:tcBorders>
              <w:top w:val="nil"/>
              <w:left w:val="nil"/>
              <w:bottom w:val="single" w:sz="4" w:space="0" w:color="auto"/>
              <w:right w:val="single" w:sz="4" w:space="0" w:color="auto"/>
            </w:tcBorders>
            <w:shd w:val="clear" w:color="auto" w:fill="auto"/>
            <w:noWrap/>
            <w:vAlign w:val="bottom"/>
            <w:hideMark/>
          </w:tcPr>
          <w:p w14:paraId="19CA818F" w14:textId="77777777" w:rsidR="00733417" w:rsidRPr="00476A01" w:rsidRDefault="00733417" w:rsidP="006919BE">
            <w:pPr>
              <w:spacing w:after="60"/>
              <w:ind w:left="-74" w:right="-108"/>
              <w:rPr>
                <w:color w:val="000000"/>
                <w:sz w:val="17"/>
                <w:szCs w:val="17"/>
              </w:rPr>
            </w:pPr>
            <w:r w:rsidRPr="00476A01">
              <w:rPr>
                <w:color w:val="000000"/>
                <w:sz w:val="17"/>
                <w:szCs w:val="17"/>
              </w:rPr>
              <w:t> </w:t>
            </w:r>
          </w:p>
        </w:tc>
        <w:tc>
          <w:tcPr>
            <w:tcW w:w="851" w:type="dxa"/>
            <w:tcBorders>
              <w:top w:val="nil"/>
              <w:left w:val="nil"/>
              <w:bottom w:val="single" w:sz="4" w:space="0" w:color="auto"/>
              <w:right w:val="single" w:sz="4" w:space="0" w:color="auto"/>
            </w:tcBorders>
            <w:shd w:val="clear" w:color="auto" w:fill="auto"/>
            <w:noWrap/>
            <w:vAlign w:val="bottom"/>
            <w:hideMark/>
          </w:tcPr>
          <w:p w14:paraId="08D91847" w14:textId="77777777" w:rsidR="00733417" w:rsidRPr="00476A01" w:rsidRDefault="00733417" w:rsidP="006919BE">
            <w:pPr>
              <w:spacing w:after="60"/>
              <w:ind w:left="-74" w:right="-108"/>
              <w:rPr>
                <w:color w:val="000000"/>
                <w:sz w:val="17"/>
                <w:szCs w:val="17"/>
              </w:rPr>
            </w:pPr>
            <w:r w:rsidRPr="00476A01">
              <w:rPr>
                <w:color w:val="000000"/>
                <w:sz w:val="17"/>
                <w:szCs w:val="17"/>
              </w:rPr>
              <w:t> </w:t>
            </w:r>
          </w:p>
        </w:tc>
        <w:tc>
          <w:tcPr>
            <w:tcW w:w="992" w:type="dxa"/>
            <w:tcBorders>
              <w:top w:val="nil"/>
              <w:left w:val="nil"/>
              <w:bottom w:val="single" w:sz="4" w:space="0" w:color="auto"/>
              <w:right w:val="single" w:sz="4" w:space="0" w:color="auto"/>
            </w:tcBorders>
            <w:shd w:val="clear" w:color="auto" w:fill="auto"/>
            <w:noWrap/>
            <w:vAlign w:val="bottom"/>
            <w:hideMark/>
          </w:tcPr>
          <w:p w14:paraId="0B8520A8" w14:textId="77777777" w:rsidR="00733417" w:rsidRPr="00476A01" w:rsidRDefault="00733417" w:rsidP="006919BE">
            <w:pPr>
              <w:spacing w:after="60"/>
              <w:ind w:left="-74" w:right="-108"/>
              <w:rPr>
                <w:i/>
                <w:color w:val="000000"/>
                <w:sz w:val="17"/>
                <w:szCs w:val="17"/>
              </w:rPr>
            </w:pPr>
            <w:r w:rsidRPr="00476A01">
              <w:rPr>
                <w:i/>
                <w:color w:val="000000"/>
                <w:sz w:val="17"/>
                <w:szCs w:val="17"/>
              </w:rPr>
              <w:t> </w:t>
            </w:r>
          </w:p>
        </w:tc>
      </w:tr>
      <w:tr w:rsidR="00681D8A" w:rsidRPr="00476A01" w14:paraId="7AB19945" w14:textId="77777777" w:rsidTr="00476A01">
        <w:trPr>
          <w:trHeight w:val="461"/>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ADE71AF" w14:textId="77777777" w:rsidR="00563506" w:rsidRPr="00476A01" w:rsidRDefault="00563506" w:rsidP="006919BE">
            <w:pPr>
              <w:spacing w:after="60"/>
              <w:jc w:val="both"/>
              <w:rPr>
                <w:color w:val="000000"/>
                <w:sz w:val="17"/>
                <w:szCs w:val="17"/>
              </w:rPr>
            </w:pPr>
            <w:r w:rsidRPr="00476A01">
              <w:rPr>
                <w:color w:val="000000"/>
                <w:sz w:val="17"/>
                <w:szCs w:val="17"/>
              </w:rPr>
              <w:t>Федеральный проект "Современная школа"</w:t>
            </w:r>
          </w:p>
        </w:tc>
        <w:tc>
          <w:tcPr>
            <w:tcW w:w="709" w:type="dxa"/>
            <w:tcBorders>
              <w:top w:val="nil"/>
              <w:left w:val="nil"/>
              <w:bottom w:val="single" w:sz="4" w:space="0" w:color="auto"/>
              <w:right w:val="single" w:sz="4" w:space="0" w:color="auto"/>
            </w:tcBorders>
            <w:shd w:val="clear" w:color="auto" w:fill="auto"/>
            <w:vAlign w:val="center"/>
            <w:hideMark/>
          </w:tcPr>
          <w:p w14:paraId="52BC1EFD" w14:textId="43A47F2C" w:rsidR="00563506" w:rsidRPr="00476A01" w:rsidRDefault="00563506" w:rsidP="006919BE">
            <w:pPr>
              <w:spacing w:after="60"/>
              <w:ind w:left="-74" w:right="-108"/>
              <w:jc w:val="center"/>
              <w:rPr>
                <w:color w:val="000000"/>
                <w:sz w:val="17"/>
                <w:szCs w:val="17"/>
              </w:rPr>
            </w:pPr>
            <w:r w:rsidRPr="00476A01">
              <w:rPr>
                <w:color w:val="000000"/>
                <w:sz w:val="17"/>
                <w:szCs w:val="17"/>
              </w:rPr>
              <w:t>50,7</w:t>
            </w:r>
          </w:p>
        </w:tc>
        <w:tc>
          <w:tcPr>
            <w:tcW w:w="709" w:type="dxa"/>
            <w:tcBorders>
              <w:top w:val="nil"/>
              <w:left w:val="nil"/>
              <w:bottom w:val="single" w:sz="4" w:space="0" w:color="auto"/>
              <w:right w:val="single" w:sz="4" w:space="0" w:color="auto"/>
            </w:tcBorders>
            <w:shd w:val="clear" w:color="auto" w:fill="auto"/>
            <w:vAlign w:val="center"/>
            <w:hideMark/>
          </w:tcPr>
          <w:p w14:paraId="15FDB6A4" w14:textId="18AF865D" w:rsidR="00563506" w:rsidRPr="00476A01" w:rsidRDefault="00563506" w:rsidP="006919BE">
            <w:pPr>
              <w:spacing w:after="60"/>
              <w:ind w:left="-74" w:right="-108"/>
              <w:jc w:val="center"/>
              <w:rPr>
                <w:color w:val="000000"/>
                <w:sz w:val="17"/>
                <w:szCs w:val="17"/>
              </w:rPr>
            </w:pPr>
            <w:r w:rsidRPr="00476A01">
              <w:rPr>
                <w:color w:val="000000"/>
                <w:sz w:val="17"/>
                <w:szCs w:val="17"/>
              </w:rPr>
              <w:t>45,2</w:t>
            </w:r>
          </w:p>
        </w:tc>
        <w:tc>
          <w:tcPr>
            <w:tcW w:w="708" w:type="dxa"/>
            <w:tcBorders>
              <w:top w:val="nil"/>
              <w:left w:val="nil"/>
              <w:bottom w:val="single" w:sz="4" w:space="0" w:color="auto"/>
              <w:right w:val="single" w:sz="4" w:space="0" w:color="auto"/>
            </w:tcBorders>
            <w:shd w:val="clear" w:color="auto" w:fill="auto"/>
            <w:vAlign w:val="center"/>
            <w:hideMark/>
          </w:tcPr>
          <w:p w14:paraId="4154662E" w14:textId="20C26D49" w:rsidR="00563506" w:rsidRPr="00476A01" w:rsidRDefault="00563506" w:rsidP="006919BE">
            <w:pPr>
              <w:spacing w:after="60"/>
              <w:ind w:left="-74" w:right="-108"/>
              <w:jc w:val="center"/>
              <w:rPr>
                <w:color w:val="000000"/>
                <w:sz w:val="17"/>
                <w:szCs w:val="17"/>
              </w:rPr>
            </w:pPr>
            <w:r w:rsidRPr="00476A01">
              <w:rPr>
                <w:color w:val="000000"/>
                <w:sz w:val="17"/>
                <w:szCs w:val="17"/>
              </w:rPr>
              <w:t>47,0</w:t>
            </w:r>
          </w:p>
        </w:tc>
        <w:tc>
          <w:tcPr>
            <w:tcW w:w="851" w:type="dxa"/>
            <w:tcBorders>
              <w:top w:val="nil"/>
              <w:left w:val="nil"/>
              <w:bottom w:val="single" w:sz="4" w:space="0" w:color="auto"/>
              <w:right w:val="single" w:sz="4" w:space="0" w:color="auto"/>
            </w:tcBorders>
            <w:shd w:val="clear" w:color="auto" w:fill="auto"/>
            <w:vAlign w:val="center"/>
            <w:hideMark/>
          </w:tcPr>
          <w:p w14:paraId="5DE0B9D1"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104,0</w:t>
            </w:r>
          </w:p>
        </w:tc>
        <w:tc>
          <w:tcPr>
            <w:tcW w:w="709" w:type="dxa"/>
            <w:tcBorders>
              <w:top w:val="nil"/>
              <w:left w:val="nil"/>
              <w:bottom w:val="single" w:sz="4" w:space="0" w:color="auto"/>
              <w:right w:val="single" w:sz="4" w:space="0" w:color="auto"/>
            </w:tcBorders>
            <w:shd w:val="clear" w:color="auto" w:fill="auto"/>
            <w:vAlign w:val="center"/>
            <w:hideMark/>
          </w:tcPr>
          <w:p w14:paraId="11456F3B" w14:textId="5DE758A4" w:rsidR="00563506" w:rsidRPr="00476A01" w:rsidRDefault="00563506" w:rsidP="006919BE">
            <w:pPr>
              <w:spacing w:after="60"/>
              <w:ind w:left="-74" w:right="-108"/>
              <w:jc w:val="center"/>
              <w:rPr>
                <w:color w:val="000000"/>
                <w:sz w:val="17"/>
                <w:szCs w:val="17"/>
              </w:rPr>
            </w:pPr>
            <w:r w:rsidRPr="00476A01">
              <w:rPr>
                <w:color w:val="000000"/>
                <w:sz w:val="17"/>
                <w:szCs w:val="17"/>
              </w:rPr>
              <w:t>45,6</w:t>
            </w:r>
          </w:p>
        </w:tc>
        <w:tc>
          <w:tcPr>
            <w:tcW w:w="850" w:type="dxa"/>
            <w:tcBorders>
              <w:top w:val="nil"/>
              <w:left w:val="nil"/>
              <w:bottom w:val="single" w:sz="4" w:space="0" w:color="auto"/>
              <w:right w:val="single" w:sz="4" w:space="0" w:color="auto"/>
            </w:tcBorders>
            <w:shd w:val="clear" w:color="auto" w:fill="auto"/>
            <w:vAlign w:val="center"/>
            <w:hideMark/>
          </w:tcPr>
          <w:p w14:paraId="2FC8D7EB" w14:textId="0F408497" w:rsidR="00563506" w:rsidRPr="00476A01" w:rsidRDefault="00563506" w:rsidP="006919BE">
            <w:pPr>
              <w:spacing w:after="60"/>
              <w:ind w:left="-74" w:right="-108"/>
              <w:jc w:val="center"/>
              <w:rPr>
                <w:color w:val="000000"/>
                <w:sz w:val="17"/>
                <w:szCs w:val="17"/>
              </w:rPr>
            </w:pPr>
            <w:r w:rsidRPr="00476A01">
              <w:rPr>
                <w:color w:val="000000"/>
                <w:sz w:val="17"/>
                <w:szCs w:val="17"/>
              </w:rPr>
              <w:t>46,6</w:t>
            </w:r>
          </w:p>
        </w:tc>
        <w:tc>
          <w:tcPr>
            <w:tcW w:w="851" w:type="dxa"/>
            <w:tcBorders>
              <w:top w:val="nil"/>
              <w:left w:val="nil"/>
              <w:bottom w:val="single" w:sz="4" w:space="0" w:color="auto"/>
              <w:right w:val="single" w:sz="4" w:space="0" w:color="auto"/>
            </w:tcBorders>
            <w:shd w:val="clear" w:color="auto" w:fill="auto"/>
            <w:vAlign w:val="center"/>
            <w:hideMark/>
          </w:tcPr>
          <w:p w14:paraId="47100FAA"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102,2</w:t>
            </w:r>
          </w:p>
        </w:tc>
        <w:tc>
          <w:tcPr>
            <w:tcW w:w="850" w:type="dxa"/>
            <w:tcBorders>
              <w:top w:val="nil"/>
              <w:left w:val="nil"/>
              <w:bottom w:val="single" w:sz="4" w:space="0" w:color="auto"/>
              <w:right w:val="single" w:sz="4" w:space="0" w:color="auto"/>
            </w:tcBorders>
            <w:shd w:val="clear" w:color="auto" w:fill="auto"/>
            <w:vAlign w:val="center"/>
            <w:hideMark/>
          </w:tcPr>
          <w:p w14:paraId="4E35B690" w14:textId="392B55BE" w:rsidR="00563506" w:rsidRPr="00476A01" w:rsidRDefault="00563506" w:rsidP="006919BE">
            <w:pPr>
              <w:spacing w:after="60"/>
              <w:ind w:left="-74" w:right="-108"/>
              <w:jc w:val="center"/>
              <w:rPr>
                <w:color w:val="000000"/>
                <w:sz w:val="17"/>
                <w:szCs w:val="17"/>
              </w:rPr>
            </w:pPr>
            <w:r w:rsidRPr="00476A01">
              <w:rPr>
                <w:color w:val="000000"/>
                <w:sz w:val="17"/>
                <w:szCs w:val="17"/>
              </w:rPr>
              <w:t>38,2</w:t>
            </w:r>
          </w:p>
        </w:tc>
        <w:tc>
          <w:tcPr>
            <w:tcW w:w="851" w:type="dxa"/>
            <w:tcBorders>
              <w:top w:val="nil"/>
              <w:left w:val="nil"/>
              <w:bottom w:val="single" w:sz="4" w:space="0" w:color="auto"/>
              <w:right w:val="single" w:sz="4" w:space="0" w:color="auto"/>
            </w:tcBorders>
            <w:shd w:val="clear" w:color="auto" w:fill="auto"/>
            <w:vAlign w:val="center"/>
            <w:hideMark/>
          </w:tcPr>
          <w:p w14:paraId="7DA988ED" w14:textId="4E853F67" w:rsidR="00563506" w:rsidRPr="00476A01" w:rsidRDefault="00563506" w:rsidP="006919BE">
            <w:pPr>
              <w:spacing w:after="60"/>
              <w:ind w:left="-74" w:right="-108"/>
              <w:jc w:val="center"/>
              <w:rPr>
                <w:color w:val="000000"/>
                <w:sz w:val="17"/>
                <w:szCs w:val="17"/>
              </w:rPr>
            </w:pPr>
            <w:r w:rsidRPr="00476A01">
              <w:rPr>
                <w:color w:val="000000"/>
                <w:sz w:val="17"/>
                <w:szCs w:val="17"/>
              </w:rPr>
              <w:t>38,3</w:t>
            </w:r>
          </w:p>
        </w:tc>
        <w:tc>
          <w:tcPr>
            <w:tcW w:w="992" w:type="dxa"/>
            <w:tcBorders>
              <w:top w:val="nil"/>
              <w:left w:val="nil"/>
              <w:bottom w:val="single" w:sz="4" w:space="0" w:color="auto"/>
              <w:right w:val="single" w:sz="4" w:space="0" w:color="auto"/>
            </w:tcBorders>
            <w:shd w:val="clear" w:color="auto" w:fill="auto"/>
            <w:vAlign w:val="center"/>
            <w:hideMark/>
          </w:tcPr>
          <w:p w14:paraId="6BF6EB66"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100,2</w:t>
            </w:r>
          </w:p>
        </w:tc>
      </w:tr>
      <w:tr w:rsidR="00681D8A" w:rsidRPr="00476A01" w14:paraId="45BF4562" w14:textId="77777777" w:rsidTr="00476A01">
        <w:trPr>
          <w:trHeight w:val="461"/>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A51D798" w14:textId="77777777" w:rsidR="00563506" w:rsidRPr="00476A01" w:rsidRDefault="00563506" w:rsidP="006919BE">
            <w:pPr>
              <w:spacing w:after="60"/>
              <w:jc w:val="both"/>
              <w:rPr>
                <w:color w:val="000000"/>
                <w:sz w:val="17"/>
                <w:szCs w:val="17"/>
              </w:rPr>
            </w:pPr>
            <w:r w:rsidRPr="00476A01">
              <w:rPr>
                <w:color w:val="000000"/>
                <w:sz w:val="17"/>
                <w:szCs w:val="17"/>
              </w:rPr>
              <w:t>Федеральный проект "Успех каждого ребенка"</w:t>
            </w:r>
          </w:p>
        </w:tc>
        <w:tc>
          <w:tcPr>
            <w:tcW w:w="709" w:type="dxa"/>
            <w:tcBorders>
              <w:top w:val="nil"/>
              <w:left w:val="nil"/>
              <w:bottom w:val="single" w:sz="4" w:space="0" w:color="auto"/>
              <w:right w:val="single" w:sz="4" w:space="0" w:color="auto"/>
            </w:tcBorders>
            <w:shd w:val="clear" w:color="auto" w:fill="auto"/>
            <w:vAlign w:val="center"/>
            <w:hideMark/>
          </w:tcPr>
          <w:p w14:paraId="00C88883" w14:textId="68DE230A" w:rsidR="00563506" w:rsidRPr="00476A01" w:rsidRDefault="00563506" w:rsidP="006919BE">
            <w:pPr>
              <w:spacing w:after="60"/>
              <w:ind w:left="-74" w:right="-108"/>
              <w:jc w:val="center"/>
              <w:rPr>
                <w:color w:val="000000"/>
                <w:sz w:val="17"/>
                <w:szCs w:val="17"/>
              </w:rPr>
            </w:pPr>
            <w:r w:rsidRPr="00476A01">
              <w:rPr>
                <w:color w:val="000000"/>
                <w:sz w:val="17"/>
                <w:szCs w:val="17"/>
              </w:rPr>
              <w:t>9,9</w:t>
            </w:r>
          </w:p>
        </w:tc>
        <w:tc>
          <w:tcPr>
            <w:tcW w:w="709" w:type="dxa"/>
            <w:tcBorders>
              <w:top w:val="nil"/>
              <w:left w:val="nil"/>
              <w:bottom w:val="single" w:sz="4" w:space="0" w:color="auto"/>
              <w:right w:val="single" w:sz="4" w:space="0" w:color="auto"/>
            </w:tcBorders>
            <w:shd w:val="clear" w:color="auto" w:fill="auto"/>
            <w:vAlign w:val="center"/>
            <w:hideMark/>
          </w:tcPr>
          <w:p w14:paraId="2829B619" w14:textId="2CF3218F" w:rsidR="00563506" w:rsidRPr="00476A01" w:rsidRDefault="00563506" w:rsidP="006919BE">
            <w:pPr>
              <w:spacing w:after="60"/>
              <w:ind w:left="-74" w:right="-108"/>
              <w:jc w:val="center"/>
              <w:rPr>
                <w:color w:val="000000"/>
                <w:sz w:val="17"/>
                <w:szCs w:val="17"/>
              </w:rPr>
            </w:pPr>
            <w:r w:rsidRPr="00476A01">
              <w:rPr>
                <w:color w:val="000000"/>
                <w:sz w:val="17"/>
                <w:szCs w:val="17"/>
              </w:rPr>
              <w:t>12,6</w:t>
            </w:r>
          </w:p>
        </w:tc>
        <w:tc>
          <w:tcPr>
            <w:tcW w:w="708" w:type="dxa"/>
            <w:tcBorders>
              <w:top w:val="nil"/>
              <w:left w:val="nil"/>
              <w:bottom w:val="single" w:sz="4" w:space="0" w:color="auto"/>
              <w:right w:val="single" w:sz="4" w:space="0" w:color="auto"/>
            </w:tcBorders>
            <w:shd w:val="clear" w:color="auto" w:fill="auto"/>
            <w:vAlign w:val="center"/>
            <w:hideMark/>
          </w:tcPr>
          <w:p w14:paraId="633BB2E0" w14:textId="065B2625" w:rsidR="00563506" w:rsidRPr="00476A01" w:rsidRDefault="00563506" w:rsidP="006919BE">
            <w:pPr>
              <w:spacing w:after="60"/>
              <w:ind w:left="-74" w:right="-108"/>
              <w:jc w:val="center"/>
              <w:rPr>
                <w:color w:val="000000"/>
                <w:sz w:val="17"/>
                <w:szCs w:val="17"/>
              </w:rPr>
            </w:pPr>
            <w:r w:rsidRPr="00476A01">
              <w:rPr>
                <w:color w:val="000000"/>
                <w:sz w:val="17"/>
                <w:szCs w:val="17"/>
              </w:rPr>
              <w:t>12,6</w:t>
            </w:r>
          </w:p>
        </w:tc>
        <w:tc>
          <w:tcPr>
            <w:tcW w:w="851" w:type="dxa"/>
            <w:tcBorders>
              <w:top w:val="nil"/>
              <w:left w:val="nil"/>
              <w:bottom w:val="single" w:sz="4" w:space="0" w:color="auto"/>
              <w:right w:val="single" w:sz="4" w:space="0" w:color="auto"/>
            </w:tcBorders>
            <w:shd w:val="clear" w:color="auto" w:fill="auto"/>
            <w:vAlign w:val="center"/>
            <w:hideMark/>
          </w:tcPr>
          <w:p w14:paraId="044A1FE5"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100,0</w:t>
            </w:r>
          </w:p>
        </w:tc>
        <w:tc>
          <w:tcPr>
            <w:tcW w:w="709" w:type="dxa"/>
            <w:tcBorders>
              <w:top w:val="nil"/>
              <w:left w:val="nil"/>
              <w:bottom w:val="single" w:sz="4" w:space="0" w:color="auto"/>
              <w:right w:val="single" w:sz="4" w:space="0" w:color="auto"/>
            </w:tcBorders>
            <w:shd w:val="clear" w:color="auto" w:fill="auto"/>
            <w:vAlign w:val="center"/>
            <w:hideMark/>
          </w:tcPr>
          <w:p w14:paraId="2AB64E30" w14:textId="71D31FF2" w:rsidR="00563506" w:rsidRPr="00476A01" w:rsidRDefault="00563506" w:rsidP="006919BE">
            <w:pPr>
              <w:spacing w:after="60"/>
              <w:ind w:left="-74" w:right="-108"/>
              <w:jc w:val="center"/>
              <w:rPr>
                <w:color w:val="000000"/>
                <w:sz w:val="17"/>
                <w:szCs w:val="17"/>
              </w:rPr>
            </w:pPr>
            <w:r w:rsidRPr="00476A01">
              <w:rPr>
                <w:color w:val="000000"/>
                <w:sz w:val="17"/>
                <w:szCs w:val="17"/>
              </w:rPr>
              <w:t>14,4</w:t>
            </w:r>
          </w:p>
        </w:tc>
        <w:tc>
          <w:tcPr>
            <w:tcW w:w="850" w:type="dxa"/>
            <w:tcBorders>
              <w:top w:val="nil"/>
              <w:left w:val="nil"/>
              <w:bottom w:val="single" w:sz="4" w:space="0" w:color="auto"/>
              <w:right w:val="single" w:sz="4" w:space="0" w:color="auto"/>
            </w:tcBorders>
            <w:shd w:val="clear" w:color="auto" w:fill="auto"/>
            <w:vAlign w:val="center"/>
            <w:hideMark/>
          </w:tcPr>
          <w:p w14:paraId="2EE2518B" w14:textId="4B7D8432" w:rsidR="00563506" w:rsidRPr="00476A01" w:rsidRDefault="00563506" w:rsidP="006919BE">
            <w:pPr>
              <w:spacing w:after="60"/>
              <w:ind w:left="-74" w:right="-108"/>
              <w:jc w:val="center"/>
              <w:rPr>
                <w:color w:val="000000"/>
                <w:sz w:val="17"/>
                <w:szCs w:val="17"/>
              </w:rPr>
            </w:pPr>
            <w:r w:rsidRPr="00476A01">
              <w:rPr>
                <w:color w:val="000000"/>
                <w:sz w:val="17"/>
                <w:szCs w:val="17"/>
              </w:rPr>
              <w:t>14,4</w:t>
            </w:r>
          </w:p>
        </w:tc>
        <w:tc>
          <w:tcPr>
            <w:tcW w:w="851" w:type="dxa"/>
            <w:tcBorders>
              <w:top w:val="nil"/>
              <w:left w:val="nil"/>
              <w:bottom w:val="single" w:sz="4" w:space="0" w:color="auto"/>
              <w:right w:val="single" w:sz="4" w:space="0" w:color="auto"/>
            </w:tcBorders>
            <w:shd w:val="clear" w:color="auto" w:fill="auto"/>
            <w:vAlign w:val="center"/>
            <w:hideMark/>
          </w:tcPr>
          <w:p w14:paraId="3B5F0DA0"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100,0</w:t>
            </w:r>
          </w:p>
        </w:tc>
        <w:tc>
          <w:tcPr>
            <w:tcW w:w="850" w:type="dxa"/>
            <w:tcBorders>
              <w:top w:val="nil"/>
              <w:left w:val="nil"/>
              <w:bottom w:val="single" w:sz="4" w:space="0" w:color="auto"/>
              <w:right w:val="single" w:sz="4" w:space="0" w:color="auto"/>
            </w:tcBorders>
            <w:shd w:val="clear" w:color="auto" w:fill="auto"/>
            <w:vAlign w:val="center"/>
            <w:hideMark/>
          </w:tcPr>
          <w:p w14:paraId="489A7B95" w14:textId="2945409E" w:rsidR="00563506" w:rsidRPr="00476A01" w:rsidRDefault="00563506" w:rsidP="006919BE">
            <w:pPr>
              <w:spacing w:after="60"/>
              <w:ind w:left="-74" w:right="-108"/>
              <w:jc w:val="center"/>
              <w:rPr>
                <w:color w:val="000000"/>
                <w:sz w:val="17"/>
                <w:szCs w:val="17"/>
              </w:rPr>
            </w:pPr>
            <w:r w:rsidRPr="00476A01">
              <w:rPr>
                <w:color w:val="000000"/>
                <w:sz w:val="17"/>
                <w:szCs w:val="17"/>
              </w:rPr>
              <w:t>12,3</w:t>
            </w:r>
          </w:p>
        </w:tc>
        <w:tc>
          <w:tcPr>
            <w:tcW w:w="851" w:type="dxa"/>
            <w:tcBorders>
              <w:top w:val="nil"/>
              <w:left w:val="nil"/>
              <w:bottom w:val="single" w:sz="4" w:space="0" w:color="auto"/>
              <w:right w:val="single" w:sz="4" w:space="0" w:color="auto"/>
            </w:tcBorders>
            <w:shd w:val="clear" w:color="auto" w:fill="auto"/>
            <w:vAlign w:val="center"/>
            <w:hideMark/>
          </w:tcPr>
          <w:p w14:paraId="6983CF67" w14:textId="60CCA7B1" w:rsidR="00563506" w:rsidRPr="00476A01" w:rsidRDefault="00563506" w:rsidP="006919BE">
            <w:pPr>
              <w:spacing w:after="60"/>
              <w:ind w:left="-74" w:right="-108"/>
              <w:jc w:val="center"/>
              <w:rPr>
                <w:color w:val="000000"/>
                <w:sz w:val="17"/>
                <w:szCs w:val="17"/>
              </w:rPr>
            </w:pPr>
            <w:r w:rsidRPr="00476A01">
              <w:rPr>
                <w:color w:val="000000"/>
                <w:sz w:val="17"/>
                <w:szCs w:val="17"/>
              </w:rPr>
              <w:t>12,2</w:t>
            </w:r>
          </w:p>
        </w:tc>
        <w:tc>
          <w:tcPr>
            <w:tcW w:w="992" w:type="dxa"/>
            <w:tcBorders>
              <w:top w:val="nil"/>
              <w:left w:val="nil"/>
              <w:bottom w:val="single" w:sz="4" w:space="0" w:color="auto"/>
              <w:right w:val="single" w:sz="4" w:space="0" w:color="auto"/>
            </w:tcBorders>
            <w:shd w:val="clear" w:color="auto" w:fill="auto"/>
            <w:vAlign w:val="center"/>
            <w:hideMark/>
          </w:tcPr>
          <w:p w14:paraId="00B89F2E"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99,5</w:t>
            </w:r>
          </w:p>
        </w:tc>
      </w:tr>
      <w:tr w:rsidR="00681D8A" w:rsidRPr="00476A01" w14:paraId="636835D7" w14:textId="77777777" w:rsidTr="00476A01">
        <w:trPr>
          <w:trHeight w:val="691"/>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5D597BE" w14:textId="77777777" w:rsidR="00563506" w:rsidRPr="00476A01" w:rsidRDefault="00563506" w:rsidP="006919BE">
            <w:pPr>
              <w:spacing w:after="60"/>
              <w:jc w:val="both"/>
              <w:rPr>
                <w:color w:val="000000"/>
                <w:sz w:val="17"/>
                <w:szCs w:val="17"/>
              </w:rPr>
            </w:pPr>
            <w:r w:rsidRPr="00476A01">
              <w:rPr>
                <w:color w:val="000000"/>
                <w:sz w:val="17"/>
                <w:szCs w:val="17"/>
              </w:rPr>
              <w:t>Федеральный проект "Поддержка семей, имеющих детей"</w:t>
            </w:r>
          </w:p>
        </w:tc>
        <w:tc>
          <w:tcPr>
            <w:tcW w:w="709" w:type="dxa"/>
            <w:tcBorders>
              <w:top w:val="nil"/>
              <w:left w:val="nil"/>
              <w:bottom w:val="single" w:sz="4" w:space="0" w:color="auto"/>
              <w:right w:val="single" w:sz="4" w:space="0" w:color="auto"/>
            </w:tcBorders>
            <w:shd w:val="clear" w:color="auto" w:fill="auto"/>
            <w:vAlign w:val="center"/>
            <w:hideMark/>
          </w:tcPr>
          <w:p w14:paraId="7E2B42D7" w14:textId="264A1748" w:rsidR="00563506" w:rsidRPr="00476A01" w:rsidRDefault="00563506" w:rsidP="006919BE">
            <w:pPr>
              <w:spacing w:after="60"/>
              <w:ind w:left="-74" w:right="-108"/>
              <w:jc w:val="center"/>
              <w:rPr>
                <w:color w:val="000000"/>
                <w:sz w:val="17"/>
                <w:szCs w:val="17"/>
              </w:rPr>
            </w:pPr>
            <w:r w:rsidRPr="00476A01">
              <w:rPr>
                <w:color w:val="000000"/>
                <w:sz w:val="17"/>
                <w:szCs w:val="17"/>
              </w:rPr>
              <w:t>0,7</w:t>
            </w:r>
          </w:p>
        </w:tc>
        <w:tc>
          <w:tcPr>
            <w:tcW w:w="709" w:type="dxa"/>
            <w:tcBorders>
              <w:top w:val="nil"/>
              <w:left w:val="nil"/>
              <w:bottom w:val="single" w:sz="4" w:space="0" w:color="auto"/>
              <w:right w:val="single" w:sz="4" w:space="0" w:color="auto"/>
            </w:tcBorders>
            <w:shd w:val="clear" w:color="auto" w:fill="auto"/>
            <w:vAlign w:val="center"/>
            <w:hideMark/>
          </w:tcPr>
          <w:p w14:paraId="5CB024BF" w14:textId="036BE0CE" w:rsidR="00563506" w:rsidRPr="00476A01" w:rsidRDefault="00563506" w:rsidP="006919BE">
            <w:pPr>
              <w:spacing w:after="60"/>
              <w:ind w:left="-74" w:right="-108"/>
              <w:jc w:val="center"/>
              <w:rPr>
                <w:color w:val="000000"/>
                <w:sz w:val="17"/>
                <w:szCs w:val="17"/>
              </w:rPr>
            </w:pPr>
            <w:r w:rsidRPr="00476A01">
              <w:rPr>
                <w:color w:val="000000"/>
                <w:sz w:val="17"/>
                <w:szCs w:val="17"/>
              </w:rPr>
              <w:t>0,7</w:t>
            </w:r>
          </w:p>
        </w:tc>
        <w:tc>
          <w:tcPr>
            <w:tcW w:w="708" w:type="dxa"/>
            <w:tcBorders>
              <w:top w:val="nil"/>
              <w:left w:val="nil"/>
              <w:bottom w:val="single" w:sz="4" w:space="0" w:color="auto"/>
              <w:right w:val="single" w:sz="4" w:space="0" w:color="auto"/>
            </w:tcBorders>
            <w:shd w:val="clear" w:color="auto" w:fill="auto"/>
            <w:vAlign w:val="center"/>
            <w:hideMark/>
          </w:tcPr>
          <w:p w14:paraId="6C7E89ED" w14:textId="5C9BE26D" w:rsidR="00563506" w:rsidRPr="00476A01" w:rsidRDefault="00563506" w:rsidP="006919BE">
            <w:pPr>
              <w:spacing w:after="60"/>
              <w:ind w:left="-74" w:right="-108"/>
              <w:jc w:val="center"/>
              <w:rPr>
                <w:color w:val="000000"/>
                <w:sz w:val="17"/>
                <w:szCs w:val="17"/>
              </w:rPr>
            </w:pPr>
            <w:r w:rsidRPr="00476A01">
              <w:rPr>
                <w:color w:val="000000"/>
                <w:sz w:val="17"/>
                <w:szCs w:val="17"/>
              </w:rPr>
              <w:t>0,7</w:t>
            </w:r>
          </w:p>
        </w:tc>
        <w:tc>
          <w:tcPr>
            <w:tcW w:w="851" w:type="dxa"/>
            <w:tcBorders>
              <w:top w:val="nil"/>
              <w:left w:val="nil"/>
              <w:bottom w:val="single" w:sz="4" w:space="0" w:color="auto"/>
              <w:right w:val="single" w:sz="4" w:space="0" w:color="auto"/>
            </w:tcBorders>
            <w:shd w:val="clear" w:color="auto" w:fill="auto"/>
            <w:vAlign w:val="center"/>
            <w:hideMark/>
          </w:tcPr>
          <w:p w14:paraId="4D7E416F"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100,0</w:t>
            </w:r>
          </w:p>
        </w:tc>
        <w:tc>
          <w:tcPr>
            <w:tcW w:w="709" w:type="dxa"/>
            <w:tcBorders>
              <w:top w:val="nil"/>
              <w:left w:val="nil"/>
              <w:bottom w:val="single" w:sz="4" w:space="0" w:color="auto"/>
              <w:right w:val="single" w:sz="4" w:space="0" w:color="auto"/>
            </w:tcBorders>
            <w:shd w:val="clear" w:color="auto" w:fill="auto"/>
            <w:vAlign w:val="center"/>
            <w:hideMark/>
          </w:tcPr>
          <w:p w14:paraId="7FA10E5F" w14:textId="634A5426" w:rsidR="00563506" w:rsidRPr="00476A01" w:rsidRDefault="00563506" w:rsidP="006919BE">
            <w:pPr>
              <w:spacing w:after="60"/>
              <w:ind w:left="-74" w:right="-108"/>
              <w:jc w:val="center"/>
              <w:rPr>
                <w:color w:val="000000"/>
                <w:sz w:val="17"/>
                <w:szCs w:val="17"/>
              </w:rPr>
            </w:pPr>
            <w:r w:rsidRPr="00476A01">
              <w:rPr>
                <w:color w:val="000000"/>
                <w:sz w:val="17"/>
                <w:szCs w:val="17"/>
              </w:rPr>
              <w:t>1,0</w:t>
            </w:r>
          </w:p>
        </w:tc>
        <w:tc>
          <w:tcPr>
            <w:tcW w:w="850" w:type="dxa"/>
            <w:tcBorders>
              <w:top w:val="nil"/>
              <w:left w:val="nil"/>
              <w:bottom w:val="single" w:sz="4" w:space="0" w:color="auto"/>
              <w:right w:val="single" w:sz="4" w:space="0" w:color="auto"/>
            </w:tcBorders>
            <w:shd w:val="clear" w:color="auto" w:fill="auto"/>
            <w:vAlign w:val="center"/>
            <w:hideMark/>
          </w:tcPr>
          <w:p w14:paraId="60B1448D" w14:textId="358B2CDE" w:rsidR="00563506" w:rsidRPr="00476A01" w:rsidRDefault="00563506" w:rsidP="006919BE">
            <w:pPr>
              <w:spacing w:after="60"/>
              <w:ind w:left="-74" w:right="-108"/>
              <w:jc w:val="center"/>
              <w:rPr>
                <w:color w:val="000000"/>
                <w:sz w:val="17"/>
                <w:szCs w:val="17"/>
              </w:rPr>
            </w:pPr>
            <w:r w:rsidRPr="00476A01">
              <w:rPr>
                <w:color w:val="000000"/>
                <w:sz w:val="17"/>
                <w:szCs w:val="17"/>
              </w:rPr>
              <w:t>1,0</w:t>
            </w:r>
          </w:p>
        </w:tc>
        <w:tc>
          <w:tcPr>
            <w:tcW w:w="851" w:type="dxa"/>
            <w:tcBorders>
              <w:top w:val="nil"/>
              <w:left w:val="nil"/>
              <w:bottom w:val="single" w:sz="4" w:space="0" w:color="auto"/>
              <w:right w:val="single" w:sz="4" w:space="0" w:color="auto"/>
            </w:tcBorders>
            <w:shd w:val="clear" w:color="auto" w:fill="auto"/>
            <w:vAlign w:val="center"/>
            <w:hideMark/>
          </w:tcPr>
          <w:p w14:paraId="0B9FC0C0"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100,0</w:t>
            </w:r>
          </w:p>
        </w:tc>
        <w:tc>
          <w:tcPr>
            <w:tcW w:w="850" w:type="dxa"/>
            <w:tcBorders>
              <w:top w:val="nil"/>
              <w:left w:val="nil"/>
              <w:bottom w:val="single" w:sz="4" w:space="0" w:color="auto"/>
              <w:right w:val="single" w:sz="4" w:space="0" w:color="auto"/>
            </w:tcBorders>
            <w:shd w:val="clear" w:color="auto" w:fill="auto"/>
            <w:vAlign w:val="center"/>
            <w:hideMark/>
          </w:tcPr>
          <w:p w14:paraId="0AB22BF8" w14:textId="37450C2D" w:rsidR="00563506" w:rsidRPr="00476A01" w:rsidRDefault="00563506" w:rsidP="006919BE">
            <w:pPr>
              <w:spacing w:after="60"/>
              <w:ind w:left="-74" w:right="-108"/>
              <w:jc w:val="center"/>
              <w:rPr>
                <w:color w:val="000000"/>
                <w:sz w:val="17"/>
                <w:szCs w:val="17"/>
              </w:rPr>
            </w:pPr>
            <w:r w:rsidRPr="00476A01">
              <w:rPr>
                <w:color w:val="000000"/>
                <w:sz w:val="17"/>
                <w:szCs w:val="17"/>
              </w:rPr>
              <w:t>2,0</w:t>
            </w:r>
          </w:p>
        </w:tc>
        <w:tc>
          <w:tcPr>
            <w:tcW w:w="851" w:type="dxa"/>
            <w:tcBorders>
              <w:top w:val="nil"/>
              <w:left w:val="nil"/>
              <w:bottom w:val="single" w:sz="4" w:space="0" w:color="auto"/>
              <w:right w:val="single" w:sz="4" w:space="0" w:color="auto"/>
            </w:tcBorders>
            <w:shd w:val="clear" w:color="auto" w:fill="auto"/>
            <w:vAlign w:val="center"/>
            <w:hideMark/>
          </w:tcPr>
          <w:p w14:paraId="704D6EA1" w14:textId="6EF0F7C8" w:rsidR="00563506" w:rsidRPr="00476A01" w:rsidRDefault="00563506" w:rsidP="006919BE">
            <w:pPr>
              <w:spacing w:after="60"/>
              <w:ind w:left="-74" w:right="-108"/>
              <w:jc w:val="center"/>
              <w:rPr>
                <w:color w:val="000000"/>
                <w:sz w:val="17"/>
                <w:szCs w:val="17"/>
              </w:rPr>
            </w:pPr>
            <w:r w:rsidRPr="00476A01">
              <w:rPr>
                <w:color w:val="000000"/>
                <w:sz w:val="17"/>
                <w:szCs w:val="17"/>
              </w:rPr>
              <w:t>2,0</w:t>
            </w:r>
          </w:p>
        </w:tc>
        <w:tc>
          <w:tcPr>
            <w:tcW w:w="992" w:type="dxa"/>
            <w:tcBorders>
              <w:top w:val="nil"/>
              <w:left w:val="nil"/>
              <w:bottom w:val="single" w:sz="4" w:space="0" w:color="auto"/>
              <w:right w:val="single" w:sz="4" w:space="0" w:color="auto"/>
            </w:tcBorders>
            <w:shd w:val="clear" w:color="auto" w:fill="auto"/>
            <w:vAlign w:val="center"/>
            <w:hideMark/>
          </w:tcPr>
          <w:p w14:paraId="659A16C3"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100,0</w:t>
            </w:r>
          </w:p>
        </w:tc>
      </w:tr>
      <w:tr w:rsidR="00681D8A" w:rsidRPr="00476A01" w14:paraId="515B8849" w14:textId="77777777" w:rsidTr="00476A01">
        <w:trPr>
          <w:trHeight w:val="691"/>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FE674BD" w14:textId="77777777" w:rsidR="00563506" w:rsidRPr="00476A01" w:rsidRDefault="00563506" w:rsidP="006919BE">
            <w:pPr>
              <w:spacing w:after="60"/>
              <w:jc w:val="both"/>
              <w:rPr>
                <w:color w:val="000000"/>
                <w:sz w:val="17"/>
                <w:szCs w:val="17"/>
              </w:rPr>
            </w:pPr>
            <w:r w:rsidRPr="00476A01">
              <w:rPr>
                <w:color w:val="000000"/>
                <w:sz w:val="17"/>
                <w:szCs w:val="17"/>
              </w:rPr>
              <w:t>Федеральный проект "Цифровая образовательная среда"</w:t>
            </w:r>
          </w:p>
        </w:tc>
        <w:tc>
          <w:tcPr>
            <w:tcW w:w="709" w:type="dxa"/>
            <w:tcBorders>
              <w:top w:val="nil"/>
              <w:left w:val="nil"/>
              <w:bottom w:val="single" w:sz="4" w:space="0" w:color="auto"/>
              <w:right w:val="single" w:sz="4" w:space="0" w:color="auto"/>
            </w:tcBorders>
            <w:shd w:val="clear" w:color="auto" w:fill="auto"/>
            <w:vAlign w:val="center"/>
            <w:hideMark/>
          </w:tcPr>
          <w:p w14:paraId="37194543" w14:textId="2D5EA0E7" w:rsidR="00563506" w:rsidRPr="00476A01" w:rsidRDefault="00563506" w:rsidP="006919BE">
            <w:pPr>
              <w:spacing w:after="60"/>
              <w:ind w:left="-74" w:right="-108"/>
              <w:jc w:val="center"/>
              <w:rPr>
                <w:color w:val="000000"/>
                <w:sz w:val="17"/>
                <w:szCs w:val="17"/>
              </w:rPr>
            </w:pPr>
            <w:r w:rsidRPr="00476A01">
              <w:rPr>
                <w:color w:val="000000"/>
                <w:sz w:val="17"/>
                <w:szCs w:val="17"/>
              </w:rPr>
              <w:t>3,2</w:t>
            </w:r>
          </w:p>
        </w:tc>
        <w:tc>
          <w:tcPr>
            <w:tcW w:w="709" w:type="dxa"/>
            <w:tcBorders>
              <w:top w:val="nil"/>
              <w:left w:val="nil"/>
              <w:bottom w:val="single" w:sz="4" w:space="0" w:color="auto"/>
              <w:right w:val="single" w:sz="4" w:space="0" w:color="auto"/>
            </w:tcBorders>
            <w:shd w:val="clear" w:color="auto" w:fill="auto"/>
            <w:vAlign w:val="center"/>
            <w:hideMark/>
          </w:tcPr>
          <w:p w14:paraId="5F82E392" w14:textId="224F9177" w:rsidR="00563506" w:rsidRPr="00476A01" w:rsidRDefault="00563506" w:rsidP="006919BE">
            <w:pPr>
              <w:spacing w:after="60"/>
              <w:ind w:left="-74" w:right="-108"/>
              <w:jc w:val="center"/>
              <w:rPr>
                <w:color w:val="000000"/>
                <w:sz w:val="17"/>
                <w:szCs w:val="17"/>
              </w:rPr>
            </w:pPr>
            <w:r w:rsidRPr="00476A01">
              <w:rPr>
                <w:color w:val="000000"/>
                <w:sz w:val="17"/>
                <w:szCs w:val="17"/>
              </w:rPr>
              <w:t>16,7</w:t>
            </w:r>
          </w:p>
        </w:tc>
        <w:tc>
          <w:tcPr>
            <w:tcW w:w="708" w:type="dxa"/>
            <w:tcBorders>
              <w:top w:val="nil"/>
              <w:left w:val="nil"/>
              <w:bottom w:val="single" w:sz="4" w:space="0" w:color="auto"/>
              <w:right w:val="single" w:sz="4" w:space="0" w:color="auto"/>
            </w:tcBorders>
            <w:shd w:val="clear" w:color="auto" w:fill="auto"/>
            <w:vAlign w:val="center"/>
            <w:hideMark/>
          </w:tcPr>
          <w:p w14:paraId="3B6135C6" w14:textId="618C4A03" w:rsidR="00563506" w:rsidRPr="00476A01" w:rsidRDefault="00563506" w:rsidP="006919BE">
            <w:pPr>
              <w:spacing w:after="60"/>
              <w:ind w:left="-74" w:right="-108"/>
              <w:jc w:val="center"/>
              <w:rPr>
                <w:color w:val="000000"/>
                <w:sz w:val="17"/>
                <w:szCs w:val="17"/>
              </w:rPr>
            </w:pPr>
            <w:r w:rsidRPr="00476A01">
              <w:rPr>
                <w:color w:val="000000"/>
                <w:sz w:val="17"/>
                <w:szCs w:val="17"/>
              </w:rPr>
              <w:t>17,1</w:t>
            </w:r>
          </w:p>
        </w:tc>
        <w:tc>
          <w:tcPr>
            <w:tcW w:w="851" w:type="dxa"/>
            <w:tcBorders>
              <w:top w:val="nil"/>
              <w:left w:val="nil"/>
              <w:bottom w:val="single" w:sz="4" w:space="0" w:color="auto"/>
              <w:right w:val="single" w:sz="4" w:space="0" w:color="auto"/>
            </w:tcBorders>
            <w:shd w:val="clear" w:color="auto" w:fill="auto"/>
            <w:vAlign w:val="center"/>
            <w:hideMark/>
          </w:tcPr>
          <w:p w14:paraId="1B58CFB0"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102,8</w:t>
            </w:r>
          </w:p>
        </w:tc>
        <w:tc>
          <w:tcPr>
            <w:tcW w:w="709" w:type="dxa"/>
            <w:tcBorders>
              <w:top w:val="nil"/>
              <w:left w:val="nil"/>
              <w:bottom w:val="single" w:sz="4" w:space="0" w:color="auto"/>
              <w:right w:val="single" w:sz="4" w:space="0" w:color="auto"/>
            </w:tcBorders>
            <w:shd w:val="clear" w:color="auto" w:fill="auto"/>
            <w:vAlign w:val="center"/>
            <w:hideMark/>
          </w:tcPr>
          <w:p w14:paraId="392455D9" w14:textId="5E002F60" w:rsidR="00563506" w:rsidRPr="00476A01" w:rsidRDefault="00563506" w:rsidP="006919BE">
            <w:pPr>
              <w:spacing w:after="60"/>
              <w:ind w:left="-74" w:right="-108"/>
              <w:jc w:val="center"/>
              <w:rPr>
                <w:color w:val="000000"/>
                <w:sz w:val="17"/>
                <w:szCs w:val="17"/>
              </w:rPr>
            </w:pPr>
            <w:r w:rsidRPr="00476A01">
              <w:rPr>
                <w:color w:val="000000"/>
                <w:sz w:val="17"/>
                <w:szCs w:val="17"/>
              </w:rPr>
              <w:t>16,7</w:t>
            </w:r>
          </w:p>
        </w:tc>
        <w:tc>
          <w:tcPr>
            <w:tcW w:w="850" w:type="dxa"/>
            <w:tcBorders>
              <w:top w:val="nil"/>
              <w:left w:val="nil"/>
              <w:bottom w:val="single" w:sz="4" w:space="0" w:color="auto"/>
              <w:right w:val="single" w:sz="4" w:space="0" w:color="auto"/>
            </w:tcBorders>
            <w:shd w:val="clear" w:color="auto" w:fill="auto"/>
            <w:vAlign w:val="center"/>
            <w:hideMark/>
          </w:tcPr>
          <w:p w14:paraId="41FE478A" w14:textId="4826715B" w:rsidR="00563506" w:rsidRPr="00476A01" w:rsidRDefault="00563506" w:rsidP="006919BE">
            <w:pPr>
              <w:spacing w:after="60"/>
              <w:ind w:left="-74" w:right="-108"/>
              <w:jc w:val="center"/>
              <w:rPr>
                <w:color w:val="000000"/>
                <w:sz w:val="17"/>
                <w:szCs w:val="17"/>
              </w:rPr>
            </w:pPr>
            <w:r w:rsidRPr="00476A01">
              <w:rPr>
                <w:color w:val="000000"/>
                <w:sz w:val="17"/>
                <w:szCs w:val="17"/>
              </w:rPr>
              <w:t>16,7</w:t>
            </w:r>
          </w:p>
        </w:tc>
        <w:tc>
          <w:tcPr>
            <w:tcW w:w="851" w:type="dxa"/>
            <w:tcBorders>
              <w:top w:val="nil"/>
              <w:left w:val="nil"/>
              <w:bottom w:val="single" w:sz="4" w:space="0" w:color="auto"/>
              <w:right w:val="single" w:sz="4" w:space="0" w:color="auto"/>
            </w:tcBorders>
            <w:shd w:val="clear" w:color="auto" w:fill="auto"/>
            <w:vAlign w:val="center"/>
            <w:hideMark/>
          </w:tcPr>
          <w:p w14:paraId="530B4D93"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100,5</w:t>
            </w:r>
          </w:p>
        </w:tc>
        <w:tc>
          <w:tcPr>
            <w:tcW w:w="850" w:type="dxa"/>
            <w:tcBorders>
              <w:top w:val="nil"/>
              <w:left w:val="nil"/>
              <w:bottom w:val="single" w:sz="4" w:space="0" w:color="auto"/>
              <w:right w:val="single" w:sz="4" w:space="0" w:color="auto"/>
            </w:tcBorders>
            <w:shd w:val="clear" w:color="auto" w:fill="auto"/>
            <w:vAlign w:val="center"/>
            <w:hideMark/>
          </w:tcPr>
          <w:p w14:paraId="73ABF570" w14:textId="05D79717" w:rsidR="00563506" w:rsidRPr="00476A01" w:rsidRDefault="00563506" w:rsidP="006919BE">
            <w:pPr>
              <w:spacing w:after="60"/>
              <w:ind w:left="-74" w:right="-108"/>
              <w:jc w:val="center"/>
              <w:rPr>
                <w:color w:val="000000"/>
                <w:sz w:val="17"/>
                <w:szCs w:val="17"/>
              </w:rPr>
            </w:pPr>
            <w:r w:rsidRPr="00476A01">
              <w:rPr>
                <w:color w:val="000000"/>
                <w:sz w:val="17"/>
                <w:szCs w:val="17"/>
              </w:rPr>
              <w:t>13,3</w:t>
            </w:r>
          </w:p>
        </w:tc>
        <w:tc>
          <w:tcPr>
            <w:tcW w:w="851" w:type="dxa"/>
            <w:tcBorders>
              <w:top w:val="nil"/>
              <w:left w:val="nil"/>
              <w:bottom w:val="single" w:sz="4" w:space="0" w:color="auto"/>
              <w:right w:val="single" w:sz="4" w:space="0" w:color="auto"/>
            </w:tcBorders>
            <w:shd w:val="clear" w:color="auto" w:fill="auto"/>
            <w:vAlign w:val="center"/>
            <w:hideMark/>
          </w:tcPr>
          <w:p w14:paraId="26F3BF40" w14:textId="3ACBF777" w:rsidR="00563506" w:rsidRPr="00476A01" w:rsidRDefault="00563506" w:rsidP="006919BE">
            <w:pPr>
              <w:spacing w:after="60"/>
              <w:ind w:left="-74" w:right="-108"/>
              <w:jc w:val="center"/>
              <w:rPr>
                <w:color w:val="000000"/>
                <w:sz w:val="17"/>
                <w:szCs w:val="17"/>
              </w:rPr>
            </w:pPr>
            <w:r w:rsidRPr="00476A01">
              <w:rPr>
                <w:color w:val="000000"/>
                <w:sz w:val="17"/>
                <w:szCs w:val="17"/>
              </w:rPr>
              <w:t>13,4</w:t>
            </w:r>
          </w:p>
        </w:tc>
        <w:tc>
          <w:tcPr>
            <w:tcW w:w="992" w:type="dxa"/>
            <w:tcBorders>
              <w:top w:val="nil"/>
              <w:left w:val="nil"/>
              <w:bottom w:val="single" w:sz="4" w:space="0" w:color="auto"/>
              <w:right w:val="single" w:sz="4" w:space="0" w:color="auto"/>
            </w:tcBorders>
            <w:shd w:val="clear" w:color="auto" w:fill="auto"/>
            <w:vAlign w:val="center"/>
            <w:hideMark/>
          </w:tcPr>
          <w:p w14:paraId="6FFCD3F0"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100,6</w:t>
            </w:r>
          </w:p>
        </w:tc>
      </w:tr>
      <w:tr w:rsidR="00681D8A" w:rsidRPr="00476A01" w14:paraId="62E99342" w14:textId="77777777" w:rsidTr="00476A01">
        <w:trPr>
          <w:trHeight w:val="461"/>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F883A27" w14:textId="77777777" w:rsidR="00563506" w:rsidRPr="00476A01" w:rsidRDefault="00563506" w:rsidP="006919BE">
            <w:pPr>
              <w:spacing w:after="60"/>
              <w:jc w:val="both"/>
              <w:rPr>
                <w:color w:val="000000"/>
                <w:sz w:val="17"/>
                <w:szCs w:val="17"/>
              </w:rPr>
            </w:pPr>
            <w:r w:rsidRPr="00476A01">
              <w:rPr>
                <w:color w:val="000000"/>
                <w:sz w:val="17"/>
                <w:szCs w:val="17"/>
              </w:rPr>
              <w:t>Федеральный проект "Учитель будущего"</w:t>
            </w:r>
          </w:p>
        </w:tc>
        <w:tc>
          <w:tcPr>
            <w:tcW w:w="709" w:type="dxa"/>
            <w:tcBorders>
              <w:top w:val="nil"/>
              <w:left w:val="nil"/>
              <w:bottom w:val="single" w:sz="4" w:space="0" w:color="auto"/>
              <w:right w:val="single" w:sz="4" w:space="0" w:color="auto"/>
            </w:tcBorders>
            <w:shd w:val="clear" w:color="auto" w:fill="auto"/>
            <w:vAlign w:val="center"/>
            <w:hideMark/>
          </w:tcPr>
          <w:p w14:paraId="682BB7A4" w14:textId="3DE16D38" w:rsidR="00563506" w:rsidRPr="00476A01" w:rsidRDefault="00563506" w:rsidP="006919BE">
            <w:pPr>
              <w:spacing w:after="60"/>
              <w:ind w:left="-74" w:right="-108"/>
              <w:jc w:val="center"/>
              <w:rPr>
                <w:color w:val="000000"/>
                <w:sz w:val="17"/>
                <w:szCs w:val="17"/>
              </w:rPr>
            </w:pPr>
            <w:r w:rsidRPr="00476A01">
              <w:rPr>
                <w:color w:val="000000"/>
                <w:sz w:val="17"/>
                <w:szCs w:val="17"/>
              </w:rPr>
              <w:t>1,7</w:t>
            </w:r>
          </w:p>
        </w:tc>
        <w:tc>
          <w:tcPr>
            <w:tcW w:w="709" w:type="dxa"/>
            <w:tcBorders>
              <w:top w:val="nil"/>
              <w:left w:val="nil"/>
              <w:bottom w:val="single" w:sz="4" w:space="0" w:color="auto"/>
              <w:right w:val="single" w:sz="4" w:space="0" w:color="auto"/>
            </w:tcBorders>
            <w:shd w:val="clear" w:color="auto" w:fill="auto"/>
            <w:vAlign w:val="center"/>
            <w:hideMark/>
          </w:tcPr>
          <w:p w14:paraId="703107BC" w14:textId="0C27C0C8" w:rsidR="00563506" w:rsidRPr="00476A01" w:rsidRDefault="00563506" w:rsidP="006919BE">
            <w:pPr>
              <w:spacing w:after="60"/>
              <w:ind w:left="-74" w:right="-108"/>
              <w:jc w:val="center"/>
              <w:rPr>
                <w:color w:val="000000"/>
                <w:sz w:val="17"/>
                <w:szCs w:val="17"/>
              </w:rPr>
            </w:pPr>
            <w:r w:rsidRPr="00476A01">
              <w:rPr>
                <w:color w:val="000000"/>
                <w:sz w:val="17"/>
                <w:szCs w:val="17"/>
              </w:rPr>
              <w:t>1,7</w:t>
            </w:r>
          </w:p>
        </w:tc>
        <w:tc>
          <w:tcPr>
            <w:tcW w:w="708" w:type="dxa"/>
            <w:tcBorders>
              <w:top w:val="nil"/>
              <w:left w:val="nil"/>
              <w:bottom w:val="single" w:sz="4" w:space="0" w:color="auto"/>
              <w:right w:val="single" w:sz="4" w:space="0" w:color="auto"/>
            </w:tcBorders>
            <w:shd w:val="clear" w:color="auto" w:fill="auto"/>
            <w:vAlign w:val="center"/>
            <w:hideMark/>
          </w:tcPr>
          <w:p w14:paraId="2402AC7D" w14:textId="6C1B7E6A" w:rsidR="00563506" w:rsidRPr="00476A01" w:rsidRDefault="00563506" w:rsidP="006919BE">
            <w:pPr>
              <w:spacing w:after="60"/>
              <w:ind w:left="-74" w:right="-108"/>
              <w:jc w:val="center"/>
              <w:rPr>
                <w:color w:val="000000"/>
                <w:sz w:val="17"/>
                <w:szCs w:val="17"/>
              </w:rPr>
            </w:pPr>
            <w:r w:rsidRPr="00476A01">
              <w:rPr>
                <w:color w:val="000000"/>
                <w:sz w:val="17"/>
                <w:szCs w:val="17"/>
              </w:rPr>
              <w:t>1,7</w:t>
            </w:r>
          </w:p>
        </w:tc>
        <w:tc>
          <w:tcPr>
            <w:tcW w:w="851" w:type="dxa"/>
            <w:tcBorders>
              <w:top w:val="nil"/>
              <w:left w:val="nil"/>
              <w:bottom w:val="single" w:sz="4" w:space="0" w:color="auto"/>
              <w:right w:val="single" w:sz="4" w:space="0" w:color="auto"/>
            </w:tcBorders>
            <w:shd w:val="clear" w:color="auto" w:fill="auto"/>
            <w:vAlign w:val="center"/>
            <w:hideMark/>
          </w:tcPr>
          <w:p w14:paraId="159FEE30"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101,9</w:t>
            </w:r>
          </w:p>
        </w:tc>
        <w:tc>
          <w:tcPr>
            <w:tcW w:w="709" w:type="dxa"/>
            <w:tcBorders>
              <w:top w:val="nil"/>
              <w:left w:val="nil"/>
              <w:bottom w:val="single" w:sz="4" w:space="0" w:color="auto"/>
              <w:right w:val="single" w:sz="4" w:space="0" w:color="auto"/>
            </w:tcBorders>
            <w:shd w:val="clear" w:color="auto" w:fill="auto"/>
            <w:vAlign w:val="center"/>
            <w:hideMark/>
          </w:tcPr>
          <w:p w14:paraId="33815273" w14:textId="75CD8677" w:rsidR="00563506" w:rsidRPr="00476A01" w:rsidRDefault="00563506" w:rsidP="006919BE">
            <w:pPr>
              <w:spacing w:after="60"/>
              <w:ind w:left="-74" w:right="-108"/>
              <w:jc w:val="center"/>
              <w:rPr>
                <w:color w:val="000000"/>
                <w:sz w:val="17"/>
                <w:szCs w:val="17"/>
              </w:rPr>
            </w:pPr>
            <w:r w:rsidRPr="00476A01">
              <w:rPr>
                <w:color w:val="000000"/>
                <w:sz w:val="17"/>
                <w:szCs w:val="17"/>
              </w:rPr>
              <w:t>2,7</w:t>
            </w:r>
          </w:p>
        </w:tc>
        <w:tc>
          <w:tcPr>
            <w:tcW w:w="850" w:type="dxa"/>
            <w:tcBorders>
              <w:top w:val="nil"/>
              <w:left w:val="nil"/>
              <w:bottom w:val="single" w:sz="4" w:space="0" w:color="auto"/>
              <w:right w:val="single" w:sz="4" w:space="0" w:color="auto"/>
            </w:tcBorders>
            <w:shd w:val="clear" w:color="auto" w:fill="auto"/>
            <w:vAlign w:val="center"/>
            <w:hideMark/>
          </w:tcPr>
          <w:p w14:paraId="0344C34C" w14:textId="68AC7B0A" w:rsidR="00563506" w:rsidRPr="00476A01" w:rsidRDefault="00563506" w:rsidP="006919BE">
            <w:pPr>
              <w:spacing w:after="60"/>
              <w:ind w:left="-74" w:right="-108"/>
              <w:jc w:val="center"/>
              <w:rPr>
                <w:color w:val="000000"/>
                <w:sz w:val="17"/>
                <w:szCs w:val="17"/>
              </w:rPr>
            </w:pPr>
            <w:r w:rsidRPr="00476A01">
              <w:rPr>
                <w:color w:val="000000"/>
                <w:sz w:val="17"/>
                <w:szCs w:val="17"/>
              </w:rPr>
              <w:t>2,7</w:t>
            </w:r>
          </w:p>
        </w:tc>
        <w:tc>
          <w:tcPr>
            <w:tcW w:w="851" w:type="dxa"/>
            <w:tcBorders>
              <w:top w:val="nil"/>
              <w:left w:val="nil"/>
              <w:bottom w:val="single" w:sz="4" w:space="0" w:color="auto"/>
              <w:right w:val="single" w:sz="4" w:space="0" w:color="auto"/>
            </w:tcBorders>
            <w:shd w:val="clear" w:color="auto" w:fill="auto"/>
            <w:vAlign w:val="center"/>
            <w:hideMark/>
          </w:tcPr>
          <w:p w14:paraId="0004F2F6"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101,2</w:t>
            </w:r>
          </w:p>
        </w:tc>
        <w:tc>
          <w:tcPr>
            <w:tcW w:w="850" w:type="dxa"/>
            <w:tcBorders>
              <w:top w:val="nil"/>
              <w:left w:val="nil"/>
              <w:bottom w:val="single" w:sz="4" w:space="0" w:color="auto"/>
              <w:right w:val="single" w:sz="4" w:space="0" w:color="auto"/>
            </w:tcBorders>
            <w:shd w:val="clear" w:color="auto" w:fill="auto"/>
            <w:vAlign w:val="center"/>
            <w:hideMark/>
          </w:tcPr>
          <w:p w14:paraId="58E96B42" w14:textId="3BF9198E" w:rsidR="00563506" w:rsidRPr="00476A01" w:rsidRDefault="00563506" w:rsidP="006919BE">
            <w:pPr>
              <w:spacing w:after="60"/>
              <w:ind w:left="-74" w:right="-108"/>
              <w:jc w:val="center"/>
              <w:rPr>
                <w:color w:val="000000"/>
                <w:sz w:val="17"/>
                <w:szCs w:val="17"/>
              </w:rPr>
            </w:pPr>
            <w:r w:rsidRPr="00476A01">
              <w:rPr>
                <w:color w:val="000000"/>
                <w:sz w:val="17"/>
                <w:szCs w:val="17"/>
              </w:rPr>
              <w:t>2,7</w:t>
            </w:r>
          </w:p>
        </w:tc>
        <w:tc>
          <w:tcPr>
            <w:tcW w:w="851" w:type="dxa"/>
            <w:tcBorders>
              <w:top w:val="nil"/>
              <w:left w:val="nil"/>
              <w:bottom w:val="single" w:sz="4" w:space="0" w:color="auto"/>
              <w:right w:val="single" w:sz="4" w:space="0" w:color="auto"/>
            </w:tcBorders>
            <w:shd w:val="clear" w:color="auto" w:fill="auto"/>
            <w:vAlign w:val="center"/>
            <w:hideMark/>
          </w:tcPr>
          <w:p w14:paraId="0DC4B40B" w14:textId="5E563E24" w:rsidR="00563506" w:rsidRPr="00476A01" w:rsidRDefault="00563506" w:rsidP="006919BE">
            <w:pPr>
              <w:spacing w:after="60"/>
              <w:ind w:left="-74" w:right="-108"/>
              <w:jc w:val="center"/>
              <w:rPr>
                <w:color w:val="000000"/>
                <w:sz w:val="17"/>
                <w:szCs w:val="17"/>
              </w:rPr>
            </w:pPr>
            <w:r w:rsidRPr="00476A01">
              <w:rPr>
                <w:color w:val="000000"/>
                <w:sz w:val="17"/>
                <w:szCs w:val="17"/>
              </w:rPr>
              <w:t>2,7</w:t>
            </w:r>
          </w:p>
        </w:tc>
        <w:tc>
          <w:tcPr>
            <w:tcW w:w="992" w:type="dxa"/>
            <w:tcBorders>
              <w:top w:val="nil"/>
              <w:left w:val="nil"/>
              <w:bottom w:val="single" w:sz="4" w:space="0" w:color="auto"/>
              <w:right w:val="single" w:sz="4" w:space="0" w:color="auto"/>
            </w:tcBorders>
            <w:shd w:val="clear" w:color="auto" w:fill="auto"/>
            <w:vAlign w:val="center"/>
            <w:hideMark/>
          </w:tcPr>
          <w:p w14:paraId="4E3BB05C"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100,0</w:t>
            </w:r>
          </w:p>
        </w:tc>
      </w:tr>
      <w:tr w:rsidR="00681D8A" w:rsidRPr="00476A01" w14:paraId="12BF89BF" w14:textId="77777777" w:rsidTr="00476A01">
        <w:trPr>
          <w:trHeight w:val="461"/>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5C34303" w14:textId="77777777" w:rsidR="00563506" w:rsidRPr="00476A01" w:rsidRDefault="00563506" w:rsidP="006919BE">
            <w:pPr>
              <w:spacing w:after="60"/>
              <w:jc w:val="both"/>
              <w:rPr>
                <w:color w:val="000000"/>
                <w:sz w:val="17"/>
                <w:szCs w:val="17"/>
              </w:rPr>
            </w:pPr>
            <w:r w:rsidRPr="00476A01">
              <w:rPr>
                <w:color w:val="000000"/>
                <w:sz w:val="17"/>
                <w:szCs w:val="17"/>
              </w:rPr>
              <w:t>Федеральный проект "Молодые профессионалы"</w:t>
            </w:r>
          </w:p>
        </w:tc>
        <w:tc>
          <w:tcPr>
            <w:tcW w:w="709" w:type="dxa"/>
            <w:tcBorders>
              <w:top w:val="nil"/>
              <w:left w:val="nil"/>
              <w:bottom w:val="single" w:sz="4" w:space="0" w:color="auto"/>
              <w:right w:val="single" w:sz="4" w:space="0" w:color="auto"/>
            </w:tcBorders>
            <w:shd w:val="clear" w:color="auto" w:fill="auto"/>
            <w:vAlign w:val="center"/>
            <w:hideMark/>
          </w:tcPr>
          <w:p w14:paraId="1EEEA37B" w14:textId="2D9AD7F3" w:rsidR="00563506" w:rsidRPr="00476A01" w:rsidRDefault="00563506" w:rsidP="006919BE">
            <w:pPr>
              <w:spacing w:after="60"/>
              <w:ind w:left="-74" w:right="-108"/>
              <w:jc w:val="center"/>
              <w:rPr>
                <w:color w:val="000000"/>
                <w:sz w:val="17"/>
                <w:szCs w:val="17"/>
              </w:rPr>
            </w:pPr>
            <w:r w:rsidRPr="00476A01">
              <w:rPr>
                <w:color w:val="000000"/>
                <w:sz w:val="17"/>
                <w:szCs w:val="17"/>
              </w:rPr>
              <w:t>27,8</w:t>
            </w:r>
          </w:p>
        </w:tc>
        <w:tc>
          <w:tcPr>
            <w:tcW w:w="709" w:type="dxa"/>
            <w:tcBorders>
              <w:top w:val="nil"/>
              <w:left w:val="nil"/>
              <w:bottom w:val="single" w:sz="4" w:space="0" w:color="auto"/>
              <w:right w:val="single" w:sz="4" w:space="0" w:color="auto"/>
            </w:tcBorders>
            <w:shd w:val="clear" w:color="auto" w:fill="auto"/>
            <w:vAlign w:val="center"/>
            <w:hideMark/>
          </w:tcPr>
          <w:p w14:paraId="440273E9" w14:textId="285B5C32" w:rsidR="00563506" w:rsidRPr="00476A01" w:rsidRDefault="00563506" w:rsidP="006919BE">
            <w:pPr>
              <w:spacing w:after="60"/>
              <w:ind w:left="-74" w:right="-108"/>
              <w:jc w:val="center"/>
              <w:rPr>
                <w:color w:val="000000"/>
                <w:sz w:val="17"/>
                <w:szCs w:val="17"/>
              </w:rPr>
            </w:pPr>
            <w:r w:rsidRPr="00476A01">
              <w:rPr>
                <w:color w:val="000000"/>
                <w:sz w:val="17"/>
                <w:szCs w:val="17"/>
              </w:rPr>
              <w:t>23,8</w:t>
            </w:r>
          </w:p>
        </w:tc>
        <w:tc>
          <w:tcPr>
            <w:tcW w:w="708" w:type="dxa"/>
            <w:tcBorders>
              <w:top w:val="nil"/>
              <w:left w:val="nil"/>
              <w:bottom w:val="single" w:sz="4" w:space="0" w:color="auto"/>
              <w:right w:val="single" w:sz="4" w:space="0" w:color="auto"/>
            </w:tcBorders>
            <w:shd w:val="clear" w:color="auto" w:fill="auto"/>
            <w:vAlign w:val="center"/>
            <w:hideMark/>
          </w:tcPr>
          <w:p w14:paraId="2D257D66" w14:textId="53ECB89D" w:rsidR="00563506" w:rsidRPr="00476A01" w:rsidRDefault="00563506" w:rsidP="006919BE">
            <w:pPr>
              <w:spacing w:after="60"/>
              <w:ind w:left="-74" w:right="-108"/>
              <w:jc w:val="center"/>
              <w:rPr>
                <w:color w:val="000000"/>
                <w:sz w:val="17"/>
                <w:szCs w:val="17"/>
              </w:rPr>
            </w:pPr>
            <w:r w:rsidRPr="00476A01">
              <w:rPr>
                <w:color w:val="000000"/>
                <w:sz w:val="17"/>
                <w:szCs w:val="17"/>
              </w:rPr>
              <w:t>24,5</w:t>
            </w:r>
          </w:p>
        </w:tc>
        <w:tc>
          <w:tcPr>
            <w:tcW w:w="851" w:type="dxa"/>
            <w:tcBorders>
              <w:top w:val="nil"/>
              <w:left w:val="nil"/>
              <w:bottom w:val="single" w:sz="4" w:space="0" w:color="auto"/>
              <w:right w:val="single" w:sz="4" w:space="0" w:color="auto"/>
            </w:tcBorders>
            <w:shd w:val="clear" w:color="auto" w:fill="auto"/>
            <w:vAlign w:val="center"/>
            <w:hideMark/>
          </w:tcPr>
          <w:p w14:paraId="12487E09"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103,1</w:t>
            </w:r>
          </w:p>
        </w:tc>
        <w:tc>
          <w:tcPr>
            <w:tcW w:w="709" w:type="dxa"/>
            <w:tcBorders>
              <w:top w:val="nil"/>
              <w:left w:val="nil"/>
              <w:bottom w:val="single" w:sz="4" w:space="0" w:color="auto"/>
              <w:right w:val="single" w:sz="4" w:space="0" w:color="auto"/>
            </w:tcBorders>
            <w:shd w:val="clear" w:color="auto" w:fill="auto"/>
            <w:vAlign w:val="center"/>
            <w:hideMark/>
          </w:tcPr>
          <w:p w14:paraId="0217D9CB" w14:textId="3B733FB1" w:rsidR="00563506" w:rsidRPr="00476A01" w:rsidRDefault="00563506" w:rsidP="006919BE">
            <w:pPr>
              <w:spacing w:after="60"/>
              <w:ind w:left="-74" w:right="-108"/>
              <w:jc w:val="center"/>
              <w:rPr>
                <w:color w:val="000000"/>
                <w:sz w:val="17"/>
                <w:szCs w:val="17"/>
              </w:rPr>
            </w:pPr>
            <w:r w:rsidRPr="00476A01">
              <w:rPr>
                <w:color w:val="000000"/>
                <w:sz w:val="17"/>
                <w:szCs w:val="17"/>
              </w:rPr>
              <w:t>23,8</w:t>
            </w:r>
          </w:p>
        </w:tc>
        <w:tc>
          <w:tcPr>
            <w:tcW w:w="850" w:type="dxa"/>
            <w:tcBorders>
              <w:top w:val="nil"/>
              <w:left w:val="nil"/>
              <w:bottom w:val="single" w:sz="4" w:space="0" w:color="auto"/>
              <w:right w:val="single" w:sz="4" w:space="0" w:color="auto"/>
            </w:tcBorders>
            <w:shd w:val="clear" w:color="auto" w:fill="auto"/>
            <w:vAlign w:val="center"/>
            <w:hideMark/>
          </w:tcPr>
          <w:p w14:paraId="680AEEE6" w14:textId="4F5F4F47" w:rsidR="00563506" w:rsidRPr="00476A01" w:rsidRDefault="00563506" w:rsidP="006919BE">
            <w:pPr>
              <w:spacing w:after="60"/>
              <w:ind w:left="-74" w:right="-108"/>
              <w:jc w:val="center"/>
              <w:rPr>
                <w:color w:val="000000"/>
                <w:sz w:val="17"/>
                <w:szCs w:val="17"/>
              </w:rPr>
            </w:pPr>
            <w:r w:rsidRPr="00476A01">
              <w:rPr>
                <w:color w:val="000000"/>
                <w:sz w:val="17"/>
                <w:szCs w:val="17"/>
              </w:rPr>
              <w:t>24,6</w:t>
            </w:r>
          </w:p>
        </w:tc>
        <w:tc>
          <w:tcPr>
            <w:tcW w:w="851" w:type="dxa"/>
            <w:tcBorders>
              <w:top w:val="nil"/>
              <w:left w:val="nil"/>
              <w:bottom w:val="single" w:sz="4" w:space="0" w:color="auto"/>
              <w:right w:val="single" w:sz="4" w:space="0" w:color="auto"/>
            </w:tcBorders>
            <w:shd w:val="clear" w:color="auto" w:fill="auto"/>
            <w:vAlign w:val="center"/>
            <w:hideMark/>
          </w:tcPr>
          <w:p w14:paraId="067BE991"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103,4</w:t>
            </w:r>
          </w:p>
        </w:tc>
        <w:tc>
          <w:tcPr>
            <w:tcW w:w="850" w:type="dxa"/>
            <w:tcBorders>
              <w:top w:val="nil"/>
              <w:left w:val="nil"/>
              <w:bottom w:val="single" w:sz="4" w:space="0" w:color="auto"/>
              <w:right w:val="single" w:sz="4" w:space="0" w:color="auto"/>
            </w:tcBorders>
            <w:shd w:val="clear" w:color="auto" w:fill="auto"/>
            <w:vAlign w:val="center"/>
            <w:hideMark/>
          </w:tcPr>
          <w:p w14:paraId="5ABC1B64" w14:textId="167138CD" w:rsidR="00563506" w:rsidRPr="00476A01" w:rsidRDefault="00563506" w:rsidP="006919BE">
            <w:pPr>
              <w:spacing w:after="60"/>
              <w:ind w:left="-74" w:right="-108"/>
              <w:jc w:val="center"/>
              <w:rPr>
                <w:color w:val="000000"/>
                <w:sz w:val="17"/>
                <w:szCs w:val="17"/>
              </w:rPr>
            </w:pPr>
            <w:r w:rsidRPr="00476A01">
              <w:rPr>
                <w:color w:val="000000"/>
                <w:sz w:val="17"/>
                <w:szCs w:val="17"/>
              </w:rPr>
              <w:t>23,8</w:t>
            </w:r>
          </w:p>
        </w:tc>
        <w:tc>
          <w:tcPr>
            <w:tcW w:w="851" w:type="dxa"/>
            <w:tcBorders>
              <w:top w:val="nil"/>
              <w:left w:val="nil"/>
              <w:bottom w:val="single" w:sz="4" w:space="0" w:color="auto"/>
              <w:right w:val="single" w:sz="4" w:space="0" w:color="auto"/>
            </w:tcBorders>
            <w:shd w:val="clear" w:color="auto" w:fill="auto"/>
            <w:vAlign w:val="center"/>
            <w:hideMark/>
          </w:tcPr>
          <w:p w14:paraId="7D73C29C" w14:textId="109CDA6E" w:rsidR="00563506" w:rsidRPr="00476A01" w:rsidRDefault="00563506" w:rsidP="006919BE">
            <w:pPr>
              <w:spacing w:after="60"/>
              <w:ind w:left="-74" w:right="-108"/>
              <w:jc w:val="center"/>
              <w:rPr>
                <w:color w:val="000000"/>
                <w:sz w:val="17"/>
                <w:szCs w:val="17"/>
              </w:rPr>
            </w:pPr>
            <w:r w:rsidRPr="00476A01">
              <w:rPr>
                <w:color w:val="000000"/>
                <w:sz w:val="17"/>
                <w:szCs w:val="17"/>
              </w:rPr>
              <w:t>24,2</w:t>
            </w:r>
          </w:p>
        </w:tc>
        <w:tc>
          <w:tcPr>
            <w:tcW w:w="992" w:type="dxa"/>
            <w:tcBorders>
              <w:top w:val="nil"/>
              <w:left w:val="nil"/>
              <w:bottom w:val="single" w:sz="4" w:space="0" w:color="auto"/>
              <w:right w:val="single" w:sz="4" w:space="0" w:color="auto"/>
            </w:tcBorders>
            <w:shd w:val="clear" w:color="auto" w:fill="auto"/>
            <w:vAlign w:val="center"/>
            <w:hideMark/>
          </w:tcPr>
          <w:p w14:paraId="5CFDE177"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102,0</w:t>
            </w:r>
          </w:p>
        </w:tc>
      </w:tr>
      <w:tr w:rsidR="00681D8A" w:rsidRPr="00476A01" w14:paraId="214A5EE1" w14:textId="77777777" w:rsidTr="00476A01">
        <w:trPr>
          <w:trHeight w:val="461"/>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9140CFF" w14:textId="77777777" w:rsidR="00563506" w:rsidRPr="00476A01" w:rsidRDefault="00563506" w:rsidP="006919BE">
            <w:pPr>
              <w:spacing w:after="60"/>
              <w:jc w:val="both"/>
              <w:rPr>
                <w:color w:val="000000"/>
                <w:sz w:val="17"/>
                <w:szCs w:val="17"/>
              </w:rPr>
            </w:pPr>
            <w:r w:rsidRPr="00476A01">
              <w:rPr>
                <w:color w:val="000000"/>
                <w:sz w:val="17"/>
                <w:szCs w:val="17"/>
              </w:rPr>
              <w:t>Федеральный проект "Новые возможности для каждого"</w:t>
            </w:r>
          </w:p>
        </w:tc>
        <w:tc>
          <w:tcPr>
            <w:tcW w:w="709" w:type="dxa"/>
            <w:tcBorders>
              <w:top w:val="nil"/>
              <w:left w:val="nil"/>
              <w:bottom w:val="single" w:sz="4" w:space="0" w:color="auto"/>
              <w:right w:val="single" w:sz="4" w:space="0" w:color="auto"/>
            </w:tcBorders>
            <w:shd w:val="clear" w:color="auto" w:fill="auto"/>
            <w:vAlign w:val="center"/>
            <w:hideMark/>
          </w:tcPr>
          <w:p w14:paraId="71437DB5" w14:textId="6C746C26" w:rsidR="00563506" w:rsidRPr="00476A01" w:rsidRDefault="00563506" w:rsidP="006919BE">
            <w:pPr>
              <w:spacing w:after="60"/>
              <w:ind w:left="-74" w:right="-108"/>
              <w:jc w:val="center"/>
              <w:rPr>
                <w:color w:val="000000"/>
                <w:sz w:val="17"/>
                <w:szCs w:val="17"/>
              </w:rPr>
            </w:pPr>
            <w:r w:rsidRPr="00476A01">
              <w:rPr>
                <w:color w:val="000000"/>
                <w:sz w:val="17"/>
                <w:szCs w:val="17"/>
              </w:rPr>
              <w:t>0,9</w:t>
            </w:r>
          </w:p>
        </w:tc>
        <w:tc>
          <w:tcPr>
            <w:tcW w:w="709" w:type="dxa"/>
            <w:tcBorders>
              <w:top w:val="nil"/>
              <w:left w:val="nil"/>
              <w:bottom w:val="single" w:sz="4" w:space="0" w:color="auto"/>
              <w:right w:val="single" w:sz="4" w:space="0" w:color="auto"/>
            </w:tcBorders>
            <w:shd w:val="clear" w:color="auto" w:fill="auto"/>
            <w:vAlign w:val="center"/>
            <w:hideMark/>
          </w:tcPr>
          <w:p w14:paraId="453A783F" w14:textId="4965E4DE" w:rsidR="00563506" w:rsidRPr="00476A01" w:rsidRDefault="00563506" w:rsidP="006919BE">
            <w:pPr>
              <w:spacing w:after="60"/>
              <w:ind w:left="-74" w:right="-108"/>
              <w:jc w:val="center"/>
              <w:rPr>
                <w:color w:val="000000"/>
                <w:sz w:val="17"/>
                <w:szCs w:val="17"/>
              </w:rPr>
            </w:pPr>
            <w:r w:rsidRPr="00476A01">
              <w:rPr>
                <w:color w:val="000000"/>
                <w:sz w:val="17"/>
                <w:szCs w:val="17"/>
              </w:rPr>
              <w:t>0,9</w:t>
            </w:r>
          </w:p>
        </w:tc>
        <w:tc>
          <w:tcPr>
            <w:tcW w:w="708" w:type="dxa"/>
            <w:tcBorders>
              <w:top w:val="nil"/>
              <w:left w:val="nil"/>
              <w:bottom w:val="single" w:sz="4" w:space="0" w:color="auto"/>
              <w:right w:val="single" w:sz="4" w:space="0" w:color="auto"/>
            </w:tcBorders>
            <w:shd w:val="clear" w:color="auto" w:fill="auto"/>
            <w:vAlign w:val="center"/>
            <w:hideMark/>
          </w:tcPr>
          <w:p w14:paraId="6F23ED83" w14:textId="6509E440" w:rsidR="00563506" w:rsidRPr="00476A01" w:rsidRDefault="00563506" w:rsidP="006919BE">
            <w:pPr>
              <w:spacing w:after="60"/>
              <w:ind w:left="-74" w:right="-108"/>
              <w:jc w:val="center"/>
              <w:rPr>
                <w:color w:val="000000"/>
                <w:sz w:val="17"/>
                <w:szCs w:val="17"/>
              </w:rPr>
            </w:pPr>
            <w:r w:rsidRPr="00476A01">
              <w:rPr>
                <w:color w:val="000000"/>
                <w:sz w:val="17"/>
                <w:szCs w:val="17"/>
              </w:rPr>
              <w:t>1,0</w:t>
            </w:r>
          </w:p>
        </w:tc>
        <w:tc>
          <w:tcPr>
            <w:tcW w:w="851" w:type="dxa"/>
            <w:tcBorders>
              <w:top w:val="nil"/>
              <w:left w:val="nil"/>
              <w:bottom w:val="single" w:sz="4" w:space="0" w:color="auto"/>
              <w:right w:val="single" w:sz="4" w:space="0" w:color="auto"/>
            </w:tcBorders>
            <w:shd w:val="clear" w:color="auto" w:fill="auto"/>
            <w:vAlign w:val="center"/>
            <w:hideMark/>
          </w:tcPr>
          <w:p w14:paraId="505BB89E" w14:textId="77777777" w:rsidR="00563506" w:rsidRPr="00476A01" w:rsidRDefault="00563506" w:rsidP="006919BE">
            <w:pPr>
              <w:spacing w:after="60"/>
              <w:ind w:left="-74" w:right="-108"/>
              <w:jc w:val="center"/>
              <w:rPr>
                <w:color w:val="000000"/>
                <w:sz w:val="17"/>
                <w:szCs w:val="17"/>
              </w:rPr>
            </w:pPr>
            <w:r w:rsidRPr="00476A01">
              <w:rPr>
                <w:color w:val="000000"/>
                <w:sz w:val="17"/>
                <w:szCs w:val="17"/>
              </w:rPr>
              <w:t>110,9</w:t>
            </w:r>
          </w:p>
        </w:tc>
        <w:tc>
          <w:tcPr>
            <w:tcW w:w="709" w:type="dxa"/>
            <w:tcBorders>
              <w:top w:val="nil"/>
              <w:left w:val="nil"/>
              <w:bottom w:val="single" w:sz="4" w:space="0" w:color="auto"/>
              <w:right w:val="single" w:sz="4" w:space="0" w:color="auto"/>
            </w:tcBorders>
            <w:shd w:val="clear" w:color="auto" w:fill="auto"/>
            <w:vAlign w:val="center"/>
            <w:hideMark/>
          </w:tcPr>
          <w:p w14:paraId="69C67351" w14:textId="47864FA7" w:rsidR="00563506" w:rsidRPr="00476A01" w:rsidRDefault="00563506" w:rsidP="006919BE">
            <w:pPr>
              <w:spacing w:after="60"/>
              <w:ind w:left="-74" w:right="-108"/>
              <w:jc w:val="center"/>
              <w:rPr>
                <w:color w:val="000000"/>
                <w:sz w:val="17"/>
                <w:szCs w:val="17"/>
              </w:rPr>
            </w:pPr>
            <w:r w:rsidRPr="00476A01">
              <w:rPr>
                <w:color w:val="000000"/>
                <w:sz w:val="17"/>
                <w:szCs w:val="17"/>
              </w:rPr>
              <w:t>1,4</w:t>
            </w:r>
          </w:p>
        </w:tc>
        <w:tc>
          <w:tcPr>
            <w:tcW w:w="850" w:type="dxa"/>
            <w:tcBorders>
              <w:top w:val="nil"/>
              <w:left w:val="nil"/>
              <w:bottom w:val="single" w:sz="4" w:space="0" w:color="auto"/>
              <w:right w:val="single" w:sz="4" w:space="0" w:color="auto"/>
            </w:tcBorders>
            <w:shd w:val="clear" w:color="auto" w:fill="auto"/>
            <w:vAlign w:val="center"/>
            <w:hideMark/>
          </w:tcPr>
          <w:p w14:paraId="7D42D62B" w14:textId="06AAA2CC" w:rsidR="00563506" w:rsidRPr="00476A01" w:rsidRDefault="00563506" w:rsidP="006919BE">
            <w:pPr>
              <w:spacing w:after="60"/>
              <w:ind w:left="-74" w:right="-108"/>
              <w:jc w:val="center"/>
              <w:rPr>
                <w:color w:val="000000"/>
                <w:sz w:val="17"/>
                <w:szCs w:val="17"/>
              </w:rPr>
            </w:pPr>
            <w:r w:rsidRPr="00476A01">
              <w:rPr>
                <w:color w:val="000000"/>
                <w:sz w:val="17"/>
                <w:szCs w:val="17"/>
              </w:rPr>
              <w:t>1,4</w:t>
            </w:r>
          </w:p>
        </w:tc>
        <w:tc>
          <w:tcPr>
            <w:tcW w:w="851" w:type="dxa"/>
            <w:tcBorders>
              <w:top w:val="nil"/>
              <w:left w:val="nil"/>
              <w:bottom w:val="single" w:sz="4" w:space="0" w:color="auto"/>
              <w:right w:val="single" w:sz="4" w:space="0" w:color="auto"/>
            </w:tcBorders>
            <w:shd w:val="clear" w:color="auto" w:fill="auto"/>
            <w:vAlign w:val="center"/>
            <w:hideMark/>
          </w:tcPr>
          <w:p w14:paraId="081F3778" w14:textId="77777777" w:rsidR="00563506" w:rsidRPr="00476A01" w:rsidRDefault="00563506" w:rsidP="006919BE">
            <w:pPr>
              <w:spacing w:after="60"/>
              <w:ind w:left="-74" w:right="-108"/>
              <w:jc w:val="center"/>
              <w:rPr>
                <w:color w:val="000000"/>
                <w:sz w:val="17"/>
                <w:szCs w:val="17"/>
              </w:rPr>
            </w:pPr>
            <w:r w:rsidRPr="00476A01">
              <w:rPr>
                <w:color w:val="000000"/>
                <w:sz w:val="17"/>
                <w:szCs w:val="17"/>
              </w:rPr>
              <w:t>100,0</w:t>
            </w:r>
          </w:p>
        </w:tc>
        <w:tc>
          <w:tcPr>
            <w:tcW w:w="850" w:type="dxa"/>
            <w:tcBorders>
              <w:top w:val="nil"/>
              <w:left w:val="nil"/>
              <w:bottom w:val="single" w:sz="4" w:space="0" w:color="auto"/>
              <w:right w:val="single" w:sz="4" w:space="0" w:color="auto"/>
            </w:tcBorders>
            <w:shd w:val="clear" w:color="auto" w:fill="auto"/>
            <w:vAlign w:val="center"/>
            <w:hideMark/>
          </w:tcPr>
          <w:p w14:paraId="309FB636" w14:textId="5B341984" w:rsidR="00563506" w:rsidRPr="00476A01" w:rsidRDefault="00563506" w:rsidP="006919BE">
            <w:pPr>
              <w:spacing w:after="60"/>
              <w:ind w:left="-74" w:right="-108"/>
              <w:jc w:val="center"/>
              <w:rPr>
                <w:color w:val="000000"/>
                <w:sz w:val="17"/>
                <w:szCs w:val="17"/>
              </w:rPr>
            </w:pPr>
            <w:r w:rsidRPr="00476A01">
              <w:rPr>
                <w:color w:val="000000"/>
                <w:sz w:val="17"/>
                <w:szCs w:val="17"/>
              </w:rPr>
              <w:t>1,4</w:t>
            </w:r>
          </w:p>
        </w:tc>
        <w:tc>
          <w:tcPr>
            <w:tcW w:w="851" w:type="dxa"/>
            <w:tcBorders>
              <w:top w:val="nil"/>
              <w:left w:val="nil"/>
              <w:bottom w:val="single" w:sz="4" w:space="0" w:color="auto"/>
              <w:right w:val="single" w:sz="4" w:space="0" w:color="auto"/>
            </w:tcBorders>
            <w:shd w:val="clear" w:color="auto" w:fill="auto"/>
            <w:vAlign w:val="center"/>
            <w:hideMark/>
          </w:tcPr>
          <w:p w14:paraId="7A1DF142" w14:textId="78C3B9A3" w:rsidR="00563506" w:rsidRPr="00476A01" w:rsidRDefault="00563506" w:rsidP="006919BE">
            <w:pPr>
              <w:spacing w:after="60"/>
              <w:ind w:left="-74" w:right="-108"/>
              <w:jc w:val="center"/>
              <w:rPr>
                <w:color w:val="000000"/>
                <w:sz w:val="17"/>
                <w:szCs w:val="17"/>
              </w:rPr>
            </w:pPr>
            <w:r w:rsidRPr="00476A01">
              <w:rPr>
                <w:color w:val="000000"/>
                <w:sz w:val="17"/>
                <w:szCs w:val="17"/>
              </w:rPr>
              <w:t>1,4</w:t>
            </w:r>
          </w:p>
        </w:tc>
        <w:tc>
          <w:tcPr>
            <w:tcW w:w="992" w:type="dxa"/>
            <w:tcBorders>
              <w:top w:val="nil"/>
              <w:left w:val="nil"/>
              <w:bottom w:val="single" w:sz="4" w:space="0" w:color="auto"/>
              <w:right w:val="single" w:sz="4" w:space="0" w:color="auto"/>
            </w:tcBorders>
            <w:shd w:val="clear" w:color="auto" w:fill="auto"/>
            <w:vAlign w:val="center"/>
            <w:hideMark/>
          </w:tcPr>
          <w:p w14:paraId="69BD614B" w14:textId="77777777" w:rsidR="00563506" w:rsidRPr="00476A01" w:rsidRDefault="00563506" w:rsidP="006919BE">
            <w:pPr>
              <w:spacing w:after="60"/>
              <w:ind w:left="-74" w:right="-108"/>
              <w:jc w:val="center"/>
              <w:rPr>
                <w:color w:val="000000"/>
                <w:sz w:val="17"/>
                <w:szCs w:val="17"/>
              </w:rPr>
            </w:pPr>
            <w:r w:rsidRPr="00476A01">
              <w:rPr>
                <w:color w:val="000000"/>
                <w:sz w:val="17"/>
                <w:szCs w:val="17"/>
              </w:rPr>
              <w:t>100,0</w:t>
            </w:r>
          </w:p>
        </w:tc>
      </w:tr>
      <w:tr w:rsidR="00681D8A" w:rsidRPr="00476A01" w14:paraId="26E5FF1A" w14:textId="77777777" w:rsidTr="00476A01">
        <w:trPr>
          <w:trHeight w:val="461"/>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D268F0B" w14:textId="77777777" w:rsidR="00563506" w:rsidRPr="00476A01" w:rsidRDefault="00563506" w:rsidP="006919BE">
            <w:pPr>
              <w:spacing w:after="60"/>
              <w:jc w:val="both"/>
              <w:rPr>
                <w:color w:val="000000"/>
                <w:sz w:val="17"/>
                <w:szCs w:val="17"/>
              </w:rPr>
            </w:pPr>
            <w:r w:rsidRPr="00476A01">
              <w:rPr>
                <w:color w:val="000000"/>
                <w:sz w:val="17"/>
                <w:szCs w:val="17"/>
              </w:rPr>
              <w:t>Федеральный проект "Социальная активность"</w:t>
            </w:r>
          </w:p>
        </w:tc>
        <w:tc>
          <w:tcPr>
            <w:tcW w:w="709" w:type="dxa"/>
            <w:tcBorders>
              <w:top w:val="nil"/>
              <w:left w:val="nil"/>
              <w:bottom w:val="single" w:sz="4" w:space="0" w:color="auto"/>
              <w:right w:val="single" w:sz="4" w:space="0" w:color="auto"/>
            </w:tcBorders>
            <w:shd w:val="clear" w:color="auto" w:fill="auto"/>
            <w:vAlign w:val="center"/>
            <w:hideMark/>
          </w:tcPr>
          <w:p w14:paraId="0B4A6068" w14:textId="07B59682" w:rsidR="00563506" w:rsidRPr="00476A01" w:rsidRDefault="00563506" w:rsidP="006919BE">
            <w:pPr>
              <w:spacing w:after="60"/>
              <w:ind w:left="-74" w:right="-108"/>
              <w:jc w:val="center"/>
              <w:rPr>
                <w:color w:val="000000"/>
                <w:sz w:val="17"/>
                <w:szCs w:val="17"/>
              </w:rPr>
            </w:pPr>
            <w:r w:rsidRPr="00476A01">
              <w:rPr>
                <w:color w:val="000000"/>
                <w:sz w:val="17"/>
                <w:szCs w:val="17"/>
              </w:rPr>
              <w:t>3,3</w:t>
            </w:r>
          </w:p>
        </w:tc>
        <w:tc>
          <w:tcPr>
            <w:tcW w:w="709" w:type="dxa"/>
            <w:tcBorders>
              <w:top w:val="nil"/>
              <w:left w:val="nil"/>
              <w:bottom w:val="single" w:sz="4" w:space="0" w:color="auto"/>
              <w:right w:val="single" w:sz="4" w:space="0" w:color="auto"/>
            </w:tcBorders>
            <w:shd w:val="clear" w:color="auto" w:fill="auto"/>
            <w:vAlign w:val="center"/>
            <w:hideMark/>
          </w:tcPr>
          <w:p w14:paraId="3F612D3B" w14:textId="5C5BA91B" w:rsidR="00563506" w:rsidRPr="00476A01" w:rsidRDefault="00563506" w:rsidP="006919BE">
            <w:pPr>
              <w:spacing w:after="60"/>
              <w:ind w:left="-74" w:right="-108"/>
              <w:jc w:val="center"/>
              <w:rPr>
                <w:color w:val="000000"/>
                <w:sz w:val="17"/>
                <w:szCs w:val="17"/>
              </w:rPr>
            </w:pPr>
            <w:r w:rsidRPr="00476A01">
              <w:rPr>
                <w:color w:val="000000"/>
                <w:sz w:val="17"/>
                <w:szCs w:val="17"/>
              </w:rPr>
              <w:t>1,3</w:t>
            </w:r>
          </w:p>
        </w:tc>
        <w:tc>
          <w:tcPr>
            <w:tcW w:w="708" w:type="dxa"/>
            <w:tcBorders>
              <w:top w:val="nil"/>
              <w:left w:val="nil"/>
              <w:bottom w:val="single" w:sz="4" w:space="0" w:color="auto"/>
              <w:right w:val="single" w:sz="4" w:space="0" w:color="auto"/>
            </w:tcBorders>
            <w:shd w:val="clear" w:color="auto" w:fill="auto"/>
            <w:vAlign w:val="center"/>
            <w:hideMark/>
          </w:tcPr>
          <w:p w14:paraId="0E10F3CC" w14:textId="43734D45" w:rsidR="00563506" w:rsidRPr="00476A01" w:rsidRDefault="00563506" w:rsidP="006919BE">
            <w:pPr>
              <w:spacing w:after="60"/>
              <w:ind w:left="-74" w:right="-108"/>
              <w:jc w:val="center"/>
              <w:rPr>
                <w:color w:val="000000"/>
                <w:sz w:val="17"/>
                <w:szCs w:val="17"/>
              </w:rPr>
            </w:pPr>
            <w:r w:rsidRPr="00476A01">
              <w:rPr>
                <w:color w:val="000000"/>
                <w:sz w:val="17"/>
                <w:szCs w:val="17"/>
              </w:rPr>
              <w:t>5,3</w:t>
            </w:r>
          </w:p>
        </w:tc>
        <w:tc>
          <w:tcPr>
            <w:tcW w:w="851" w:type="dxa"/>
            <w:tcBorders>
              <w:top w:val="nil"/>
              <w:left w:val="nil"/>
              <w:bottom w:val="single" w:sz="4" w:space="0" w:color="auto"/>
              <w:right w:val="single" w:sz="4" w:space="0" w:color="auto"/>
            </w:tcBorders>
            <w:shd w:val="clear" w:color="auto" w:fill="auto"/>
            <w:vAlign w:val="center"/>
            <w:hideMark/>
          </w:tcPr>
          <w:p w14:paraId="3B6597E6"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415,7</w:t>
            </w:r>
          </w:p>
        </w:tc>
        <w:tc>
          <w:tcPr>
            <w:tcW w:w="709" w:type="dxa"/>
            <w:tcBorders>
              <w:top w:val="nil"/>
              <w:left w:val="nil"/>
              <w:bottom w:val="single" w:sz="4" w:space="0" w:color="auto"/>
              <w:right w:val="single" w:sz="4" w:space="0" w:color="auto"/>
            </w:tcBorders>
            <w:shd w:val="clear" w:color="auto" w:fill="auto"/>
            <w:vAlign w:val="center"/>
            <w:hideMark/>
          </w:tcPr>
          <w:p w14:paraId="438134A3" w14:textId="39682F73" w:rsidR="00563506" w:rsidRPr="00476A01" w:rsidRDefault="00563506" w:rsidP="006919BE">
            <w:pPr>
              <w:spacing w:after="60"/>
              <w:ind w:left="-74" w:right="-108"/>
              <w:jc w:val="center"/>
              <w:rPr>
                <w:color w:val="000000"/>
                <w:sz w:val="17"/>
                <w:szCs w:val="17"/>
              </w:rPr>
            </w:pPr>
            <w:r w:rsidRPr="00476A01">
              <w:rPr>
                <w:color w:val="000000"/>
                <w:sz w:val="17"/>
                <w:szCs w:val="17"/>
              </w:rPr>
              <w:t>1,3</w:t>
            </w:r>
          </w:p>
        </w:tc>
        <w:tc>
          <w:tcPr>
            <w:tcW w:w="850" w:type="dxa"/>
            <w:tcBorders>
              <w:top w:val="nil"/>
              <w:left w:val="nil"/>
              <w:bottom w:val="single" w:sz="4" w:space="0" w:color="auto"/>
              <w:right w:val="single" w:sz="4" w:space="0" w:color="auto"/>
            </w:tcBorders>
            <w:shd w:val="clear" w:color="auto" w:fill="auto"/>
            <w:vAlign w:val="center"/>
            <w:hideMark/>
          </w:tcPr>
          <w:p w14:paraId="4ECD2223" w14:textId="6CF13161" w:rsidR="00563506" w:rsidRPr="00476A01" w:rsidRDefault="00563506" w:rsidP="006919BE">
            <w:pPr>
              <w:spacing w:after="60"/>
              <w:ind w:left="-74" w:right="-108"/>
              <w:jc w:val="center"/>
              <w:rPr>
                <w:color w:val="000000"/>
                <w:sz w:val="17"/>
                <w:szCs w:val="17"/>
              </w:rPr>
            </w:pPr>
            <w:r w:rsidRPr="00476A01">
              <w:rPr>
                <w:color w:val="000000"/>
                <w:sz w:val="17"/>
                <w:szCs w:val="17"/>
              </w:rPr>
              <w:t>5,6</w:t>
            </w:r>
          </w:p>
        </w:tc>
        <w:tc>
          <w:tcPr>
            <w:tcW w:w="851" w:type="dxa"/>
            <w:tcBorders>
              <w:top w:val="nil"/>
              <w:left w:val="nil"/>
              <w:bottom w:val="single" w:sz="4" w:space="0" w:color="auto"/>
              <w:right w:val="single" w:sz="4" w:space="0" w:color="auto"/>
            </w:tcBorders>
            <w:shd w:val="clear" w:color="auto" w:fill="auto"/>
            <w:vAlign w:val="center"/>
            <w:hideMark/>
          </w:tcPr>
          <w:p w14:paraId="2EA37926"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441,3</w:t>
            </w:r>
          </w:p>
        </w:tc>
        <w:tc>
          <w:tcPr>
            <w:tcW w:w="850" w:type="dxa"/>
            <w:tcBorders>
              <w:top w:val="nil"/>
              <w:left w:val="nil"/>
              <w:bottom w:val="single" w:sz="4" w:space="0" w:color="auto"/>
              <w:right w:val="single" w:sz="4" w:space="0" w:color="auto"/>
            </w:tcBorders>
            <w:shd w:val="clear" w:color="auto" w:fill="auto"/>
            <w:vAlign w:val="center"/>
            <w:hideMark/>
          </w:tcPr>
          <w:p w14:paraId="506B77E0" w14:textId="7C0057F0" w:rsidR="00563506" w:rsidRPr="00476A01" w:rsidRDefault="00563506" w:rsidP="006919BE">
            <w:pPr>
              <w:spacing w:after="60"/>
              <w:ind w:left="-74" w:right="-108"/>
              <w:jc w:val="center"/>
              <w:rPr>
                <w:color w:val="000000"/>
                <w:sz w:val="17"/>
                <w:szCs w:val="17"/>
              </w:rPr>
            </w:pPr>
            <w:r w:rsidRPr="00476A01">
              <w:rPr>
                <w:color w:val="000000"/>
                <w:sz w:val="17"/>
                <w:szCs w:val="17"/>
              </w:rPr>
              <w:t>3,0</w:t>
            </w:r>
          </w:p>
        </w:tc>
        <w:tc>
          <w:tcPr>
            <w:tcW w:w="851" w:type="dxa"/>
            <w:tcBorders>
              <w:top w:val="nil"/>
              <w:left w:val="nil"/>
              <w:bottom w:val="single" w:sz="4" w:space="0" w:color="auto"/>
              <w:right w:val="single" w:sz="4" w:space="0" w:color="auto"/>
            </w:tcBorders>
            <w:shd w:val="clear" w:color="auto" w:fill="auto"/>
            <w:vAlign w:val="center"/>
            <w:hideMark/>
          </w:tcPr>
          <w:p w14:paraId="45E2BABF" w14:textId="343A7C36" w:rsidR="00563506" w:rsidRPr="00476A01" w:rsidRDefault="00563506" w:rsidP="006919BE">
            <w:pPr>
              <w:spacing w:after="60"/>
              <w:ind w:left="-74" w:right="-108"/>
              <w:jc w:val="center"/>
              <w:rPr>
                <w:color w:val="000000"/>
                <w:sz w:val="17"/>
                <w:szCs w:val="17"/>
              </w:rPr>
            </w:pPr>
            <w:r w:rsidRPr="00476A01">
              <w:rPr>
                <w:color w:val="000000"/>
                <w:sz w:val="17"/>
                <w:szCs w:val="17"/>
              </w:rPr>
              <w:t>3,3</w:t>
            </w:r>
          </w:p>
        </w:tc>
        <w:tc>
          <w:tcPr>
            <w:tcW w:w="992" w:type="dxa"/>
            <w:tcBorders>
              <w:top w:val="nil"/>
              <w:left w:val="nil"/>
              <w:bottom w:val="single" w:sz="4" w:space="0" w:color="auto"/>
              <w:right w:val="single" w:sz="4" w:space="0" w:color="auto"/>
            </w:tcBorders>
            <w:shd w:val="clear" w:color="auto" w:fill="auto"/>
            <w:vAlign w:val="center"/>
            <w:hideMark/>
          </w:tcPr>
          <w:p w14:paraId="2622FA38"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110,1</w:t>
            </w:r>
          </w:p>
        </w:tc>
      </w:tr>
      <w:tr w:rsidR="00681D8A" w:rsidRPr="00476A01" w14:paraId="58C30B73" w14:textId="77777777" w:rsidTr="00476A01">
        <w:trPr>
          <w:trHeight w:val="461"/>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0784A3B" w14:textId="77777777" w:rsidR="00563506" w:rsidRPr="00476A01" w:rsidRDefault="00563506" w:rsidP="006919BE">
            <w:pPr>
              <w:spacing w:after="60"/>
              <w:jc w:val="both"/>
              <w:rPr>
                <w:color w:val="000000"/>
                <w:sz w:val="17"/>
                <w:szCs w:val="17"/>
              </w:rPr>
            </w:pPr>
            <w:r w:rsidRPr="00476A01">
              <w:rPr>
                <w:color w:val="000000"/>
                <w:sz w:val="17"/>
                <w:szCs w:val="17"/>
              </w:rPr>
              <w:t>Федеральный проект "Экспорт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01C4A5B6" w14:textId="42BBFE5B" w:rsidR="00563506" w:rsidRPr="00476A01" w:rsidRDefault="00563506" w:rsidP="006919BE">
            <w:pPr>
              <w:spacing w:after="60"/>
              <w:ind w:left="-74" w:right="-108"/>
              <w:jc w:val="center"/>
              <w:rPr>
                <w:color w:val="000000"/>
                <w:sz w:val="17"/>
                <w:szCs w:val="17"/>
              </w:rPr>
            </w:pPr>
            <w:r w:rsidRPr="00476A01">
              <w:rPr>
                <w:color w:val="000000"/>
                <w:sz w:val="17"/>
                <w:szCs w:val="17"/>
              </w:rPr>
              <w:t>9,6</w:t>
            </w:r>
          </w:p>
        </w:tc>
        <w:tc>
          <w:tcPr>
            <w:tcW w:w="709" w:type="dxa"/>
            <w:tcBorders>
              <w:top w:val="nil"/>
              <w:left w:val="nil"/>
              <w:bottom w:val="single" w:sz="4" w:space="0" w:color="auto"/>
              <w:right w:val="single" w:sz="4" w:space="0" w:color="auto"/>
            </w:tcBorders>
            <w:shd w:val="clear" w:color="auto" w:fill="auto"/>
            <w:vAlign w:val="center"/>
            <w:hideMark/>
          </w:tcPr>
          <w:p w14:paraId="7015D649" w14:textId="4119C1A0" w:rsidR="00563506" w:rsidRPr="00476A01" w:rsidRDefault="00563506" w:rsidP="006919BE">
            <w:pPr>
              <w:spacing w:after="60"/>
              <w:ind w:left="-74" w:right="-108"/>
              <w:jc w:val="center"/>
              <w:rPr>
                <w:color w:val="000000"/>
                <w:sz w:val="17"/>
                <w:szCs w:val="17"/>
              </w:rPr>
            </w:pPr>
            <w:r w:rsidRPr="00476A01">
              <w:rPr>
                <w:color w:val="000000"/>
                <w:sz w:val="17"/>
                <w:szCs w:val="17"/>
              </w:rPr>
              <w:t>14,4</w:t>
            </w:r>
          </w:p>
        </w:tc>
        <w:tc>
          <w:tcPr>
            <w:tcW w:w="708" w:type="dxa"/>
            <w:tcBorders>
              <w:top w:val="nil"/>
              <w:left w:val="nil"/>
              <w:bottom w:val="single" w:sz="4" w:space="0" w:color="auto"/>
              <w:right w:val="single" w:sz="4" w:space="0" w:color="auto"/>
            </w:tcBorders>
            <w:shd w:val="clear" w:color="auto" w:fill="auto"/>
            <w:vAlign w:val="center"/>
            <w:hideMark/>
          </w:tcPr>
          <w:p w14:paraId="10CA9DF2" w14:textId="1425E56E" w:rsidR="00563506" w:rsidRPr="00476A01" w:rsidRDefault="00563506" w:rsidP="006919BE">
            <w:pPr>
              <w:spacing w:after="60"/>
              <w:ind w:left="-74" w:right="-108"/>
              <w:jc w:val="center"/>
              <w:rPr>
                <w:color w:val="000000"/>
                <w:sz w:val="17"/>
                <w:szCs w:val="17"/>
              </w:rPr>
            </w:pPr>
            <w:r w:rsidRPr="00476A01">
              <w:rPr>
                <w:color w:val="000000"/>
                <w:sz w:val="17"/>
                <w:szCs w:val="17"/>
              </w:rPr>
              <w:t>15,0</w:t>
            </w:r>
          </w:p>
        </w:tc>
        <w:tc>
          <w:tcPr>
            <w:tcW w:w="851" w:type="dxa"/>
            <w:tcBorders>
              <w:top w:val="nil"/>
              <w:left w:val="nil"/>
              <w:bottom w:val="single" w:sz="4" w:space="0" w:color="auto"/>
              <w:right w:val="single" w:sz="4" w:space="0" w:color="auto"/>
            </w:tcBorders>
            <w:shd w:val="clear" w:color="auto" w:fill="auto"/>
            <w:vAlign w:val="center"/>
            <w:hideMark/>
          </w:tcPr>
          <w:p w14:paraId="4819F4DA"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104,4</w:t>
            </w:r>
          </w:p>
        </w:tc>
        <w:tc>
          <w:tcPr>
            <w:tcW w:w="709" w:type="dxa"/>
            <w:tcBorders>
              <w:top w:val="nil"/>
              <w:left w:val="nil"/>
              <w:bottom w:val="single" w:sz="4" w:space="0" w:color="auto"/>
              <w:right w:val="single" w:sz="4" w:space="0" w:color="auto"/>
            </w:tcBorders>
            <w:shd w:val="clear" w:color="auto" w:fill="auto"/>
            <w:vAlign w:val="center"/>
            <w:hideMark/>
          </w:tcPr>
          <w:p w14:paraId="26D321EB" w14:textId="0CDF5952" w:rsidR="00563506" w:rsidRPr="00476A01" w:rsidRDefault="00563506" w:rsidP="006919BE">
            <w:pPr>
              <w:spacing w:after="60"/>
              <w:ind w:left="-74" w:right="-108"/>
              <w:jc w:val="center"/>
              <w:rPr>
                <w:color w:val="000000"/>
                <w:sz w:val="17"/>
                <w:szCs w:val="17"/>
              </w:rPr>
            </w:pPr>
            <w:r w:rsidRPr="00476A01">
              <w:rPr>
                <w:color w:val="000000"/>
                <w:sz w:val="17"/>
                <w:szCs w:val="17"/>
              </w:rPr>
              <w:t>20,9</w:t>
            </w:r>
          </w:p>
        </w:tc>
        <w:tc>
          <w:tcPr>
            <w:tcW w:w="850" w:type="dxa"/>
            <w:tcBorders>
              <w:top w:val="nil"/>
              <w:left w:val="nil"/>
              <w:bottom w:val="single" w:sz="4" w:space="0" w:color="auto"/>
              <w:right w:val="single" w:sz="4" w:space="0" w:color="auto"/>
            </w:tcBorders>
            <w:shd w:val="clear" w:color="auto" w:fill="auto"/>
            <w:vAlign w:val="center"/>
            <w:hideMark/>
          </w:tcPr>
          <w:p w14:paraId="0CC8FC3B" w14:textId="6F7266A5" w:rsidR="00563506" w:rsidRPr="00476A01" w:rsidRDefault="00563506" w:rsidP="006919BE">
            <w:pPr>
              <w:spacing w:after="60"/>
              <w:ind w:left="-74" w:right="-108"/>
              <w:jc w:val="center"/>
              <w:rPr>
                <w:color w:val="000000"/>
                <w:sz w:val="17"/>
                <w:szCs w:val="17"/>
              </w:rPr>
            </w:pPr>
            <w:r w:rsidRPr="00476A01">
              <w:rPr>
                <w:color w:val="000000"/>
                <w:sz w:val="17"/>
                <w:szCs w:val="17"/>
              </w:rPr>
              <w:t>20,9</w:t>
            </w:r>
          </w:p>
        </w:tc>
        <w:tc>
          <w:tcPr>
            <w:tcW w:w="851" w:type="dxa"/>
            <w:tcBorders>
              <w:top w:val="nil"/>
              <w:left w:val="nil"/>
              <w:bottom w:val="single" w:sz="4" w:space="0" w:color="auto"/>
              <w:right w:val="single" w:sz="4" w:space="0" w:color="auto"/>
            </w:tcBorders>
            <w:shd w:val="clear" w:color="auto" w:fill="auto"/>
            <w:vAlign w:val="center"/>
            <w:hideMark/>
          </w:tcPr>
          <w:p w14:paraId="15811E55"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100,0</w:t>
            </w:r>
          </w:p>
        </w:tc>
        <w:tc>
          <w:tcPr>
            <w:tcW w:w="850" w:type="dxa"/>
            <w:tcBorders>
              <w:top w:val="nil"/>
              <w:left w:val="nil"/>
              <w:bottom w:val="single" w:sz="4" w:space="0" w:color="auto"/>
              <w:right w:val="single" w:sz="4" w:space="0" w:color="auto"/>
            </w:tcBorders>
            <w:shd w:val="clear" w:color="auto" w:fill="auto"/>
            <w:vAlign w:val="center"/>
            <w:hideMark/>
          </w:tcPr>
          <w:p w14:paraId="15754D84" w14:textId="12D8A934" w:rsidR="00563506" w:rsidRPr="00476A01" w:rsidRDefault="00563506" w:rsidP="006919BE">
            <w:pPr>
              <w:spacing w:after="60"/>
              <w:ind w:left="-74" w:right="-108"/>
              <w:jc w:val="center"/>
              <w:rPr>
                <w:color w:val="000000"/>
                <w:sz w:val="17"/>
                <w:szCs w:val="17"/>
              </w:rPr>
            </w:pPr>
            <w:r w:rsidRPr="00476A01">
              <w:rPr>
                <w:color w:val="000000"/>
                <w:sz w:val="17"/>
                <w:szCs w:val="17"/>
              </w:rPr>
              <w:t>20,9</w:t>
            </w:r>
          </w:p>
        </w:tc>
        <w:tc>
          <w:tcPr>
            <w:tcW w:w="851" w:type="dxa"/>
            <w:tcBorders>
              <w:top w:val="nil"/>
              <w:left w:val="nil"/>
              <w:bottom w:val="single" w:sz="4" w:space="0" w:color="auto"/>
              <w:right w:val="single" w:sz="4" w:space="0" w:color="auto"/>
            </w:tcBorders>
            <w:shd w:val="clear" w:color="auto" w:fill="auto"/>
            <w:vAlign w:val="center"/>
            <w:hideMark/>
          </w:tcPr>
          <w:p w14:paraId="502B81FD" w14:textId="1CDFDAAD" w:rsidR="00563506" w:rsidRPr="00476A01" w:rsidRDefault="00563506" w:rsidP="006919BE">
            <w:pPr>
              <w:spacing w:after="60"/>
              <w:ind w:left="-74" w:right="-108"/>
              <w:jc w:val="center"/>
              <w:rPr>
                <w:color w:val="000000"/>
                <w:sz w:val="17"/>
                <w:szCs w:val="17"/>
              </w:rPr>
            </w:pPr>
            <w:r w:rsidRPr="00476A01">
              <w:rPr>
                <w:color w:val="000000"/>
                <w:sz w:val="17"/>
                <w:szCs w:val="17"/>
              </w:rPr>
              <w:t>20,9</w:t>
            </w:r>
          </w:p>
        </w:tc>
        <w:tc>
          <w:tcPr>
            <w:tcW w:w="992" w:type="dxa"/>
            <w:tcBorders>
              <w:top w:val="nil"/>
              <w:left w:val="nil"/>
              <w:bottom w:val="single" w:sz="4" w:space="0" w:color="auto"/>
              <w:right w:val="single" w:sz="4" w:space="0" w:color="auto"/>
            </w:tcBorders>
            <w:shd w:val="clear" w:color="auto" w:fill="auto"/>
            <w:vAlign w:val="center"/>
            <w:hideMark/>
          </w:tcPr>
          <w:p w14:paraId="3026BA3A"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100,0</w:t>
            </w:r>
          </w:p>
        </w:tc>
      </w:tr>
      <w:tr w:rsidR="00681D8A" w:rsidRPr="00476A01" w14:paraId="231081DA" w14:textId="77777777" w:rsidTr="00476A01">
        <w:trPr>
          <w:trHeight w:val="691"/>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D9B2673" w14:textId="77777777" w:rsidR="00563506" w:rsidRPr="00476A01" w:rsidRDefault="00563506" w:rsidP="006919BE">
            <w:pPr>
              <w:spacing w:after="60"/>
              <w:jc w:val="both"/>
              <w:rPr>
                <w:color w:val="000000"/>
                <w:sz w:val="17"/>
                <w:szCs w:val="17"/>
              </w:rPr>
            </w:pPr>
            <w:r w:rsidRPr="00476A01">
              <w:rPr>
                <w:color w:val="000000"/>
                <w:sz w:val="17"/>
                <w:szCs w:val="17"/>
              </w:rPr>
              <w:t>Федеральный проект "Социальные лифты для каждого"</w:t>
            </w:r>
          </w:p>
        </w:tc>
        <w:tc>
          <w:tcPr>
            <w:tcW w:w="709" w:type="dxa"/>
            <w:tcBorders>
              <w:top w:val="nil"/>
              <w:left w:val="nil"/>
              <w:bottom w:val="single" w:sz="4" w:space="0" w:color="auto"/>
              <w:right w:val="single" w:sz="4" w:space="0" w:color="auto"/>
            </w:tcBorders>
            <w:shd w:val="clear" w:color="auto" w:fill="auto"/>
            <w:vAlign w:val="center"/>
            <w:hideMark/>
          </w:tcPr>
          <w:p w14:paraId="541EE44A" w14:textId="52D4EDD2" w:rsidR="00563506" w:rsidRPr="00476A01" w:rsidRDefault="00563506" w:rsidP="006919BE">
            <w:pPr>
              <w:spacing w:after="60"/>
              <w:ind w:left="-74" w:right="-108"/>
              <w:jc w:val="center"/>
              <w:rPr>
                <w:color w:val="000000"/>
                <w:sz w:val="17"/>
                <w:szCs w:val="17"/>
              </w:rPr>
            </w:pPr>
            <w:r w:rsidRPr="00476A01">
              <w:rPr>
                <w:color w:val="000000"/>
                <w:sz w:val="17"/>
                <w:szCs w:val="17"/>
              </w:rPr>
              <w:t>0,2</w:t>
            </w:r>
          </w:p>
        </w:tc>
        <w:tc>
          <w:tcPr>
            <w:tcW w:w="709" w:type="dxa"/>
            <w:tcBorders>
              <w:top w:val="nil"/>
              <w:left w:val="nil"/>
              <w:bottom w:val="single" w:sz="4" w:space="0" w:color="auto"/>
              <w:right w:val="single" w:sz="4" w:space="0" w:color="auto"/>
            </w:tcBorders>
            <w:shd w:val="clear" w:color="auto" w:fill="auto"/>
            <w:vAlign w:val="center"/>
            <w:hideMark/>
          </w:tcPr>
          <w:p w14:paraId="4028D4E8" w14:textId="4DB47C5C" w:rsidR="00563506" w:rsidRPr="00476A01" w:rsidRDefault="00563506" w:rsidP="006919BE">
            <w:pPr>
              <w:spacing w:after="60"/>
              <w:ind w:left="-74" w:right="-108"/>
              <w:jc w:val="center"/>
              <w:rPr>
                <w:color w:val="000000"/>
                <w:sz w:val="17"/>
                <w:szCs w:val="17"/>
              </w:rPr>
            </w:pPr>
            <w:r w:rsidRPr="00476A01">
              <w:rPr>
                <w:color w:val="000000"/>
                <w:sz w:val="17"/>
                <w:szCs w:val="17"/>
              </w:rPr>
              <w:t>0,9</w:t>
            </w:r>
          </w:p>
        </w:tc>
        <w:tc>
          <w:tcPr>
            <w:tcW w:w="708" w:type="dxa"/>
            <w:tcBorders>
              <w:top w:val="nil"/>
              <w:left w:val="nil"/>
              <w:bottom w:val="single" w:sz="4" w:space="0" w:color="auto"/>
              <w:right w:val="single" w:sz="4" w:space="0" w:color="auto"/>
            </w:tcBorders>
            <w:shd w:val="clear" w:color="auto" w:fill="auto"/>
            <w:vAlign w:val="center"/>
            <w:hideMark/>
          </w:tcPr>
          <w:p w14:paraId="797CA2F1" w14:textId="2013C4EB" w:rsidR="00563506" w:rsidRPr="00476A01" w:rsidRDefault="00563506" w:rsidP="006919BE">
            <w:pPr>
              <w:spacing w:after="60"/>
              <w:ind w:left="-74" w:right="-108"/>
              <w:jc w:val="center"/>
              <w:rPr>
                <w:color w:val="000000"/>
                <w:sz w:val="17"/>
                <w:szCs w:val="17"/>
              </w:rPr>
            </w:pPr>
            <w:r w:rsidRPr="00476A01">
              <w:rPr>
                <w:color w:val="000000"/>
                <w:sz w:val="17"/>
                <w:szCs w:val="17"/>
              </w:rPr>
              <w:t>0,9</w:t>
            </w:r>
          </w:p>
        </w:tc>
        <w:tc>
          <w:tcPr>
            <w:tcW w:w="851" w:type="dxa"/>
            <w:tcBorders>
              <w:top w:val="nil"/>
              <w:left w:val="nil"/>
              <w:bottom w:val="single" w:sz="4" w:space="0" w:color="auto"/>
              <w:right w:val="single" w:sz="4" w:space="0" w:color="auto"/>
            </w:tcBorders>
            <w:shd w:val="clear" w:color="auto" w:fill="auto"/>
            <w:vAlign w:val="center"/>
            <w:hideMark/>
          </w:tcPr>
          <w:p w14:paraId="3D83EF83"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100,9</w:t>
            </w:r>
          </w:p>
        </w:tc>
        <w:tc>
          <w:tcPr>
            <w:tcW w:w="709" w:type="dxa"/>
            <w:tcBorders>
              <w:top w:val="nil"/>
              <w:left w:val="nil"/>
              <w:bottom w:val="single" w:sz="4" w:space="0" w:color="auto"/>
              <w:right w:val="single" w:sz="4" w:space="0" w:color="auto"/>
            </w:tcBorders>
            <w:shd w:val="clear" w:color="auto" w:fill="auto"/>
            <w:vAlign w:val="center"/>
            <w:hideMark/>
          </w:tcPr>
          <w:p w14:paraId="09884717" w14:textId="317629A3" w:rsidR="00563506" w:rsidRPr="00476A01" w:rsidRDefault="00563506" w:rsidP="006919BE">
            <w:pPr>
              <w:spacing w:after="60"/>
              <w:ind w:left="-74" w:right="-108"/>
              <w:jc w:val="center"/>
              <w:rPr>
                <w:color w:val="000000"/>
                <w:sz w:val="17"/>
                <w:szCs w:val="17"/>
              </w:rPr>
            </w:pPr>
            <w:r w:rsidRPr="00476A01">
              <w:rPr>
                <w:color w:val="000000"/>
                <w:sz w:val="17"/>
                <w:szCs w:val="17"/>
              </w:rPr>
              <w:t>0,9</w:t>
            </w:r>
          </w:p>
        </w:tc>
        <w:tc>
          <w:tcPr>
            <w:tcW w:w="850" w:type="dxa"/>
            <w:tcBorders>
              <w:top w:val="nil"/>
              <w:left w:val="nil"/>
              <w:bottom w:val="single" w:sz="4" w:space="0" w:color="auto"/>
              <w:right w:val="single" w:sz="4" w:space="0" w:color="auto"/>
            </w:tcBorders>
            <w:shd w:val="clear" w:color="auto" w:fill="auto"/>
            <w:vAlign w:val="center"/>
            <w:hideMark/>
          </w:tcPr>
          <w:p w14:paraId="4C1BF04E" w14:textId="1D2829E2" w:rsidR="00563506" w:rsidRPr="00476A01" w:rsidRDefault="00563506" w:rsidP="006919BE">
            <w:pPr>
              <w:spacing w:after="60"/>
              <w:ind w:left="-74" w:right="-108"/>
              <w:jc w:val="center"/>
              <w:rPr>
                <w:color w:val="000000"/>
                <w:sz w:val="17"/>
                <w:szCs w:val="17"/>
              </w:rPr>
            </w:pPr>
            <w:r w:rsidRPr="00476A01">
              <w:rPr>
                <w:color w:val="000000"/>
                <w:sz w:val="17"/>
                <w:szCs w:val="17"/>
              </w:rPr>
              <w:t>0,9</w:t>
            </w:r>
          </w:p>
        </w:tc>
        <w:tc>
          <w:tcPr>
            <w:tcW w:w="851" w:type="dxa"/>
            <w:tcBorders>
              <w:top w:val="nil"/>
              <w:left w:val="nil"/>
              <w:bottom w:val="single" w:sz="4" w:space="0" w:color="auto"/>
              <w:right w:val="single" w:sz="4" w:space="0" w:color="auto"/>
            </w:tcBorders>
            <w:shd w:val="clear" w:color="auto" w:fill="auto"/>
            <w:vAlign w:val="center"/>
            <w:hideMark/>
          </w:tcPr>
          <w:p w14:paraId="66DECDF4"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100,9</w:t>
            </w:r>
          </w:p>
        </w:tc>
        <w:tc>
          <w:tcPr>
            <w:tcW w:w="850" w:type="dxa"/>
            <w:tcBorders>
              <w:top w:val="nil"/>
              <w:left w:val="nil"/>
              <w:bottom w:val="single" w:sz="4" w:space="0" w:color="auto"/>
              <w:right w:val="single" w:sz="4" w:space="0" w:color="auto"/>
            </w:tcBorders>
            <w:shd w:val="clear" w:color="auto" w:fill="auto"/>
            <w:vAlign w:val="center"/>
            <w:hideMark/>
          </w:tcPr>
          <w:p w14:paraId="0C8FFFE2" w14:textId="28DB8A83" w:rsidR="00563506" w:rsidRPr="00476A01" w:rsidRDefault="00563506" w:rsidP="006919BE">
            <w:pPr>
              <w:spacing w:after="60"/>
              <w:ind w:left="-74" w:right="-108"/>
              <w:jc w:val="center"/>
              <w:rPr>
                <w:color w:val="000000"/>
                <w:sz w:val="17"/>
                <w:szCs w:val="17"/>
              </w:rPr>
            </w:pPr>
            <w:r w:rsidRPr="00476A01">
              <w:rPr>
                <w:color w:val="000000"/>
                <w:sz w:val="17"/>
                <w:szCs w:val="17"/>
              </w:rPr>
              <w:t>0,9</w:t>
            </w:r>
          </w:p>
        </w:tc>
        <w:tc>
          <w:tcPr>
            <w:tcW w:w="851" w:type="dxa"/>
            <w:tcBorders>
              <w:top w:val="nil"/>
              <w:left w:val="nil"/>
              <w:bottom w:val="single" w:sz="4" w:space="0" w:color="auto"/>
              <w:right w:val="single" w:sz="4" w:space="0" w:color="auto"/>
            </w:tcBorders>
            <w:shd w:val="clear" w:color="auto" w:fill="auto"/>
            <w:vAlign w:val="center"/>
            <w:hideMark/>
          </w:tcPr>
          <w:p w14:paraId="0B582658" w14:textId="095D7B0A" w:rsidR="00563506" w:rsidRPr="00476A01" w:rsidRDefault="00563506" w:rsidP="006919BE">
            <w:pPr>
              <w:spacing w:after="60"/>
              <w:ind w:left="-74" w:right="-108"/>
              <w:jc w:val="center"/>
              <w:rPr>
                <w:color w:val="000000"/>
                <w:sz w:val="17"/>
                <w:szCs w:val="17"/>
              </w:rPr>
            </w:pPr>
            <w:r w:rsidRPr="00476A01">
              <w:rPr>
                <w:color w:val="000000"/>
                <w:sz w:val="17"/>
                <w:szCs w:val="17"/>
              </w:rPr>
              <w:t>0,9</w:t>
            </w:r>
          </w:p>
        </w:tc>
        <w:tc>
          <w:tcPr>
            <w:tcW w:w="992" w:type="dxa"/>
            <w:tcBorders>
              <w:top w:val="nil"/>
              <w:left w:val="nil"/>
              <w:bottom w:val="single" w:sz="4" w:space="0" w:color="auto"/>
              <w:right w:val="single" w:sz="4" w:space="0" w:color="auto"/>
            </w:tcBorders>
            <w:shd w:val="clear" w:color="auto" w:fill="auto"/>
            <w:vAlign w:val="center"/>
            <w:hideMark/>
          </w:tcPr>
          <w:p w14:paraId="4FC3BC02"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100,0</w:t>
            </w:r>
          </w:p>
        </w:tc>
      </w:tr>
      <w:tr w:rsidR="00681D8A" w:rsidRPr="00476A01" w14:paraId="37B01EF4" w14:textId="77777777" w:rsidTr="00476A01">
        <w:trPr>
          <w:trHeight w:val="691"/>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B525BF7" w14:textId="77777777" w:rsidR="00563506" w:rsidRPr="00476A01" w:rsidRDefault="00563506" w:rsidP="006919BE">
            <w:pPr>
              <w:spacing w:after="60"/>
              <w:jc w:val="both"/>
              <w:rPr>
                <w:color w:val="000000"/>
                <w:sz w:val="17"/>
                <w:szCs w:val="17"/>
              </w:rPr>
            </w:pPr>
            <w:r w:rsidRPr="00476A01">
              <w:rPr>
                <w:color w:val="000000"/>
                <w:sz w:val="17"/>
                <w:szCs w:val="17"/>
              </w:rPr>
              <w:t>Реализация мероприятий национального проекта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319EEF6B" w14:textId="6245F1FE" w:rsidR="00563506" w:rsidRPr="00476A01" w:rsidRDefault="00563506" w:rsidP="006919BE">
            <w:pPr>
              <w:spacing w:after="60"/>
              <w:ind w:left="-74" w:right="-108"/>
              <w:jc w:val="center"/>
              <w:rPr>
                <w:color w:val="000000"/>
                <w:sz w:val="17"/>
                <w:szCs w:val="17"/>
              </w:rPr>
            </w:pPr>
            <w:r w:rsidRPr="00476A01">
              <w:rPr>
                <w:color w:val="000000"/>
                <w:sz w:val="17"/>
                <w:szCs w:val="17"/>
              </w:rPr>
              <w:t>0,0</w:t>
            </w:r>
          </w:p>
        </w:tc>
        <w:tc>
          <w:tcPr>
            <w:tcW w:w="709" w:type="dxa"/>
            <w:tcBorders>
              <w:top w:val="nil"/>
              <w:left w:val="nil"/>
              <w:bottom w:val="single" w:sz="4" w:space="0" w:color="auto"/>
              <w:right w:val="single" w:sz="4" w:space="0" w:color="auto"/>
            </w:tcBorders>
            <w:shd w:val="clear" w:color="auto" w:fill="auto"/>
            <w:vAlign w:val="center"/>
            <w:hideMark/>
          </w:tcPr>
          <w:p w14:paraId="3953A9CC" w14:textId="3061826E" w:rsidR="00563506" w:rsidRPr="00476A01" w:rsidRDefault="00563506" w:rsidP="006919BE">
            <w:pPr>
              <w:spacing w:after="60"/>
              <w:ind w:left="-74" w:right="-108"/>
              <w:jc w:val="center"/>
              <w:rPr>
                <w:color w:val="000000"/>
                <w:sz w:val="17"/>
                <w:szCs w:val="17"/>
              </w:rPr>
            </w:pPr>
            <w:r w:rsidRPr="00476A01">
              <w:rPr>
                <w:color w:val="000000"/>
                <w:sz w:val="17"/>
                <w:szCs w:val="17"/>
              </w:rPr>
              <w:t>4,6</w:t>
            </w:r>
          </w:p>
        </w:tc>
        <w:tc>
          <w:tcPr>
            <w:tcW w:w="708" w:type="dxa"/>
            <w:tcBorders>
              <w:top w:val="nil"/>
              <w:left w:val="nil"/>
              <w:bottom w:val="single" w:sz="4" w:space="0" w:color="auto"/>
              <w:right w:val="single" w:sz="4" w:space="0" w:color="auto"/>
            </w:tcBorders>
            <w:shd w:val="clear" w:color="auto" w:fill="auto"/>
            <w:vAlign w:val="center"/>
            <w:hideMark/>
          </w:tcPr>
          <w:p w14:paraId="59A5CD5A" w14:textId="27D571AE" w:rsidR="00563506" w:rsidRPr="00476A01" w:rsidRDefault="00563506" w:rsidP="006919BE">
            <w:pPr>
              <w:spacing w:after="60"/>
              <w:ind w:left="-74" w:right="-108"/>
              <w:jc w:val="center"/>
              <w:rPr>
                <w:color w:val="000000"/>
                <w:sz w:val="17"/>
                <w:szCs w:val="17"/>
              </w:rPr>
            </w:pPr>
            <w:r w:rsidRPr="00476A01">
              <w:rPr>
                <w:color w:val="000000"/>
                <w:sz w:val="17"/>
                <w:szCs w:val="17"/>
              </w:rPr>
              <w:t>0,0</w:t>
            </w:r>
          </w:p>
        </w:tc>
        <w:tc>
          <w:tcPr>
            <w:tcW w:w="851" w:type="dxa"/>
            <w:tcBorders>
              <w:top w:val="nil"/>
              <w:left w:val="nil"/>
              <w:bottom w:val="single" w:sz="4" w:space="0" w:color="auto"/>
              <w:right w:val="single" w:sz="4" w:space="0" w:color="auto"/>
            </w:tcBorders>
            <w:shd w:val="clear" w:color="auto" w:fill="auto"/>
            <w:vAlign w:val="center"/>
            <w:hideMark/>
          </w:tcPr>
          <w:p w14:paraId="48C3D228"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0,0</w:t>
            </w:r>
          </w:p>
        </w:tc>
        <w:tc>
          <w:tcPr>
            <w:tcW w:w="709" w:type="dxa"/>
            <w:tcBorders>
              <w:top w:val="nil"/>
              <w:left w:val="nil"/>
              <w:bottom w:val="single" w:sz="4" w:space="0" w:color="auto"/>
              <w:right w:val="single" w:sz="4" w:space="0" w:color="auto"/>
            </w:tcBorders>
            <w:shd w:val="clear" w:color="auto" w:fill="auto"/>
            <w:vAlign w:val="center"/>
            <w:hideMark/>
          </w:tcPr>
          <w:p w14:paraId="1B6227EB" w14:textId="4276F122" w:rsidR="00563506" w:rsidRPr="00476A01" w:rsidRDefault="00563506" w:rsidP="006919BE">
            <w:pPr>
              <w:spacing w:after="60"/>
              <w:ind w:left="-74" w:right="-108"/>
              <w:jc w:val="center"/>
              <w:rPr>
                <w:color w:val="000000"/>
                <w:sz w:val="17"/>
                <w:szCs w:val="17"/>
              </w:rPr>
            </w:pPr>
            <w:r w:rsidRPr="00476A01">
              <w:rPr>
                <w:color w:val="000000"/>
                <w:sz w:val="17"/>
                <w:szCs w:val="17"/>
              </w:rPr>
              <w:t>4,9</w:t>
            </w:r>
          </w:p>
        </w:tc>
        <w:tc>
          <w:tcPr>
            <w:tcW w:w="850" w:type="dxa"/>
            <w:tcBorders>
              <w:top w:val="nil"/>
              <w:left w:val="nil"/>
              <w:bottom w:val="single" w:sz="4" w:space="0" w:color="auto"/>
              <w:right w:val="single" w:sz="4" w:space="0" w:color="auto"/>
            </w:tcBorders>
            <w:shd w:val="clear" w:color="auto" w:fill="auto"/>
            <w:vAlign w:val="center"/>
            <w:hideMark/>
          </w:tcPr>
          <w:p w14:paraId="1FA21E9E" w14:textId="680D85C8" w:rsidR="00563506" w:rsidRPr="00476A01" w:rsidRDefault="00563506" w:rsidP="006919BE">
            <w:pPr>
              <w:spacing w:after="60"/>
              <w:ind w:left="-74" w:right="-108"/>
              <w:jc w:val="center"/>
              <w:rPr>
                <w:color w:val="000000"/>
                <w:sz w:val="17"/>
                <w:szCs w:val="17"/>
              </w:rPr>
            </w:pPr>
            <w:r w:rsidRPr="00476A01">
              <w:rPr>
                <w:color w:val="000000"/>
                <w:sz w:val="17"/>
                <w:szCs w:val="17"/>
              </w:rPr>
              <w:t>0,0</w:t>
            </w:r>
          </w:p>
        </w:tc>
        <w:tc>
          <w:tcPr>
            <w:tcW w:w="851" w:type="dxa"/>
            <w:tcBorders>
              <w:top w:val="nil"/>
              <w:left w:val="nil"/>
              <w:bottom w:val="single" w:sz="4" w:space="0" w:color="auto"/>
              <w:right w:val="single" w:sz="4" w:space="0" w:color="auto"/>
            </w:tcBorders>
            <w:shd w:val="clear" w:color="auto" w:fill="auto"/>
            <w:vAlign w:val="center"/>
            <w:hideMark/>
          </w:tcPr>
          <w:p w14:paraId="297D4860"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0,0</w:t>
            </w:r>
          </w:p>
        </w:tc>
        <w:tc>
          <w:tcPr>
            <w:tcW w:w="850" w:type="dxa"/>
            <w:tcBorders>
              <w:top w:val="nil"/>
              <w:left w:val="nil"/>
              <w:bottom w:val="single" w:sz="4" w:space="0" w:color="auto"/>
              <w:right w:val="single" w:sz="4" w:space="0" w:color="auto"/>
            </w:tcBorders>
            <w:shd w:val="clear" w:color="auto" w:fill="auto"/>
            <w:vAlign w:val="center"/>
            <w:hideMark/>
          </w:tcPr>
          <w:p w14:paraId="464E4E76" w14:textId="69D24117" w:rsidR="00563506" w:rsidRPr="00476A01" w:rsidRDefault="00563506" w:rsidP="006919BE">
            <w:pPr>
              <w:spacing w:after="60"/>
              <w:ind w:left="-74" w:right="-108"/>
              <w:jc w:val="center"/>
              <w:rPr>
                <w:color w:val="000000"/>
                <w:sz w:val="17"/>
                <w:szCs w:val="17"/>
              </w:rPr>
            </w:pPr>
            <w:r w:rsidRPr="00476A01">
              <w:rPr>
                <w:color w:val="000000"/>
                <w:sz w:val="17"/>
                <w:szCs w:val="17"/>
              </w:rPr>
              <w:t>0,0</w:t>
            </w:r>
          </w:p>
        </w:tc>
        <w:tc>
          <w:tcPr>
            <w:tcW w:w="851" w:type="dxa"/>
            <w:tcBorders>
              <w:top w:val="nil"/>
              <w:left w:val="nil"/>
              <w:bottom w:val="single" w:sz="4" w:space="0" w:color="auto"/>
              <w:right w:val="single" w:sz="4" w:space="0" w:color="auto"/>
            </w:tcBorders>
            <w:shd w:val="clear" w:color="auto" w:fill="auto"/>
            <w:vAlign w:val="center"/>
            <w:hideMark/>
          </w:tcPr>
          <w:p w14:paraId="4524D890" w14:textId="4217FDBA" w:rsidR="00563506" w:rsidRPr="00476A01" w:rsidRDefault="00563506" w:rsidP="006919BE">
            <w:pPr>
              <w:spacing w:after="60"/>
              <w:ind w:left="-74" w:right="-108"/>
              <w:jc w:val="center"/>
              <w:rPr>
                <w:color w:val="000000"/>
                <w:sz w:val="17"/>
                <w:szCs w:val="17"/>
              </w:rPr>
            </w:pPr>
            <w:r w:rsidRPr="00476A01">
              <w:rPr>
                <w:color w:val="000000"/>
                <w:sz w:val="17"/>
                <w:szCs w:val="17"/>
              </w:rPr>
              <w:t>0,0</w:t>
            </w:r>
          </w:p>
        </w:tc>
        <w:tc>
          <w:tcPr>
            <w:tcW w:w="992" w:type="dxa"/>
            <w:tcBorders>
              <w:top w:val="nil"/>
              <w:left w:val="nil"/>
              <w:bottom w:val="single" w:sz="4" w:space="0" w:color="auto"/>
              <w:right w:val="single" w:sz="4" w:space="0" w:color="auto"/>
            </w:tcBorders>
            <w:shd w:val="clear" w:color="auto" w:fill="auto"/>
            <w:vAlign w:val="center"/>
            <w:hideMark/>
          </w:tcPr>
          <w:p w14:paraId="3194E208" w14:textId="77777777" w:rsidR="00563506" w:rsidRPr="00476A01" w:rsidRDefault="00563506" w:rsidP="006919BE">
            <w:pPr>
              <w:spacing w:after="60"/>
              <w:ind w:left="-74" w:right="-108"/>
              <w:jc w:val="center"/>
              <w:rPr>
                <w:i/>
                <w:color w:val="000000"/>
                <w:sz w:val="17"/>
                <w:szCs w:val="17"/>
              </w:rPr>
            </w:pPr>
            <w:r w:rsidRPr="00476A01">
              <w:rPr>
                <w:i/>
                <w:color w:val="000000"/>
                <w:sz w:val="17"/>
                <w:szCs w:val="17"/>
              </w:rPr>
              <w:t>-</w:t>
            </w:r>
          </w:p>
        </w:tc>
      </w:tr>
    </w:tbl>
    <w:p w14:paraId="7AA04C81" w14:textId="22EFFAD3" w:rsidR="00733417" w:rsidRDefault="00733417" w:rsidP="00681D8A">
      <w:pPr>
        <w:spacing w:after="240"/>
        <w:ind w:firstLine="709"/>
        <w:rPr>
          <w:sz w:val="20"/>
          <w:szCs w:val="20"/>
        </w:rPr>
      </w:pPr>
      <w:r w:rsidRPr="00CB700E">
        <w:rPr>
          <w:sz w:val="20"/>
          <w:szCs w:val="20"/>
        </w:rPr>
        <w:t>* – показатели СБР по состоянию на 1 сентября 2019 г.</w:t>
      </w:r>
    </w:p>
    <w:p w14:paraId="1D242A41" w14:textId="77777777" w:rsidR="005028DF" w:rsidRPr="009D5EDD" w:rsidRDefault="005028DF" w:rsidP="005028DF">
      <w:pPr>
        <w:keepLines/>
        <w:spacing w:after="60"/>
        <w:ind w:firstLine="709"/>
        <w:jc w:val="both"/>
        <w:rPr>
          <w:sz w:val="20"/>
          <w:szCs w:val="20"/>
        </w:rPr>
      </w:pPr>
      <w:r w:rsidRPr="009D5EDD">
        <w:rPr>
          <w:i/>
          <w:sz w:val="20"/>
          <w:szCs w:val="20"/>
        </w:rPr>
        <w:t>Источники</w:t>
      </w:r>
      <w:r w:rsidRPr="009D5EDD">
        <w:rPr>
          <w:sz w:val="20"/>
          <w:szCs w:val="20"/>
        </w:rPr>
        <w:t>:</w:t>
      </w:r>
      <w:r>
        <w:rPr>
          <w:sz w:val="20"/>
          <w:szCs w:val="20"/>
        </w:rPr>
        <w:t xml:space="preserve"> составлено авторами на основе данных законопроекта</w:t>
      </w:r>
      <w:r w:rsidRPr="009D5EDD">
        <w:rPr>
          <w:sz w:val="20"/>
          <w:szCs w:val="20"/>
        </w:rPr>
        <w:t>.</w:t>
      </w:r>
    </w:p>
    <w:p w14:paraId="6B7645EB" w14:textId="77777777" w:rsidR="005028DF" w:rsidRPr="00CB700E" w:rsidRDefault="005028DF" w:rsidP="00681D8A">
      <w:pPr>
        <w:spacing w:after="240"/>
        <w:ind w:firstLine="709"/>
        <w:rPr>
          <w:sz w:val="20"/>
          <w:szCs w:val="20"/>
        </w:rPr>
      </w:pPr>
    </w:p>
    <w:p w14:paraId="395BEFA8" w14:textId="77777777" w:rsidR="00C33251" w:rsidRDefault="00733417" w:rsidP="00733417">
      <w:pPr>
        <w:spacing w:after="60"/>
        <w:ind w:firstLine="709"/>
        <w:jc w:val="both"/>
      </w:pPr>
      <w:r>
        <w:t xml:space="preserve">По сравнению с </w:t>
      </w:r>
      <w:bookmarkStart w:id="50" w:name="_Hlk21291035"/>
      <w:r w:rsidRPr="00CB700E">
        <w:t>Закон</w:t>
      </w:r>
      <w:r>
        <w:t xml:space="preserve">ом </w:t>
      </w:r>
      <w:r w:rsidRPr="00CB700E">
        <w:t>№ 459-ФЗ</w:t>
      </w:r>
      <w:r>
        <w:t xml:space="preserve"> </w:t>
      </w:r>
      <w:bookmarkEnd w:id="50"/>
      <w:r>
        <w:t>в 2020 г. предусматривается увеличение расходов на 4% по сравнению с ранее запланированным по ФП «Современная школа», основные расходы в рамках которых идут на строительство новых школ и реконструкцию старых, а также на обновление содержания образования. Вместе с тем по сравнению с 2019 г. расходы ФБ на ФП «Современная школа» в 2020 г. уменьшаются на 7,3%. Увеличиваются в 2020 г. по сравнению с 2019 г. расходы на ФП «Успе</w:t>
      </w:r>
      <w:r w:rsidR="009E168F">
        <w:t xml:space="preserve">х каждого ребенка» – </w:t>
      </w:r>
      <w:r>
        <w:t xml:space="preserve">на 28,2%, хотя по отношению к запланированным объемам по </w:t>
      </w:r>
      <w:r w:rsidRPr="00CA790D">
        <w:t>Закон</w:t>
      </w:r>
      <w:r>
        <w:t>у</w:t>
      </w:r>
      <w:r w:rsidRPr="00CA790D">
        <w:t xml:space="preserve"> № 459-ФЗ</w:t>
      </w:r>
      <w:r>
        <w:t xml:space="preserve"> они не изменяются. </w:t>
      </w:r>
    </w:p>
    <w:p w14:paraId="3557C4CA" w14:textId="77777777" w:rsidR="00C33251" w:rsidRDefault="00733417" w:rsidP="00733417">
      <w:pPr>
        <w:spacing w:after="60"/>
        <w:ind w:firstLine="709"/>
        <w:jc w:val="both"/>
      </w:pPr>
      <w:r>
        <w:t xml:space="preserve">Существенно – более чем в 4 раза (4,16 раза) </w:t>
      </w:r>
      <w:r w:rsidR="00C33251">
        <w:t xml:space="preserve">– </w:t>
      </w:r>
      <w:r>
        <w:t xml:space="preserve">вырастут в 2020 г. расходы </w:t>
      </w:r>
      <w:r w:rsidR="009E168F">
        <w:t>федерального бюджета</w:t>
      </w:r>
      <w:r>
        <w:t xml:space="preserve"> на ФП «Социальная активность» по сравнению с запланированными на указанный год, т.е. будет увеличено финансирование со стороны Федерации реализации проектов в сфере молодежной политики. </w:t>
      </w:r>
      <w:r w:rsidR="00C33251">
        <w:t>П</w:t>
      </w:r>
      <w:r>
        <w:t xml:space="preserve">о сравнению с 2019 г. рост составит 60,9%, что свидетельствует о повышении внимания к нуждам молодежи, которые с трудом (недостаточно) финансируются на уровне субъектов Российской Федерации. </w:t>
      </w:r>
    </w:p>
    <w:p w14:paraId="174FA052" w14:textId="6AACBCB9" w:rsidR="00733417" w:rsidRDefault="00DA35EE" w:rsidP="00733417">
      <w:pPr>
        <w:spacing w:after="60"/>
        <w:ind w:firstLine="709"/>
        <w:jc w:val="both"/>
      </w:pPr>
      <w:r>
        <w:t>В то же время</w:t>
      </w:r>
      <w:r w:rsidR="00733417">
        <w:t xml:space="preserve"> большая часть этих расходов </w:t>
      </w:r>
      <w:r>
        <w:t xml:space="preserve">федерального бюджета </w:t>
      </w:r>
      <w:r w:rsidR="00733417">
        <w:t xml:space="preserve">пойдет на </w:t>
      </w:r>
      <w:r w:rsidR="00733417" w:rsidRPr="003D108B">
        <w:t xml:space="preserve">создание и эксплуатацию образовательного центра для молодых деятелей культуры и искусства "Арт-резиденция "Таврида" </w:t>
      </w:r>
      <w:r>
        <w:t xml:space="preserve">(рост расходов </w:t>
      </w:r>
      <w:r w:rsidR="00733417" w:rsidRPr="003D108B">
        <w:t>в 2020 году на 1</w:t>
      </w:r>
      <w:r>
        <w:t>,0 млрд</w:t>
      </w:r>
      <w:r w:rsidR="00733417" w:rsidRPr="003D108B">
        <w:t xml:space="preserve"> рублей, в 2021 году на 1</w:t>
      </w:r>
      <w:r>
        <w:t>,</w:t>
      </w:r>
      <w:r w:rsidR="00733417" w:rsidRPr="003D108B">
        <w:t>4</w:t>
      </w:r>
      <w:r>
        <w:t xml:space="preserve"> млрд</w:t>
      </w:r>
      <w:r w:rsidR="00733417" w:rsidRPr="003D108B">
        <w:t xml:space="preserve"> рублей</w:t>
      </w:r>
      <w:r>
        <w:t>)</w:t>
      </w:r>
      <w:r w:rsidR="00733417">
        <w:t xml:space="preserve">. Кроме того, расходы по ФП «Социальная активность» будут увеличены </w:t>
      </w:r>
      <w:r w:rsidR="00733417" w:rsidRPr="003D108B">
        <w:t xml:space="preserve">на реализацию образовательных программ в рамках Форума молодых деятелей культуры и искусства </w:t>
      </w:r>
      <w:r w:rsidR="00733417">
        <w:t>«</w:t>
      </w:r>
      <w:r w:rsidR="00733417" w:rsidRPr="003D108B">
        <w:t>Таврида</w:t>
      </w:r>
      <w:r w:rsidR="00733417">
        <w:t>»</w:t>
      </w:r>
      <w:r w:rsidR="00733417" w:rsidRPr="003D108B">
        <w:t xml:space="preserve"> в 2020-2021 годах на </w:t>
      </w:r>
      <w:r>
        <w:t>0,5 млрд</w:t>
      </w:r>
      <w:r w:rsidR="00733417" w:rsidRPr="003D108B">
        <w:t xml:space="preserve"> рублей ежегодно,</w:t>
      </w:r>
      <w:r w:rsidR="00733417">
        <w:t xml:space="preserve"> а</w:t>
      </w:r>
      <w:r w:rsidR="00733417" w:rsidRPr="003D108B">
        <w:t xml:space="preserve"> в 2022 году </w:t>
      </w:r>
      <w:r>
        <w:t xml:space="preserve">– </w:t>
      </w:r>
      <w:r w:rsidR="00733417" w:rsidRPr="003D108B">
        <w:t xml:space="preserve">на </w:t>
      </w:r>
      <w:r>
        <w:t xml:space="preserve">0,3 млрд </w:t>
      </w:r>
      <w:r w:rsidR="00733417" w:rsidRPr="003D108B">
        <w:t>рублей.</w:t>
      </w:r>
      <w:r w:rsidR="00733417">
        <w:t xml:space="preserve"> </w:t>
      </w:r>
    </w:p>
    <w:p w14:paraId="64C62B33" w14:textId="0718B2F1" w:rsidR="00733417" w:rsidRDefault="00733417" w:rsidP="00733417">
      <w:pPr>
        <w:spacing w:after="60"/>
        <w:ind w:firstLine="709"/>
        <w:jc w:val="both"/>
      </w:pPr>
      <w:r>
        <w:t xml:space="preserve">На 10,9% по сравнению с </w:t>
      </w:r>
      <w:r w:rsidRPr="00717ADD">
        <w:t>Законом № 459-ФЗ</w:t>
      </w:r>
      <w:r>
        <w:t xml:space="preserve"> в 2020 г. вырастут расходы </w:t>
      </w:r>
      <w:r w:rsidR="00DA35EE">
        <w:t xml:space="preserve">федерального бюджета </w:t>
      </w:r>
      <w:r>
        <w:t>на ФП «Новые возможности для каждого», который направлен на повышение квалификации работающего населения. По сравнению с 2019 г. эти расходы вырастут на такую же величину – 10,9%. Попытки Федерации обеспечить повышение квалификации работников предпринимаются из года в год, но не дают желаемого эффекта, поскольку процессы модернизации российской экономики идут медленно, что не побуждает занятых в экономике и социальной сфере переподготавливаться или массово повышать квалификацию. Тем более, что значительную часть решения этой проблемы берет на себя Национальный проект «Демография», обеспечивая переподготовку и повышение квалификации предпенсионеров. Увеличено финансирование в 2020 г.</w:t>
      </w:r>
      <w:r w:rsidR="00CC71D3">
        <w:t xml:space="preserve"> Федерального проекта</w:t>
      </w:r>
      <w:r>
        <w:t xml:space="preserve"> «Экспорт образования» на 55,9% по сравнению с 2019 г. и на 4,4% по сравнению с запланированными на данный ФП расходами по </w:t>
      </w:r>
      <w:bookmarkStart w:id="51" w:name="_Hlk21292338"/>
      <w:r w:rsidRPr="00774E5C">
        <w:t>Закон</w:t>
      </w:r>
      <w:r>
        <w:t>у</w:t>
      </w:r>
      <w:r w:rsidRPr="00774E5C">
        <w:t xml:space="preserve"> № 459-ФЗ</w:t>
      </w:r>
      <w:bookmarkEnd w:id="51"/>
      <w:r>
        <w:t xml:space="preserve">. В основном эти расходы идут на строительство студенческих городков с тем, чтобы сделать более комфортным проживание в общежитиях иногородних и иностранных студентов, численность которых в 2024 г. должна увеличиться по сравнению с 2018 г. не менее чем в 2 раза. </w:t>
      </w:r>
      <w:r w:rsidR="00CC71D3">
        <w:t>Расходы на ФП «Молодые профессионалы» с</w:t>
      </w:r>
      <w:r>
        <w:t xml:space="preserve">нижаются в 2020 г. по сравнению с расходами 2019 г. </w:t>
      </w:r>
      <w:r w:rsidR="00CC71D3">
        <w:t>(</w:t>
      </w:r>
      <w:r>
        <w:t>на 11,6%</w:t>
      </w:r>
      <w:r w:rsidR="00CC71D3">
        <w:t>)</w:t>
      </w:r>
      <w:r>
        <w:t>, хотя по отношению к запланированным расходам по</w:t>
      </w:r>
      <w:r w:rsidRPr="00B51B60">
        <w:t xml:space="preserve"> Закону № 459-ФЗ</w:t>
      </w:r>
      <w:r>
        <w:t xml:space="preserve"> они растут на 3,1%. Во многом рост указанных расходов к запланированным </w:t>
      </w:r>
      <w:r w:rsidR="00CC71D3">
        <w:t>обусловлен организацией</w:t>
      </w:r>
      <w:r>
        <w:t xml:space="preserve"> и проведением </w:t>
      </w:r>
      <w:r w:rsidRPr="00B51B60">
        <w:t>в</w:t>
      </w:r>
      <w:r>
        <w:t xml:space="preserve"> России </w:t>
      </w:r>
      <w:r w:rsidRPr="00B51B60">
        <w:t xml:space="preserve">X Международного чемпионата "Абилимпикс" </w:t>
      </w:r>
      <w:r>
        <w:t>(</w:t>
      </w:r>
      <w:r w:rsidRPr="00B51B60">
        <w:t xml:space="preserve">на </w:t>
      </w:r>
      <w:r w:rsidR="00CC71D3">
        <w:t xml:space="preserve">0,4 млрд </w:t>
      </w:r>
      <w:r w:rsidRPr="00B51B60">
        <w:t>рублей</w:t>
      </w:r>
      <w:r>
        <w:t xml:space="preserve"> в 2020 г.)</w:t>
      </w:r>
      <w:r w:rsidRPr="00B51B60">
        <w:t xml:space="preserve"> </w:t>
      </w:r>
      <w:r>
        <w:t xml:space="preserve">и </w:t>
      </w:r>
      <w:r w:rsidRPr="00B51B60">
        <w:t xml:space="preserve">на подготовку и проведение Европейского чемпионата по профессиональному мастерству по стандартам </w:t>
      </w:r>
      <w:bookmarkStart w:id="52" w:name="_Hlk21292971"/>
      <w:r w:rsidRPr="00B51B60">
        <w:t xml:space="preserve">"Ворлдскиллс" </w:t>
      </w:r>
      <w:bookmarkEnd w:id="52"/>
      <w:r w:rsidRPr="00B51B60">
        <w:t>в г.</w:t>
      </w:r>
      <w:r w:rsidR="00CC71D3">
        <w:t xml:space="preserve"> </w:t>
      </w:r>
      <w:r w:rsidRPr="00B51B60">
        <w:t xml:space="preserve">Санкт-Петербурге </w:t>
      </w:r>
      <w:r>
        <w:t>(в</w:t>
      </w:r>
      <w:r w:rsidRPr="00B51B60">
        <w:t xml:space="preserve"> 2020 году </w:t>
      </w:r>
      <w:r>
        <w:t xml:space="preserve">расходы будут увеличены </w:t>
      </w:r>
      <w:r w:rsidRPr="00B51B60">
        <w:t xml:space="preserve">на </w:t>
      </w:r>
      <w:r w:rsidR="00CC71D3">
        <w:t>0,3 млрд</w:t>
      </w:r>
      <w:r w:rsidRPr="00B51B60">
        <w:t xml:space="preserve"> рублей</w:t>
      </w:r>
      <w:r>
        <w:t>). Расходы на проведение или участие в данных чемпионатах определяют и рост по сравнению с запланированным уровнем расходов в 2021 г. на</w:t>
      </w:r>
      <w:r w:rsidRPr="00B51B60">
        <w:t xml:space="preserve"> </w:t>
      </w:r>
      <w:r w:rsidR="00CC71D3">
        <w:t xml:space="preserve">0,3 млрд </w:t>
      </w:r>
      <w:r w:rsidRPr="00B51B60">
        <w:t>рублей</w:t>
      </w:r>
      <w:r>
        <w:t xml:space="preserve"> и на </w:t>
      </w:r>
      <w:r w:rsidR="00CC71D3">
        <w:t xml:space="preserve">0,5 млрд </w:t>
      </w:r>
      <w:r>
        <w:t xml:space="preserve">рублей соответственно на чемпионаты </w:t>
      </w:r>
      <w:r w:rsidRPr="00B51B60">
        <w:t>"Абилимпикс"</w:t>
      </w:r>
      <w:r>
        <w:t xml:space="preserve"> и </w:t>
      </w:r>
      <w:r w:rsidRPr="00B51B60">
        <w:t>"Ворлдскиллс"</w:t>
      </w:r>
      <w:r>
        <w:t xml:space="preserve">. </w:t>
      </w:r>
    </w:p>
    <w:p w14:paraId="21743353" w14:textId="4ED3ADD6" w:rsidR="00733417" w:rsidRDefault="00733417" w:rsidP="00733417">
      <w:pPr>
        <w:spacing w:after="60"/>
        <w:ind w:firstLine="709"/>
        <w:jc w:val="both"/>
      </w:pPr>
      <w:r>
        <w:t xml:space="preserve">В 2021-2022 г. расходы на Федеральные проекты Национального проекта «Образование» практически не меняются по сравнению с параметрами </w:t>
      </w:r>
      <w:r w:rsidRPr="00D02361">
        <w:t>Закон</w:t>
      </w:r>
      <w:r>
        <w:t>а</w:t>
      </w:r>
      <w:r w:rsidRPr="00D02361">
        <w:t xml:space="preserve"> № 459-ФЗ</w:t>
      </w:r>
      <w:r>
        <w:t xml:space="preserve">, что является достаточно обычной практикой для трехлетнего планирования. Вырастут сколько-нибудь значительно только расходы на ФП «Социальная активность», что связано со строительством и введением в эксплуатацию </w:t>
      </w:r>
      <w:r w:rsidRPr="00D02361">
        <w:t>образовательного центра для молодых деятелей культуры и искусства "Арт-резиденция "Таврида"</w:t>
      </w:r>
      <w:r>
        <w:t>, а также</w:t>
      </w:r>
      <w:r w:rsidR="00CC71D3">
        <w:t xml:space="preserve">, как было указано, </w:t>
      </w:r>
      <w:r>
        <w:t>проведением</w:t>
      </w:r>
      <w:r w:rsidR="00CC71D3">
        <w:t xml:space="preserve"> </w:t>
      </w:r>
      <w:r>
        <w:t xml:space="preserve">образовательных программ в рамках Форума </w:t>
      </w:r>
      <w:r w:rsidRPr="00D02361">
        <w:t>молодых деятелей культуры и искусства "Таврида"</w:t>
      </w:r>
      <w:r>
        <w:t>.</w:t>
      </w:r>
    </w:p>
    <w:p w14:paraId="496733A4" w14:textId="3EC84774" w:rsidR="00733417" w:rsidRPr="00D02361" w:rsidRDefault="00733417" w:rsidP="006919BE">
      <w:pPr>
        <w:autoSpaceDE w:val="0"/>
        <w:autoSpaceDN w:val="0"/>
        <w:adjustRightInd w:val="0"/>
        <w:spacing w:after="60"/>
        <w:ind w:firstLine="709"/>
        <w:jc w:val="both"/>
        <w:rPr>
          <w:i/>
          <w:iCs/>
        </w:rPr>
      </w:pPr>
      <w:r w:rsidRPr="00D02361">
        <w:t xml:space="preserve">Расходы федерального бюджета в 2019–2022 годах на реализацию государственной программы </w:t>
      </w:r>
      <w:r w:rsidRPr="00465F0C">
        <w:t>"Развитие образования"</w:t>
      </w:r>
      <w:r w:rsidRPr="00D02361">
        <w:t xml:space="preserve"> </w:t>
      </w:r>
      <w:r w:rsidR="006919BE">
        <w:t xml:space="preserve">(далее – ГП РО) </w:t>
      </w:r>
      <w:r w:rsidRPr="00D02361">
        <w:t xml:space="preserve">представлены в </w:t>
      </w:r>
      <w:r w:rsidRPr="00CC71D3">
        <w:rPr>
          <w:i/>
          <w:iCs/>
        </w:rPr>
        <w:t>табл</w:t>
      </w:r>
      <w:r w:rsidR="00CC71D3">
        <w:rPr>
          <w:i/>
          <w:iCs/>
        </w:rPr>
        <w:t xml:space="preserve">ице </w:t>
      </w:r>
      <w:r w:rsidR="00C84D38">
        <w:rPr>
          <w:i/>
          <w:noProof/>
        </w:rPr>
        <w:t>23</w:t>
      </w:r>
      <w:r w:rsidR="00CC71D3">
        <w:rPr>
          <w:i/>
          <w:iCs/>
        </w:rPr>
        <w:t>.</w:t>
      </w:r>
    </w:p>
    <w:p w14:paraId="5CE92EAD" w14:textId="621F5D51" w:rsidR="00CC71D3" w:rsidRPr="00600DF7" w:rsidRDefault="00CC71D3" w:rsidP="006919BE">
      <w:pPr>
        <w:spacing w:after="60"/>
        <w:jc w:val="right"/>
        <w:rPr>
          <w:i/>
        </w:rPr>
      </w:pPr>
      <w:r w:rsidRPr="00600DF7">
        <w:rPr>
          <w:i/>
        </w:rPr>
        <w:t>Таблица</w:t>
      </w:r>
      <w:r>
        <w:rPr>
          <w:i/>
        </w:rPr>
        <w:t xml:space="preserve"> </w:t>
      </w:r>
      <w:bookmarkStart w:id="53" w:name="_Ref21356675"/>
      <w:r w:rsidR="00C84D38">
        <w:rPr>
          <w:i/>
          <w:noProof/>
        </w:rPr>
        <w:t>23</w:t>
      </w:r>
      <w:bookmarkEnd w:id="53"/>
    </w:p>
    <w:p w14:paraId="68C7B08E" w14:textId="25CFC300" w:rsidR="00733417" w:rsidRPr="006919BE" w:rsidRDefault="00CC71D3" w:rsidP="006919BE">
      <w:pPr>
        <w:spacing w:after="60"/>
        <w:jc w:val="center"/>
        <w:rPr>
          <w:b/>
          <w:color w:val="000000"/>
        </w:rPr>
      </w:pPr>
      <w:r w:rsidRPr="006919BE">
        <w:rPr>
          <w:b/>
        </w:rPr>
        <w:t>Расходы федерального бюджета на реализацию государственной программы "Развитие образования" в 2019-2022 гг., млрд руб.</w:t>
      </w:r>
    </w:p>
    <w:tbl>
      <w:tblPr>
        <w:tblW w:w="9209" w:type="dxa"/>
        <w:jc w:val="center"/>
        <w:tblLayout w:type="fixed"/>
        <w:tblLook w:val="04A0" w:firstRow="1" w:lastRow="0" w:firstColumn="1" w:lastColumn="0" w:noHBand="0" w:noVBand="1"/>
      </w:tblPr>
      <w:tblGrid>
        <w:gridCol w:w="1696"/>
        <w:gridCol w:w="709"/>
        <w:gridCol w:w="851"/>
        <w:gridCol w:w="852"/>
        <w:gridCol w:w="911"/>
        <w:gridCol w:w="816"/>
        <w:gridCol w:w="816"/>
        <w:gridCol w:w="911"/>
        <w:gridCol w:w="797"/>
        <w:gridCol w:w="850"/>
      </w:tblGrid>
      <w:tr w:rsidR="006919BE" w:rsidRPr="009D6C12" w14:paraId="669ADE9B" w14:textId="77777777" w:rsidTr="00465F0C">
        <w:trPr>
          <w:trHeight w:val="255"/>
          <w:tblHeader/>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CD38E9" w14:textId="77777777" w:rsidR="00733417" w:rsidRPr="009D6C12" w:rsidRDefault="00733417" w:rsidP="006919BE">
            <w:pPr>
              <w:spacing w:after="60"/>
              <w:jc w:val="center"/>
              <w:rPr>
                <w:b/>
                <w:color w:val="000000"/>
                <w:sz w:val="18"/>
                <w:szCs w:val="18"/>
              </w:rPr>
            </w:pPr>
            <w:r w:rsidRPr="009D6C12">
              <w:rPr>
                <w:b/>
                <w:color w:val="000000"/>
                <w:sz w:val="18"/>
                <w:szCs w:val="18"/>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0D301E" w14:textId="2E7890D9" w:rsidR="00733417" w:rsidRPr="009D6C12" w:rsidRDefault="00733417" w:rsidP="00465F0C">
            <w:pPr>
              <w:spacing w:after="60"/>
              <w:ind w:right="-39"/>
              <w:jc w:val="center"/>
              <w:rPr>
                <w:b/>
                <w:color w:val="000000"/>
                <w:sz w:val="18"/>
                <w:szCs w:val="18"/>
              </w:rPr>
            </w:pPr>
            <w:r w:rsidRPr="009D6C12">
              <w:rPr>
                <w:b/>
                <w:color w:val="000000"/>
                <w:sz w:val="18"/>
                <w:szCs w:val="18"/>
              </w:rPr>
              <w:t>2019 г</w:t>
            </w:r>
            <w:r w:rsidR="006919BE" w:rsidRPr="009D6C12">
              <w:rPr>
                <w:b/>
                <w:color w:val="000000"/>
                <w:sz w:val="18"/>
                <w:szCs w:val="18"/>
              </w:rPr>
              <w:t>.</w:t>
            </w:r>
            <w:r w:rsidRPr="009D6C12">
              <w:rPr>
                <w:b/>
                <w:color w:val="000000"/>
                <w:sz w:val="18"/>
                <w:szCs w:val="18"/>
              </w:rPr>
              <w:t>*</w:t>
            </w:r>
          </w:p>
        </w:tc>
        <w:tc>
          <w:tcPr>
            <w:tcW w:w="2614" w:type="dxa"/>
            <w:gridSpan w:val="3"/>
            <w:tcBorders>
              <w:top w:val="single" w:sz="4" w:space="0" w:color="auto"/>
              <w:left w:val="nil"/>
              <w:bottom w:val="single" w:sz="4" w:space="0" w:color="auto"/>
              <w:right w:val="single" w:sz="4" w:space="0" w:color="auto"/>
            </w:tcBorders>
            <w:shd w:val="clear" w:color="auto" w:fill="auto"/>
            <w:vAlign w:val="center"/>
            <w:hideMark/>
          </w:tcPr>
          <w:p w14:paraId="07FBB0D7" w14:textId="625990FF" w:rsidR="00733417" w:rsidRPr="009D6C12" w:rsidRDefault="00733417" w:rsidP="006919BE">
            <w:pPr>
              <w:spacing w:after="60"/>
              <w:jc w:val="center"/>
              <w:rPr>
                <w:b/>
                <w:color w:val="000000"/>
                <w:sz w:val="18"/>
                <w:szCs w:val="18"/>
              </w:rPr>
            </w:pPr>
            <w:r w:rsidRPr="009D6C12">
              <w:rPr>
                <w:b/>
                <w:color w:val="000000"/>
                <w:sz w:val="18"/>
                <w:szCs w:val="18"/>
              </w:rPr>
              <w:t>2020 г</w:t>
            </w:r>
            <w:r w:rsidR="006919BE" w:rsidRPr="009D6C12">
              <w:rPr>
                <w:b/>
                <w:color w:val="000000"/>
                <w:sz w:val="18"/>
                <w:szCs w:val="18"/>
              </w:rPr>
              <w:t>.</w:t>
            </w:r>
          </w:p>
        </w:tc>
        <w:tc>
          <w:tcPr>
            <w:tcW w:w="2543" w:type="dxa"/>
            <w:gridSpan w:val="3"/>
            <w:tcBorders>
              <w:top w:val="single" w:sz="4" w:space="0" w:color="auto"/>
              <w:left w:val="nil"/>
              <w:bottom w:val="single" w:sz="4" w:space="0" w:color="auto"/>
              <w:right w:val="single" w:sz="4" w:space="0" w:color="auto"/>
            </w:tcBorders>
            <w:shd w:val="clear" w:color="auto" w:fill="auto"/>
            <w:vAlign w:val="center"/>
            <w:hideMark/>
          </w:tcPr>
          <w:p w14:paraId="5DBBD596" w14:textId="211C815F" w:rsidR="00733417" w:rsidRPr="009D6C12" w:rsidRDefault="00733417" w:rsidP="006919BE">
            <w:pPr>
              <w:spacing w:after="60"/>
              <w:jc w:val="center"/>
              <w:rPr>
                <w:b/>
                <w:color w:val="000000"/>
                <w:sz w:val="18"/>
                <w:szCs w:val="18"/>
              </w:rPr>
            </w:pPr>
            <w:r w:rsidRPr="009D6C12">
              <w:rPr>
                <w:b/>
                <w:color w:val="000000"/>
                <w:sz w:val="18"/>
                <w:szCs w:val="18"/>
              </w:rPr>
              <w:t>2021 г</w:t>
            </w:r>
            <w:r w:rsidR="006919BE" w:rsidRPr="009D6C12">
              <w:rPr>
                <w:b/>
                <w:color w:val="000000"/>
                <w:sz w:val="18"/>
                <w:szCs w:val="18"/>
              </w:rPr>
              <w:t>.</w:t>
            </w:r>
          </w:p>
        </w:tc>
        <w:tc>
          <w:tcPr>
            <w:tcW w:w="1647" w:type="dxa"/>
            <w:gridSpan w:val="2"/>
            <w:tcBorders>
              <w:top w:val="single" w:sz="4" w:space="0" w:color="auto"/>
              <w:left w:val="nil"/>
              <w:bottom w:val="single" w:sz="4" w:space="0" w:color="auto"/>
              <w:right w:val="single" w:sz="4" w:space="0" w:color="auto"/>
            </w:tcBorders>
            <w:shd w:val="clear" w:color="auto" w:fill="auto"/>
            <w:vAlign w:val="center"/>
            <w:hideMark/>
          </w:tcPr>
          <w:p w14:paraId="09FDBF27" w14:textId="5D9BE137" w:rsidR="00733417" w:rsidRPr="009D6C12" w:rsidRDefault="00733417" w:rsidP="006919BE">
            <w:pPr>
              <w:spacing w:after="60"/>
              <w:jc w:val="center"/>
              <w:rPr>
                <w:b/>
                <w:color w:val="000000"/>
                <w:sz w:val="18"/>
                <w:szCs w:val="18"/>
              </w:rPr>
            </w:pPr>
            <w:r w:rsidRPr="009D6C12">
              <w:rPr>
                <w:b/>
                <w:color w:val="000000"/>
                <w:sz w:val="18"/>
                <w:szCs w:val="18"/>
              </w:rPr>
              <w:t>2022 г</w:t>
            </w:r>
            <w:r w:rsidR="006919BE" w:rsidRPr="009D6C12">
              <w:rPr>
                <w:b/>
                <w:color w:val="000000"/>
                <w:sz w:val="18"/>
                <w:szCs w:val="18"/>
              </w:rPr>
              <w:t>.</w:t>
            </w:r>
          </w:p>
        </w:tc>
      </w:tr>
      <w:tr w:rsidR="006919BE" w:rsidRPr="009D6C12" w14:paraId="302DC64E" w14:textId="77777777" w:rsidTr="00465F0C">
        <w:trPr>
          <w:trHeight w:val="840"/>
          <w:tblHeader/>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5E5ADD4A" w14:textId="77777777" w:rsidR="00733417" w:rsidRPr="009D6C12" w:rsidRDefault="00733417" w:rsidP="006919BE">
            <w:pPr>
              <w:spacing w:after="60"/>
              <w:rPr>
                <w:b/>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EE838D2" w14:textId="77777777" w:rsidR="00733417" w:rsidRPr="009D6C12" w:rsidRDefault="00733417" w:rsidP="006919BE">
            <w:pPr>
              <w:spacing w:after="60"/>
              <w:ind w:right="-39"/>
              <w:rPr>
                <w:b/>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0DD8C16F" w14:textId="77777777" w:rsidR="00733417" w:rsidRPr="009D6C12" w:rsidRDefault="00733417" w:rsidP="006919BE">
            <w:pPr>
              <w:spacing w:after="60"/>
              <w:jc w:val="center"/>
              <w:rPr>
                <w:b/>
                <w:color w:val="000000"/>
                <w:sz w:val="18"/>
                <w:szCs w:val="18"/>
              </w:rPr>
            </w:pPr>
            <w:bookmarkStart w:id="54" w:name="_Hlk21294450"/>
            <w:r w:rsidRPr="009D6C12">
              <w:rPr>
                <w:b/>
                <w:color w:val="000000"/>
                <w:sz w:val="18"/>
                <w:szCs w:val="18"/>
              </w:rPr>
              <w:t>Закон</w:t>
            </w:r>
            <w:r w:rsidRPr="009D6C12">
              <w:rPr>
                <w:b/>
                <w:color w:val="000000"/>
                <w:sz w:val="18"/>
                <w:szCs w:val="18"/>
              </w:rPr>
              <w:br/>
              <w:t>№ 459-ФЗ</w:t>
            </w:r>
            <w:bookmarkEnd w:id="54"/>
          </w:p>
        </w:tc>
        <w:tc>
          <w:tcPr>
            <w:tcW w:w="852" w:type="dxa"/>
            <w:tcBorders>
              <w:top w:val="nil"/>
              <w:left w:val="nil"/>
              <w:bottom w:val="single" w:sz="4" w:space="0" w:color="auto"/>
              <w:right w:val="single" w:sz="4" w:space="0" w:color="auto"/>
            </w:tcBorders>
            <w:shd w:val="clear" w:color="auto" w:fill="auto"/>
            <w:vAlign w:val="center"/>
            <w:hideMark/>
          </w:tcPr>
          <w:p w14:paraId="4F817D70" w14:textId="77777777" w:rsidR="00733417" w:rsidRPr="009D6C12" w:rsidRDefault="00733417" w:rsidP="006919BE">
            <w:pPr>
              <w:spacing w:after="60"/>
              <w:jc w:val="center"/>
              <w:rPr>
                <w:b/>
                <w:color w:val="000000"/>
                <w:sz w:val="18"/>
                <w:szCs w:val="18"/>
              </w:rPr>
            </w:pPr>
            <w:r w:rsidRPr="009D6C12">
              <w:rPr>
                <w:b/>
                <w:color w:val="000000"/>
                <w:sz w:val="18"/>
                <w:szCs w:val="18"/>
              </w:rPr>
              <w:t>Законо-</w:t>
            </w:r>
            <w:r w:rsidRPr="009D6C12">
              <w:rPr>
                <w:b/>
                <w:color w:val="000000"/>
                <w:sz w:val="18"/>
                <w:szCs w:val="18"/>
              </w:rPr>
              <w:br/>
              <w:t>проект</w:t>
            </w:r>
          </w:p>
        </w:tc>
        <w:tc>
          <w:tcPr>
            <w:tcW w:w="911" w:type="dxa"/>
            <w:tcBorders>
              <w:top w:val="nil"/>
              <w:left w:val="nil"/>
              <w:bottom w:val="single" w:sz="4" w:space="0" w:color="auto"/>
              <w:right w:val="single" w:sz="4" w:space="0" w:color="auto"/>
            </w:tcBorders>
            <w:shd w:val="clear" w:color="auto" w:fill="auto"/>
            <w:vAlign w:val="center"/>
            <w:hideMark/>
          </w:tcPr>
          <w:p w14:paraId="35B621C8" w14:textId="77777777" w:rsidR="00733417" w:rsidRPr="009D6C12" w:rsidRDefault="00733417" w:rsidP="006919BE">
            <w:pPr>
              <w:spacing w:after="60"/>
              <w:jc w:val="center"/>
              <w:rPr>
                <w:b/>
                <w:color w:val="000000"/>
                <w:sz w:val="18"/>
                <w:szCs w:val="18"/>
              </w:rPr>
            </w:pPr>
            <w:r w:rsidRPr="009D6C12">
              <w:rPr>
                <w:b/>
                <w:color w:val="000000"/>
                <w:sz w:val="18"/>
                <w:szCs w:val="18"/>
              </w:rPr>
              <w:t>Δ к закону, %</w:t>
            </w:r>
          </w:p>
        </w:tc>
        <w:tc>
          <w:tcPr>
            <w:tcW w:w="816" w:type="dxa"/>
            <w:tcBorders>
              <w:top w:val="nil"/>
              <w:left w:val="nil"/>
              <w:bottom w:val="single" w:sz="4" w:space="0" w:color="auto"/>
              <w:right w:val="single" w:sz="4" w:space="0" w:color="auto"/>
            </w:tcBorders>
            <w:shd w:val="clear" w:color="auto" w:fill="auto"/>
            <w:vAlign w:val="center"/>
            <w:hideMark/>
          </w:tcPr>
          <w:p w14:paraId="273AC54F" w14:textId="77777777" w:rsidR="00733417" w:rsidRPr="009D6C12" w:rsidRDefault="00733417" w:rsidP="006919BE">
            <w:pPr>
              <w:spacing w:after="60"/>
              <w:jc w:val="center"/>
              <w:rPr>
                <w:b/>
                <w:color w:val="000000"/>
                <w:sz w:val="18"/>
                <w:szCs w:val="18"/>
              </w:rPr>
            </w:pPr>
            <w:r w:rsidRPr="009D6C12">
              <w:rPr>
                <w:b/>
                <w:color w:val="000000"/>
                <w:sz w:val="18"/>
                <w:szCs w:val="18"/>
              </w:rPr>
              <w:t>Закон</w:t>
            </w:r>
            <w:r w:rsidRPr="009D6C12">
              <w:rPr>
                <w:b/>
                <w:color w:val="000000"/>
                <w:sz w:val="18"/>
                <w:szCs w:val="18"/>
              </w:rPr>
              <w:br/>
              <w:t>№ 459-ФЗ</w:t>
            </w:r>
          </w:p>
        </w:tc>
        <w:tc>
          <w:tcPr>
            <w:tcW w:w="816" w:type="dxa"/>
            <w:tcBorders>
              <w:top w:val="nil"/>
              <w:left w:val="nil"/>
              <w:bottom w:val="single" w:sz="4" w:space="0" w:color="auto"/>
              <w:right w:val="single" w:sz="4" w:space="0" w:color="auto"/>
            </w:tcBorders>
            <w:shd w:val="clear" w:color="auto" w:fill="auto"/>
            <w:vAlign w:val="center"/>
            <w:hideMark/>
          </w:tcPr>
          <w:p w14:paraId="14B01E66" w14:textId="6E195677" w:rsidR="00733417" w:rsidRPr="009D6C12" w:rsidRDefault="00733417" w:rsidP="009D6C12">
            <w:pPr>
              <w:spacing w:after="60"/>
              <w:jc w:val="center"/>
              <w:rPr>
                <w:b/>
                <w:color w:val="000000"/>
                <w:sz w:val="18"/>
                <w:szCs w:val="18"/>
              </w:rPr>
            </w:pPr>
            <w:r w:rsidRPr="009D6C12">
              <w:rPr>
                <w:b/>
                <w:color w:val="000000"/>
                <w:sz w:val="18"/>
                <w:szCs w:val="18"/>
              </w:rPr>
              <w:t>Законо</w:t>
            </w:r>
            <w:r w:rsidRPr="009D6C12">
              <w:rPr>
                <w:b/>
                <w:color w:val="000000"/>
                <w:sz w:val="18"/>
                <w:szCs w:val="18"/>
              </w:rPr>
              <w:br/>
              <w:t>проект</w:t>
            </w:r>
          </w:p>
        </w:tc>
        <w:tc>
          <w:tcPr>
            <w:tcW w:w="911" w:type="dxa"/>
            <w:tcBorders>
              <w:top w:val="nil"/>
              <w:left w:val="nil"/>
              <w:bottom w:val="single" w:sz="4" w:space="0" w:color="auto"/>
              <w:right w:val="single" w:sz="4" w:space="0" w:color="auto"/>
            </w:tcBorders>
            <w:shd w:val="clear" w:color="auto" w:fill="auto"/>
            <w:vAlign w:val="center"/>
            <w:hideMark/>
          </w:tcPr>
          <w:p w14:paraId="438AF975" w14:textId="77777777" w:rsidR="00733417" w:rsidRPr="009D6C12" w:rsidRDefault="00733417" w:rsidP="006919BE">
            <w:pPr>
              <w:spacing w:after="60"/>
              <w:jc w:val="center"/>
              <w:rPr>
                <w:b/>
                <w:color w:val="000000"/>
                <w:sz w:val="18"/>
                <w:szCs w:val="18"/>
              </w:rPr>
            </w:pPr>
            <w:r w:rsidRPr="009D6C12">
              <w:rPr>
                <w:b/>
                <w:color w:val="000000"/>
                <w:sz w:val="18"/>
                <w:szCs w:val="18"/>
              </w:rPr>
              <w:t>Δ к закону, %</w:t>
            </w:r>
          </w:p>
        </w:tc>
        <w:tc>
          <w:tcPr>
            <w:tcW w:w="797" w:type="dxa"/>
            <w:tcBorders>
              <w:top w:val="nil"/>
              <w:left w:val="nil"/>
              <w:bottom w:val="single" w:sz="4" w:space="0" w:color="auto"/>
              <w:right w:val="single" w:sz="4" w:space="0" w:color="auto"/>
            </w:tcBorders>
            <w:shd w:val="clear" w:color="auto" w:fill="auto"/>
            <w:vAlign w:val="center"/>
            <w:hideMark/>
          </w:tcPr>
          <w:p w14:paraId="4590E581" w14:textId="784425C0" w:rsidR="00733417" w:rsidRPr="009D6C12" w:rsidRDefault="00733417" w:rsidP="009D6C12">
            <w:pPr>
              <w:spacing w:after="60"/>
              <w:jc w:val="center"/>
              <w:rPr>
                <w:b/>
                <w:color w:val="000000"/>
                <w:sz w:val="18"/>
                <w:szCs w:val="18"/>
              </w:rPr>
            </w:pPr>
            <w:r w:rsidRPr="009D6C12">
              <w:rPr>
                <w:b/>
                <w:color w:val="000000"/>
                <w:sz w:val="18"/>
                <w:szCs w:val="18"/>
              </w:rPr>
              <w:t>Законо</w:t>
            </w:r>
            <w:r w:rsidRPr="009D6C12">
              <w:rPr>
                <w:b/>
                <w:color w:val="000000"/>
                <w:sz w:val="18"/>
                <w:szCs w:val="18"/>
              </w:rPr>
              <w:br/>
              <w:t>проект</w:t>
            </w:r>
          </w:p>
        </w:tc>
        <w:tc>
          <w:tcPr>
            <w:tcW w:w="850" w:type="dxa"/>
            <w:tcBorders>
              <w:top w:val="nil"/>
              <w:left w:val="nil"/>
              <w:bottom w:val="single" w:sz="4" w:space="0" w:color="auto"/>
              <w:right w:val="single" w:sz="4" w:space="0" w:color="auto"/>
            </w:tcBorders>
            <w:shd w:val="clear" w:color="auto" w:fill="auto"/>
            <w:vAlign w:val="center"/>
            <w:hideMark/>
          </w:tcPr>
          <w:p w14:paraId="62C16432" w14:textId="77777777" w:rsidR="00733417" w:rsidRPr="009D6C12" w:rsidRDefault="00733417" w:rsidP="006919BE">
            <w:pPr>
              <w:spacing w:after="60"/>
              <w:jc w:val="center"/>
              <w:rPr>
                <w:b/>
                <w:color w:val="000000"/>
                <w:sz w:val="18"/>
                <w:szCs w:val="18"/>
              </w:rPr>
            </w:pPr>
            <w:r w:rsidRPr="009D6C12">
              <w:rPr>
                <w:b/>
                <w:color w:val="000000"/>
                <w:sz w:val="18"/>
                <w:szCs w:val="18"/>
              </w:rPr>
              <w:t>Δ к Законопроекту на 2021 год, %</w:t>
            </w:r>
          </w:p>
        </w:tc>
      </w:tr>
      <w:tr w:rsidR="006919BE" w:rsidRPr="009D6C12" w14:paraId="23457527" w14:textId="77777777" w:rsidTr="00465F0C">
        <w:trPr>
          <w:trHeight w:val="285"/>
          <w:tblHeader/>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71D66A4" w14:textId="77777777" w:rsidR="00733417" w:rsidRPr="009D6C12" w:rsidRDefault="00733417" w:rsidP="006919BE">
            <w:pPr>
              <w:spacing w:after="60"/>
              <w:jc w:val="center"/>
              <w:rPr>
                <w:color w:val="000000"/>
                <w:sz w:val="18"/>
                <w:szCs w:val="18"/>
              </w:rPr>
            </w:pPr>
            <w:r w:rsidRPr="009D6C12">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14:paraId="6DF78647" w14:textId="77777777" w:rsidR="00733417" w:rsidRPr="009D6C12" w:rsidRDefault="00733417" w:rsidP="006919BE">
            <w:pPr>
              <w:spacing w:after="60"/>
              <w:ind w:right="-39"/>
              <w:jc w:val="center"/>
              <w:rPr>
                <w:color w:val="000000"/>
                <w:sz w:val="18"/>
                <w:szCs w:val="18"/>
              </w:rPr>
            </w:pPr>
            <w:r w:rsidRPr="009D6C12">
              <w:rPr>
                <w:color w:val="000000"/>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14:paraId="4BE756CA" w14:textId="77777777" w:rsidR="00733417" w:rsidRPr="009D6C12" w:rsidRDefault="00733417" w:rsidP="006919BE">
            <w:pPr>
              <w:spacing w:after="60"/>
              <w:jc w:val="center"/>
              <w:rPr>
                <w:color w:val="000000"/>
                <w:sz w:val="18"/>
                <w:szCs w:val="18"/>
              </w:rPr>
            </w:pPr>
            <w:r w:rsidRPr="009D6C12">
              <w:rPr>
                <w:color w:val="000000"/>
                <w:sz w:val="18"/>
                <w:szCs w:val="18"/>
              </w:rPr>
              <w:t>3</w:t>
            </w:r>
          </w:p>
        </w:tc>
        <w:tc>
          <w:tcPr>
            <w:tcW w:w="852" w:type="dxa"/>
            <w:tcBorders>
              <w:top w:val="nil"/>
              <w:left w:val="nil"/>
              <w:bottom w:val="single" w:sz="4" w:space="0" w:color="auto"/>
              <w:right w:val="single" w:sz="4" w:space="0" w:color="auto"/>
            </w:tcBorders>
            <w:shd w:val="clear" w:color="auto" w:fill="auto"/>
            <w:vAlign w:val="center"/>
            <w:hideMark/>
          </w:tcPr>
          <w:p w14:paraId="04F96D1C" w14:textId="77777777" w:rsidR="00733417" w:rsidRPr="009D6C12" w:rsidRDefault="00733417" w:rsidP="006919BE">
            <w:pPr>
              <w:spacing w:after="60"/>
              <w:jc w:val="center"/>
              <w:rPr>
                <w:color w:val="000000"/>
                <w:sz w:val="18"/>
                <w:szCs w:val="18"/>
              </w:rPr>
            </w:pPr>
            <w:r w:rsidRPr="009D6C12">
              <w:rPr>
                <w:color w:val="000000"/>
                <w:sz w:val="18"/>
                <w:szCs w:val="18"/>
              </w:rPr>
              <w:t>4</w:t>
            </w:r>
          </w:p>
        </w:tc>
        <w:tc>
          <w:tcPr>
            <w:tcW w:w="911" w:type="dxa"/>
            <w:tcBorders>
              <w:top w:val="nil"/>
              <w:left w:val="nil"/>
              <w:bottom w:val="single" w:sz="4" w:space="0" w:color="auto"/>
              <w:right w:val="single" w:sz="4" w:space="0" w:color="auto"/>
            </w:tcBorders>
            <w:shd w:val="clear" w:color="auto" w:fill="auto"/>
            <w:vAlign w:val="center"/>
            <w:hideMark/>
          </w:tcPr>
          <w:p w14:paraId="142C98BA" w14:textId="77777777" w:rsidR="009D6C12" w:rsidRDefault="00733417" w:rsidP="006919BE">
            <w:pPr>
              <w:spacing w:after="60"/>
              <w:jc w:val="center"/>
              <w:rPr>
                <w:color w:val="000000"/>
                <w:sz w:val="18"/>
                <w:szCs w:val="18"/>
              </w:rPr>
            </w:pPr>
            <w:r w:rsidRPr="009D6C12">
              <w:rPr>
                <w:color w:val="000000"/>
                <w:sz w:val="18"/>
                <w:szCs w:val="18"/>
              </w:rPr>
              <w:t>5=4/3*</w:t>
            </w:r>
          </w:p>
          <w:p w14:paraId="6FDB89F6" w14:textId="10547C2E" w:rsidR="00733417" w:rsidRPr="009D6C12" w:rsidRDefault="00733417" w:rsidP="006919BE">
            <w:pPr>
              <w:spacing w:after="60"/>
              <w:jc w:val="center"/>
              <w:rPr>
                <w:color w:val="000000"/>
                <w:sz w:val="18"/>
                <w:szCs w:val="18"/>
              </w:rPr>
            </w:pPr>
            <w:r w:rsidRPr="009D6C12">
              <w:rPr>
                <w:color w:val="000000"/>
                <w:sz w:val="18"/>
                <w:szCs w:val="18"/>
              </w:rPr>
              <w:t>100</w:t>
            </w:r>
          </w:p>
        </w:tc>
        <w:tc>
          <w:tcPr>
            <w:tcW w:w="816" w:type="dxa"/>
            <w:tcBorders>
              <w:top w:val="nil"/>
              <w:left w:val="nil"/>
              <w:bottom w:val="single" w:sz="4" w:space="0" w:color="auto"/>
              <w:right w:val="single" w:sz="4" w:space="0" w:color="auto"/>
            </w:tcBorders>
            <w:shd w:val="clear" w:color="auto" w:fill="auto"/>
            <w:vAlign w:val="center"/>
            <w:hideMark/>
          </w:tcPr>
          <w:p w14:paraId="54488473" w14:textId="77777777" w:rsidR="00733417" w:rsidRPr="009D6C12" w:rsidRDefault="00733417" w:rsidP="006919BE">
            <w:pPr>
              <w:spacing w:after="60"/>
              <w:jc w:val="center"/>
              <w:rPr>
                <w:color w:val="000000"/>
                <w:sz w:val="18"/>
                <w:szCs w:val="18"/>
              </w:rPr>
            </w:pPr>
            <w:r w:rsidRPr="009D6C12">
              <w:rPr>
                <w:color w:val="000000"/>
                <w:sz w:val="18"/>
                <w:szCs w:val="18"/>
              </w:rPr>
              <w:t>6</w:t>
            </w:r>
          </w:p>
        </w:tc>
        <w:tc>
          <w:tcPr>
            <w:tcW w:w="816" w:type="dxa"/>
            <w:tcBorders>
              <w:top w:val="nil"/>
              <w:left w:val="nil"/>
              <w:bottom w:val="single" w:sz="4" w:space="0" w:color="auto"/>
              <w:right w:val="single" w:sz="4" w:space="0" w:color="auto"/>
            </w:tcBorders>
            <w:shd w:val="clear" w:color="auto" w:fill="auto"/>
            <w:vAlign w:val="center"/>
            <w:hideMark/>
          </w:tcPr>
          <w:p w14:paraId="7D0E00C5" w14:textId="77777777" w:rsidR="00733417" w:rsidRPr="009D6C12" w:rsidRDefault="00733417" w:rsidP="006919BE">
            <w:pPr>
              <w:spacing w:after="60"/>
              <w:jc w:val="center"/>
              <w:rPr>
                <w:color w:val="000000"/>
                <w:sz w:val="18"/>
                <w:szCs w:val="18"/>
              </w:rPr>
            </w:pPr>
            <w:r w:rsidRPr="009D6C12">
              <w:rPr>
                <w:color w:val="000000"/>
                <w:sz w:val="18"/>
                <w:szCs w:val="18"/>
              </w:rPr>
              <w:t>7</w:t>
            </w:r>
          </w:p>
        </w:tc>
        <w:tc>
          <w:tcPr>
            <w:tcW w:w="911" w:type="dxa"/>
            <w:tcBorders>
              <w:top w:val="nil"/>
              <w:left w:val="nil"/>
              <w:bottom w:val="single" w:sz="4" w:space="0" w:color="auto"/>
              <w:right w:val="single" w:sz="4" w:space="0" w:color="auto"/>
            </w:tcBorders>
            <w:shd w:val="clear" w:color="auto" w:fill="auto"/>
            <w:vAlign w:val="center"/>
            <w:hideMark/>
          </w:tcPr>
          <w:p w14:paraId="06A99A18" w14:textId="77777777" w:rsidR="009D6C12" w:rsidRDefault="00733417" w:rsidP="006919BE">
            <w:pPr>
              <w:spacing w:after="60"/>
              <w:jc w:val="center"/>
              <w:rPr>
                <w:color w:val="000000"/>
                <w:sz w:val="18"/>
                <w:szCs w:val="18"/>
              </w:rPr>
            </w:pPr>
            <w:r w:rsidRPr="009D6C12">
              <w:rPr>
                <w:color w:val="000000"/>
                <w:sz w:val="18"/>
                <w:szCs w:val="18"/>
              </w:rPr>
              <w:t>8=7/6*</w:t>
            </w:r>
          </w:p>
          <w:p w14:paraId="1D409355" w14:textId="0A089786" w:rsidR="00733417" w:rsidRPr="009D6C12" w:rsidRDefault="00733417" w:rsidP="006919BE">
            <w:pPr>
              <w:spacing w:after="60"/>
              <w:jc w:val="center"/>
              <w:rPr>
                <w:color w:val="000000"/>
                <w:sz w:val="18"/>
                <w:szCs w:val="18"/>
              </w:rPr>
            </w:pPr>
            <w:r w:rsidRPr="009D6C12">
              <w:rPr>
                <w:color w:val="000000"/>
                <w:sz w:val="18"/>
                <w:szCs w:val="18"/>
              </w:rPr>
              <w:t>100</w:t>
            </w:r>
          </w:p>
        </w:tc>
        <w:tc>
          <w:tcPr>
            <w:tcW w:w="797" w:type="dxa"/>
            <w:tcBorders>
              <w:top w:val="nil"/>
              <w:left w:val="nil"/>
              <w:bottom w:val="single" w:sz="4" w:space="0" w:color="auto"/>
              <w:right w:val="single" w:sz="4" w:space="0" w:color="auto"/>
            </w:tcBorders>
            <w:shd w:val="clear" w:color="auto" w:fill="auto"/>
            <w:vAlign w:val="center"/>
            <w:hideMark/>
          </w:tcPr>
          <w:p w14:paraId="5160F0D4" w14:textId="77777777" w:rsidR="00733417" w:rsidRPr="009D6C12" w:rsidRDefault="00733417" w:rsidP="006919BE">
            <w:pPr>
              <w:spacing w:after="60"/>
              <w:jc w:val="center"/>
              <w:rPr>
                <w:color w:val="000000"/>
                <w:sz w:val="18"/>
                <w:szCs w:val="18"/>
              </w:rPr>
            </w:pPr>
            <w:r w:rsidRPr="009D6C12">
              <w:rPr>
                <w:color w:val="000000"/>
                <w:sz w:val="18"/>
                <w:szCs w:val="18"/>
              </w:rPr>
              <w:t>9</w:t>
            </w:r>
          </w:p>
        </w:tc>
        <w:tc>
          <w:tcPr>
            <w:tcW w:w="850" w:type="dxa"/>
            <w:tcBorders>
              <w:top w:val="nil"/>
              <w:left w:val="nil"/>
              <w:bottom w:val="single" w:sz="4" w:space="0" w:color="auto"/>
              <w:right w:val="single" w:sz="4" w:space="0" w:color="auto"/>
            </w:tcBorders>
            <w:shd w:val="clear" w:color="auto" w:fill="auto"/>
            <w:vAlign w:val="center"/>
            <w:hideMark/>
          </w:tcPr>
          <w:p w14:paraId="1F1AFF9D" w14:textId="77777777" w:rsidR="006919BE" w:rsidRPr="009D6C12" w:rsidRDefault="00733417" w:rsidP="006919BE">
            <w:pPr>
              <w:spacing w:after="60"/>
              <w:jc w:val="center"/>
              <w:rPr>
                <w:color w:val="000000"/>
                <w:sz w:val="18"/>
                <w:szCs w:val="18"/>
              </w:rPr>
            </w:pPr>
            <w:r w:rsidRPr="009D6C12">
              <w:rPr>
                <w:color w:val="000000"/>
                <w:sz w:val="18"/>
                <w:szCs w:val="18"/>
              </w:rPr>
              <w:t>10=9/7*</w:t>
            </w:r>
          </w:p>
          <w:p w14:paraId="0F03E3C3" w14:textId="4538622C" w:rsidR="00733417" w:rsidRPr="009D6C12" w:rsidRDefault="00733417" w:rsidP="006919BE">
            <w:pPr>
              <w:spacing w:after="60"/>
              <w:jc w:val="center"/>
              <w:rPr>
                <w:color w:val="000000"/>
                <w:sz w:val="18"/>
                <w:szCs w:val="18"/>
              </w:rPr>
            </w:pPr>
            <w:r w:rsidRPr="009D6C12">
              <w:rPr>
                <w:color w:val="000000"/>
                <w:sz w:val="18"/>
                <w:szCs w:val="18"/>
              </w:rPr>
              <w:t>100</w:t>
            </w:r>
          </w:p>
        </w:tc>
      </w:tr>
      <w:tr w:rsidR="006919BE" w:rsidRPr="009D6C12" w14:paraId="277BA4C6" w14:textId="77777777" w:rsidTr="00465F0C">
        <w:trPr>
          <w:trHeight w:val="255"/>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AAC0D52" w14:textId="77777777" w:rsidR="006919BE" w:rsidRPr="009D6C12" w:rsidRDefault="006919BE" w:rsidP="006919BE">
            <w:pPr>
              <w:spacing w:after="60"/>
              <w:rPr>
                <w:b/>
                <w:bCs/>
                <w:color w:val="000000"/>
                <w:sz w:val="18"/>
                <w:szCs w:val="18"/>
              </w:rPr>
            </w:pPr>
            <w:r w:rsidRPr="009D6C12">
              <w:rPr>
                <w:b/>
                <w:bCs/>
                <w:color w:val="000000"/>
                <w:sz w:val="18"/>
                <w:szCs w:val="18"/>
              </w:rPr>
              <w:t>Всего</w:t>
            </w:r>
          </w:p>
        </w:tc>
        <w:tc>
          <w:tcPr>
            <w:tcW w:w="709" w:type="dxa"/>
            <w:tcBorders>
              <w:top w:val="nil"/>
              <w:left w:val="nil"/>
              <w:bottom w:val="single" w:sz="4" w:space="0" w:color="auto"/>
              <w:right w:val="single" w:sz="4" w:space="0" w:color="auto"/>
            </w:tcBorders>
            <w:shd w:val="clear" w:color="auto" w:fill="auto"/>
            <w:vAlign w:val="center"/>
            <w:hideMark/>
          </w:tcPr>
          <w:p w14:paraId="7587C672" w14:textId="401BF4AA" w:rsidR="006919BE" w:rsidRPr="009D6C12" w:rsidRDefault="006919BE" w:rsidP="006919BE">
            <w:pPr>
              <w:spacing w:after="60"/>
              <w:ind w:right="-39"/>
              <w:jc w:val="center"/>
              <w:rPr>
                <w:color w:val="000000"/>
                <w:sz w:val="18"/>
                <w:szCs w:val="18"/>
              </w:rPr>
            </w:pPr>
            <w:r w:rsidRPr="009D6C12">
              <w:rPr>
                <w:color w:val="000000"/>
                <w:sz w:val="18"/>
                <w:szCs w:val="18"/>
              </w:rPr>
              <w:t>228,8</w:t>
            </w:r>
          </w:p>
        </w:tc>
        <w:tc>
          <w:tcPr>
            <w:tcW w:w="851" w:type="dxa"/>
            <w:tcBorders>
              <w:top w:val="nil"/>
              <w:left w:val="nil"/>
              <w:bottom w:val="single" w:sz="4" w:space="0" w:color="auto"/>
              <w:right w:val="single" w:sz="4" w:space="0" w:color="auto"/>
            </w:tcBorders>
            <w:shd w:val="clear" w:color="auto" w:fill="auto"/>
            <w:vAlign w:val="center"/>
            <w:hideMark/>
          </w:tcPr>
          <w:p w14:paraId="74D50470" w14:textId="0B85F700" w:rsidR="006919BE" w:rsidRPr="009D6C12" w:rsidRDefault="006919BE" w:rsidP="006919BE">
            <w:pPr>
              <w:spacing w:after="60"/>
              <w:jc w:val="center"/>
              <w:rPr>
                <w:color w:val="000000"/>
                <w:sz w:val="18"/>
                <w:szCs w:val="18"/>
              </w:rPr>
            </w:pPr>
            <w:r w:rsidRPr="009D6C12">
              <w:rPr>
                <w:color w:val="000000"/>
                <w:sz w:val="18"/>
                <w:szCs w:val="18"/>
              </w:rPr>
              <w:t>185,5</w:t>
            </w:r>
          </w:p>
        </w:tc>
        <w:tc>
          <w:tcPr>
            <w:tcW w:w="852" w:type="dxa"/>
            <w:tcBorders>
              <w:top w:val="nil"/>
              <w:left w:val="nil"/>
              <w:bottom w:val="single" w:sz="4" w:space="0" w:color="auto"/>
              <w:right w:val="single" w:sz="4" w:space="0" w:color="auto"/>
            </w:tcBorders>
            <w:shd w:val="clear" w:color="auto" w:fill="auto"/>
            <w:vAlign w:val="center"/>
            <w:hideMark/>
          </w:tcPr>
          <w:p w14:paraId="2B1834CD" w14:textId="2D617B4A" w:rsidR="006919BE" w:rsidRPr="009D6C12" w:rsidRDefault="006919BE" w:rsidP="006919BE">
            <w:pPr>
              <w:spacing w:after="60"/>
              <w:jc w:val="center"/>
              <w:rPr>
                <w:color w:val="000000"/>
                <w:sz w:val="18"/>
                <w:szCs w:val="18"/>
              </w:rPr>
            </w:pPr>
            <w:r w:rsidRPr="009D6C12">
              <w:rPr>
                <w:color w:val="000000"/>
                <w:sz w:val="18"/>
                <w:szCs w:val="18"/>
              </w:rPr>
              <w:t>209,4</w:t>
            </w:r>
          </w:p>
        </w:tc>
        <w:tc>
          <w:tcPr>
            <w:tcW w:w="911" w:type="dxa"/>
            <w:tcBorders>
              <w:top w:val="nil"/>
              <w:left w:val="nil"/>
              <w:bottom w:val="single" w:sz="4" w:space="0" w:color="auto"/>
              <w:right w:val="single" w:sz="4" w:space="0" w:color="auto"/>
            </w:tcBorders>
            <w:shd w:val="clear" w:color="auto" w:fill="auto"/>
            <w:vAlign w:val="center"/>
            <w:hideMark/>
          </w:tcPr>
          <w:p w14:paraId="5AAE568A" w14:textId="77777777" w:rsidR="006919BE" w:rsidRPr="009D6C12" w:rsidRDefault="006919BE" w:rsidP="006919BE">
            <w:pPr>
              <w:spacing w:after="60"/>
              <w:jc w:val="center"/>
              <w:rPr>
                <w:color w:val="000000"/>
                <w:sz w:val="18"/>
                <w:szCs w:val="18"/>
              </w:rPr>
            </w:pPr>
            <w:r w:rsidRPr="009D6C12">
              <w:rPr>
                <w:color w:val="000000"/>
                <w:sz w:val="18"/>
                <w:szCs w:val="18"/>
              </w:rPr>
              <w:t>112,9</w:t>
            </w:r>
          </w:p>
        </w:tc>
        <w:tc>
          <w:tcPr>
            <w:tcW w:w="816" w:type="dxa"/>
            <w:tcBorders>
              <w:top w:val="nil"/>
              <w:left w:val="nil"/>
              <w:bottom w:val="single" w:sz="4" w:space="0" w:color="auto"/>
              <w:right w:val="single" w:sz="4" w:space="0" w:color="auto"/>
            </w:tcBorders>
            <w:shd w:val="clear" w:color="auto" w:fill="auto"/>
            <w:vAlign w:val="center"/>
            <w:hideMark/>
          </w:tcPr>
          <w:p w14:paraId="6D3AE391" w14:textId="0FC399E1" w:rsidR="006919BE" w:rsidRPr="009D6C12" w:rsidRDefault="006919BE" w:rsidP="006919BE">
            <w:pPr>
              <w:spacing w:after="60"/>
              <w:jc w:val="center"/>
              <w:rPr>
                <w:color w:val="000000"/>
                <w:sz w:val="18"/>
                <w:szCs w:val="18"/>
              </w:rPr>
            </w:pPr>
            <w:r w:rsidRPr="009D6C12">
              <w:rPr>
                <w:color w:val="000000"/>
                <w:sz w:val="18"/>
                <w:szCs w:val="18"/>
              </w:rPr>
              <w:t>198,8</w:t>
            </w:r>
          </w:p>
        </w:tc>
        <w:tc>
          <w:tcPr>
            <w:tcW w:w="816" w:type="dxa"/>
            <w:tcBorders>
              <w:top w:val="nil"/>
              <w:left w:val="nil"/>
              <w:bottom w:val="single" w:sz="4" w:space="0" w:color="auto"/>
              <w:right w:val="single" w:sz="4" w:space="0" w:color="auto"/>
            </w:tcBorders>
            <w:shd w:val="clear" w:color="auto" w:fill="auto"/>
            <w:vAlign w:val="center"/>
            <w:hideMark/>
          </w:tcPr>
          <w:p w14:paraId="0739200D" w14:textId="5DF317F7" w:rsidR="006919BE" w:rsidRPr="009D6C12" w:rsidRDefault="006919BE" w:rsidP="006919BE">
            <w:pPr>
              <w:spacing w:after="60"/>
              <w:jc w:val="center"/>
              <w:rPr>
                <w:color w:val="000000"/>
                <w:sz w:val="18"/>
                <w:szCs w:val="18"/>
              </w:rPr>
            </w:pPr>
            <w:r w:rsidRPr="009D6C12">
              <w:rPr>
                <w:color w:val="000000"/>
                <w:sz w:val="18"/>
                <w:szCs w:val="18"/>
              </w:rPr>
              <w:t>215,7</w:t>
            </w:r>
          </w:p>
        </w:tc>
        <w:tc>
          <w:tcPr>
            <w:tcW w:w="911" w:type="dxa"/>
            <w:tcBorders>
              <w:top w:val="nil"/>
              <w:left w:val="nil"/>
              <w:bottom w:val="single" w:sz="4" w:space="0" w:color="auto"/>
              <w:right w:val="single" w:sz="4" w:space="0" w:color="auto"/>
            </w:tcBorders>
            <w:shd w:val="clear" w:color="auto" w:fill="auto"/>
            <w:vAlign w:val="center"/>
            <w:hideMark/>
          </w:tcPr>
          <w:p w14:paraId="358F3544" w14:textId="77777777" w:rsidR="006919BE" w:rsidRPr="009D6C12" w:rsidRDefault="006919BE" w:rsidP="006919BE">
            <w:pPr>
              <w:spacing w:after="60"/>
              <w:jc w:val="center"/>
              <w:rPr>
                <w:color w:val="000000"/>
                <w:sz w:val="18"/>
                <w:szCs w:val="18"/>
              </w:rPr>
            </w:pPr>
            <w:r w:rsidRPr="009D6C12">
              <w:rPr>
                <w:color w:val="000000"/>
                <w:sz w:val="18"/>
                <w:szCs w:val="18"/>
              </w:rPr>
              <w:t>108,5</w:t>
            </w:r>
          </w:p>
        </w:tc>
        <w:tc>
          <w:tcPr>
            <w:tcW w:w="797" w:type="dxa"/>
            <w:tcBorders>
              <w:top w:val="nil"/>
              <w:left w:val="nil"/>
              <w:bottom w:val="single" w:sz="4" w:space="0" w:color="auto"/>
              <w:right w:val="single" w:sz="4" w:space="0" w:color="auto"/>
            </w:tcBorders>
            <w:shd w:val="clear" w:color="auto" w:fill="auto"/>
            <w:vAlign w:val="center"/>
            <w:hideMark/>
          </w:tcPr>
          <w:p w14:paraId="51FB416D" w14:textId="51EB46A8" w:rsidR="006919BE" w:rsidRPr="009D6C12" w:rsidRDefault="006919BE" w:rsidP="00465F0C">
            <w:pPr>
              <w:spacing w:after="60"/>
              <w:jc w:val="center"/>
              <w:rPr>
                <w:color w:val="000000"/>
                <w:sz w:val="18"/>
                <w:szCs w:val="18"/>
              </w:rPr>
            </w:pPr>
            <w:r w:rsidRPr="009D6C12">
              <w:rPr>
                <w:color w:val="000000"/>
                <w:sz w:val="18"/>
                <w:szCs w:val="18"/>
              </w:rPr>
              <w:t>168,6</w:t>
            </w:r>
          </w:p>
        </w:tc>
        <w:tc>
          <w:tcPr>
            <w:tcW w:w="850" w:type="dxa"/>
            <w:tcBorders>
              <w:top w:val="nil"/>
              <w:left w:val="nil"/>
              <w:bottom w:val="single" w:sz="4" w:space="0" w:color="auto"/>
              <w:right w:val="single" w:sz="4" w:space="0" w:color="auto"/>
            </w:tcBorders>
            <w:shd w:val="clear" w:color="auto" w:fill="auto"/>
            <w:vAlign w:val="center"/>
            <w:hideMark/>
          </w:tcPr>
          <w:p w14:paraId="2F09D6A1" w14:textId="77777777" w:rsidR="006919BE" w:rsidRPr="009D6C12" w:rsidRDefault="006919BE" w:rsidP="006919BE">
            <w:pPr>
              <w:spacing w:after="60"/>
              <w:jc w:val="center"/>
              <w:rPr>
                <w:color w:val="000000"/>
                <w:sz w:val="18"/>
                <w:szCs w:val="18"/>
              </w:rPr>
            </w:pPr>
            <w:r w:rsidRPr="009D6C12">
              <w:rPr>
                <w:color w:val="000000"/>
                <w:sz w:val="18"/>
                <w:szCs w:val="18"/>
              </w:rPr>
              <w:t>78,1</w:t>
            </w:r>
          </w:p>
        </w:tc>
      </w:tr>
      <w:tr w:rsidR="006919BE" w:rsidRPr="009D6C12" w14:paraId="64744E55" w14:textId="77777777" w:rsidTr="00465F0C">
        <w:trPr>
          <w:trHeight w:val="255"/>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D6D01F1" w14:textId="77777777" w:rsidR="00733417" w:rsidRPr="009D6C12" w:rsidRDefault="00733417" w:rsidP="006919BE">
            <w:pPr>
              <w:spacing w:after="60"/>
              <w:rPr>
                <w:i/>
                <w:iCs/>
                <w:color w:val="000000"/>
                <w:sz w:val="18"/>
                <w:szCs w:val="18"/>
              </w:rPr>
            </w:pPr>
            <w:r w:rsidRPr="009D6C12">
              <w:rPr>
                <w:i/>
                <w:iCs/>
                <w:color w:val="000000"/>
                <w:sz w:val="18"/>
                <w:szCs w:val="18"/>
              </w:rPr>
              <w:t>в том числе:</w:t>
            </w:r>
          </w:p>
        </w:tc>
        <w:tc>
          <w:tcPr>
            <w:tcW w:w="709" w:type="dxa"/>
            <w:tcBorders>
              <w:top w:val="nil"/>
              <w:left w:val="nil"/>
              <w:bottom w:val="single" w:sz="4" w:space="0" w:color="auto"/>
              <w:right w:val="single" w:sz="4" w:space="0" w:color="auto"/>
            </w:tcBorders>
            <w:shd w:val="clear" w:color="auto" w:fill="auto"/>
            <w:noWrap/>
            <w:vAlign w:val="center"/>
            <w:hideMark/>
          </w:tcPr>
          <w:p w14:paraId="69F0555D" w14:textId="173501D7" w:rsidR="00733417" w:rsidRPr="009D6C12" w:rsidRDefault="00733417" w:rsidP="006919BE">
            <w:pPr>
              <w:spacing w:after="60"/>
              <w:ind w:right="-39"/>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4407B052" w14:textId="67945850" w:rsidR="00733417" w:rsidRPr="009D6C12" w:rsidRDefault="00733417" w:rsidP="006919BE">
            <w:pPr>
              <w:spacing w:after="60"/>
              <w:jc w:val="center"/>
              <w:rPr>
                <w:color w:val="000000"/>
                <w:sz w:val="18"/>
                <w:szCs w:val="18"/>
              </w:rPr>
            </w:pPr>
          </w:p>
        </w:tc>
        <w:tc>
          <w:tcPr>
            <w:tcW w:w="852" w:type="dxa"/>
            <w:tcBorders>
              <w:top w:val="nil"/>
              <w:left w:val="nil"/>
              <w:bottom w:val="single" w:sz="4" w:space="0" w:color="auto"/>
              <w:right w:val="single" w:sz="4" w:space="0" w:color="auto"/>
            </w:tcBorders>
            <w:shd w:val="clear" w:color="auto" w:fill="auto"/>
            <w:noWrap/>
            <w:vAlign w:val="center"/>
            <w:hideMark/>
          </w:tcPr>
          <w:p w14:paraId="760403F7" w14:textId="410CF2A4" w:rsidR="00733417" w:rsidRPr="009D6C12" w:rsidRDefault="00733417" w:rsidP="006919BE">
            <w:pPr>
              <w:spacing w:after="60"/>
              <w:jc w:val="center"/>
              <w:rPr>
                <w:color w:val="000000"/>
                <w:sz w:val="18"/>
                <w:szCs w:val="18"/>
              </w:rPr>
            </w:pPr>
          </w:p>
        </w:tc>
        <w:tc>
          <w:tcPr>
            <w:tcW w:w="911" w:type="dxa"/>
            <w:tcBorders>
              <w:top w:val="nil"/>
              <w:left w:val="nil"/>
              <w:bottom w:val="single" w:sz="4" w:space="0" w:color="auto"/>
              <w:right w:val="single" w:sz="4" w:space="0" w:color="auto"/>
            </w:tcBorders>
            <w:shd w:val="clear" w:color="auto" w:fill="auto"/>
            <w:noWrap/>
            <w:vAlign w:val="center"/>
            <w:hideMark/>
          </w:tcPr>
          <w:p w14:paraId="13191431" w14:textId="28C567E7" w:rsidR="00733417" w:rsidRPr="009D6C12" w:rsidRDefault="00733417" w:rsidP="006919BE">
            <w:pPr>
              <w:spacing w:after="60"/>
              <w:jc w:val="center"/>
              <w:rPr>
                <w:color w:val="000000"/>
                <w:sz w:val="18"/>
                <w:szCs w:val="18"/>
              </w:rPr>
            </w:pPr>
          </w:p>
        </w:tc>
        <w:tc>
          <w:tcPr>
            <w:tcW w:w="816" w:type="dxa"/>
            <w:tcBorders>
              <w:top w:val="nil"/>
              <w:left w:val="nil"/>
              <w:bottom w:val="single" w:sz="4" w:space="0" w:color="auto"/>
              <w:right w:val="single" w:sz="4" w:space="0" w:color="auto"/>
            </w:tcBorders>
            <w:shd w:val="clear" w:color="auto" w:fill="auto"/>
            <w:noWrap/>
            <w:vAlign w:val="center"/>
            <w:hideMark/>
          </w:tcPr>
          <w:p w14:paraId="44286036" w14:textId="382FD918" w:rsidR="00733417" w:rsidRPr="009D6C12" w:rsidRDefault="00733417" w:rsidP="006919BE">
            <w:pPr>
              <w:spacing w:after="60"/>
              <w:jc w:val="center"/>
              <w:rPr>
                <w:color w:val="000000"/>
                <w:sz w:val="18"/>
                <w:szCs w:val="18"/>
              </w:rPr>
            </w:pPr>
          </w:p>
        </w:tc>
        <w:tc>
          <w:tcPr>
            <w:tcW w:w="816" w:type="dxa"/>
            <w:tcBorders>
              <w:top w:val="nil"/>
              <w:left w:val="nil"/>
              <w:bottom w:val="single" w:sz="4" w:space="0" w:color="auto"/>
              <w:right w:val="single" w:sz="4" w:space="0" w:color="auto"/>
            </w:tcBorders>
            <w:shd w:val="clear" w:color="auto" w:fill="auto"/>
            <w:noWrap/>
            <w:vAlign w:val="center"/>
            <w:hideMark/>
          </w:tcPr>
          <w:p w14:paraId="5BFFCB3C" w14:textId="1EA82ED5" w:rsidR="00733417" w:rsidRPr="009D6C12" w:rsidRDefault="00733417" w:rsidP="006919BE">
            <w:pPr>
              <w:spacing w:after="60"/>
              <w:jc w:val="center"/>
              <w:rPr>
                <w:color w:val="000000"/>
                <w:sz w:val="18"/>
                <w:szCs w:val="18"/>
              </w:rPr>
            </w:pPr>
          </w:p>
        </w:tc>
        <w:tc>
          <w:tcPr>
            <w:tcW w:w="911" w:type="dxa"/>
            <w:tcBorders>
              <w:top w:val="nil"/>
              <w:left w:val="nil"/>
              <w:bottom w:val="single" w:sz="4" w:space="0" w:color="auto"/>
              <w:right w:val="single" w:sz="4" w:space="0" w:color="auto"/>
            </w:tcBorders>
            <w:shd w:val="clear" w:color="auto" w:fill="auto"/>
            <w:noWrap/>
            <w:vAlign w:val="center"/>
            <w:hideMark/>
          </w:tcPr>
          <w:p w14:paraId="7F24B1E8" w14:textId="3519754D" w:rsidR="00733417" w:rsidRPr="009D6C12" w:rsidRDefault="00733417" w:rsidP="006919BE">
            <w:pPr>
              <w:spacing w:after="60"/>
              <w:jc w:val="center"/>
              <w:rPr>
                <w:color w:val="000000"/>
                <w:sz w:val="18"/>
                <w:szCs w:val="18"/>
              </w:rPr>
            </w:pPr>
          </w:p>
        </w:tc>
        <w:tc>
          <w:tcPr>
            <w:tcW w:w="797" w:type="dxa"/>
            <w:tcBorders>
              <w:top w:val="nil"/>
              <w:left w:val="nil"/>
              <w:bottom w:val="single" w:sz="4" w:space="0" w:color="auto"/>
              <w:right w:val="single" w:sz="4" w:space="0" w:color="auto"/>
            </w:tcBorders>
            <w:shd w:val="clear" w:color="auto" w:fill="auto"/>
            <w:noWrap/>
            <w:vAlign w:val="center"/>
            <w:hideMark/>
          </w:tcPr>
          <w:p w14:paraId="3DCA0DD0" w14:textId="2CB5CF3C" w:rsidR="00733417" w:rsidRPr="009D6C12" w:rsidRDefault="00733417" w:rsidP="006919BE">
            <w:pPr>
              <w:spacing w:after="60"/>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B80BA36" w14:textId="55DBF67B" w:rsidR="00733417" w:rsidRPr="009D6C12" w:rsidRDefault="00733417" w:rsidP="006919BE">
            <w:pPr>
              <w:spacing w:after="60"/>
              <w:jc w:val="center"/>
              <w:rPr>
                <w:color w:val="000000"/>
                <w:sz w:val="18"/>
                <w:szCs w:val="18"/>
              </w:rPr>
            </w:pPr>
          </w:p>
        </w:tc>
      </w:tr>
      <w:tr w:rsidR="006919BE" w:rsidRPr="009D6C12" w14:paraId="3592BC52" w14:textId="77777777" w:rsidTr="00465F0C">
        <w:trPr>
          <w:trHeight w:val="982"/>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CEDECDE" w14:textId="77777777" w:rsidR="006919BE" w:rsidRPr="009D6C12" w:rsidRDefault="006919BE" w:rsidP="006919BE">
            <w:pPr>
              <w:spacing w:after="60"/>
              <w:jc w:val="both"/>
              <w:rPr>
                <w:color w:val="000000"/>
                <w:sz w:val="18"/>
                <w:szCs w:val="18"/>
              </w:rPr>
            </w:pPr>
            <w:r w:rsidRPr="009D6C12">
              <w:rPr>
                <w:color w:val="000000"/>
                <w:sz w:val="18"/>
                <w:szCs w:val="18"/>
              </w:rPr>
              <w:t>Подпрограмма "Развитие среднего профессионального и дополнительного профессионального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2EA4E042" w14:textId="4A027266" w:rsidR="006919BE" w:rsidRPr="009D6C12" w:rsidRDefault="006919BE" w:rsidP="006919BE">
            <w:pPr>
              <w:spacing w:after="60"/>
              <w:ind w:right="-39"/>
              <w:jc w:val="center"/>
              <w:rPr>
                <w:color w:val="000000"/>
                <w:sz w:val="18"/>
                <w:szCs w:val="18"/>
              </w:rPr>
            </w:pPr>
            <w:r w:rsidRPr="009D6C12">
              <w:rPr>
                <w:color w:val="000000"/>
                <w:sz w:val="18"/>
                <w:szCs w:val="18"/>
              </w:rPr>
              <w:t>38,0</w:t>
            </w:r>
          </w:p>
        </w:tc>
        <w:tc>
          <w:tcPr>
            <w:tcW w:w="851" w:type="dxa"/>
            <w:tcBorders>
              <w:top w:val="nil"/>
              <w:left w:val="nil"/>
              <w:bottom w:val="single" w:sz="4" w:space="0" w:color="auto"/>
              <w:right w:val="single" w:sz="4" w:space="0" w:color="auto"/>
            </w:tcBorders>
            <w:shd w:val="clear" w:color="auto" w:fill="auto"/>
            <w:vAlign w:val="center"/>
            <w:hideMark/>
          </w:tcPr>
          <w:p w14:paraId="063C1521" w14:textId="5AEB84F3" w:rsidR="006919BE" w:rsidRPr="009D6C12" w:rsidRDefault="006919BE" w:rsidP="006919BE">
            <w:pPr>
              <w:spacing w:after="60"/>
              <w:jc w:val="center"/>
              <w:rPr>
                <w:color w:val="000000"/>
                <w:sz w:val="18"/>
                <w:szCs w:val="18"/>
              </w:rPr>
            </w:pPr>
            <w:r w:rsidRPr="009D6C12">
              <w:rPr>
                <w:color w:val="000000"/>
                <w:sz w:val="18"/>
                <w:szCs w:val="18"/>
              </w:rPr>
              <w:t>34,4</w:t>
            </w:r>
          </w:p>
        </w:tc>
        <w:tc>
          <w:tcPr>
            <w:tcW w:w="852" w:type="dxa"/>
            <w:tcBorders>
              <w:top w:val="nil"/>
              <w:left w:val="nil"/>
              <w:bottom w:val="single" w:sz="4" w:space="0" w:color="auto"/>
              <w:right w:val="single" w:sz="4" w:space="0" w:color="auto"/>
            </w:tcBorders>
            <w:shd w:val="clear" w:color="auto" w:fill="auto"/>
            <w:vAlign w:val="center"/>
            <w:hideMark/>
          </w:tcPr>
          <w:p w14:paraId="4A033B99" w14:textId="18584C93" w:rsidR="006919BE" w:rsidRPr="009D6C12" w:rsidRDefault="006919BE" w:rsidP="006919BE">
            <w:pPr>
              <w:spacing w:after="60"/>
              <w:jc w:val="center"/>
              <w:rPr>
                <w:color w:val="000000"/>
                <w:sz w:val="18"/>
                <w:szCs w:val="18"/>
              </w:rPr>
            </w:pPr>
            <w:r w:rsidRPr="009D6C12">
              <w:rPr>
                <w:color w:val="000000"/>
                <w:sz w:val="18"/>
                <w:szCs w:val="18"/>
              </w:rPr>
              <w:t>36,3</w:t>
            </w:r>
          </w:p>
        </w:tc>
        <w:tc>
          <w:tcPr>
            <w:tcW w:w="911" w:type="dxa"/>
            <w:tcBorders>
              <w:top w:val="nil"/>
              <w:left w:val="nil"/>
              <w:bottom w:val="single" w:sz="4" w:space="0" w:color="auto"/>
              <w:right w:val="single" w:sz="4" w:space="0" w:color="auto"/>
            </w:tcBorders>
            <w:shd w:val="clear" w:color="auto" w:fill="auto"/>
            <w:vAlign w:val="center"/>
            <w:hideMark/>
          </w:tcPr>
          <w:p w14:paraId="791247A7" w14:textId="77777777" w:rsidR="006919BE" w:rsidRPr="009D6C12" w:rsidRDefault="006919BE" w:rsidP="006919BE">
            <w:pPr>
              <w:spacing w:after="60"/>
              <w:jc w:val="center"/>
              <w:rPr>
                <w:color w:val="000000"/>
                <w:sz w:val="18"/>
                <w:szCs w:val="18"/>
              </w:rPr>
            </w:pPr>
            <w:r w:rsidRPr="009D6C12">
              <w:rPr>
                <w:color w:val="000000"/>
                <w:sz w:val="18"/>
                <w:szCs w:val="18"/>
              </w:rPr>
              <w:t>105,5</w:t>
            </w:r>
          </w:p>
        </w:tc>
        <w:tc>
          <w:tcPr>
            <w:tcW w:w="816" w:type="dxa"/>
            <w:tcBorders>
              <w:top w:val="nil"/>
              <w:left w:val="nil"/>
              <w:bottom w:val="single" w:sz="4" w:space="0" w:color="auto"/>
              <w:right w:val="single" w:sz="4" w:space="0" w:color="auto"/>
            </w:tcBorders>
            <w:shd w:val="clear" w:color="auto" w:fill="auto"/>
            <w:vAlign w:val="center"/>
            <w:hideMark/>
          </w:tcPr>
          <w:p w14:paraId="4D53C129" w14:textId="0E7E6545" w:rsidR="006919BE" w:rsidRPr="009D6C12" w:rsidRDefault="006919BE" w:rsidP="006919BE">
            <w:pPr>
              <w:spacing w:after="60"/>
              <w:jc w:val="center"/>
              <w:rPr>
                <w:color w:val="000000"/>
                <w:sz w:val="18"/>
                <w:szCs w:val="18"/>
              </w:rPr>
            </w:pPr>
            <w:r w:rsidRPr="009D6C12">
              <w:rPr>
                <w:color w:val="000000"/>
                <w:sz w:val="18"/>
                <w:szCs w:val="18"/>
              </w:rPr>
              <w:t>35,4</w:t>
            </w:r>
          </w:p>
        </w:tc>
        <w:tc>
          <w:tcPr>
            <w:tcW w:w="816" w:type="dxa"/>
            <w:tcBorders>
              <w:top w:val="nil"/>
              <w:left w:val="nil"/>
              <w:bottom w:val="single" w:sz="4" w:space="0" w:color="auto"/>
              <w:right w:val="single" w:sz="4" w:space="0" w:color="auto"/>
            </w:tcBorders>
            <w:shd w:val="clear" w:color="auto" w:fill="auto"/>
            <w:vAlign w:val="center"/>
            <w:hideMark/>
          </w:tcPr>
          <w:p w14:paraId="21262687" w14:textId="21FFAE95" w:rsidR="006919BE" w:rsidRPr="009D6C12" w:rsidRDefault="006919BE" w:rsidP="006919BE">
            <w:pPr>
              <w:spacing w:after="60"/>
              <w:jc w:val="center"/>
              <w:rPr>
                <w:color w:val="000000"/>
                <w:sz w:val="18"/>
                <w:szCs w:val="18"/>
              </w:rPr>
            </w:pPr>
            <w:r w:rsidRPr="009D6C12">
              <w:rPr>
                <w:color w:val="000000"/>
                <w:sz w:val="18"/>
                <w:szCs w:val="18"/>
              </w:rPr>
              <w:t>36,7</w:t>
            </w:r>
          </w:p>
        </w:tc>
        <w:tc>
          <w:tcPr>
            <w:tcW w:w="911" w:type="dxa"/>
            <w:tcBorders>
              <w:top w:val="nil"/>
              <w:left w:val="nil"/>
              <w:bottom w:val="single" w:sz="4" w:space="0" w:color="auto"/>
              <w:right w:val="single" w:sz="4" w:space="0" w:color="auto"/>
            </w:tcBorders>
            <w:shd w:val="clear" w:color="auto" w:fill="auto"/>
            <w:vAlign w:val="center"/>
            <w:hideMark/>
          </w:tcPr>
          <w:p w14:paraId="4FA0BA58" w14:textId="77777777" w:rsidR="006919BE" w:rsidRPr="009D6C12" w:rsidRDefault="006919BE" w:rsidP="006919BE">
            <w:pPr>
              <w:spacing w:after="60"/>
              <w:jc w:val="center"/>
              <w:rPr>
                <w:color w:val="000000"/>
                <w:sz w:val="18"/>
                <w:szCs w:val="18"/>
              </w:rPr>
            </w:pPr>
            <w:r w:rsidRPr="009D6C12">
              <w:rPr>
                <w:color w:val="000000"/>
                <w:sz w:val="18"/>
                <w:szCs w:val="18"/>
              </w:rPr>
              <w:t>103,4</w:t>
            </w:r>
          </w:p>
        </w:tc>
        <w:tc>
          <w:tcPr>
            <w:tcW w:w="797" w:type="dxa"/>
            <w:tcBorders>
              <w:top w:val="nil"/>
              <w:left w:val="nil"/>
              <w:bottom w:val="single" w:sz="4" w:space="0" w:color="auto"/>
              <w:right w:val="single" w:sz="4" w:space="0" w:color="auto"/>
            </w:tcBorders>
            <w:shd w:val="clear" w:color="auto" w:fill="auto"/>
            <w:vAlign w:val="center"/>
            <w:hideMark/>
          </w:tcPr>
          <w:p w14:paraId="6419AFBD" w14:textId="68D94B8A" w:rsidR="006919BE" w:rsidRPr="009D6C12" w:rsidRDefault="006919BE" w:rsidP="006919BE">
            <w:pPr>
              <w:spacing w:after="60"/>
              <w:jc w:val="center"/>
              <w:rPr>
                <w:color w:val="000000"/>
                <w:sz w:val="18"/>
                <w:szCs w:val="18"/>
              </w:rPr>
            </w:pPr>
            <w:r w:rsidRPr="009D6C12">
              <w:rPr>
                <w:color w:val="000000"/>
                <w:sz w:val="18"/>
                <w:szCs w:val="18"/>
              </w:rPr>
              <w:t>37,4</w:t>
            </w:r>
          </w:p>
        </w:tc>
        <w:tc>
          <w:tcPr>
            <w:tcW w:w="850" w:type="dxa"/>
            <w:tcBorders>
              <w:top w:val="nil"/>
              <w:left w:val="nil"/>
              <w:bottom w:val="single" w:sz="4" w:space="0" w:color="auto"/>
              <w:right w:val="single" w:sz="4" w:space="0" w:color="auto"/>
            </w:tcBorders>
            <w:shd w:val="clear" w:color="auto" w:fill="auto"/>
            <w:vAlign w:val="center"/>
            <w:hideMark/>
          </w:tcPr>
          <w:p w14:paraId="4877C378" w14:textId="7333DCEC" w:rsidR="006919BE" w:rsidRPr="009D6C12" w:rsidRDefault="006919BE" w:rsidP="006919BE">
            <w:pPr>
              <w:spacing w:after="60"/>
              <w:jc w:val="center"/>
              <w:rPr>
                <w:color w:val="000000"/>
                <w:sz w:val="18"/>
                <w:szCs w:val="18"/>
              </w:rPr>
            </w:pPr>
            <w:r w:rsidRPr="009D6C12">
              <w:rPr>
                <w:color w:val="000000"/>
                <w:sz w:val="18"/>
                <w:szCs w:val="18"/>
              </w:rPr>
              <w:t>37,4</w:t>
            </w:r>
          </w:p>
        </w:tc>
      </w:tr>
      <w:tr w:rsidR="006919BE" w:rsidRPr="009D6C12" w14:paraId="7C632364" w14:textId="77777777" w:rsidTr="00465F0C">
        <w:trPr>
          <w:trHeight w:val="675"/>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94F5494" w14:textId="77777777" w:rsidR="006919BE" w:rsidRPr="009D6C12" w:rsidRDefault="006919BE" w:rsidP="006919BE">
            <w:pPr>
              <w:spacing w:after="60"/>
              <w:jc w:val="both"/>
              <w:rPr>
                <w:color w:val="000000"/>
                <w:sz w:val="18"/>
                <w:szCs w:val="18"/>
              </w:rPr>
            </w:pPr>
            <w:r w:rsidRPr="009D6C12">
              <w:rPr>
                <w:color w:val="000000"/>
                <w:sz w:val="18"/>
                <w:szCs w:val="18"/>
              </w:rPr>
              <w:t>Подпрограмма "Развитие дошкольного и общего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536C93D9" w14:textId="27AF4A3D" w:rsidR="006919BE" w:rsidRPr="009D6C12" w:rsidRDefault="006919BE" w:rsidP="006919BE">
            <w:pPr>
              <w:spacing w:after="60"/>
              <w:ind w:right="-39"/>
              <w:jc w:val="center"/>
              <w:rPr>
                <w:color w:val="000000"/>
                <w:sz w:val="18"/>
                <w:szCs w:val="18"/>
              </w:rPr>
            </w:pPr>
            <w:r w:rsidRPr="009D6C12">
              <w:rPr>
                <w:color w:val="000000"/>
                <w:sz w:val="18"/>
                <w:szCs w:val="18"/>
              </w:rPr>
              <w:t>148,2</w:t>
            </w:r>
          </w:p>
        </w:tc>
        <w:tc>
          <w:tcPr>
            <w:tcW w:w="851" w:type="dxa"/>
            <w:tcBorders>
              <w:top w:val="nil"/>
              <w:left w:val="nil"/>
              <w:bottom w:val="single" w:sz="4" w:space="0" w:color="auto"/>
              <w:right w:val="single" w:sz="4" w:space="0" w:color="auto"/>
            </w:tcBorders>
            <w:shd w:val="clear" w:color="auto" w:fill="auto"/>
            <w:vAlign w:val="center"/>
            <w:hideMark/>
          </w:tcPr>
          <w:p w14:paraId="0770BCC2" w14:textId="0ABFCD6C" w:rsidR="006919BE" w:rsidRPr="009D6C12" w:rsidRDefault="006919BE" w:rsidP="006919BE">
            <w:pPr>
              <w:spacing w:after="60"/>
              <w:jc w:val="center"/>
              <w:rPr>
                <w:color w:val="000000"/>
                <w:sz w:val="18"/>
                <w:szCs w:val="18"/>
              </w:rPr>
            </w:pPr>
            <w:r w:rsidRPr="009D6C12">
              <w:rPr>
                <w:color w:val="000000"/>
                <w:sz w:val="18"/>
                <w:szCs w:val="18"/>
              </w:rPr>
              <w:t>110,8</w:t>
            </w:r>
          </w:p>
        </w:tc>
        <w:tc>
          <w:tcPr>
            <w:tcW w:w="852" w:type="dxa"/>
            <w:tcBorders>
              <w:top w:val="nil"/>
              <w:left w:val="nil"/>
              <w:bottom w:val="single" w:sz="4" w:space="0" w:color="auto"/>
              <w:right w:val="single" w:sz="4" w:space="0" w:color="auto"/>
            </w:tcBorders>
            <w:shd w:val="clear" w:color="auto" w:fill="auto"/>
            <w:vAlign w:val="center"/>
            <w:hideMark/>
          </w:tcPr>
          <w:p w14:paraId="0B06188D" w14:textId="7B3851BE" w:rsidR="006919BE" w:rsidRPr="009D6C12" w:rsidRDefault="006919BE" w:rsidP="006919BE">
            <w:pPr>
              <w:spacing w:after="60"/>
              <w:jc w:val="center"/>
              <w:rPr>
                <w:color w:val="000000"/>
                <w:sz w:val="18"/>
                <w:szCs w:val="18"/>
              </w:rPr>
            </w:pPr>
            <w:r w:rsidRPr="009D6C12">
              <w:rPr>
                <w:color w:val="000000"/>
                <w:sz w:val="18"/>
                <w:szCs w:val="18"/>
              </w:rPr>
              <w:t>126,3</w:t>
            </w:r>
          </w:p>
        </w:tc>
        <w:tc>
          <w:tcPr>
            <w:tcW w:w="911" w:type="dxa"/>
            <w:tcBorders>
              <w:top w:val="nil"/>
              <w:left w:val="nil"/>
              <w:bottom w:val="single" w:sz="4" w:space="0" w:color="auto"/>
              <w:right w:val="single" w:sz="4" w:space="0" w:color="auto"/>
            </w:tcBorders>
            <w:shd w:val="clear" w:color="auto" w:fill="auto"/>
            <w:vAlign w:val="center"/>
            <w:hideMark/>
          </w:tcPr>
          <w:p w14:paraId="03E883F0" w14:textId="77777777" w:rsidR="006919BE" w:rsidRPr="009D6C12" w:rsidRDefault="006919BE" w:rsidP="006919BE">
            <w:pPr>
              <w:spacing w:after="60"/>
              <w:jc w:val="center"/>
              <w:rPr>
                <w:color w:val="000000"/>
                <w:sz w:val="18"/>
                <w:szCs w:val="18"/>
              </w:rPr>
            </w:pPr>
            <w:r w:rsidRPr="009D6C12">
              <w:rPr>
                <w:color w:val="000000"/>
                <w:sz w:val="18"/>
                <w:szCs w:val="18"/>
              </w:rPr>
              <w:t>114,0</w:t>
            </w:r>
          </w:p>
        </w:tc>
        <w:tc>
          <w:tcPr>
            <w:tcW w:w="816" w:type="dxa"/>
            <w:tcBorders>
              <w:top w:val="nil"/>
              <w:left w:val="nil"/>
              <w:bottom w:val="single" w:sz="4" w:space="0" w:color="auto"/>
              <w:right w:val="single" w:sz="4" w:space="0" w:color="auto"/>
            </w:tcBorders>
            <w:shd w:val="clear" w:color="auto" w:fill="auto"/>
            <w:vAlign w:val="center"/>
            <w:hideMark/>
          </w:tcPr>
          <w:p w14:paraId="0A1A2FD5" w14:textId="3AA4D7FD" w:rsidR="006919BE" w:rsidRPr="009D6C12" w:rsidRDefault="006919BE" w:rsidP="006919BE">
            <w:pPr>
              <w:spacing w:after="60"/>
              <w:jc w:val="center"/>
              <w:rPr>
                <w:color w:val="000000"/>
                <w:sz w:val="18"/>
                <w:szCs w:val="18"/>
              </w:rPr>
            </w:pPr>
            <w:r w:rsidRPr="009D6C12">
              <w:rPr>
                <w:color w:val="000000"/>
                <w:sz w:val="18"/>
                <w:szCs w:val="18"/>
              </w:rPr>
              <w:t>118,3</w:t>
            </w:r>
          </w:p>
        </w:tc>
        <w:tc>
          <w:tcPr>
            <w:tcW w:w="816" w:type="dxa"/>
            <w:tcBorders>
              <w:top w:val="nil"/>
              <w:left w:val="nil"/>
              <w:bottom w:val="single" w:sz="4" w:space="0" w:color="auto"/>
              <w:right w:val="single" w:sz="4" w:space="0" w:color="auto"/>
            </w:tcBorders>
            <w:shd w:val="clear" w:color="auto" w:fill="auto"/>
            <w:vAlign w:val="center"/>
            <w:hideMark/>
          </w:tcPr>
          <w:p w14:paraId="29A9C736" w14:textId="60FEE963" w:rsidR="006919BE" w:rsidRPr="009D6C12" w:rsidRDefault="006919BE" w:rsidP="006919BE">
            <w:pPr>
              <w:spacing w:after="60"/>
              <w:jc w:val="center"/>
              <w:rPr>
                <w:color w:val="000000"/>
                <w:sz w:val="18"/>
                <w:szCs w:val="18"/>
              </w:rPr>
            </w:pPr>
            <w:r w:rsidRPr="009D6C12">
              <w:rPr>
                <w:color w:val="000000"/>
                <w:sz w:val="18"/>
                <w:szCs w:val="18"/>
              </w:rPr>
              <w:t>130,9</w:t>
            </w:r>
          </w:p>
        </w:tc>
        <w:tc>
          <w:tcPr>
            <w:tcW w:w="911" w:type="dxa"/>
            <w:tcBorders>
              <w:top w:val="nil"/>
              <w:left w:val="nil"/>
              <w:bottom w:val="single" w:sz="4" w:space="0" w:color="auto"/>
              <w:right w:val="single" w:sz="4" w:space="0" w:color="auto"/>
            </w:tcBorders>
            <w:shd w:val="clear" w:color="auto" w:fill="auto"/>
            <w:vAlign w:val="center"/>
            <w:hideMark/>
          </w:tcPr>
          <w:p w14:paraId="714C2B5F" w14:textId="77777777" w:rsidR="006919BE" w:rsidRPr="009D6C12" w:rsidRDefault="006919BE" w:rsidP="006919BE">
            <w:pPr>
              <w:spacing w:after="60"/>
              <w:jc w:val="center"/>
              <w:rPr>
                <w:color w:val="000000"/>
                <w:sz w:val="18"/>
                <w:szCs w:val="18"/>
              </w:rPr>
            </w:pPr>
            <w:r w:rsidRPr="009D6C12">
              <w:rPr>
                <w:color w:val="000000"/>
                <w:sz w:val="18"/>
                <w:szCs w:val="18"/>
              </w:rPr>
              <w:t>110,7</w:t>
            </w:r>
          </w:p>
        </w:tc>
        <w:tc>
          <w:tcPr>
            <w:tcW w:w="797" w:type="dxa"/>
            <w:tcBorders>
              <w:top w:val="nil"/>
              <w:left w:val="nil"/>
              <w:bottom w:val="single" w:sz="4" w:space="0" w:color="auto"/>
              <w:right w:val="single" w:sz="4" w:space="0" w:color="auto"/>
            </w:tcBorders>
            <w:shd w:val="clear" w:color="auto" w:fill="auto"/>
            <w:vAlign w:val="center"/>
            <w:hideMark/>
          </w:tcPr>
          <w:p w14:paraId="1228C3AA" w14:textId="2E4C6B0F" w:rsidR="006919BE" w:rsidRPr="009D6C12" w:rsidRDefault="006919BE" w:rsidP="006919BE">
            <w:pPr>
              <w:spacing w:after="60"/>
              <w:jc w:val="center"/>
              <w:rPr>
                <w:color w:val="000000"/>
                <w:sz w:val="18"/>
                <w:szCs w:val="18"/>
              </w:rPr>
            </w:pPr>
            <w:r w:rsidRPr="009D6C12">
              <w:rPr>
                <w:color w:val="000000"/>
                <w:sz w:val="18"/>
                <w:szCs w:val="18"/>
              </w:rPr>
              <w:t>86,7</w:t>
            </w:r>
          </w:p>
        </w:tc>
        <w:tc>
          <w:tcPr>
            <w:tcW w:w="850" w:type="dxa"/>
            <w:tcBorders>
              <w:top w:val="nil"/>
              <w:left w:val="nil"/>
              <w:bottom w:val="single" w:sz="4" w:space="0" w:color="auto"/>
              <w:right w:val="single" w:sz="4" w:space="0" w:color="auto"/>
            </w:tcBorders>
            <w:shd w:val="clear" w:color="auto" w:fill="auto"/>
            <w:vAlign w:val="center"/>
            <w:hideMark/>
          </w:tcPr>
          <w:p w14:paraId="40E716D1" w14:textId="44B3EE19" w:rsidR="006919BE" w:rsidRPr="009D6C12" w:rsidRDefault="006919BE" w:rsidP="006919BE">
            <w:pPr>
              <w:spacing w:after="60"/>
              <w:jc w:val="center"/>
              <w:rPr>
                <w:color w:val="000000"/>
                <w:sz w:val="18"/>
                <w:szCs w:val="18"/>
              </w:rPr>
            </w:pPr>
            <w:r w:rsidRPr="009D6C12">
              <w:rPr>
                <w:color w:val="000000"/>
                <w:sz w:val="18"/>
                <w:szCs w:val="18"/>
              </w:rPr>
              <w:t>86,7</w:t>
            </w:r>
          </w:p>
        </w:tc>
      </w:tr>
      <w:tr w:rsidR="006919BE" w:rsidRPr="009D6C12" w14:paraId="17AEF474" w14:textId="77777777" w:rsidTr="00465F0C">
        <w:trPr>
          <w:trHeight w:val="900"/>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251C0DF" w14:textId="77777777" w:rsidR="006919BE" w:rsidRPr="009D6C12" w:rsidRDefault="006919BE" w:rsidP="006919BE">
            <w:pPr>
              <w:spacing w:after="60"/>
              <w:jc w:val="both"/>
              <w:rPr>
                <w:color w:val="000000"/>
                <w:sz w:val="18"/>
                <w:szCs w:val="18"/>
              </w:rPr>
            </w:pPr>
            <w:r w:rsidRPr="009D6C12">
              <w:rPr>
                <w:color w:val="000000"/>
                <w:sz w:val="18"/>
                <w:szCs w:val="18"/>
              </w:rPr>
              <w:t>Подпрограмма "Развитие дополнительного образования детей и реализация мероприятий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14:paraId="1560E323" w14:textId="45C21225" w:rsidR="006919BE" w:rsidRPr="009D6C12" w:rsidRDefault="006919BE" w:rsidP="006919BE">
            <w:pPr>
              <w:spacing w:after="60"/>
              <w:ind w:right="-39"/>
              <w:jc w:val="center"/>
              <w:rPr>
                <w:color w:val="000000"/>
                <w:sz w:val="18"/>
                <w:szCs w:val="18"/>
              </w:rPr>
            </w:pPr>
            <w:r w:rsidRPr="009D6C12">
              <w:rPr>
                <w:color w:val="000000"/>
                <w:sz w:val="18"/>
                <w:szCs w:val="18"/>
              </w:rPr>
              <w:t>37,1</w:t>
            </w:r>
          </w:p>
        </w:tc>
        <w:tc>
          <w:tcPr>
            <w:tcW w:w="851" w:type="dxa"/>
            <w:tcBorders>
              <w:top w:val="nil"/>
              <w:left w:val="nil"/>
              <w:bottom w:val="single" w:sz="4" w:space="0" w:color="auto"/>
              <w:right w:val="single" w:sz="4" w:space="0" w:color="auto"/>
            </w:tcBorders>
            <w:shd w:val="clear" w:color="auto" w:fill="auto"/>
            <w:vAlign w:val="center"/>
            <w:hideMark/>
          </w:tcPr>
          <w:p w14:paraId="40F66B11" w14:textId="413EDFD8" w:rsidR="006919BE" w:rsidRPr="009D6C12" w:rsidRDefault="006919BE" w:rsidP="006919BE">
            <w:pPr>
              <w:spacing w:after="60"/>
              <w:jc w:val="center"/>
              <w:rPr>
                <w:color w:val="000000"/>
                <w:sz w:val="18"/>
                <w:szCs w:val="18"/>
              </w:rPr>
            </w:pPr>
            <w:r w:rsidRPr="009D6C12">
              <w:rPr>
                <w:color w:val="000000"/>
                <w:sz w:val="18"/>
                <w:szCs w:val="18"/>
              </w:rPr>
              <w:t>35,8</w:t>
            </w:r>
          </w:p>
        </w:tc>
        <w:tc>
          <w:tcPr>
            <w:tcW w:w="852" w:type="dxa"/>
            <w:tcBorders>
              <w:top w:val="nil"/>
              <w:left w:val="nil"/>
              <w:bottom w:val="single" w:sz="4" w:space="0" w:color="auto"/>
              <w:right w:val="single" w:sz="4" w:space="0" w:color="auto"/>
            </w:tcBorders>
            <w:shd w:val="clear" w:color="auto" w:fill="auto"/>
            <w:vAlign w:val="center"/>
            <w:hideMark/>
          </w:tcPr>
          <w:p w14:paraId="4876423E" w14:textId="241E4979" w:rsidR="006919BE" w:rsidRPr="009D6C12" w:rsidRDefault="006919BE" w:rsidP="006919BE">
            <w:pPr>
              <w:spacing w:after="60"/>
              <w:jc w:val="center"/>
              <w:rPr>
                <w:color w:val="000000"/>
                <w:sz w:val="18"/>
                <w:szCs w:val="18"/>
              </w:rPr>
            </w:pPr>
            <w:r w:rsidRPr="009D6C12">
              <w:rPr>
                <w:color w:val="000000"/>
                <w:sz w:val="18"/>
                <w:szCs w:val="18"/>
              </w:rPr>
              <w:t>40,3</w:t>
            </w:r>
          </w:p>
        </w:tc>
        <w:tc>
          <w:tcPr>
            <w:tcW w:w="911" w:type="dxa"/>
            <w:tcBorders>
              <w:top w:val="nil"/>
              <w:left w:val="nil"/>
              <w:bottom w:val="single" w:sz="4" w:space="0" w:color="auto"/>
              <w:right w:val="single" w:sz="4" w:space="0" w:color="auto"/>
            </w:tcBorders>
            <w:shd w:val="clear" w:color="auto" w:fill="auto"/>
            <w:vAlign w:val="center"/>
            <w:hideMark/>
          </w:tcPr>
          <w:p w14:paraId="7BD820E8" w14:textId="77777777" w:rsidR="006919BE" w:rsidRPr="009D6C12" w:rsidRDefault="006919BE" w:rsidP="006919BE">
            <w:pPr>
              <w:spacing w:after="60"/>
              <w:jc w:val="center"/>
              <w:rPr>
                <w:color w:val="000000"/>
                <w:sz w:val="18"/>
                <w:szCs w:val="18"/>
              </w:rPr>
            </w:pPr>
            <w:r w:rsidRPr="009D6C12">
              <w:rPr>
                <w:color w:val="000000"/>
                <w:sz w:val="18"/>
                <w:szCs w:val="18"/>
              </w:rPr>
              <w:t>112,6</w:t>
            </w:r>
          </w:p>
        </w:tc>
        <w:tc>
          <w:tcPr>
            <w:tcW w:w="816" w:type="dxa"/>
            <w:tcBorders>
              <w:top w:val="nil"/>
              <w:left w:val="nil"/>
              <w:bottom w:val="single" w:sz="4" w:space="0" w:color="auto"/>
              <w:right w:val="single" w:sz="4" w:space="0" w:color="auto"/>
            </w:tcBorders>
            <w:shd w:val="clear" w:color="auto" w:fill="auto"/>
            <w:vAlign w:val="center"/>
            <w:hideMark/>
          </w:tcPr>
          <w:p w14:paraId="2D736310" w14:textId="38F55EEE" w:rsidR="006919BE" w:rsidRPr="009D6C12" w:rsidRDefault="006919BE" w:rsidP="006919BE">
            <w:pPr>
              <w:spacing w:after="60"/>
              <w:jc w:val="center"/>
              <w:rPr>
                <w:color w:val="000000"/>
                <w:sz w:val="18"/>
                <w:szCs w:val="18"/>
              </w:rPr>
            </w:pPr>
            <w:r w:rsidRPr="009D6C12">
              <w:rPr>
                <w:color w:val="000000"/>
                <w:sz w:val="18"/>
                <w:szCs w:val="18"/>
              </w:rPr>
              <w:t>40,5</w:t>
            </w:r>
          </w:p>
        </w:tc>
        <w:tc>
          <w:tcPr>
            <w:tcW w:w="816" w:type="dxa"/>
            <w:tcBorders>
              <w:top w:val="nil"/>
              <w:left w:val="nil"/>
              <w:bottom w:val="single" w:sz="4" w:space="0" w:color="auto"/>
              <w:right w:val="single" w:sz="4" w:space="0" w:color="auto"/>
            </w:tcBorders>
            <w:shd w:val="clear" w:color="auto" w:fill="auto"/>
            <w:vAlign w:val="center"/>
            <w:hideMark/>
          </w:tcPr>
          <w:p w14:paraId="3EAC1D2D" w14:textId="38479E3D" w:rsidR="006919BE" w:rsidRPr="009D6C12" w:rsidRDefault="006919BE" w:rsidP="006919BE">
            <w:pPr>
              <w:spacing w:after="60"/>
              <w:jc w:val="center"/>
              <w:rPr>
                <w:color w:val="000000"/>
                <w:sz w:val="18"/>
                <w:szCs w:val="18"/>
              </w:rPr>
            </w:pPr>
            <w:r w:rsidRPr="009D6C12">
              <w:rPr>
                <w:color w:val="000000"/>
                <w:sz w:val="18"/>
                <w:szCs w:val="18"/>
              </w:rPr>
              <w:t>40,9</w:t>
            </w:r>
          </w:p>
        </w:tc>
        <w:tc>
          <w:tcPr>
            <w:tcW w:w="911" w:type="dxa"/>
            <w:tcBorders>
              <w:top w:val="nil"/>
              <w:left w:val="nil"/>
              <w:bottom w:val="single" w:sz="4" w:space="0" w:color="auto"/>
              <w:right w:val="single" w:sz="4" w:space="0" w:color="auto"/>
            </w:tcBorders>
            <w:shd w:val="clear" w:color="auto" w:fill="auto"/>
            <w:vAlign w:val="center"/>
            <w:hideMark/>
          </w:tcPr>
          <w:p w14:paraId="6BE8224F" w14:textId="77777777" w:rsidR="006919BE" w:rsidRPr="009D6C12" w:rsidRDefault="006919BE" w:rsidP="006919BE">
            <w:pPr>
              <w:spacing w:after="60"/>
              <w:jc w:val="center"/>
              <w:rPr>
                <w:color w:val="000000"/>
                <w:sz w:val="18"/>
                <w:szCs w:val="18"/>
              </w:rPr>
            </w:pPr>
            <w:r w:rsidRPr="009D6C12">
              <w:rPr>
                <w:color w:val="000000"/>
                <w:sz w:val="18"/>
                <w:szCs w:val="18"/>
              </w:rPr>
              <w:t>101,2</w:t>
            </w:r>
          </w:p>
        </w:tc>
        <w:tc>
          <w:tcPr>
            <w:tcW w:w="797" w:type="dxa"/>
            <w:tcBorders>
              <w:top w:val="nil"/>
              <w:left w:val="nil"/>
              <w:bottom w:val="single" w:sz="4" w:space="0" w:color="auto"/>
              <w:right w:val="single" w:sz="4" w:space="0" w:color="auto"/>
            </w:tcBorders>
            <w:shd w:val="clear" w:color="auto" w:fill="auto"/>
            <w:vAlign w:val="center"/>
            <w:hideMark/>
          </w:tcPr>
          <w:p w14:paraId="43791E2B" w14:textId="2E8E5278" w:rsidR="006919BE" w:rsidRPr="009D6C12" w:rsidRDefault="006919BE" w:rsidP="006919BE">
            <w:pPr>
              <w:spacing w:after="60"/>
              <w:jc w:val="center"/>
              <w:rPr>
                <w:color w:val="000000"/>
                <w:sz w:val="18"/>
                <w:szCs w:val="18"/>
              </w:rPr>
            </w:pPr>
            <w:r w:rsidRPr="009D6C12">
              <w:rPr>
                <w:color w:val="000000"/>
                <w:sz w:val="18"/>
                <w:szCs w:val="18"/>
              </w:rPr>
              <w:t>39,1</w:t>
            </w:r>
          </w:p>
        </w:tc>
        <w:tc>
          <w:tcPr>
            <w:tcW w:w="850" w:type="dxa"/>
            <w:tcBorders>
              <w:top w:val="nil"/>
              <w:left w:val="nil"/>
              <w:bottom w:val="single" w:sz="4" w:space="0" w:color="auto"/>
              <w:right w:val="single" w:sz="4" w:space="0" w:color="auto"/>
            </w:tcBorders>
            <w:shd w:val="clear" w:color="auto" w:fill="auto"/>
            <w:vAlign w:val="center"/>
            <w:hideMark/>
          </w:tcPr>
          <w:p w14:paraId="18874000" w14:textId="24FE83F0" w:rsidR="006919BE" w:rsidRPr="009D6C12" w:rsidRDefault="006919BE" w:rsidP="006919BE">
            <w:pPr>
              <w:spacing w:after="60"/>
              <w:jc w:val="center"/>
              <w:rPr>
                <w:color w:val="000000"/>
                <w:sz w:val="18"/>
                <w:szCs w:val="18"/>
              </w:rPr>
            </w:pPr>
            <w:r w:rsidRPr="009D6C12">
              <w:rPr>
                <w:color w:val="000000"/>
                <w:sz w:val="18"/>
                <w:szCs w:val="18"/>
              </w:rPr>
              <w:t>39,1</w:t>
            </w:r>
          </w:p>
        </w:tc>
      </w:tr>
      <w:tr w:rsidR="006919BE" w:rsidRPr="009D6C12" w14:paraId="16B2D31C" w14:textId="77777777" w:rsidTr="00465F0C">
        <w:trPr>
          <w:trHeight w:val="675"/>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DE4BF50" w14:textId="77777777" w:rsidR="006919BE" w:rsidRPr="009D6C12" w:rsidRDefault="006919BE" w:rsidP="006919BE">
            <w:pPr>
              <w:spacing w:after="60"/>
              <w:jc w:val="both"/>
              <w:rPr>
                <w:color w:val="000000"/>
                <w:sz w:val="18"/>
                <w:szCs w:val="18"/>
              </w:rPr>
            </w:pPr>
            <w:r w:rsidRPr="009D6C12">
              <w:rPr>
                <w:color w:val="000000"/>
                <w:sz w:val="18"/>
                <w:szCs w:val="18"/>
              </w:rPr>
              <w:t xml:space="preserve">Подпрограмма </w:t>
            </w:r>
            <w:bookmarkStart w:id="55" w:name="_Hlk21294997"/>
            <w:r w:rsidRPr="009D6C12">
              <w:rPr>
                <w:color w:val="000000"/>
                <w:sz w:val="18"/>
                <w:szCs w:val="18"/>
              </w:rPr>
              <w:t>"Совершенствование управления системой образования"</w:t>
            </w:r>
            <w:bookmarkEnd w:id="55"/>
          </w:p>
        </w:tc>
        <w:tc>
          <w:tcPr>
            <w:tcW w:w="709" w:type="dxa"/>
            <w:tcBorders>
              <w:top w:val="nil"/>
              <w:left w:val="nil"/>
              <w:bottom w:val="single" w:sz="4" w:space="0" w:color="auto"/>
              <w:right w:val="single" w:sz="4" w:space="0" w:color="auto"/>
            </w:tcBorders>
            <w:shd w:val="clear" w:color="auto" w:fill="auto"/>
            <w:vAlign w:val="center"/>
            <w:hideMark/>
          </w:tcPr>
          <w:p w14:paraId="3B8C2A3E" w14:textId="53184675" w:rsidR="006919BE" w:rsidRPr="009D6C12" w:rsidRDefault="006919BE" w:rsidP="006919BE">
            <w:pPr>
              <w:spacing w:after="60"/>
              <w:ind w:right="-39"/>
              <w:jc w:val="center"/>
              <w:rPr>
                <w:color w:val="000000"/>
                <w:sz w:val="18"/>
                <w:szCs w:val="18"/>
              </w:rPr>
            </w:pPr>
            <w:r w:rsidRPr="009D6C12">
              <w:rPr>
                <w:color w:val="000000"/>
                <w:sz w:val="18"/>
                <w:szCs w:val="18"/>
              </w:rPr>
              <w:t>5,6</w:t>
            </w:r>
          </w:p>
        </w:tc>
        <w:tc>
          <w:tcPr>
            <w:tcW w:w="851" w:type="dxa"/>
            <w:tcBorders>
              <w:top w:val="nil"/>
              <w:left w:val="nil"/>
              <w:bottom w:val="single" w:sz="4" w:space="0" w:color="auto"/>
              <w:right w:val="single" w:sz="4" w:space="0" w:color="auto"/>
            </w:tcBorders>
            <w:shd w:val="clear" w:color="auto" w:fill="auto"/>
            <w:vAlign w:val="center"/>
            <w:hideMark/>
          </w:tcPr>
          <w:p w14:paraId="0B3D5F9F" w14:textId="6553E027" w:rsidR="006919BE" w:rsidRPr="009D6C12" w:rsidRDefault="006919BE" w:rsidP="006919BE">
            <w:pPr>
              <w:spacing w:after="60"/>
              <w:jc w:val="center"/>
              <w:rPr>
                <w:color w:val="000000"/>
                <w:sz w:val="18"/>
                <w:szCs w:val="18"/>
              </w:rPr>
            </w:pPr>
            <w:r w:rsidRPr="009D6C12">
              <w:rPr>
                <w:color w:val="000000"/>
                <w:sz w:val="18"/>
                <w:szCs w:val="18"/>
              </w:rPr>
              <w:t>4,5</w:t>
            </w:r>
          </w:p>
        </w:tc>
        <w:tc>
          <w:tcPr>
            <w:tcW w:w="852" w:type="dxa"/>
            <w:tcBorders>
              <w:top w:val="nil"/>
              <w:left w:val="nil"/>
              <w:bottom w:val="single" w:sz="4" w:space="0" w:color="auto"/>
              <w:right w:val="single" w:sz="4" w:space="0" w:color="auto"/>
            </w:tcBorders>
            <w:shd w:val="clear" w:color="auto" w:fill="auto"/>
            <w:vAlign w:val="center"/>
            <w:hideMark/>
          </w:tcPr>
          <w:p w14:paraId="4C8A1B19" w14:textId="5DCB165A" w:rsidR="006919BE" w:rsidRPr="009D6C12" w:rsidRDefault="006919BE" w:rsidP="006919BE">
            <w:pPr>
              <w:spacing w:after="60"/>
              <w:jc w:val="center"/>
              <w:rPr>
                <w:color w:val="000000"/>
                <w:sz w:val="18"/>
                <w:szCs w:val="18"/>
              </w:rPr>
            </w:pPr>
            <w:r w:rsidRPr="009D6C12">
              <w:rPr>
                <w:color w:val="000000"/>
                <w:sz w:val="18"/>
                <w:szCs w:val="18"/>
              </w:rPr>
              <w:t>6,4</w:t>
            </w:r>
          </w:p>
        </w:tc>
        <w:tc>
          <w:tcPr>
            <w:tcW w:w="911" w:type="dxa"/>
            <w:tcBorders>
              <w:top w:val="nil"/>
              <w:left w:val="nil"/>
              <w:bottom w:val="single" w:sz="4" w:space="0" w:color="auto"/>
              <w:right w:val="single" w:sz="4" w:space="0" w:color="auto"/>
            </w:tcBorders>
            <w:shd w:val="clear" w:color="auto" w:fill="auto"/>
            <w:vAlign w:val="center"/>
            <w:hideMark/>
          </w:tcPr>
          <w:p w14:paraId="693E5ABB" w14:textId="77777777" w:rsidR="006919BE" w:rsidRPr="009D6C12" w:rsidRDefault="006919BE" w:rsidP="006919BE">
            <w:pPr>
              <w:spacing w:after="60"/>
              <w:jc w:val="center"/>
              <w:rPr>
                <w:color w:val="000000"/>
                <w:sz w:val="18"/>
                <w:szCs w:val="18"/>
              </w:rPr>
            </w:pPr>
            <w:r w:rsidRPr="009D6C12">
              <w:rPr>
                <w:color w:val="000000"/>
                <w:sz w:val="18"/>
                <w:szCs w:val="18"/>
              </w:rPr>
              <w:t>143,8</w:t>
            </w:r>
          </w:p>
        </w:tc>
        <w:tc>
          <w:tcPr>
            <w:tcW w:w="816" w:type="dxa"/>
            <w:tcBorders>
              <w:top w:val="nil"/>
              <w:left w:val="nil"/>
              <w:bottom w:val="single" w:sz="4" w:space="0" w:color="auto"/>
              <w:right w:val="single" w:sz="4" w:space="0" w:color="auto"/>
            </w:tcBorders>
            <w:shd w:val="clear" w:color="auto" w:fill="auto"/>
            <w:vAlign w:val="center"/>
            <w:hideMark/>
          </w:tcPr>
          <w:p w14:paraId="182BB12C" w14:textId="532560E6" w:rsidR="006919BE" w:rsidRPr="009D6C12" w:rsidRDefault="006919BE" w:rsidP="006919BE">
            <w:pPr>
              <w:spacing w:after="60"/>
              <w:jc w:val="center"/>
              <w:rPr>
                <w:color w:val="000000"/>
                <w:sz w:val="18"/>
                <w:szCs w:val="18"/>
              </w:rPr>
            </w:pPr>
            <w:r w:rsidRPr="009D6C12">
              <w:rPr>
                <w:color w:val="000000"/>
                <w:sz w:val="18"/>
                <w:szCs w:val="18"/>
              </w:rPr>
              <w:t>4,6</w:t>
            </w:r>
          </w:p>
        </w:tc>
        <w:tc>
          <w:tcPr>
            <w:tcW w:w="816" w:type="dxa"/>
            <w:tcBorders>
              <w:top w:val="nil"/>
              <w:left w:val="nil"/>
              <w:bottom w:val="single" w:sz="4" w:space="0" w:color="auto"/>
              <w:right w:val="single" w:sz="4" w:space="0" w:color="auto"/>
            </w:tcBorders>
            <w:shd w:val="clear" w:color="auto" w:fill="auto"/>
            <w:vAlign w:val="center"/>
            <w:hideMark/>
          </w:tcPr>
          <w:p w14:paraId="5F38946A" w14:textId="5C03281A" w:rsidR="006919BE" w:rsidRPr="009D6C12" w:rsidRDefault="006919BE" w:rsidP="006919BE">
            <w:pPr>
              <w:spacing w:after="60"/>
              <w:jc w:val="center"/>
              <w:rPr>
                <w:color w:val="000000"/>
                <w:sz w:val="18"/>
                <w:szCs w:val="18"/>
              </w:rPr>
            </w:pPr>
            <w:r w:rsidRPr="009D6C12">
              <w:rPr>
                <w:color w:val="000000"/>
                <w:sz w:val="18"/>
                <w:szCs w:val="18"/>
              </w:rPr>
              <w:t>7,2</w:t>
            </w:r>
          </w:p>
        </w:tc>
        <w:tc>
          <w:tcPr>
            <w:tcW w:w="911" w:type="dxa"/>
            <w:tcBorders>
              <w:top w:val="nil"/>
              <w:left w:val="nil"/>
              <w:bottom w:val="single" w:sz="4" w:space="0" w:color="auto"/>
              <w:right w:val="single" w:sz="4" w:space="0" w:color="auto"/>
            </w:tcBorders>
            <w:shd w:val="clear" w:color="auto" w:fill="auto"/>
            <w:vAlign w:val="center"/>
            <w:hideMark/>
          </w:tcPr>
          <w:p w14:paraId="18A27F86" w14:textId="77777777" w:rsidR="006919BE" w:rsidRPr="009D6C12" w:rsidRDefault="006919BE" w:rsidP="006919BE">
            <w:pPr>
              <w:spacing w:after="60"/>
              <w:jc w:val="center"/>
              <w:rPr>
                <w:color w:val="000000"/>
                <w:sz w:val="18"/>
                <w:szCs w:val="18"/>
              </w:rPr>
            </w:pPr>
            <w:r w:rsidRPr="009D6C12">
              <w:rPr>
                <w:color w:val="000000"/>
                <w:sz w:val="18"/>
                <w:szCs w:val="18"/>
              </w:rPr>
              <w:t>156,9</w:t>
            </w:r>
          </w:p>
        </w:tc>
        <w:tc>
          <w:tcPr>
            <w:tcW w:w="797" w:type="dxa"/>
            <w:tcBorders>
              <w:top w:val="nil"/>
              <w:left w:val="nil"/>
              <w:bottom w:val="single" w:sz="4" w:space="0" w:color="auto"/>
              <w:right w:val="single" w:sz="4" w:space="0" w:color="auto"/>
            </w:tcBorders>
            <w:shd w:val="clear" w:color="auto" w:fill="auto"/>
            <w:vAlign w:val="center"/>
            <w:hideMark/>
          </w:tcPr>
          <w:p w14:paraId="2D03096E" w14:textId="00265167" w:rsidR="006919BE" w:rsidRPr="009D6C12" w:rsidRDefault="006919BE" w:rsidP="006919BE">
            <w:pPr>
              <w:spacing w:after="60"/>
              <w:jc w:val="center"/>
              <w:rPr>
                <w:color w:val="000000"/>
                <w:sz w:val="18"/>
                <w:szCs w:val="18"/>
              </w:rPr>
            </w:pPr>
            <w:r w:rsidRPr="009D6C12">
              <w:rPr>
                <w:color w:val="000000"/>
                <w:sz w:val="18"/>
                <w:szCs w:val="18"/>
              </w:rPr>
              <w:t>5,3</w:t>
            </w:r>
          </w:p>
        </w:tc>
        <w:tc>
          <w:tcPr>
            <w:tcW w:w="850" w:type="dxa"/>
            <w:tcBorders>
              <w:top w:val="nil"/>
              <w:left w:val="nil"/>
              <w:bottom w:val="single" w:sz="4" w:space="0" w:color="auto"/>
              <w:right w:val="single" w:sz="4" w:space="0" w:color="auto"/>
            </w:tcBorders>
            <w:shd w:val="clear" w:color="auto" w:fill="auto"/>
            <w:vAlign w:val="center"/>
            <w:hideMark/>
          </w:tcPr>
          <w:p w14:paraId="688D7AF4" w14:textId="590D9BBB" w:rsidR="006919BE" w:rsidRPr="009D6C12" w:rsidRDefault="006919BE" w:rsidP="006919BE">
            <w:pPr>
              <w:spacing w:after="60"/>
              <w:jc w:val="center"/>
              <w:rPr>
                <w:color w:val="000000"/>
                <w:sz w:val="18"/>
                <w:szCs w:val="18"/>
              </w:rPr>
            </w:pPr>
            <w:r w:rsidRPr="009D6C12">
              <w:rPr>
                <w:color w:val="000000"/>
                <w:sz w:val="18"/>
                <w:szCs w:val="18"/>
              </w:rPr>
              <w:t>5,3</w:t>
            </w:r>
          </w:p>
        </w:tc>
      </w:tr>
    </w:tbl>
    <w:p w14:paraId="6559A54C" w14:textId="77777777" w:rsidR="00733417" w:rsidRPr="00D02361" w:rsidRDefault="00733417" w:rsidP="00733417">
      <w:pPr>
        <w:ind w:right="-1" w:firstLine="709"/>
        <w:rPr>
          <w:sz w:val="20"/>
          <w:szCs w:val="20"/>
        </w:rPr>
      </w:pPr>
      <w:r w:rsidRPr="00D02361">
        <w:rPr>
          <w:sz w:val="20"/>
          <w:szCs w:val="20"/>
        </w:rPr>
        <w:t>* – показатели сводной бюджетной росписи по состоянию на 1 сентября 2019 г.</w:t>
      </w:r>
    </w:p>
    <w:p w14:paraId="22FA0F82" w14:textId="77777777" w:rsidR="00C33251" w:rsidRPr="009D5EDD" w:rsidRDefault="00C33251" w:rsidP="00C33251">
      <w:pPr>
        <w:keepLines/>
        <w:spacing w:after="60"/>
        <w:ind w:firstLine="709"/>
        <w:jc w:val="both"/>
        <w:rPr>
          <w:sz w:val="20"/>
          <w:szCs w:val="20"/>
        </w:rPr>
      </w:pPr>
      <w:r w:rsidRPr="009D5EDD">
        <w:rPr>
          <w:i/>
          <w:sz w:val="20"/>
          <w:szCs w:val="20"/>
        </w:rPr>
        <w:t>Источники</w:t>
      </w:r>
      <w:r w:rsidRPr="009D5EDD">
        <w:rPr>
          <w:sz w:val="20"/>
          <w:szCs w:val="20"/>
        </w:rPr>
        <w:t>:</w:t>
      </w:r>
      <w:r>
        <w:rPr>
          <w:sz w:val="20"/>
          <w:szCs w:val="20"/>
        </w:rPr>
        <w:t xml:space="preserve"> составлено авторами на основе данных законопроекта</w:t>
      </w:r>
      <w:r w:rsidRPr="009D5EDD">
        <w:rPr>
          <w:sz w:val="20"/>
          <w:szCs w:val="20"/>
        </w:rPr>
        <w:t>.</w:t>
      </w:r>
    </w:p>
    <w:p w14:paraId="3B27436E" w14:textId="77777777" w:rsidR="00733417" w:rsidRDefault="00733417" w:rsidP="00733417">
      <w:pPr>
        <w:spacing w:after="60"/>
        <w:ind w:firstLine="709"/>
        <w:jc w:val="both"/>
      </w:pPr>
    </w:p>
    <w:p w14:paraId="1E5E07CE" w14:textId="211A78DE" w:rsidR="006919BE" w:rsidRDefault="00733417" w:rsidP="00733417">
      <w:pPr>
        <w:spacing w:after="60"/>
        <w:ind w:firstLine="709"/>
        <w:jc w:val="both"/>
      </w:pPr>
      <w:r w:rsidRPr="00B6277F">
        <w:t xml:space="preserve">Как следует из </w:t>
      </w:r>
      <w:r w:rsidR="006919BE" w:rsidRPr="00CC71D3">
        <w:rPr>
          <w:i/>
          <w:iCs/>
        </w:rPr>
        <w:t>табл</w:t>
      </w:r>
      <w:r w:rsidR="006919BE">
        <w:rPr>
          <w:i/>
          <w:iCs/>
        </w:rPr>
        <w:t xml:space="preserve">ицы </w:t>
      </w:r>
      <w:r w:rsidR="00C84D38">
        <w:rPr>
          <w:i/>
          <w:noProof/>
        </w:rPr>
        <w:t>23</w:t>
      </w:r>
      <w:r w:rsidR="006919BE">
        <w:rPr>
          <w:i/>
          <w:iCs/>
        </w:rPr>
        <w:t xml:space="preserve">, </w:t>
      </w:r>
      <w:r w:rsidRPr="00B6277F">
        <w:t>расходы</w:t>
      </w:r>
      <w:r>
        <w:t xml:space="preserve"> ГП РО </w:t>
      </w:r>
      <w:r w:rsidRPr="00B6277F">
        <w:t>в 20</w:t>
      </w:r>
      <w:r>
        <w:t>20</w:t>
      </w:r>
      <w:r w:rsidRPr="00B6277F">
        <w:t xml:space="preserve"> г.</w:t>
      </w:r>
      <w:r>
        <w:t xml:space="preserve"> значительно возрастут по сравнению с параметрами </w:t>
      </w:r>
      <w:r w:rsidRPr="00D36D78">
        <w:t>Закон</w:t>
      </w:r>
      <w:r>
        <w:t xml:space="preserve">а </w:t>
      </w:r>
      <w:r w:rsidRPr="00D36D78">
        <w:t>№ 459-ФЗ</w:t>
      </w:r>
      <w:r w:rsidR="00550DFF">
        <w:t>. В то же время</w:t>
      </w:r>
      <w:r w:rsidR="006919BE">
        <w:t xml:space="preserve"> расходы </w:t>
      </w:r>
      <w:r>
        <w:t xml:space="preserve">снизятся по сравнению с уровнем 2019 г. по двум </w:t>
      </w:r>
      <w:r w:rsidR="006919BE">
        <w:t>п</w:t>
      </w:r>
      <w:r>
        <w:t>одпрограммам ГП РО</w:t>
      </w:r>
      <w:r w:rsidR="006919BE">
        <w:t>:</w:t>
      </w:r>
    </w:p>
    <w:p w14:paraId="627BB4B2" w14:textId="1DF74552" w:rsidR="00733417" w:rsidRPr="00EC16EE" w:rsidRDefault="00733417" w:rsidP="00733417">
      <w:pPr>
        <w:pStyle w:val="afc"/>
        <w:numPr>
          <w:ilvl w:val="0"/>
          <w:numId w:val="24"/>
        </w:numPr>
        <w:spacing w:after="60"/>
        <w:rPr>
          <w:szCs w:val="24"/>
        </w:rPr>
      </w:pPr>
      <w:r w:rsidRPr="00EC16EE">
        <w:rPr>
          <w:szCs w:val="24"/>
        </w:rPr>
        <w:t xml:space="preserve">Подпрограмме "Развитие среднего профессионального и дополнительного профессионального образования" </w:t>
      </w:r>
      <w:r w:rsidR="006919BE">
        <w:rPr>
          <w:szCs w:val="24"/>
        </w:rPr>
        <w:t>–</w:t>
      </w:r>
      <w:r w:rsidRPr="00EC16EE">
        <w:rPr>
          <w:szCs w:val="24"/>
        </w:rPr>
        <w:t xml:space="preserve"> на 4,4%, </w:t>
      </w:r>
    </w:p>
    <w:p w14:paraId="3ECFEEC6" w14:textId="77777777" w:rsidR="00733417" w:rsidRPr="00EC16EE" w:rsidRDefault="00733417" w:rsidP="00733417">
      <w:pPr>
        <w:pStyle w:val="afc"/>
        <w:numPr>
          <w:ilvl w:val="0"/>
          <w:numId w:val="24"/>
        </w:numPr>
        <w:spacing w:after="60"/>
        <w:rPr>
          <w:szCs w:val="24"/>
        </w:rPr>
      </w:pPr>
      <w:r w:rsidRPr="00EC16EE">
        <w:rPr>
          <w:szCs w:val="24"/>
        </w:rPr>
        <w:t>Подпрограмме "Развитие дошкольного и общего образования" – на 14,8%.</w:t>
      </w:r>
    </w:p>
    <w:p w14:paraId="4A08012A" w14:textId="322B19F4" w:rsidR="00733417" w:rsidRDefault="006919BE" w:rsidP="00733417">
      <w:pPr>
        <w:spacing w:after="60"/>
        <w:ind w:firstLine="709"/>
        <w:jc w:val="both"/>
      </w:pPr>
      <w:r>
        <w:t xml:space="preserve">Тогда как по двум другим подпрограммам ГП РО расходы вырастут. </w:t>
      </w:r>
      <w:r w:rsidR="00733417">
        <w:t xml:space="preserve">По Подпрограмме </w:t>
      </w:r>
      <w:r w:rsidR="00733417" w:rsidRPr="00D36D78">
        <w:t>"Развитие дополнительного образования детей и реализация мероприятий молодежной политики"</w:t>
      </w:r>
      <w:r w:rsidR="00733417">
        <w:t xml:space="preserve"> расходы вырастут на 8,8%,</w:t>
      </w:r>
      <w:r>
        <w:t xml:space="preserve"> а</w:t>
      </w:r>
      <w:r w:rsidR="00733417">
        <w:t xml:space="preserve"> по Подпрограмме </w:t>
      </w:r>
      <w:r w:rsidR="00733417" w:rsidRPr="00EC16EE">
        <w:t>"Совершенствование управления системой образования"</w:t>
      </w:r>
      <w:r w:rsidR="00733417">
        <w:t xml:space="preserve"> – на 14,5%, но эти расходы в рамках всей Государственной программы «Развитие образования» являются незначительными</w:t>
      </w:r>
      <w:r>
        <w:t xml:space="preserve"> </w:t>
      </w:r>
      <w:r w:rsidR="00733417">
        <w:t xml:space="preserve">(3,1%). </w:t>
      </w:r>
    </w:p>
    <w:p w14:paraId="0FC273AE" w14:textId="2ECF7B36" w:rsidR="00733417" w:rsidRDefault="00733417" w:rsidP="00733417">
      <w:pPr>
        <w:spacing w:after="60"/>
        <w:ind w:firstLine="709"/>
        <w:jc w:val="both"/>
      </w:pPr>
      <w:r>
        <w:t>В целом же по ГП РО расходы в 2020 г. сократятся на 8,5%</w:t>
      </w:r>
      <w:r w:rsidR="00BF3D5D">
        <w:t xml:space="preserve"> по сравнению с 2019 г. </w:t>
      </w:r>
      <w:r>
        <w:t xml:space="preserve">Во многом снижение расходов по ГП РО обусловлено тем, что часть вопросов решается в рамках Национального проекта «Образование», в частности, в ФП «Молодые профессионалы» и ФП «Современная школа». </w:t>
      </w:r>
    </w:p>
    <w:p w14:paraId="31DC9D0C" w14:textId="48D86F85" w:rsidR="00733417" w:rsidRDefault="00733417" w:rsidP="00733417">
      <w:pPr>
        <w:spacing w:after="60"/>
        <w:ind w:firstLine="709"/>
        <w:jc w:val="both"/>
      </w:pPr>
      <w:r w:rsidRPr="005F3D48">
        <w:t>Бюджетные ассигнования федерального бюджета на 20</w:t>
      </w:r>
      <w:r>
        <w:t>20</w:t>
      </w:r>
      <w:r w:rsidRPr="005F3D48">
        <w:t>–202</w:t>
      </w:r>
      <w:r>
        <w:t>2</w:t>
      </w:r>
      <w:r w:rsidRPr="005F3D48">
        <w:t xml:space="preserve"> гг. по разделу «Образование» в сравнении с расходами на образование в 201</w:t>
      </w:r>
      <w:r>
        <w:t>9</w:t>
      </w:r>
      <w:r w:rsidRPr="005F3D48">
        <w:t xml:space="preserve"> г. характеризуются следующими данными (</w:t>
      </w:r>
      <w:r w:rsidR="00BF3D5D" w:rsidRPr="00CC71D3">
        <w:rPr>
          <w:i/>
          <w:iCs/>
        </w:rPr>
        <w:t>табл</w:t>
      </w:r>
      <w:r w:rsidR="00BF3D5D">
        <w:rPr>
          <w:i/>
          <w:iCs/>
        </w:rPr>
        <w:t>иц</w:t>
      </w:r>
      <w:r w:rsidR="00465F0C">
        <w:rPr>
          <w:i/>
          <w:iCs/>
        </w:rPr>
        <w:t>а</w:t>
      </w:r>
      <w:r w:rsidR="00BF3D5D">
        <w:rPr>
          <w:i/>
          <w:iCs/>
        </w:rPr>
        <w:t xml:space="preserve"> </w:t>
      </w:r>
      <w:r w:rsidR="00C84D38">
        <w:rPr>
          <w:i/>
          <w:noProof/>
        </w:rPr>
        <w:t>24</w:t>
      </w:r>
      <w:r w:rsidRPr="005F3D48">
        <w:t>).</w:t>
      </w:r>
    </w:p>
    <w:p w14:paraId="297F20C7" w14:textId="28DCF635" w:rsidR="00BF3D5D" w:rsidRPr="00600DF7" w:rsidRDefault="00BF3D5D" w:rsidP="00BF3D5D">
      <w:pPr>
        <w:spacing w:after="60"/>
        <w:jc w:val="right"/>
        <w:rPr>
          <w:i/>
        </w:rPr>
      </w:pPr>
      <w:r w:rsidRPr="00600DF7">
        <w:rPr>
          <w:i/>
        </w:rPr>
        <w:t>Таблица</w:t>
      </w:r>
      <w:r>
        <w:rPr>
          <w:i/>
        </w:rPr>
        <w:t xml:space="preserve"> </w:t>
      </w:r>
      <w:bookmarkStart w:id="56" w:name="_Ref21357821"/>
      <w:r w:rsidR="00C84D38">
        <w:rPr>
          <w:i/>
          <w:noProof/>
        </w:rPr>
        <w:t>24</w:t>
      </w:r>
      <w:bookmarkEnd w:id="56"/>
    </w:p>
    <w:p w14:paraId="4A59B9C1" w14:textId="25E2C50E" w:rsidR="00733417" w:rsidRPr="005F3D48" w:rsidRDefault="00733417" w:rsidP="00733417">
      <w:pPr>
        <w:spacing w:before="60" w:after="120"/>
        <w:jc w:val="center"/>
        <w:rPr>
          <w:b/>
          <w:szCs w:val="20"/>
        </w:rPr>
      </w:pPr>
      <w:r w:rsidRPr="005F3D48">
        <w:rPr>
          <w:b/>
          <w:szCs w:val="20"/>
        </w:rPr>
        <w:t>Расходы на образование федерального бюджета в 201</w:t>
      </w:r>
      <w:r>
        <w:rPr>
          <w:b/>
          <w:szCs w:val="20"/>
        </w:rPr>
        <w:t>9</w:t>
      </w:r>
      <w:r w:rsidR="00550DFF">
        <w:rPr>
          <w:b/>
          <w:szCs w:val="20"/>
        </w:rPr>
        <w:t>-2022 г</w:t>
      </w:r>
      <w:r w:rsidRPr="005F3D48">
        <w:rPr>
          <w:b/>
          <w:szCs w:val="20"/>
        </w:rPr>
        <w:t>г., млрд руб.</w:t>
      </w:r>
    </w:p>
    <w:tbl>
      <w:tblPr>
        <w:tblStyle w:val="24"/>
        <w:tblW w:w="0" w:type="auto"/>
        <w:tblLayout w:type="fixed"/>
        <w:tblLook w:val="04A0" w:firstRow="1" w:lastRow="0" w:firstColumn="1" w:lastColumn="0" w:noHBand="0" w:noVBand="1"/>
      </w:tblPr>
      <w:tblGrid>
        <w:gridCol w:w="3114"/>
        <w:gridCol w:w="850"/>
        <w:gridCol w:w="993"/>
        <w:gridCol w:w="708"/>
        <w:gridCol w:w="993"/>
        <w:gridCol w:w="708"/>
        <w:gridCol w:w="993"/>
        <w:gridCol w:w="702"/>
      </w:tblGrid>
      <w:tr w:rsidR="00733417" w:rsidRPr="00733417" w14:paraId="35F89196" w14:textId="77777777" w:rsidTr="00733417">
        <w:trPr>
          <w:trHeight w:val="315"/>
          <w:tblHeader/>
        </w:trPr>
        <w:tc>
          <w:tcPr>
            <w:tcW w:w="3114" w:type="dxa"/>
            <w:vMerge w:val="restart"/>
            <w:noWrap/>
            <w:hideMark/>
          </w:tcPr>
          <w:p w14:paraId="6F3801C5" w14:textId="77777777" w:rsidR="00733417" w:rsidRPr="00733417" w:rsidRDefault="00733417" w:rsidP="00DF409C">
            <w:pPr>
              <w:jc w:val="center"/>
              <w:rPr>
                <w:bCs/>
                <w:sz w:val="20"/>
                <w:szCs w:val="20"/>
              </w:rPr>
            </w:pPr>
            <w:r w:rsidRPr="00733417">
              <w:rPr>
                <w:bCs/>
                <w:sz w:val="20"/>
                <w:szCs w:val="20"/>
              </w:rPr>
              <w:t> </w:t>
            </w:r>
          </w:p>
        </w:tc>
        <w:tc>
          <w:tcPr>
            <w:tcW w:w="850" w:type="dxa"/>
            <w:vMerge w:val="restart"/>
            <w:noWrap/>
            <w:vAlign w:val="center"/>
            <w:hideMark/>
          </w:tcPr>
          <w:p w14:paraId="52A8C88B" w14:textId="77777777" w:rsidR="00733417" w:rsidRPr="00733417" w:rsidRDefault="00733417" w:rsidP="00DF409C">
            <w:pPr>
              <w:jc w:val="center"/>
              <w:rPr>
                <w:b/>
                <w:bCs/>
                <w:sz w:val="20"/>
                <w:szCs w:val="20"/>
              </w:rPr>
            </w:pPr>
            <w:r w:rsidRPr="00733417">
              <w:rPr>
                <w:b/>
                <w:bCs/>
                <w:sz w:val="20"/>
                <w:szCs w:val="20"/>
              </w:rPr>
              <w:t>2019 г.</w:t>
            </w:r>
          </w:p>
        </w:tc>
        <w:tc>
          <w:tcPr>
            <w:tcW w:w="1701" w:type="dxa"/>
            <w:gridSpan w:val="2"/>
            <w:noWrap/>
            <w:vAlign w:val="center"/>
            <w:hideMark/>
          </w:tcPr>
          <w:p w14:paraId="30225E94" w14:textId="77777777" w:rsidR="00733417" w:rsidRPr="00733417" w:rsidRDefault="00733417" w:rsidP="00DF409C">
            <w:pPr>
              <w:jc w:val="center"/>
              <w:rPr>
                <w:b/>
                <w:bCs/>
                <w:sz w:val="20"/>
                <w:szCs w:val="20"/>
              </w:rPr>
            </w:pPr>
            <w:r w:rsidRPr="00733417">
              <w:rPr>
                <w:b/>
                <w:bCs/>
                <w:sz w:val="20"/>
                <w:szCs w:val="20"/>
              </w:rPr>
              <w:t>2020 г.</w:t>
            </w:r>
          </w:p>
        </w:tc>
        <w:tc>
          <w:tcPr>
            <w:tcW w:w="1701" w:type="dxa"/>
            <w:gridSpan w:val="2"/>
            <w:vAlign w:val="center"/>
            <w:hideMark/>
          </w:tcPr>
          <w:p w14:paraId="319324B0" w14:textId="77777777" w:rsidR="00733417" w:rsidRPr="00733417" w:rsidRDefault="00733417" w:rsidP="00DF409C">
            <w:pPr>
              <w:jc w:val="center"/>
              <w:rPr>
                <w:b/>
                <w:bCs/>
                <w:sz w:val="20"/>
                <w:szCs w:val="20"/>
              </w:rPr>
            </w:pPr>
            <w:r w:rsidRPr="00733417">
              <w:rPr>
                <w:b/>
                <w:bCs/>
                <w:sz w:val="20"/>
                <w:szCs w:val="20"/>
              </w:rPr>
              <w:t>2021 г.</w:t>
            </w:r>
          </w:p>
        </w:tc>
        <w:tc>
          <w:tcPr>
            <w:tcW w:w="1695" w:type="dxa"/>
            <w:gridSpan w:val="2"/>
            <w:noWrap/>
            <w:vAlign w:val="center"/>
            <w:hideMark/>
          </w:tcPr>
          <w:p w14:paraId="74F3545E" w14:textId="77777777" w:rsidR="00733417" w:rsidRPr="00733417" w:rsidRDefault="00733417" w:rsidP="00DF409C">
            <w:pPr>
              <w:jc w:val="center"/>
              <w:rPr>
                <w:b/>
                <w:bCs/>
                <w:sz w:val="20"/>
                <w:szCs w:val="20"/>
              </w:rPr>
            </w:pPr>
            <w:r w:rsidRPr="00733417">
              <w:rPr>
                <w:b/>
                <w:bCs/>
                <w:sz w:val="20"/>
                <w:szCs w:val="20"/>
              </w:rPr>
              <w:t>2022 г.</w:t>
            </w:r>
          </w:p>
        </w:tc>
      </w:tr>
      <w:tr w:rsidR="00733417" w:rsidRPr="00733417" w14:paraId="52CDF2FB" w14:textId="77777777" w:rsidTr="00733417">
        <w:trPr>
          <w:trHeight w:val="1035"/>
          <w:tblHeader/>
        </w:trPr>
        <w:tc>
          <w:tcPr>
            <w:tcW w:w="3114" w:type="dxa"/>
            <w:vMerge/>
            <w:hideMark/>
          </w:tcPr>
          <w:p w14:paraId="1BF5EFA7" w14:textId="77777777" w:rsidR="00733417" w:rsidRPr="00733417" w:rsidRDefault="00733417" w:rsidP="00DF409C">
            <w:pPr>
              <w:jc w:val="center"/>
              <w:rPr>
                <w:bCs/>
                <w:sz w:val="20"/>
                <w:szCs w:val="20"/>
              </w:rPr>
            </w:pPr>
          </w:p>
        </w:tc>
        <w:tc>
          <w:tcPr>
            <w:tcW w:w="850" w:type="dxa"/>
            <w:vMerge/>
            <w:vAlign w:val="center"/>
            <w:hideMark/>
          </w:tcPr>
          <w:p w14:paraId="44F78A12" w14:textId="77777777" w:rsidR="00733417" w:rsidRPr="00733417" w:rsidRDefault="00733417" w:rsidP="00DF409C">
            <w:pPr>
              <w:jc w:val="center"/>
              <w:rPr>
                <w:b/>
                <w:bCs/>
                <w:sz w:val="20"/>
                <w:szCs w:val="20"/>
              </w:rPr>
            </w:pPr>
          </w:p>
        </w:tc>
        <w:tc>
          <w:tcPr>
            <w:tcW w:w="993" w:type="dxa"/>
            <w:noWrap/>
            <w:vAlign w:val="center"/>
            <w:hideMark/>
          </w:tcPr>
          <w:p w14:paraId="6778BB6A" w14:textId="77777777" w:rsidR="00733417" w:rsidRPr="00733417" w:rsidRDefault="00733417" w:rsidP="00DF409C">
            <w:pPr>
              <w:jc w:val="center"/>
              <w:rPr>
                <w:b/>
                <w:bCs/>
                <w:sz w:val="20"/>
                <w:szCs w:val="20"/>
              </w:rPr>
            </w:pPr>
            <w:r w:rsidRPr="00733417">
              <w:rPr>
                <w:b/>
                <w:bCs/>
                <w:sz w:val="20"/>
                <w:szCs w:val="20"/>
              </w:rPr>
              <w:t>Законо-проект</w:t>
            </w:r>
          </w:p>
        </w:tc>
        <w:tc>
          <w:tcPr>
            <w:tcW w:w="708" w:type="dxa"/>
            <w:vAlign w:val="center"/>
            <w:hideMark/>
          </w:tcPr>
          <w:p w14:paraId="1DBABA69" w14:textId="77777777" w:rsidR="00733417" w:rsidRPr="00733417" w:rsidRDefault="00733417" w:rsidP="00DF409C">
            <w:pPr>
              <w:jc w:val="center"/>
              <w:rPr>
                <w:b/>
                <w:bCs/>
                <w:sz w:val="20"/>
                <w:szCs w:val="20"/>
              </w:rPr>
            </w:pPr>
            <w:r w:rsidRPr="00733417">
              <w:rPr>
                <w:b/>
                <w:bCs/>
                <w:sz w:val="20"/>
                <w:szCs w:val="20"/>
              </w:rPr>
              <w:t>Δ к 2019 г., %</w:t>
            </w:r>
          </w:p>
          <w:p w14:paraId="1F8E0D03" w14:textId="77777777" w:rsidR="00733417" w:rsidRPr="00733417" w:rsidRDefault="00733417" w:rsidP="00DF409C">
            <w:pPr>
              <w:jc w:val="center"/>
              <w:rPr>
                <w:b/>
                <w:bCs/>
                <w:sz w:val="20"/>
                <w:szCs w:val="20"/>
              </w:rPr>
            </w:pPr>
          </w:p>
        </w:tc>
        <w:tc>
          <w:tcPr>
            <w:tcW w:w="993" w:type="dxa"/>
            <w:vAlign w:val="center"/>
            <w:hideMark/>
          </w:tcPr>
          <w:p w14:paraId="2795EEC7" w14:textId="77777777" w:rsidR="00733417" w:rsidRPr="00733417" w:rsidRDefault="00733417" w:rsidP="00DF409C">
            <w:pPr>
              <w:jc w:val="center"/>
              <w:rPr>
                <w:b/>
                <w:bCs/>
                <w:sz w:val="20"/>
                <w:szCs w:val="20"/>
              </w:rPr>
            </w:pPr>
            <w:r w:rsidRPr="00733417">
              <w:rPr>
                <w:b/>
                <w:bCs/>
                <w:sz w:val="20"/>
                <w:szCs w:val="20"/>
              </w:rPr>
              <w:t>Законо-проект</w:t>
            </w:r>
          </w:p>
        </w:tc>
        <w:tc>
          <w:tcPr>
            <w:tcW w:w="708" w:type="dxa"/>
            <w:vAlign w:val="center"/>
            <w:hideMark/>
          </w:tcPr>
          <w:p w14:paraId="3DF61518" w14:textId="77777777" w:rsidR="00733417" w:rsidRPr="00733417" w:rsidRDefault="00733417" w:rsidP="00DF409C">
            <w:pPr>
              <w:jc w:val="center"/>
              <w:rPr>
                <w:b/>
                <w:bCs/>
                <w:sz w:val="20"/>
                <w:szCs w:val="20"/>
              </w:rPr>
            </w:pPr>
            <w:r w:rsidRPr="00733417">
              <w:rPr>
                <w:b/>
                <w:bCs/>
                <w:sz w:val="20"/>
                <w:szCs w:val="20"/>
              </w:rPr>
              <w:t>Δ к 2020 г., %</w:t>
            </w:r>
          </w:p>
        </w:tc>
        <w:tc>
          <w:tcPr>
            <w:tcW w:w="993" w:type="dxa"/>
            <w:vAlign w:val="center"/>
            <w:hideMark/>
          </w:tcPr>
          <w:p w14:paraId="24941A87" w14:textId="77777777" w:rsidR="00733417" w:rsidRPr="00733417" w:rsidRDefault="00733417" w:rsidP="00DF409C">
            <w:pPr>
              <w:jc w:val="center"/>
              <w:rPr>
                <w:b/>
                <w:bCs/>
                <w:sz w:val="20"/>
                <w:szCs w:val="20"/>
              </w:rPr>
            </w:pPr>
            <w:r w:rsidRPr="00733417">
              <w:rPr>
                <w:b/>
                <w:bCs/>
                <w:sz w:val="20"/>
                <w:szCs w:val="20"/>
              </w:rPr>
              <w:t>Законо-проект</w:t>
            </w:r>
          </w:p>
        </w:tc>
        <w:tc>
          <w:tcPr>
            <w:tcW w:w="702" w:type="dxa"/>
            <w:vAlign w:val="center"/>
            <w:hideMark/>
          </w:tcPr>
          <w:p w14:paraId="60CA7A98" w14:textId="77777777" w:rsidR="00733417" w:rsidRPr="00733417" w:rsidRDefault="00733417" w:rsidP="00DF409C">
            <w:pPr>
              <w:jc w:val="center"/>
              <w:rPr>
                <w:b/>
                <w:bCs/>
                <w:sz w:val="20"/>
                <w:szCs w:val="20"/>
              </w:rPr>
            </w:pPr>
            <w:r w:rsidRPr="00733417">
              <w:rPr>
                <w:b/>
                <w:bCs/>
                <w:sz w:val="20"/>
                <w:szCs w:val="20"/>
              </w:rPr>
              <w:t>Δ к 2020 г., %</w:t>
            </w:r>
          </w:p>
        </w:tc>
      </w:tr>
      <w:tr w:rsidR="00733417" w:rsidRPr="00733417" w14:paraId="55081E86" w14:textId="77777777" w:rsidTr="00733417">
        <w:trPr>
          <w:trHeight w:val="370"/>
        </w:trPr>
        <w:tc>
          <w:tcPr>
            <w:tcW w:w="3114" w:type="dxa"/>
            <w:noWrap/>
            <w:hideMark/>
          </w:tcPr>
          <w:p w14:paraId="41EF7840" w14:textId="77777777" w:rsidR="00733417" w:rsidRPr="00733417" w:rsidRDefault="00733417" w:rsidP="00DF409C">
            <w:pPr>
              <w:jc w:val="center"/>
              <w:rPr>
                <w:b/>
                <w:bCs/>
                <w:sz w:val="20"/>
                <w:szCs w:val="20"/>
              </w:rPr>
            </w:pPr>
            <w:r w:rsidRPr="00733417">
              <w:rPr>
                <w:b/>
                <w:bCs/>
                <w:sz w:val="20"/>
                <w:szCs w:val="20"/>
              </w:rPr>
              <w:t>Образование</w:t>
            </w:r>
          </w:p>
        </w:tc>
        <w:tc>
          <w:tcPr>
            <w:tcW w:w="850" w:type="dxa"/>
            <w:noWrap/>
            <w:hideMark/>
          </w:tcPr>
          <w:p w14:paraId="1AE50CC3" w14:textId="77777777" w:rsidR="00733417" w:rsidRPr="00733417" w:rsidRDefault="00733417" w:rsidP="00DF409C">
            <w:pPr>
              <w:jc w:val="center"/>
              <w:rPr>
                <w:b/>
                <w:sz w:val="20"/>
                <w:szCs w:val="20"/>
              </w:rPr>
            </w:pPr>
            <w:r w:rsidRPr="00733417">
              <w:rPr>
                <w:b/>
                <w:sz w:val="20"/>
                <w:szCs w:val="20"/>
              </w:rPr>
              <w:t>898, 6</w:t>
            </w:r>
          </w:p>
        </w:tc>
        <w:tc>
          <w:tcPr>
            <w:tcW w:w="993" w:type="dxa"/>
            <w:noWrap/>
            <w:hideMark/>
          </w:tcPr>
          <w:p w14:paraId="602762B0" w14:textId="77777777" w:rsidR="00733417" w:rsidRPr="00733417" w:rsidRDefault="00733417" w:rsidP="00DF409C">
            <w:pPr>
              <w:jc w:val="center"/>
              <w:rPr>
                <w:b/>
                <w:sz w:val="20"/>
                <w:szCs w:val="20"/>
              </w:rPr>
            </w:pPr>
            <w:r w:rsidRPr="00733417">
              <w:rPr>
                <w:b/>
                <w:sz w:val="20"/>
                <w:szCs w:val="20"/>
              </w:rPr>
              <w:t>886,5</w:t>
            </w:r>
          </w:p>
        </w:tc>
        <w:tc>
          <w:tcPr>
            <w:tcW w:w="708" w:type="dxa"/>
            <w:hideMark/>
          </w:tcPr>
          <w:p w14:paraId="6201EF93" w14:textId="77777777" w:rsidR="00733417" w:rsidRPr="00733417" w:rsidRDefault="00733417" w:rsidP="00DF409C">
            <w:pPr>
              <w:jc w:val="center"/>
              <w:rPr>
                <w:b/>
                <w:i/>
                <w:iCs/>
                <w:sz w:val="20"/>
                <w:szCs w:val="20"/>
              </w:rPr>
            </w:pPr>
            <w:r w:rsidRPr="00733417">
              <w:rPr>
                <w:b/>
                <w:i/>
                <w:iCs/>
                <w:sz w:val="20"/>
                <w:szCs w:val="20"/>
              </w:rPr>
              <w:t>98,7</w:t>
            </w:r>
          </w:p>
        </w:tc>
        <w:tc>
          <w:tcPr>
            <w:tcW w:w="993" w:type="dxa"/>
            <w:hideMark/>
          </w:tcPr>
          <w:p w14:paraId="7F50BAFB" w14:textId="77777777" w:rsidR="00733417" w:rsidRPr="00733417" w:rsidRDefault="00733417" w:rsidP="00DF409C">
            <w:pPr>
              <w:jc w:val="center"/>
              <w:rPr>
                <w:b/>
                <w:sz w:val="20"/>
                <w:szCs w:val="20"/>
              </w:rPr>
            </w:pPr>
            <w:r w:rsidRPr="00733417">
              <w:rPr>
                <w:b/>
                <w:sz w:val="20"/>
                <w:szCs w:val="20"/>
              </w:rPr>
              <w:t>922,6</w:t>
            </w:r>
          </w:p>
        </w:tc>
        <w:tc>
          <w:tcPr>
            <w:tcW w:w="708" w:type="dxa"/>
            <w:noWrap/>
            <w:hideMark/>
          </w:tcPr>
          <w:p w14:paraId="5722348E" w14:textId="77777777" w:rsidR="00733417" w:rsidRPr="00733417" w:rsidRDefault="00733417" w:rsidP="00DF409C">
            <w:pPr>
              <w:jc w:val="center"/>
              <w:rPr>
                <w:b/>
                <w:i/>
                <w:iCs/>
                <w:sz w:val="20"/>
                <w:szCs w:val="20"/>
              </w:rPr>
            </w:pPr>
            <w:r w:rsidRPr="00733417">
              <w:rPr>
                <w:b/>
                <w:i/>
                <w:iCs/>
                <w:sz w:val="20"/>
                <w:szCs w:val="20"/>
              </w:rPr>
              <w:t>104,1</w:t>
            </w:r>
          </w:p>
        </w:tc>
        <w:tc>
          <w:tcPr>
            <w:tcW w:w="993" w:type="dxa"/>
            <w:noWrap/>
            <w:hideMark/>
          </w:tcPr>
          <w:p w14:paraId="564711B6" w14:textId="77777777" w:rsidR="00733417" w:rsidRPr="00733417" w:rsidRDefault="00733417" w:rsidP="00DF409C">
            <w:pPr>
              <w:jc w:val="center"/>
              <w:rPr>
                <w:b/>
                <w:sz w:val="20"/>
                <w:szCs w:val="20"/>
              </w:rPr>
            </w:pPr>
            <w:r w:rsidRPr="00733417">
              <w:rPr>
                <w:b/>
                <w:sz w:val="20"/>
                <w:szCs w:val="20"/>
              </w:rPr>
              <w:t>877,2</w:t>
            </w:r>
          </w:p>
        </w:tc>
        <w:tc>
          <w:tcPr>
            <w:tcW w:w="702" w:type="dxa"/>
            <w:hideMark/>
          </w:tcPr>
          <w:p w14:paraId="7F7F630E" w14:textId="77777777" w:rsidR="00733417" w:rsidRPr="00733417" w:rsidRDefault="00733417" w:rsidP="00DF409C">
            <w:pPr>
              <w:jc w:val="center"/>
              <w:rPr>
                <w:b/>
                <w:i/>
                <w:iCs/>
                <w:sz w:val="20"/>
                <w:szCs w:val="20"/>
              </w:rPr>
            </w:pPr>
            <w:r w:rsidRPr="00733417">
              <w:rPr>
                <w:b/>
                <w:i/>
                <w:iCs/>
                <w:sz w:val="20"/>
                <w:szCs w:val="20"/>
              </w:rPr>
              <w:t>95,1 </w:t>
            </w:r>
          </w:p>
        </w:tc>
      </w:tr>
      <w:tr w:rsidR="00733417" w:rsidRPr="00733417" w14:paraId="5F4D23D7" w14:textId="77777777" w:rsidTr="00733417">
        <w:trPr>
          <w:trHeight w:val="325"/>
        </w:trPr>
        <w:tc>
          <w:tcPr>
            <w:tcW w:w="3114" w:type="dxa"/>
            <w:hideMark/>
          </w:tcPr>
          <w:p w14:paraId="3387E00F" w14:textId="046CB4FF" w:rsidR="00733417" w:rsidRPr="00733417" w:rsidRDefault="00733417" w:rsidP="00DF409C">
            <w:pPr>
              <w:jc w:val="center"/>
              <w:rPr>
                <w:i/>
                <w:iCs/>
                <w:sz w:val="20"/>
                <w:szCs w:val="20"/>
              </w:rPr>
            </w:pPr>
            <w:r w:rsidRPr="00733417">
              <w:rPr>
                <w:i/>
                <w:iCs/>
                <w:sz w:val="20"/>
                <w:szCs w:val="20"/>
              </w:rPr>
              <w:t>% к ВВП</w:t>
            </w:r>
          </w:p>
        </w:tc>
        <w:tc>
          <w:tcPr>
            <w:tcW w:w="850" w:type="dxa"/>
            <w:noWrap/>
            <w:hideMark/>
          </w:tcPr>
          <w:p w14:paraId="7EAB7012" w14:textId="77777777" w:rsidR="00733417" w:rsidRPr="00733417" w:rsidRDefault="00733417" w:rsidP="00DF409C">
            <w:pPr>
              <w:jc w:val="center"/>
              <w:rPr>
                <w:i/>
                <w:iCs/>
                <w:sz w:val="20"/>
                <w:szCs w:val="20"/>
              </w:rPr>
            </w:pPr>
            <w:r w:rsidRPr="00733417">
              <w:rPr>
                <w:i/>
                <w:iCs/>
                <w:sz w:val="20"/>
                <w:szCs w:val="20"/>
              </w:rPr>
              <w:t>0,8</w:t>
            </w:r>
          </w:p>
        </w:tc>
        <w:tc>
          <w:tcPr>
            <w:tcW w:w="993" w:type="dxa"/>
            <w:noWrap/>
            <w:hideMark/>
          </w:tcPr>
          <w:p w14:paraId="11F74D77" w14:textId="77777777" w:rsidR="00733417" w:rsidRPr="00733417" w:rsidRDefault="00733417" w:rsidP="00DF409C">
            <w:pPr>
              <w:jc w:val="center"/>
              <w:rPr>
                <w:i/>
                <w:iCs/>
                <w:sz w:val="20"/>
                <w:szCs w:val="20"/>
              </w:rPr>
            </w:pPr>
            <w:r w:rsidRPr="00733417">
              <w:rPr>
                <w:i/>
                <w:iCs/>
                <w:sz w:val="20"/>
                <w:szCs w:val="20"/>
              </w:rPr>
              <w:t>0,8</w:t>
            </w:r>
          </w:p>
        </w:tc>
        <w:tc>
          <w:tcPr>
            <w:tcW w:w="708" w:type="dxa"/>
            <w:hideMark/>
          </w:tcPr>
          <w:p w14:paraId="5763897F" w14:textId="77777777" w:rsidR="00733417" w:rsidRPr="00733417" w:rsidRDefault="00733417" w:rsidP="00DF409C">
            <w:pPr>
              <w:jc w:val="center"/>
              <w:rPr>
                <w:i/>
                <w:iCs/>
                <w:sz w:val="20"/>
                <w:szCs w:val="20"/>
              </w:rPr>
            </w:pPr>
            <w:r w:rsidRPr="00733417">
              <w:rPr>
                <w:i/>
                <w:iCs/>
                <w:sz w:val="20"/>
                <w:szCs w:val="20"/>
              </w:rPr>
              <w:t> </w:t>
            </w:r>
          </w:p>
        </w:tc>
        <w:tc>
          <w:tcPr>
            <w:tcW w:w="993" w:type="dxa"/>
            <w:hideMark/>
          </w:tcPr>
          <w:p w14:paraId="209EC0FA" w14:textId="77777777" w:rsidR="00733417" w:rsidRPr="00733417" w:rsidRDefault="00733417" w:rsidP="00DF409C">
            <w:pPr>
              <w:jc w:val="center"/>
              <w:rPr>
                <w:i/>
                <w:iCs/>
                <w:sz w:val="20"/>
                <w:szCs w:val="20"/>
              </w:rPr>
            </w:pPr>
            <w:r w:rsidRPr="00733417">
              <w:rPr>
                <w:i/>
                <w:iCs/>
                <w:sz w:val="20"/>
                <w:szCs w:val="20"/>
              </w:rPr>
              <w:t>0,8</w:t>
            </w:r>
          </w:p>
        </w:tc>
        <w:tc>
          <w:tcPr>
            <w:tcW w:w="708" w:type="dxa"/>
            <w:noWrap/>
            <w:hideMark/>
          </w:tcPr>
          <w:p w14:paraId="055E099F" w14:textId="77777777" w:rsidR="00733417" w:rsidRPr="00733417" w:rsidRDefault="00733417" w:rsidP="00DF409C">
            <w:pPr>
              <w:jc w:val="center"/>
              <w:rPr>
                <w:sz w:val="20"/>
                <w:szCs w:val="20"/>
              </w:rPr>
            </w:pPr>
            <w:r w:rsidRPr="00733417">
              <w:rPr>
                <w:sz w:val="20"/>
                <w:szCs w:val="20"/>
              </w:rPr>
              <w:t> </w:t>
            </w:r>
          </w:p>
        </w:tc>
        <w:tc>
          <w:tcPr>
            <w:tcW w:w="993" w:type="dxa"/>
            <w:noWrap/>
            <w:hideMark/>
          </w:tcPr>
          <w:p w14:paraId="03A3C13A" w14:textId="77777777" w:rsidR="00733417" w:rsidRPr="00733417" w:rsidRDefault="00733417" w:rsidP="00DF409C">
            <w:pPr>
              <w:jc w:val="center"/>
              <w:rPr>
                <w:i/>
                <w:iCs/>
                <w:sz w:val="20"/>
                <w:szCs w:val="20"/>
              </w:rPr>
            </w:pPr>
            <w:r w:rsidRPr="00733417">
              <w:rPr>
                <w:i/>
                <w:iCs/>
                <w:sz w:val="20"/>
                <w:szCs w:val="20"/>
              </w:rPr>
              <w:t>0,7</w:t>
            </w:r>
          </w:p>
        </w:tc>
        <w:tc>
          <w:tcPr>
            <w:tcW w:w="702" w:type="dxa"/>
            <w:hideMark/>
          </w:tcPr>
          <w:p w14:paraId="3C3884D8" w14:textId="77777777" w:rsidR="00733417" w:rsidRPr="00733417" w:rsidRDefault="00733417" w:rsidP="00DF409C">
            <w:pPr>
              <w:jc w:val="center"/>
              <w:rPr>
                <w:sz w:val="20"/>
                <w:szCs w:val="20"/>
              </w:rPr>
            </w:pPr>
            <w:r w:rsidRPr="00733417">
              <w:rPr>
                <w:sz w:val="20"/>
                <w:szCs w:val="20"/>
              </w:rPr>
              <w:t> </w:t>
            </w:r>
          </w:p>
        </w:tc>
      </w:tr>
      <w:tr w:rsidR="00733417" w:rsidRPr="00733417" w14:paraId="6EBB9D87" w14:textId="77777777" w:rsidTr="00733417">
        <w:trPr>
          <w:trHeight w:val="525"/>
        </w:trPr>
        <w:tc>
          <w:tcPr>
            <w:tcW w:w="3114" w:type="dxa"/>
            <w:hideMark/>
          </w:tcPr>
          <w:p w14:paraId="2D64D2FD" w14:textId="77777777" w:rsidR="00733417" w:rsidRPr="00733417" w:rsidRDefault="00733417" w:rsidP="00DF409C">
            <w:pPr>
              <w:jc w:val="center"/>
              <w:rPr>
                <w:i/>
                <w:iCs/>
                <w:sz w:val="20"/>
                <w:szCs w:val="20"/>
              </w:rPr>
            </w:pPr>
            <w:r w:rsidRPr="00733417">
              <w:rPr>
                <w:i/>
                <w:iCs/>
                <w:sz w:val="20"/>
                <w:szCs w:val="20"/>
              </w:rPr>
              <w:t>доля в общем объеме расходов, % (без учета условно утвержденных)</w:t>
            </w:r>
          </w:p>
        </w:tc>
        <w:tc>
          <w:tcPr>
            <w:tcW w:w="850" w:type="dxa"/>
            <w:noWrap/>
            <w:hideMark/>
          </w:tcPr>
          <w:p w14:paraId="0FFEEC42" w14:textId="77777777" w:rsidR="00733417" w:rsidRPr="00733417" w:rsidRDefault="00733417" w:rsidP="00DF409C">
            <w:pPr>
              <w:jc w:val="center"/>
              <w:rPr>
                <w:i/>
                <w:iCs/>
                <w:sz w:val="20"/>
                <w:szCs w:val="20"/>
              </w:rPr>
            </w:pPr>
            <w:r w:rsidRPr="00733417">
              <w:rPr>
                <w:i/>
                <w:iCs/>
                <w:sz w:val="20"/>
                <w:szCs w:val="20"/>
              </w:rPr>
              <w:t>4,7</w:t>
            </w:r>
          </w:p>
        </w:tc>
        <w:tc>
          <w:tcPr>
            <w:tcW w:w="993" w:type="dxa"/>
            <w:noWrap/>
            <w:hideMark/>
          </w:tcPr>
          <w:p w14:paraId="41BA6A3B" w14:textId="77777777" w:rsidR="00733417" w:rsidRPr="00733417" w:rsidRDefault="00733417" w:rsidP="00DF409C">
            <w:pPr>
              <w:jc w:val="center"/>
              <w:rPr>
                <w:i/>
                <w:iCs/>
                <w:sz w:val="20"/>
                <w:szCs w:val="20"/>
              </w:rPr>
            </w:pPr>
            <w:r w:rsidRPr="00733417">
              <w:rPr>
                <w:i/>
                <w:iCs/>
                <w:sz w:val="20"/>
                <w:szCs w:val="20"/>
              </w:rPr>
              <w:t>4,5</w:t>
            </w:r>
          </w:p>
        </w:tc>
        <w:tc>
          <w:tcPr>
            <w:tcW w:w="708" w:type="dxa"/>
            <w:hideMark/>
          </w:tcPr>
          <w:p w14:paraId="278A3380" w14:textId="77777777" w:rsidR="00733417" w:rsidRPr="00733417" w:rsidRDefault="00733417" w:rsidP="00DF409C">
            <w:pPr>
              <w:jc w:val="center"/>
              <w:rPr>
                <w:i/>
                <w:iCs/>
                <w:sz w:val="20"/>
                <w:szCs w:val="20"/>
              </w:rPr>
            </w:pPr>
            <w:r w:rsidRPr="00733417">
              <w:rPr>
                <w:i/>
                <w:iCs/>
                <w:sz w:val="20"/>
                <w:szCs w:val="20"/>
              </w:rPr>
              <w:t> </w:t>
            </w:r>
          </w:p>
        </w:tc>
        <w:tc>
          <w:tcPr>
            <w:tcW w:w="993" w:type="dxa"/>
            <w:hideMark/>
          </w:tcPr>
          <w:p w14:paraId="7BE675B6" w14:textId="77777777" w:rsidR="00733417" w:rsidRPr="00733417" w:rsidRDefault="00733417" w:rsidP="00DF409C">
            <w:pPr>
              <w:jc w:val="center"/>
              <w:rPr>
                <w:i/>
                <w:iCs/>
                <w:sz w:val="20"/>
                <w:szCs w:val="20"/>
              </w:rPr>
            </w:pPr>
            <w:r w:rsidRPr="00733417">
              <w:rPr>
                <w:i/>
                <w:iCs/>
                <w:sz w:val="20"/>
                <w:szCs w:val="20"/>
              </w:rPr>
              <w:t>4,5</w:t>
            </w:r>
          </w:p>
        </w:tc>
        <w:tc>
          <w:tcPr>
            <w:tcW w:w="708" w:type="dxa"/>
            <w:noWrap/>
            <w:hideMark/>
          </w:tcPr>
          <w:p w14:paraId="533EBA82"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2885DC94" w14:textId="77777777" w:rsidR="00733417" w:rsidRPr="00733417" w:rsidRDefault="00733417" w:rsidP="00DF409C">
            <w:pPr>
              <w:jc w:val="center"/>
              <w:rPr>
                <w:i/>
                <w:iCs/>
                <w:sz w:val="20"/>
                <w:szCs w:val="20"/>
              </w:rPr>
            </w:pPr>
            <w:r w:rsidRPr="00733417">
              <w:rPr>
                <w:i/>
                <w:iCs/>
                <w:sz w:val="20"/>
                <w:szCs w:val="20"/>
              </w:rPr>
              <w:t>4,0</w:t>
            </w:r>
          </w:p>
        </w:tc>
        <w:tc>
          <w:tcPr>
            <w:tcW w:w="702" w:type="dxa"/>
            <w:hideMark/>
          </w:tcPr>
          <w:p w14:paraId="326BDAF4" w14:textId="77777777" w:rsidR="00733417" w:rsidRPr="00733417" w:rsidRDefault="00733417" w:rsidP="00DF409C">
            <w:pPr>
              <w:jc w:val="center"/>
              <w:rPr>
                <w:sz w:val="20"/>
                <w:szCs w:val="20"/>
              </w:rPr>
            </w:pPr>
            <w:r w:rsidRPr="00733417">
              <w:rPr>
                <w:sz w:val="20"/>
                <w:szCs w:val="20"/>
              </w:rPr>
              <w:t> </w:t>
            </w:r>
          </w:p>
        </w:tc>
      </w:tr>
      <w:tr w:rsidR="00733417" w:rsidRPr="00733417" w14:paraId="2A9E5093" w14:textId="77777777" w:rsidTr="00733417">
        <w:trPr>
          <w:trHeight w:val="362"/>
        </w:trPr>
        <w:tc>
          <w:tcPr>
            <w:tcW w:w="3114" w:type="dxa"/>
            <w:hideMark/>
          </w:tcPr>
          <w:p w14:paraId="2E972A8C" w14:textId="77777777" w:rsidR="00733417" w:rsidRPr="00733417" w:rsidRDefault="00733417" w:rsidP="00DF409C">
            <w:pPr>
              <w:jc w:val="center"/>
              <w:rPr>
                <w:i/>
                <w:iCs/>
                <w:sz w:val="20"/>
                <w:szCs w:val="20"/>
              </w:rPr>
            </w:pPr>
            <w:r w:rsidRPr="00733417">
              <w:rPr>
                <w:i/>
                <w:iCs/>
                <w:sz w:val="20"/>
                <w:szCs w:val="20"/>
              </w:rPr>
              <w:t>в том числе:</w:t>
            </w:r>
          </w:p>
        </w:tc>
        <w:tc>
          <w:tcPr>
            <w:tcW w:w="850" w:type="dxa"/>
            <w:noWrap/>
          </w:tcPr>
          <w:p w14:paraId="784802EA" w14:textId="77777777" w:rsidR="00733417" w:rsidRPr="00733417" w:rsidRDefault="00733417" w:rsidP="00DF409C">
            <w:pPr>
              <w:jc w:val="center"/>
              <w:rPr>
                <w:sz w:val="20"/>
                <w:szCs w:val="20"/>
              </w:rPr>
            </w:pPr>
          </w:p>
        </w:tc>
        <w:tc>
          <w:tcPr>
            <w:tcW w:w="993" w:type="dxa"/>
            <w:noWrap/>
            <w:hideMark/>
          </w:tcPr>
          <w:p w14:paraId="7DA4C4D6" w14:textId="77777777" w:rsidR="00733417" w:rsidRPr="00733417" w:rsidRDefault="00733417" w:rsidP="00DF409C">
            <w:pPr>
              <w:jc w:val="center"/>
              <w:rPr>
                <w:sz w:val="20"/>
                <w:szCs w:val="20"/>
              </w:rPr>
            </w:pPr>
            <w:r w:rsidRPr="00733417">
              <w:rPr>
                <w:sz w:val="20"/>
                <w:szCs w:val="20"/>
              </w:rPr>
              <w:t> </w:t>
            </w:r>
          </w:p>
        </w:tc>
        <w:tc>
          <w:tcPr>
            <w:tcW w:w="708" w:type="dxa"/>
            <w:hideMark/>
          </w:tcPr>
          <w:p w14:paraId="3520536F" w14:textId="77777777" w:rsidR="00733417" w:rsidRPr="00733417" w:rsidRDefault="00733417" w:rsidP="00DF409C">
            <w:pPr>
              <w:jc w:val="center"/>
              <w:rPr>
                <w:sz w:val="20"/>
                <w:szCs w:val="20"/>
              </w:rPr>
            </w:pPr>
            <w:r w:rsidRPr="00733417">
              <w:rPr>
                <w:sz w:val="20"/>
                <w:szCs w:val="20"/>
              </w:rPr>
              <w:t> </w:t>
            </w:r>
          </w:p>
        </w:tc>
        <w:tc>
          <w:tcPr>
            <w:tcW w:w="993" w:type="dxa"/>
            <w:hideMark/>
          </w:tcPr>
          <w:p w14:paraId="342D8F62" w14:textId="77777777" w:rsidR="00733417" w:rsidRPr="00733417" w:rsidRDefault="00733417" w:rsidP="00DF409C">
            <w:pPr>
              <w:jc w:val="center"/>
              <w:rPr>
                <w:sz w:val="20"/>
                <w:szCs w:val="20"/>
              </w:rPr>
            </w:pPr>
            <w:r w:rsidRPr="00733417">
              <w:rPr>
                <w:sz w:val="20"/>
                <w:szCs w:val="20"/>
              </w:rPr>
              <w:t> </w:t>
            </w:r>
          </w:p>
        </w:tc>
        <w:tc>
          <w:tcPr>
            <w:tcW w:w="708" w:type="dxa"/>
            <w:noWrap/>
            <w:hideMark/>
          </w:tcPr>
          <w:p w14:paraId="52E27612" w14:textId="77777777" w:rsidR="00733417" w:rsidRPr="00733417" w:rsidRDefault="00733417" w:rsidP="00DF409C">
            <w:pPr>
              <w:jc w:val="center"/>
              <w:rPr>
                <w:sz w:val="20"/>
                <w:szCs w:val="20"/>
              </w:rPr>
            </w:pPr>
            <w:r w:rsidRPr="00733417">
              <w:rPr>
                <w:sz w:val="20"/>
                <w:szCs w:val="20"/>
              </w:rPr>
              <w:t> </w:t>
            </w:r>
          </w:p>
        </w:tc>
        <w:tc>
          <w:tcPr>
            <w:tcW w:w="993" w:type="dxa"/>
            <w:noWrap/>
            <w:hideMark/>
          </w:tcPr>
          <w:p w14:paraId="54D877B7" w14:textId="77777777" w:rsidR="00733417" w:rsidRPr="00733417" w:rsidRDefault="00733417" w:rsidP="00DF409C">
            <w:pPr>
              <w:jc w:val="center"/>
              <w:rPr>
                <w:sz w:val="20"/>
                <w:szCs w:val="20"/>
              </w:rPr>
            </w:pPr>
            <w:r w:rsidRPr="00733417">
              <w:rPr>
                <w:sz w:val="20"/>
                <w:szCs w:val="20"/>
              </w:rPr>
              <w:t> </w:t>
            </w:r>
          </w:p>
        </w:tc>
        <w:tc>
          <w:tcPr>
            <w:tcW w:w="702" w:type="dxa"/>
            <w:hideMark/>
          </w:tcPr>
          <w:p w14:paraId="0F7585E5" w14:textId="77777777" w:rsidR="00733417" w:rsidRPr="00733417" w:rsidRDefault="00733417" w:rsidP="00DF409C">
            <w:pPr>
              <w:jc w:val="center"/>
              <w:rPr>
                <w:sz w:val="20"/>
                <w:szCs w:val="20"/>
              </w:rPr>
            </w:pPr>
            <w:r w:rsidRPr="00733417">
              <w:rPr>
                <w:sz w:val="20"/>
                <w:szCs w:val="20"/>
              </w:rPr>
              <w:t> </w:t>
            </w:r>
          </w:p>
        </w:tc>
      </w:tr>
      <w:tr w:rsidR="00733417" w:rsidRPr="00733417" w14:paraId="058D798D" w14:textId="77777777" w:rsidTr="00733417">
        <w:trPr>
          <w:trHeight w:val="315"/>
        </w:trPr>
        <w:tc>
          <w:tcPr>
            <w:tcW w:w="3114" w:type="dxa"/>
            <w:hideMark/>
          </w:tcPr>
          <w:p w14:paraId="1685DB97" w14:textId="77777777" w:rsidR="00733417" w:rsidRPr="00733417" w:rsidRDefault="00733417" w:rsidP="00DF409C">
            <w:pPr>
              <w:jc w:val="center"/>
              <w:rPr>
                <w:sz w:val="20"/>
                <w:szCs w:val="20"/>
              </w:rPr>
            </w:pPr>
            <w:r w:rsidRPr="00733417">
              <w:rPr>
                <w:sz w:val="20"/>
                <w:szCs w:val="20"/>
              </w:rPr>
              <w:t>Дошкольное образование</w:t>
            </w:r>
          </w:p>
        </w:tc>
        <w:tc>
          <w:tcPr>
            <w:tcW w:w="850" w:type="dxa"/>
            <w:noWrap/>
            <w:hideMark/>
          </w:tcPr>
          <w:p w14:paraId="2845EE92" w14:textId="77777777" w:rsidR="00733417" w:rsidRPr="00733417" w:rsidRDefault="00733417" w:rsidP="00DF409C">
            <w:pPr>
              <w:jc w:val="center"/>
              <w:rPr>
                <w:sz w:val="20"/>
                <w:szCs w:val="20"/>
              </w:rPr>
            </w:pPr>
            <w:r w:rsidRPr="00733417">
              <w:rPr>
                <w:sz w:val="20"/>
                <w:szCs w:val="20"/>
              </w:rPr>
              <w:t> 81,3</w:t>
            </w:r>
          </w:p>
        </w:tc>
        <w:tc>
          <w:tcPr>
            <w:tcW w:w="993" w:type="dxa"/>
            <w:noWrap/>
            <w:hideMark/>
          </w:tcPr>
          <w:p w14:paraId="1DDE3227" w14:textId="77777777" w:rsidR="00733417" w:rsidRPr="00733417" w:rsidRDefault="00733417" w:rsidP="00DF409C">
            <w:pPr>
              <w:jc w:val="center"/>
              <w:rPr>
                <w:sz w:val="20"/>
                <w:szCs w:val="20"/>
              </w:rPr>
            </w:pPr>
            <w:r w:rsidRPr="00733417">
              <w:rPr>
                <w:sz w:val="20"/>
                <w:szCs w:val="20"/>
              </w:rPr>
              <w:t>44,5</w:t>
            </w:r>
          </w:p>
        </w:tc>
        <w:tc>
          <w:tcPr>
            <w:tcW w:w="708" w:type="dxa"/>
          </w:tcPr>
          <w:p w14:paraId="7036D735" w14:textId="77777777" w:rsidR="00733417" w:rsidRPr="00733417" w:rsidRDefault="00733417" w:rsidP="00DF409C">
            <w:pPr>
              <w:jc w:val="center"/>
              <w:rPr>
                <w:i/>
                <w:sz w:val="20"/>
                <w:szCs w:val="20"/>
              </w:rPr>
            </w:pPr>
            <w:r w:rsidRPr="00733417">
              <w:rPr>
                <w:i/>
                <w:sz w:val="20"/>
                <w:szCs w:val="20"/>
              </w:rPr>
              <w:t>54,7</w:t>
            </w:r>
          </w:p>
        </w:tc>
        <w:tc>
          <w:tcPr>
            <w:tcW w:w="993" w:type="dxa"/>
            <w:hideMark/>
          </w:tcPr>
          <w:p w14:paraId="02EB12AE" w14:textId="77777777" w:rsidR="00733417" w:rsidRPr="00733417" w:rsidRDefault="00733417" w:rsidP="00DF409C">
            <w:pPr>
              <w:jc w:val="center"/>
              <w:rPr>
                <w:sz w:val="20"/>
                <w:szCs w:val="20"/>
              </w:rPr>
            </w:pPr>
            <w:r w:rsidRPr="00733417">
              <w:rPr>
                <w:sz w:val="20"/>
                <w:szCs w:val="20"/>
              </w:rPr>
              <w:t>49,2</w:t>
            </w:r>
          </w:p>
        </w:tc>
        <w:tc>
          <w:tcPr>
            <w:tcW w:w="708" w:type="dxa"/>
            <w:noWrap/>
            <w:hideMark/>
          </w:tcPr>
          <w:p w14:paraId="0F384B98" w14:textId="77777777" w:rsidR="00733417" w:rsidRPr="00733417" w:rsidRDefault="00733417" w:rsidP="00DF409C">
            <w:pPr>
              <w:jc w:val="center"/>
              <w:rPr>
                <w:i/>
                <w:iCs/>
                <w:sz w:val="20"/>
                <w:szCs w:val="20"/>
              </w:rPr>
            </w:pPr>
            <w:r w:rsidRPr="00733417">
              <w:rPr>
                <w:i/>
                <w:iCs/>
                <w:sz w:val="20"/>
                <w:szCs w:val="20"/>
              </w:rPr>
              <w:t>110,6</w:t>
            </w:r>
          </w:p>
        </w:tc>
        <w:tc>
          <w:tcPr>
            <w:tcW w:w="993" w:type="dxa"/>
            <w:noWrap/>
            <w:hideMark/>
          </w:tcPr>
          <w:p w14:paraId="7DB8CA67" w14:textId="77777777" w:rsidR="00733417" w:rsidRPr="00733417" w:rsidRDefault="00733417" w:rsidP="00DF409C">
            <w:pPr>
              <w:jc w:val="center"/>
              <w:rPr>
                <w:sz w:val="20"/>
                <w:szCs w:val="20"/>
              </w:rPr>
            </w:pPr>
            <w:r w:rsidRPr="00733417">
              <w:rPr>
                <w:sz w:val="20"/>
                <w:szCs w:val="20"/>
              </w:rPr>
              <w:t>20,3</w:t>
            </w:r>
          </w:p>
        </w:tc>
        <w:tc>
          <w:tcPr>
            <w:tcW w:w="702" w:type="dxa"/>
            <w:hideMark/>
          </w:tcPr>
          <w:p w14:paraId="3539CD80" w14:textId="77777777" w:rsidR="00733417" w:rsidRPr="00733417" w:rsidRDefault="00733417" w:rsidP="00DF409C">
            <w:pPr>
              <w:jc w:val="center"/>
              <w:rPr>
                <w:i/>
                <w:iCs/>
                <w:sz w:val="20"/>
                <w:szCs w:val="20"/>
              </w:rPr>
            </w:pPr>
            <w:r w:rsidRPr="00733417">
              <w:rPr>
                <w:i/>
                <w:iCs/>
                <w:sz w:val="20"/>
                <w:szCs w:val="20"/>
              </w:rPr>
              <w:t xml:space="preserve"> 41,2</w:t>
            </w:r>
          </w:p>
        </w:tc>
      </w:tr>
      <w:tr w:rsidR="00733417" w:rsidRPr="00733417" w14:paraId="4A268B03" w14:textId="77777777" w:rsidTr="00733417">
        <w:trPr>
          <w:trHeight w:val="315"/>
        </w:trPr>
        <w:tc>
          <w:tcPr>
            <w:tcW w:w="3114" w:type="dxa"/>
            <w:hideMark/>
          </w:tcPr>
          <w:p w14:paraId="1F7CC5BB" w14:textId="59683CA7" w:rsidR="00733417" w:rsidRPr="00733417" w:rsidRDefault="00733417" w:rsidP="00DF409C">
            <w:pPr>
              <w:jc w:val="center"/>
              <w:rPr>
                <w:i/>
                <w:iCs/>
                <w:sz w:val="20"/>
                <w:szCs w:val="20"/>
              </w:rPr>
            </w:pPr>
            <w:r w:rsidRPr="00733417">
              <w:rPr>
                <w:i/>
                <w:iCs/>
                <w:sz w:val="20"/>
                <w:szCs w:val="20"/>
              </w:rPr>
              <w:t>% к ВВП</w:t>
            </w:r>
          </w:p>
        </w:tc>
        <w:tc>
          <w:tcPr>
            <w:tcW w:w="850" w:type="dxa"/>
            <w:noWrap/>
          </w:tcPr>
          <w:p w14:paraId="10BA508F" w14:textId="77777777" w:rsidR="00733417" w:rsidRPr="00733417" w:rsidRDefault="00733417" w:rsidP="00DF409C">
            <w:pPr>
              <w:jc w:val="center"/>
              <w:rPr>
                <w:i/>
                <w:iCs/>
                <w:sz w:val="20"/>
                <w:szCs w:val="20"/>
              </w:rPr>
            </w:pPr>
            <w:r w:rsidRPr="00733417">
              <w:rPr>
                <w:i/>
                <w:iCs/>
                <w:sz w:val="20"/>
                <w:szCs w:val="20"/>
              </w:rPr>
              <w:t>0,07</w:t>
            </w:r>
          </w:p>
        </w:tc>
        <w:tc>
          <w:tcPr>
            <w:tcW w:w="993" w:type="dxa"/>
            <w:noWrap/>
          </w:tcPr>
          <w:p w14:paraId="56B12536" w14:textId="77777777" w:rsidR="00733417" w:rsidRPr="00733417" w:rsidRDefault="00733417" w:rsidP="00DF409C">
            <w:pPr>
              <w:jc w:val="center"/>
              <w:rPr>
                <w:i/>
                <w:iCs/>
                <w:sz w:val="20"/>
                <w:szCs w:val="20"/>
              </w:rPr>
            </w:pPr>
            <w:r w:rsidRPr="00733417">
              <w:rPr>
                <w:i/>
                <w:iCs/>
                <w:sz w:val="20"/>
                <w:szCs w:val="20"/>
              </w:rPr>
              <w:t>0,04</w:t>
            </w:r>
          </w:p>
        </w:tc>
        <w:tc>
          <w:tcPr>
            <w:tcW w:w="708" w:type="dxa"/>
          </w:tcPr>
          <w:p w14:paraId="64ED6959" w14:textId="77777777" w:rsidR="00733417" w:rsidRPr="00733417" w:rsidRDefault="00733417" w:rsidP="00DF409C">
            <w:pPr>
              <w:jc w:val="center"/>
              <w:rPr>
                <w:i/>
                <w:iCs/>
                <w:sz w:val="20"/>
                <w:szCs w:val="20"/>
              </w:rPr>
            </w:pPr>
          </w:p>
        </w:tc>
        <w:tc>
          <w:tcPr>
            <w:tcW w:w="993" w:type="dxa"/>
          </w:tcPr>
          <w:p w14:paraId="02EF6848" w14:textId="77777777" w:rsidR="00733417" w:rsidRPr="00733417" w:rsidRDefault="00733417" w:rsidP="00DF409C">
            <w:pPr>
              <w:jc w:val="center"/>
              <w:rPr>
                <w:i/>
                <w:iCs/>
                <w:sz w:val="20"/>
                <w:szCs w:val="20"/>
              </w:rPr>
            </w:pPr>
            <w:r w:rsidRPr="00733417">
              <w:rPr>
                <w:i/>
                <w:iCs/>
                <w:sz w:val="20"/>
                <w:szCs w:val="20"/>
              </w:rPr>
              <w:t>0,04</w:t>
            </w:r>
          </w:p>
        </w:tc>
        <w:tc>
          <w:tcPr>
            <w:tcW w:w="708" w:type="dxa"/>
            <w:noWrap/>
          </w:tcPr>
          <w:p w14:paraId="358049AE" w14:textId="77777777" w:rsidR="00733417" w:rsidRPr="00733417" w:rsidRDefault="00733417" w:rsidP="00DF409C">
            <w:pPr>
              <w:jc w:val="center"/>
              <w:rPr>
                <w:i/>
                <w:iCs/>
                <w:sz w:val="20"/>
                <w:szCs w:val="20"/>
              </w:rPr>
            </w:pPr>
          </w:p>
        </w:tc>
        <w:tc>
          <w:tcPr>
            <w:tcW w:w="993" w:type="dxa"/>
            <w:noWrap/>
          </w:tcPr>
          <w:p w14:paraId="1597628C" w14:textId="77777777" w:rsidR="00733417" w:rsidRPr="00733417" w:rsidRDefault="00733417" w:rsidP="00DF409C">
            <w:pPr>
              <w:jc w:val="center"/>
              <w:rPr>
                <w:i/>
                <w:iCs/>
                <w:sz w:val="20"/>
                <w:szCs w:val="20"/>
              </w:rPr>
            </w:pPr>
            <w:r w:rsidRPr="00733417">
              <w:rPr>
                <w:i/>
                <w:iCs/>
                <w:sz w:val="20"/>
                <w:szCs w:val="20"/>
              </w:rPr>
              <w:t>0,02</w:t>
            </w:r>
          </w:p>
        </w:tc>
        <w:tc>
          <w:tcPr>
            <w:tcW w:w="702" w:type="dxa"/>
            <w:hideMark/>
          </w:tcPr>
          <w:p w14:paraId="6BAC402A" w14:textId="77777777" w:rsidR="00733417" w:rsidRPr="00733417" w:rsidRDefault="00733417" w:rsidP="00DF409C">
            <w:pPr>
              <w:jc w:val="center"/>
              <w:rPr>
                <w:sz w:val="20"/>
                <w:szCs w:val="20"/>
              </w:rPr>
            </w:pPr>
            <w:r w:rsidRPr="00733417">
              <w:rPr>
                <w:sz w:val="20"/>
                <w:szCs w:val="20"/>
              </w:rPr>
              <w:t> </w:t>
            </w:r>
          </w:p>
        </w:tc>
      </w:tr>
      <w:tr w:rsidR="00733417" w:rsidRPr="00733417" w14:paraId="6386983D" w14:textId="77777777" w:rsidTr="00733417">
        <w:trPr>
          <w:trHeight w:val="525"/>
        </w:trPr>
        <w:tc>
          <w:tcPr>
            <w:tcW w:w="3114" w:type="dxa"/>
            <w:hideMark/>
          </w:tcPr>
          <w:p w14:paraId="43AFC064" w14:textId="77777777" w:rsidR="00733417" w:rsidRPr="00733417" w:rsidRDefault="00733417" w:rsidP="00DF409C">
            <w:pPr>
              <w:jc w:val="center"/>
              <w:rPr>
                <w:i/>
                <w:iCs/>
                <w:sz w:val="20"/>
                <w:szCs w:val="20"/>
              </w:rPr>
            </w:pPr>
            <w:r w:rsidRPr="00733417">
              <w:rPr>
                <w:i/>
                <w:iCs/>
                <w:sz w:val="20"/>
                <w:szCs w:val="20"/>
              </w:rPr>
              <w:t>доля в общем объеме расходов, % без учета условно утвержденных)</w:t>
            </w:r>
          </w:p>
        </w:tc>
        <w:tc>
          <w:tcPr>
            <w:tcW w:w="850" w:type="dxa"/>
            <w:noWrap/>
            <w:hideMark/>
          </w:tcPr>
          <w:p w14:paraId="48748F0C" w14:textId="77777777" w:rsidR="00733417" w:rsidRPr="00733417" w:rsidRDefault="00733417" w:rsidP="00DF409C">
            <w:pPr>
              <w:jc w:val="center"/>
              <w:rPr>
                <w:i/>
                <w:iCs/>
                <w:sz w:val="20"/>
                <w:szCs w:val="20"/>
              </w:rPr>
            </w:pPr>
            <w:r w:rsidRPr="00733417">
              <w:rPr>
                <w:i/>
                <w:iCs/>
                <w:sz w:val="20"/>
                <w:szCs w:val="20"/>
              </w:rPr>
              <w:t>0,42</w:t>
            </w:r>
          </w:p>
        </w:tc>
        <w:tc>
          <w:tcPr>
            <w:tcW w:w="993" w:type="dxa"/>
            <w:noWrap/>
            <w:hideMark/>
          </w:tcPr>
          <w:p w14:paraId="3AA0AD94" w14:textId="77777777" w:rsidR="00733417" w:rsidRPr="00733417" w:rsidRDefault="00733417" w:rsidP="00DF409C">
            <w:pPr>
              <w:jc w:val="center"/>
              <w:rPr>
                <w:i/>
                <w:iCs/>
                <w:sz w:val="20"/>
                <w:szCs w:val="20"/>
              </w:rPr>
            </w:pPr>
            <w:r w:rsidRPr="00733417">
              <w:rPr>
                <w:i/>
                <w:iCs/>
                <w:sz w:val="20"/>
                <w:szCs w:val="20"/>
              </w:rPr>
              <w:t>0,23</w:t>
            </w:r>
          </w:p>
        </w:tc>
        <w:tc>
          <w:tcPr>
            <w:tcW w:w="708" w:type="dxa"/>
            <w:hideMark/>
          </w:tcPr>
          <w:p w14:paraId="412FE806" w14:textId="77777777" w:rsidR="00733417" w:rsidRPr="00733417" w:rsidRDefault="00733417" w:rsidP="00DF409C">
            <w:pPr>
              <w:jc w:val="center"/>
              <w:rPr>
                <w:i/>
                <w:iCs/>
                <w:sz w:val="20"/>
                <w:szCs w:val="20"/>
              </w:rPr>
            </w:pPr>
            <w:r w:rsidRPr="00733417">
              <w:rPr>
                <w:i/>
                <w:iCs/>
                <w:sz w:val="20"/>
                <w:szCs w:val="20"/>
              </w:rPr>
              <w:t> </w:t>
            </w:r>
          </w:p>
        </w:tc>
        <w:tc>
          <w:tcPr>
            <w:tcW w:w="993" w:type="dxa"/>
            <w:hideMark/>
          </w:tcPr>
          <w:p w14:paraId="65E4FF2D" w14:textId="77777777" w:rsidR="00733417" w:rsidRPr="00733417" w:rsidRDefault="00733417" w:rsidP="00DF409C">
            <w:pPr>
              <w:jc w:val="center"/>
              <w:rPr>
                <w:i/>
                <w:iCs/>
                <w:sz w:val="20"/>
                <w:szCs w:val="20"/>
              </w:rPr>
            </w:pPr>
            <w:r w:rsidRPr="00733417">
              <w:rPr>
                <w:i/>
                <w:iCs/>
                <w:sz w:val="20"/>
                <w:szCs w:val="20"/>
              </w:rPr>
              <w:t>0,24</w:t>
            </w:r>
          </w:p>
        </w:tc>
        <w:tc>
          <w:tcPr>
            <w:tcW w:w="708" w:type="dxa"/>
            <w:noWrap/>
            <w:hideMark/>
          </w:tcPr>
          <w:p w14:paraId="1D1E48C0"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2DD9BAB4" w14:textId="77777777" w:rsidR="00733417" w:rsidRPr="00733417" w:rsidRDefault="00733417" w:rsidP="00DF409C">
            <w:pPr>
              <w:jc w:val="center"/>
              <w:rPr>
                <w:i/>
                <w:iCs/>
                <w:sz w:val="20"/>
                <w:szCs w:val="20"/>
              </w:rPr>
            </w:pPr>
            <w:r w:rsidRPr="00733417">
              <w:rPr>
                <w:i/>
                <w:iCs/>
                <w:sz w:val="20"/>
                <w:szCs w:val="20"/>
              </w:rPr>
              <w:t>0,09</w:t>
            </w:r>
          </w:p>
        </w:tc>
        <w:tc>
          <w:tcPr>
            <w:tcW w:w="702" w:type="dxa"/>
            <w:hideMark/>
          </w:tcPr>
          <w:p w14:paraId="14DC53C6" w14:textId="77777777" w:rsidR="00733417" w:rsidRPr="00733417" w:rsidRDefault="00733417" w:rsidP="00DF409C">
            <w:pPr>
              <w:jc w:val="center"/>
              <w:rPr>
                <w:i/>
                <w:iCs/>
                <w:sz w:val="20"/>
                <w:szCs w:val="20"/>
              </w:rPr>
            </w:pPr>
            <w:r w:rsidRPr="00733417">
              <w:rPr>
                <w:i/>
                <w:iCs/>
                <w:sz w:val="20"/>
                <w:szCs w:val="20"/>
              </w:rPr>
              <w:t> </w:t>
            </w:r>
          </w:p>
        </w:tc>
      </w:tr>
      <w:tr w:rsidR="00733417" w:rsidRPr="00733417" w14:paraId="396BCE9B" w14:textId="77777777" w:rsidTr="00733417">
        <w:trPr>
          <w:trHeight w:val="315"/>
        </w:trPr>
        <w:tc>
          <w:tcPr>
            <w:tcW w:w="3114" w:type="dxa"/>
            <w:hideMark/>
          </w:tcPr>
          <w:p w14:paraId="3D8B36AD" w14:textId="77777777" w:rsidR="00733417" w:rsidRPr="00733417" w:rsidRDefault="00733417" w:rsidP="00DF409C">
            <w:pPr>
              <w:jc w:val="center"/>
              <w:rPr>
                <w:sz w:val="20"/>
                <w:szCs w:val="20"/>
              </w:rPr>
            </w:pPr>
            <w:r w:rsidRPr="00733417">
              <w:rPr>
                <w:sz w:val="20"/>
                <w:szCs w:val="20"/>
              </w:rPr>
              <w:t>Общее образование</w:t>
            </w:r>
          </w:p>
        </w:tc>
        <w:tc>
          <w:tcPr>
            <w:tcW w:w="850" w:type="dxa"/>
            <w:noWrap/>
            <w:hideMark/>
          </w:tcPr>
          <w:p w14:paraId="20BD4E83" w14:textId="77777777" w:rsidR="00733417" w:rsidRPr="00733417" w:rsidRDefault="00733417" w:rsidP="00DF409C">
            <w:pPr>
              <w:jc w:val="center"/>
              <w:rPr>
                <w:sz w:val="20"/>
                <w:szCs w:val="20"/>
              </w:rPr>
            </w:pPr>
            <w:r w:rsidRPr="00733417">
              <w:rPr>
                <w:sz w:val="20"/>
                <w:szCs w:val="20"/>
              </w:rPr>
              <w:t>85,8</w:t>
            </w:r>
          </w:p>
        </w:tc>
        <w:tc>
          <w:tcPr>
            <w:tcW w:w="993" w:type="dxa"/>
            <w:noWrap/>
            <w:hideMark/>
          </w:tcPr>
          <w:p w14:paraId="1979ABE4" w14:textId="77777777" w:rsidR="00733417" w:rsidRPr="00733417" w:rsidRDefault="00733417" w:rsidP="00DF409C">
            <w:pPr>
              <w:jc w:val="center"/>
              <w:rPr>
                <w:sz w:val="20"/>
                <w:szCs w:val="20"/>
              </w:rPr>
            </w:pPr>
            <w:r w:rsidRPr="00733417">
              <w:rPr>
                <w:sz w:val="20"/>
                <w:szCs w:val="20"/>
              </w:rPr>
              <w:t>82,0</w:t>
            </w:r>
          </w:p>
        </w:tc>
        <w:tc>
          <w:tcPr>
            <w:tcW w:w="708" w:type="dxa"/>
            <w:hideMark/>
          </w:tcPr>
          <w:p w14:paraId="6BC41B6C" w14:textId="77777777" w:rsidR="00733417" w:rsidRPr="00733417" w:rsidRDefault="00733417" w:rsidP="00DF409C">
            <w:pPr>
              <w:jc w:val="center"/>
              <w:rPr>
                <w:i/>
                <w:sz w:val="20"/>
                <w:szCs w:val="20"/>
              </w:rPr>
            </w:pPr>
            <w:r w:rsidRPr="00733417">
              <w:rPr>
                <w:i/>
                <w:sz w:val="20"/>
                <w:szCs w:val="20"/>
              </w:rPr>
              <w:t>95,6 </w:t>
            </w:r>
          </w:p>
        </w:tc>
        <w:tc>
          <w:tcPr>
            <w:tcW w:w="993" w:type="dxa"/>
            <w:hideMark/>
          </w:tcPr>
          <w:p w14:paraId="5D5CF704" w14:textId="77777777" w:rsidR="00733417" w:rsidRPr="00733417" w:rsidRDefault="00733417" w:rsidP="00DF409C">
            <w:pPr>
              <w:jc w:val="center"/>
              <w:rPr>
                <w:sz w:val="20"/>
                <w:szCs w:val="20"/>
              </w:rPr>
            </w:pPr>
            <w:r w:rsidRPr="00733417">
              <w:rPr>
                <w:sz w:val="20"/>
                <w:szCs w:val="20"/>
              </w:rPr>
              <w:t>82,2</w:t>
            </w:r>
          </w:p>
        </w:tc>
        <w:tc>
          <w:tcPr>
            <w:tcW w:w="708" w:type="dxa"/>
            <w:noWrap/>
          </w:tcPr>
          <w:p w14:paraId="527D4D29" w14:textId="77777777" w:rsidR="00733417" w:rsidRPr="00733417" w:rsidRDefault="00733417" w:rsidP="00DF409C">
            <w:pPr>
              <w:jc w:val="center"/>
              <w:rPr>
                <w:i/>
                <w:iCs/>
                <w:sz w:val="20"/>
                <w:szCs w:val="20"/>
              </w:rPr>
            </w:pPr>
            <w:r w:rsidRPr="00733417">
              <w:rPr>
                <w:i/>
                <w:iCs/>
                <w:sz w:val="20"/>
                <w:szCs w:val="20"/>
              </w:rPr>
              <w:t>100,2</w:t>
            </w:r>
          </w:p>
        </w:tc>
        <w:tc>
          <w:tcPr>
            <w:tcW w:w="993" w:type="dxa"/>
            <w:noWrap/>
            <w:hideMark/>
          </w:tcPr>
          <w:p w14:paraId="2C060FA3" w14:textId="77777777" w:rsidR="00733417" w:rsidRPr="00733417" w:rsidRDefault="00733417" w:rsidP="00DF409C">
            <w:pPr>
              <w:jc w:val="center"/>
              <w:rPr>
                <w:sz w:val="20"/>
                <w:szCs w:val="20"/>
              </w:rPr>
            </w:pPr>
            <w:r w:rsidRPr="00733417">
              <w:rPr>
                <w:sz w:val="20"/>
                <w:szCs w:val="20"/>
              </w:rPr>
              <w:t>65,6</w:t>
            </w:r>
          </w:p>
        </w:tc>
        <w:tc>
          <w:tcPr>
            <w:tcW w:w="702" w:type="dxa"/>
            <w:hideMark/>
          </w:tcPr>
          <w:p w14:paraId="7F92AFB6" w14:textId="77777777" w:rsidR="00733417" w:rsidRPr="00733417" w:rsidRDefault="00733417" w:rsidP="00DF409C">
            <w:pPr>
              <w:jc w:val="center"/>
              <w:rPr>
                <w:i/>
                <w:iCs/>
                <w:sz w:val="20"/>
                <w:szCs w:val="20"/>
              </w:rPr>
            </w:pPr>
            <w:r w:rsidRPr="00733417">
              <w:rPr>
                <w:i/>
                <w:iCs/>
                <w:sz w:val="20"/>
                <w:szCs w:val="20"/>
              </w:rPr>
              <w:t>79,8</w:t>
            </w:r>
          </w:p>
        </w:tc>
      </w:tr>
      <w:tr w:rsidR="00733417" w:rsidRPr="00733417" w14:paraId="0E8F4F7B" w14:textId="77777777" w:rsidTr="00733417">
        <w:trPr>
          <w:trHeight w:val="315"/>
        </w:trPr>
        <w:tc>
          <w:tcPr>
            <w:tcW w:w="3114" w:type="dxa"/>
            <w:hideMark/>
          </w:tcPr>
          <w:p w14:paraId="77E1E2F4" w14:textId="0EEBBE58" w:rsidR="00733417" w:rsidRPr="00733417" w:rsidRDefault="00733417" w:rsidP="00DF409C">
            <w:pPr>
              <w:jc w:val="center"/>
              <w:rPr>
                <w:i/>
                <w:iCs/>
                <w:sz w:val="20"/>
                <w:szCs w:val="20"/>
              </w:rPr>
            </w:pPr>
            <w:r w:rsidRPr="00733417">
              <w:rPr>
                <w:i/>
                <w:iCs/>
                <w:sz w:val="20"/>
                <w:szCs w:val="20"/>
              </w:rPr>
              <w:t>% к ВВП</w:t>
            </w:r>
          </w:p>
        </w:tc>
        <w:tc>
          <w:tcPr>
            <w:tcW w:w="850" w:type="dxa"/>
            <w:noWrap/>
            <w:hideMark/>
          </w:tcPr>
          <w:p w14:paraId="2FCC91E5" w14:textId="77777777" w:rsidR="00733417" w:rsidRPr="00733417" w:rsidRDefault="00733417" w:rsidP="00DF409C">
            <w:pPr>
              <w:jc w:val="center"/>
              <w:rPr>
                <w:i/>
                <w:iCs/>
                <w:sz w:val="20"/>
                <w:szCs w:val="20"/>
              </w:rPr>
            </w:pPr>
            <w:r w:rsidRPr="00733417">
              <w:rPr>
                <w:i/>
                <w:iCs/>
                <w:sz w:val="20"/>
                <w:szCs w:val="20"/>
              </w:rPr>
              <w:t>0,08</w:t>
            </w:r>
          </w:p>
        </w:tc>
        <w:tc>
          <w:tcPr>
            <w:tcW w:w="993" w:type="dxa"/>
            <w:noWrap/>
            <w:hideMark/>
          </w:tcPr>
          <w:p w14:paraId="5605BD5B" w14:textId="77777777" w:rsidR="00733417" w:rsidRPr="00733417" w:rsidRDefault="00733417" w:rsidP="00DF409C">
            <w:pPr>
              <w:jc w:val="center"/>
              <w:rPr>
                <w:i/>
                <w:iCs/>
                <w:sz w:val="20"/>
                <w:szCs w:val="20"/>
              </w:rPr>
            </w:pPr>
            <w:r w:rsidRPr="00733417">
              <w:rPr>
                <w:i/>
                <w:iCs/>
                <w:sz w:val="20"/>
                <w:szCs w:val="20"/>
              </w:rPr>
              <w:t>0,07</w:t>
            </w:r>
          </w:p>
        </w:tc>
        <w:tc>
          <w:tcPr>
            <w:tcW w:w="708" w:type="dxa"/>
            <w:hideMark/>
          </w:tcPr>
          <w:p w14:paraId="353E2A9E" w14:textId="77777777" w:rsidR="00733417" w:rsidRPr="00733417" w:rsidRDefault="00733417" w:rsidP="00DF409C">
            <w:pPr>
              <w:jc w:val="center"/>
              <w:rPr>
                <w:i/>
                <w:iCs/>
                <w:sz w:val="20"/>
                <w:szCs w:val="20"/>
              </w:rPr>
            </w:pPr>
            <w:r w:rsidRPr="00733417">
              <w:rPr>
                <w:i/>
                <w:iCs/>
                <w:sz w:val="20"/>
                <w:szCs w:val="20"/>
              </w:rPr>
              <w:t> </w:t>
            </w:r>
          </w:p>
          <w:p w14:paraId="2CF5D215" w14:textId="77777777" w:rsidR="00733417" w:rsidRPr="00733417" w:rsidRDefault="00733417" w:rsidP="00DF409C">
            <w:pPr>
              <w:jc w:val="center"/>
              <w:rPr>
                <w:i/>
                <w:iCs/>
                <w:sz w:val="20"/>
                <w:szCs w:val="20"/>
              </w:rPr>
            </w:pPr>
            <w:r w:rsidRPr="00733417">
              <w:rPr>
                <w:i/>
                <w:iCs/>
                <w:sz w:val="20"/>
                <w:szCs w:val="20"/>
              </w:rPr>
              <w:t> </w:t>
            </w:r>
          </w:p>
        </w:tc>
        <w:tc>
          <w:tcPr>
            <w:tcW w:w="993" w:type="dxa"/>
            <w:hideMark/>
          </w:tcPr>
          <w:p w14:paraId="6D892B92" w14:textId="77777777" w:rsidR="00733417" w:rsidRPr="00733417" w:rsidRDefault="00733417" w:rsidP="00DF409C">
            <w:pPr>
              <w:jc w:val="center"/>
              <w:rPr>
                <w:i/>
                <w:iCs/>
                <w:sz w:val="20"/>
                <w:szCs w:val="20"/>
              </w:rPr>
            </w:pPr>
            <w:r w:rsidRPr="00733417">
              <w:rPr>
                <w:i/>
                <w:iCs/>
                <w:sz w:val="20"/>
                <w:szCs w:val="20"/>
              </w:rPr>
              <w:t>0,07</w:t>
            </w:r>
          </w:p>
        </w:tc>
        <w:tc>
          <w:tcPr>
            <w:tcW w:w="708" w:type="dxa"/>
            <w:noWrap/>
            <w:hideMark/>
          </w:tcPr>
          <w:p w14:paraId="425965DE" w14:textId="77777777" w:rsidR="00733417" w:rsidRPr="00733417" w:rsidRDefault="00733417" w:rsidP="00DF409C">
            <w:pPr>
              <w:jc w:val="center"/>
              <w:rPr>
                <w:i/>
                <w:iCs/>
                <w:sz w:val="20"/>
                <w:szCs w:val="20"/>
              </w:rPr>
            </w:pPr>
            <w:r w:rsidRPr="00733417">
              <w:rPr>
                <w:i/>
                <w:iCs/>
                <w:sz w:val="20"/>
                <w:szCs w:val="20"/>
              </w:rPr>
              <w:t> </w:t>
            </w:r>
          </w:p>
        </w:tc>
        <w:tc>
          <w:tcPr>
            <w:tcW w:w="993" w:type="dxa"/>
            <w:hideMark/>
          </w:tcPr>
          <w:p w14:paraId="7AA5C9CA" w14:textId="77777777" w:rsidR="00733417" w:rsidRPr="00733417" w:rsidRDefault="00733417" w:rsidP="00DF409C">
            <w:pPr>
              <w:jc w:val="center"/>
              <w:rPr>
                <w:i/>
                <w:iCs/>
                <w:sz w:val="20"/>
                <w:szCs w:val="20"/>
              </w:rPr>
            </w:pPr>
            <w:r w:rsidRPr="00733417">
              <w:rPr>
                <w:i/>
                <w:iCs/>
                <w:sz w:val="20"/>
                <w:szCs w:val="20"/>
              </w:rPr>
              <w:t>0,05</w:t>
            </w:r>
          </w:p>
        </w:tc>
        <w:tc>
          <w:tcPr>
            <w:tcW w:w="702" w:type="dxa"/>
            <w:hideMark/>
          </w:tcPr>
          <w:p w14:paraId="453B49E9" w14:textId="77777777" w:rsidR="00733417" w:rsidRPr="00733417" w:rsidRDefault="00733417" w:rsidP="00DF409C">
            <w:pPr>
              <w:jc w:val="center"/>
              <w:rPr>
                <w:sz w:val="20"/>
                <w:szCs w:val="20"/>
              </w:rPr>
            </w:pPr>
            <w:r w:rsidRPr="00733417">
              <w:rPr>
                <w:sz w:val="20"/>
                <w:szCs w:val="20"/>
              </w:rPr>
              <w:t> </w:t>
            </w:r>
          </w:p>
        </w:tc>
      </w:tr>
      <w:tr w:rsidR="00733417" w:rsidRPr="00733417" w14:paraId="14819FFD" w14:textId="77777777" w:rsidTr="00733417">
        <w:trPr>
          <w:trHeight w:val="525"/>
        </w:trPr>
        <w:tc>
          <w:tcPr>
            <w:tcW w:w="3114" w:type="dxa"/>
            <w:hideMark/>
          </w:tcPr>
          <w:p w14:paraId="2AE8E160" w14:textId="77777777" w:rsidR="00733417" w:rsidRPr="00733417" w:rsidRDefault="00733417" w:rsidP="00DF409C">
            <w:pPr>
              <w:jc w:val="center"/>
              <w:rPr>
                <w:i/>
                <w:iCs/>
                <w:sz w:val="20"/>
                <w:szCs w:val="20"/>
              </w:rPr>
            </w:pPr>
            <w:r w:rsidRPr="00733417">
              <w:rPr>
                <w:i/>
                <w:iCs/>
                <w:sz w:val="20"/>
                <w:szCs w:val="20"/>
              </w:rPr>
              <w:t>доля в общем объеме расходов, % (без учета условно утвержденных)</w:t>
            </w:r>
          </w:p>
        </w:tc>
        <w:tc>
          <w:tcPr>
            <w:tcW w:w="850" w:type="dxa"/>
            <w:noWrap/>
            <w:hideMark/>
          </w:tcPr>
          <w:p w14:paraId="431AE27D" w14:textId="77777777" w:rsidR="00733417" w:rsidRPr="00733417" w:rsidRDefault="00733417" w:rsidP="00DF409C">
            <w:pPr>
              <w:jc w:val="center"/>
              <w:rPr>
                <w:i/>
                <w:iCs/>
                <w:sz w:val="20"/>
                <w:szCs w:val="20"/>
              </w:rPr>
            </w:pPr>
            <w:r w:rsidRPr="00733417">
              <w:rPr>
                <w:i/>
                <w:iCs/>
                <w:sz w:val="20"/>
                <w:szCs w:val="20"/>
              </w:rPr>
              <w:t>0,45</w:t>
            </w:r>
          </w:p>
        </w:tc>
        <w:tc>
          <w:tcPr>
            <w:tcW w:w="993" w:type="dxa"/>
            <w:noWrap/>
            <w:hideMark/>
          </w:tcPr>
          <w:p w14:paraId="796F9B3D" w14:textId="77777777" w:rsidR="00733417" w:rsidRPr="00733417" w:rsidRDefault="00733417" w:rsidP="00DF409C">
            <w:pPr>
              <w:jc w:val="center"/>
              <w:rPr>
                <w:i/>
                <w:iCs/>
                <w:sz w:val="20"/>
                <w:szCs w:val="20"/>
              </w:rPr>
            </w:pPr>
            <w:r w:rsidRPr="00733417">
              <w:rPr>
                <w:i/>
                <w:iCs/>
                <w:sz w:val="20"/>
                <w:szCs w:val="20"/>
              </w:rPr>
              <w:t>0,42</w:t>
            </w:r>
          </w:p>
        </w:tc>
        <w:tc>
          <w:tcPr>
            <w:tcW w:w="708" w:type="dxa"/>
            <w:hideMark/>
          </w:tcPr>
          <w:p w14:paraId="49A37E74" w14:textId="77777777" w:rsidR="00733417" w:rsidRPr="00733417" w:rsidRDefault="00733417" w:rsidP="00DF409C">
            <w:pPr>
              <w:jc w:val="center"/>
              <w:rPr>
                <w:i/>
                <w:iCs/>
                <w:sz w:val="20"/>
                <w:szCs w:val="20"/>
              </w:rPr>
            </w:pPr>
            <w:r w:rsidRPr="00733417">
              <w:rPr>
                <w:i/>
                <w:iCs/>
                <w:sz w:val="20"/>
                <w:szCs w:val="20"/>
              </w:rPr>
              <w:t> </w:t>
            </w:r>
          </w:p>
          <w:p w14:paraId="2036F565" w14:textId="77777777" w:rsidR="00733417" w:rsidRPr="00733417" w:rsidRDefault="00733417" w:rsidP="00DF409C">
            <w:pPr>
              <w:jc w:val="center"/>
              <w:rPr>
                <w:i/>
                <w:iCs/>
                <w:sz w:val="20"/>
                <w:szCs w:val="20"/>
              </w:rPr>
            </w:pPr>
            <w:r w:rsidRPr="00733417">
              <w:rPr>
                <w:i/>
                <w:iCs/>
                <w:sz w:val="20"/>
                <w:szCs w:val="20"/>
              </w:rPr>
              <w:t> </w:t>
            </w:r>
          </w:p>
        </w:tc>
        <w:tc>
          <w:tcPr>
            <w:tcW w:w="993" w:type="dxa"/>
            <w:hideMark/>
          </w:tcPr>
          <w:p w14:paraId="7770E194" w14:textId="77777777" w:rsidR="00733417" w:rsidRPr="00733417" w:rsidRDefault="00733417" w:rsidP="00DF409C">
            <w:pPr>
              <w:jc w:val="center"/>
              <w:rPr>
                <w:i/>
                <w:iCs/>
                <w:sz w:val="20"/>
                <w:szCs w:val="20"/>
              </w:rPr>
            </w:pPr>
            <w:r w:rsidRPr="00733417">
              <w:rPr>
                <w:i/>
                <w:iCs/>
                <w:sz w:val="20"/>
                <w:szCs w:val="20"/>
              </w:rPr>
              <w:t>0,40</w:t>
            </w:r>
          </w:p>
        </w:tc>
        <w:tc>
          <w:tcPr>
            <w:tcW w:w="708" w:type="dxa"/>
            <w:noWrap/>
            <w:hideMark/>
          </w:tcPr>
          <w:p w14:paraId="408AEC51"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2C98BB84" w14:textId="77777777" w:rsidR="00733417" w:rsidRPr="00733417" w:rsidRDefault="00733417" w:rsidP="00DF409C">
            <w:pPr>
              <w:jc w:val="center"/>
              <w:rPr>
                <w:i/>
                <w:iCs/>
                <w:sz w:val="20"/>
                <w:szCs w:val="20"/>
              </w:rPr>
            </w:pPr>
            <w:r w:rsidRPr="00733417">
              <w:rPr>
                <w:i/>
                <w:iCs/>
                <w:sz w:val="20"/>
                <w:szCs w:val="20"/>
              </w:rPr>
              <w:t>0,30</w:t>
            </w:r>
          </w:p>
        </w:tc>
        <w:tc>
          <w:tcPr>
            <w:tcW w:w="702" w:type="dxa"/>
            <w:hideMark/>
          </w:tcPr>
          <w:p w14:paraId="7A5E737E" w14:textId="77777777" w:rsidR="00733417" w:rsidRPr="00733417" w:rsidRDefault="00733417" w:rsidP="00DF409C">
            <w:pPr>
              <w:jc w:val="center"/>
              <w:rPr>
                <w:i/>
                <w:iCs/>
                <w:sz w:val="20"/>
                <w:szCs w:val="20"/>
              </w:rPr>
            </w:pPr>
            <w:r w:rsidRPr="00733417">
              <w:rPr>
                <w:i/>
                <w:iCs/>
                <w:sz w:val="20"/>
                <w:szCs w:val="20"/>
              </w:rPr>
              <w:t> </w:t>
            </w:r>
          </w:p>
        </w:tc>
      </w:tr>
      <w:tr w:rsidR="00733417" w:rsidRPr="00733417" w14:paraId="5602004A" w14:textId="77777777" w:rsidTr="00733417">
        <w:trPr>
          <w:trHeight w:val="315"/>
        </w:trPr>
        <w:tc>
          <w:tcPr>
            <w:tcW w:w="3114" w:type="dxa"/>
            <w:hideMark/>
          </w:tcPr>
          <w:p w14:paraId="4BE36016" w14:textId="77777777" w:rsidR="00733417" w:rsidRPr="00733417" w:rsidRDefault="00733417" w:rsidP="00DF409C">
            <w:pPr>
              <w:jc w:val="center"/>
              <w:rPr>
                <w:sz w:val="20"/>
                <w:szCs w:val="20"/>
              </w:rPr>
            </w:pPr>
            <w:r w:rsidRPr="00733417">
              <w:rPr>
                <w:sz w:val="20"/>
                <w:szCs w:val="20"/>
              </w:rPr>
              <w:t>Дополнительное образование детей</w:t>
            </w:r>
          </w:p>
        </w:tc>
        <w:tc>
          <w:tcPr>
            <w:tcW w:w="850" w:type="dxa"/>
            <w:noWrap/>
          </w:tcPr>
          <w:p w14:paraId="6CEA0827" w14:textId="77777777" w:rsidR="00733417" w:rsidRPr="00733417" w:rsidRDefault="00733417" w:rsidP="00DF409C">
            <w:pPr>
              <w:jc w:val="center"/>
              <w:rPr>
                <w:sz w:val="20"/>
                <w:szCs w:val="20"/>
              </w:rPr>
            </w:pPr>
            <w:r w:rsidRPr="00733417">
              <w:rPr>
                <w:sz w:val="20"/>
                <w:szCs w:val="20"/>
              </w:rPr>
              <w:t>31,3</w:t>
            </w:r>
          </w:p>
        </w:tc>
        <w:tc>
          <w:tcPr>
            <w:tcW w:w="993" w:type="dxa"/>
            <w:noWrap/>
          </w:tcPr>
          <w:p w14:paraId="6947AA0A" w14:textId="77777777" w:rsidR="00733417" w:rsidRPr="00733417" w:rsidRDefault="00733417" w:rsidP="00DF409C">
            <w:pPr>
              <w:jc w:val="center"/>
              <w:rPr>
                <w:sz w:val="20"/>
                <w:szCs w:val="20"/>
              </w:rPr>
            </w:pPr>
            <w:r w:rsidRPr="00733417">
              <w:rPr>
                <w:sz w:val="20"/>
                <w:szCs w:val="20"/>
              </w:rPr>
              <w:t>26,4</w:t>
            </w:r>
          </w:p>
        </w:tc>
        <w:tc>
          <w:tcPr>
            <w:tcW w:w="708" w:type="dxa"/>
          </w:tcPr>
          <w:p w14:paraId="7D5334CB" w14:textId="77777777" w:rsidR="00733417" w:rsidRPr="00733417" w:rsidRDefault="00733417" w:rsidP="00DF409C">
            <w:pPr>
              <w:jc w:val="center"/>
              <w:rPr>
                <w:i/>
                <w:iCs/>
                <w:sz w:val="20"/>
                <w:szCs w:val="20"/>
              </w:rPr>
            </w:pPr>
            <w:r w:rsidRPr="00733417">
              <w:rPr>
                <w:i/>
                <w:iCs/>
                <w:sz w:val="20"/>
                <w:szCs w:val="20"/>
              </w:rPr>
              <w:t>84,5</w:t>
            </w:r>
          </w:p>
        </w:tc>
        <w:tc>
          <w:tcPr>
            <w:tcW w:w="993" w:type="dxa"/>
          </w:tcPr>
          <w:p w14:paraId="7C1D56EA" w14:textId="77777777" w:rsidR="00733417" w:rsidRPr="00733417" w:rsidRDefault="00733417" w:rsidP="00DF409C">
            <w:pPr>
              <w:jc w:val="center"/>
              <w:rPr>
                <w:sz w:val="20"/>
                <w:szCs w:val="20"/>
              </w:rPr>
            </w:pPr>
            <w:r w:rsidRPr="00733417">
              <w:rPr>
                <w:sz w:val="20"/>
                <w:szCs w:val="20"/>
              </w:rPr>
              <w:t>26,5</w:t>
            </w:r>
          </w:p>
        </w:tc>
        <w:tc>
          <w:tcPr>
            <w:tcW w:w="708" w:type="dxa"/>
            <w:noWrap/>
          </w:tcPr>
          <w:p w14:paraId="0C9C42ED" w14:textId="77777777" w:rsidR="00733417" w:rsidRPr="00733417" w:rsidRDefault="00733417" w:rsidP="00DF409C">
            <w:pPr>
              <w:jc w:val="center"/>
              <w:rPr>
                <w:i/>
                <w:iCs/>
                <w:sz w:val="20"/>
                <w:szCs w:val="20"/>
              </w:rPr>
            </w:pPr>
            <w:r w:rsidRPr="00733417">
              <w:rPr>
                <w:i/>
                <w:iCs/>
                <w:sz w:val="20"/>
                <w:szCs w:val="20"/>
              </w:rPr>
              <w:t>100,0</w:t>
            </w:r>
          </w:p>
        </w:tc>
        <w:tc>
          <w:tcPr>
            <w:tcW w:w="993" w:type="dxa"/>
            <w:noWrap/>
          </w:tcPr>
          <w:p w14:paraId="61C03192" w14:textId="77777777" w:rsidR="00733417" w:rsidRPr="00733417" w:rsidRDefault="00733417" w:rsidP="00DF409C">
            <w:pPr>
              <w:jc w:val="center"/>
              <w:rPr>
                <w:sz w:val="20"/>
                <w:szCs w:val="20"/>
              </w:rPr>
            </w:pPr>
            <w:r w:rsidRPr="00733417">
              <w:rPr>
                <w:sz w:val="20"/>
                <w:szCs w:val="20"/>
              </w:rPr>
              <w:t>20,2</w:t>
            </w:r>
          </w:p>
        </w:tc>
        <w:tc>
          <w:tcPr>
            <w:tcW w:w="702" w:type="dxa"/>
          </w:tcPr>
          <w:p w14:paraId="253AA613" w14:textId="77777777" w:rsidR="00733417" w:rsidRPr="00733417" w:rsidRDefault="00733417" w:rsidP="00DF409C">
            <w:pPr>
              <w:jc w:val="center"/>
              <w:rPr>
                <w:i/>
                <w:iCs/>
                <w:sz w:val="20"/>
                <w:szCs w:val="20"/>
              </w:rPr>
            </w:pPr>
            <w:r w:rsidRPr="00733417">
              <w:rPr>
                <w:i/>
                <w:iCs/>
                <w:sz w:val="20"/>
                <w:szCs w:val="20"/>
              </w:rPr>
              <w:t>76,3</w:t>
            </w:r>
          </w:p>
        </w:tc>
      </w:tr>
      <w:tr w:rsidR="00733417" w:rsidRPr="00733417" w14:paraId="6E7F2EE4" w14:textId="77777777" w:rsidTr="00733417">
        <w:trPr>
          <w:trHeight w:val="315"/>
        </w:trPr>
        <w:tc>
          <w:tcPr>
            <w:tcW w:w="3114" w:type="dxa"/>
            <w:hideMark/>
          </w:tcPr>
          <w:p w14:paraId="25D20B79" w14:textId="04F1EA1F" w:rsidR="00733417" w:rsidRPr="00733417" w:rsidRDefault="00733417" w:rsidP="00DF409C">
            <w:pPr>
              <w:jc w:val="center"/>
              <w:rPr>
                <w:i/>
                <w:iCs/>
                <w:sz w:val="20"/>
                <w:szCs w:val="20"/>
              </w:rPr>
            </w:pPr>
            <w:r w:rsidRPr="00733417">
              <w:rPr>
                <w:i/>
                <w:iCs/>
                <w:sz w:val="20"/>
                <w:szCs w:val="20"/>
              </w:rPr>
              <w:t>% к ВВП</w:t>
            </w:r>
          </w:p>
        </w:tc>
        <w:tc>
          <w:tcPr>
            <w:tcW w:w="850" w:type="dxa"/>
            <w:noWrap/>
            <w:hideMark/>
          </w:tcPr>
          <w:p w14:paraId="060EECB7" w14:textId="77777777" w:rsidR="00733417" w:rsidRPr="00733417" w:rsidRDefault="00733417" w:rsidP="00DF409C">
            <w:pPr>
              <w:jc w:val="center"/>
              <w:rPr>
                <w:i/>
                <w:iCs/>
                <w:sz w:val="20"/>
                <w:szCs w:val="20"/>
              </w:rPr>
            </w:pPr>
            <w:r w:rsidRPr="00733417">
              <w:rPr>
                <w:i/>
                <w:iCs/>
                <w:sz w:val="20"/>
                <w:szCs w:val="20"/>
              </w:rPr>
              <w:t>0,03</w:t>
            </w:r>
          </w:p>
        </w:tc>
        <w:tc>
          <w:tcPr>
            <w:tcW w:w="993" w:type="dxa"/>
            <w:noWrap/>
            <w:hideMark/>
          </w:tcPr>
          <w:p w14:paraId="059BCE19" w14:textId="77777777" w:rsidR="00733417" w:rsidRPr="00733417" w:rsidRDefault="00733417" w:rsidP="00DF409C">
            <w:pPr>
              <w:jc w:val="center"/>
              <w:rPr>
                <w:i/>
                <w:iCs/>
                <w:sz w:val="20"/>
                <w:szCs w:val="20"/>
              </w:rPr>
            </w:pPr>
            <w:r w:rsidRPr="00733417">
              <w:rPr>
                <w:i/>
                <w:iCs/>
                <w:sz w:val="20"/>
                <w:szCs w:val="20"/>
              </w:rPr>
              <w:t>0,02</w:t>
            </w:r>
          </w:p>
        </w:tc>
        <w:tc>
          <w:tcPr>
            <w:tcW w:w="708" w:type="dxa"/>
            <w:hideMark/>
          </w:tcPr>
          <w:p w14:paraId="453E4F9A"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02809B78" w14:textId="77777777" w:rsidR="00733417" w:rsidRPr="00733417" w:rsidRDefault="00733417" w:rsidP="00DF409C">
            <w:pPr>
              <w:jc w:val="center"/>
              <w:rPr>
                <w:i/>
                <w:iCs/>
                <w:sz w:val="20"/>
                <w:szCs w:val="20"/>
              </w:rPr>
            </w:pPr>
            <w:r w:rsidRPr="00733417">
              <w:rPr>
                <w:i/>
                <w:iCs/>
                <w:sz w:val="20"/>
                <w:szCs w:val="20"/>
              </w:rPr>
              <w:t>0,02</w:t>
            </w:r>
          </w:p>
        </w:tc>
        <w:tc>
          <w:tcPr>
            <w:tcW w:w="708" w:type="dxa"/>
            <w:noWrap/>
            <w:hideMark/>
          </w:tcPr>
          <w:p w14:paraId="1AD8F9E0"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10F6D175" w14:textId="77777777" w:rsidR="00733417" w:rsidRPr="00733417" w:rsidRDefault="00733417" w:rsidP="00DF409C">
            <w:pPr>
              <w:jc w:val="center"/>
              <w:rPr>
                <w:i/>
                <w:iCs/>
                <w:sz w:val="20"/>
                <w:szCs w:val="20"/>
              </w:rPr>
            </w:pPr>
            <w:r w:rsidRPr="00733417">
              <w:rPr>
                <w:i/>
                <w:iCs/>
                <w:sz w:val="20"/>
                <w:szCs w:val="20"/>
              </w:rPr>
              <w:t>0,02</w:t>
            </w:r>
          </w:p>
        </w:tc>
        <w:tc>
          <w:tcPr>
            <w:tcW w:w="702" w:type="dxa"/>
            <w:hideMark/>
          </w:tcPr>
          <w:p w14:paraId="67CE4021" w14:textId="77777777" w:rsidR="00733417" w:rsidRPr="00733417" w:rsidRDefault="00733417" w:rsidP="00DF409C">
            <w:pPr>
              <w:jc w:val="center"/>
              <w:rPr>
                <w:sz w:val="20"/>
                <w:szCs w:val="20"/>
              </w:rPr>
            </w:pPr>
            <w:r w:rsidRPr="00733417">
              <w:rPr>
                <w:sz w:val="20"/>
                <w:szCs w:val="20"/>
              </w:rPr>
              <w:t> </w:t>
            </w:r>
          </w:p>
        </w:tc>
      </w:tr>
      <w:tr w:rsidR="00733417" w:rsidRPr="00733417" w14:paraId="61A780B6" w14:textId="77777777" w:rsidTr="00733417">
        <w:trPr>
          <w:trHeight w:val="525"/>
        </w:trPr>
        <w:tc>
          <w:tcPr>
            <w:tcW w:w="3114" w:type="dxa"/>
            <w:hideMark/>
          </w:tcPr>
          <w:p w14:paraId="2036D92A" w14:textId="77777777" w:rsidR="00733417" w:rsidRPr="00733417" w:rsidRDefault="00733417" w:rsidP="00DF409C">
            <w:pPr>
              <w:jc w:val="center"/>
              <w:rPr>
                <w:i/>
                <w:iCs/>
                <w:sz w:val="20"/>
                <w:szCs w:val="20"/>
              </w:rPr>
            </w:pPr>
            <w:r w:rsidRPr="00733417">
              <w:rPr>
                <w:i/>
                <w:iCs/>
                <w:sz w:val="20"/>
                <w:szCs w:val="20"/>
              </w:rPr>
              <w:t>доля в общем объеме расходов, % (без учета условно утвержденных)</w:t>
            </w:r>
          </w:p>
        </w:tc>
        <w:tc>
          <w:tcPr>
            <w:tcW w:w="850" w:type="dxa"/>
            <w:noWrap/>
            <w:hideMark/>
          </w:tcPr>
          <w:p w14:paraId="7335EF4E" w14:textId="77777777" w:rsidR="00733417" w:rsidRPr="00733417" w:rsidRDefault="00733417" w:rsidP="00DF409C">
            <w:pPr>
              <w:jc w:val="center"/>
              <w:rPr>
                <w:i/>
                <w:iCs/>
                <w:sz w:val="20"/>
                <w:szCs w:val="20"/>
              </w:rPr>
            </w:pPr>
            <w:r w:rsidRPr="00733417">
              <w:rPr>
                <w:i/>
                <w:iCs/>
                <w:sz w:val="20"/>
                <w:szCs w:val="20"/>
              </w:rPr>
              <w:t>0,16</w:t>
            </w:r>
          </w:p>
        </w:tc>
        <w:tc>
          <w:tcPr>
            <w:tcW w:w="993" w:type="dxa"/>
            <w:noWrap/>
            <w:hideMark/>
          </w:tcPr>
          <w:p w14:paraId="772A7560" w14:textId="77777777" w:rsidR="00733417" w:rsidRPr="00733417" w:rsidRDefault="00733417" w:rsidP="00DF409C">
            <w:pPr>
              <w:jc w:val="center"/>
              <w:rPr>
                <w:i/>
                <w:iCs/>
                <w:sz w:val="20"/>
                <w:szCs w:val="20"/>
              </w:rPr>
            </w:pPr>
            <w:r w:rsidRPr="00733417">
              <w:rPr>
                <w:i/>
                <w:iCs/>
                <w:sz w:val="20"/>
                <w:szCs w:val="20"/>
              </w:rPr>
              <w:t>0,14</w:t>
            </w:r>
          </w:p>
        </w:tc>
        <w:tc>
          <w:tcPr>
            <w:tcW w:w="708" w:type="dxa"/>
            <w:hideMark/>
          </w:tcPr>
          <w:p w14:paraId="32E5CF66"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355248B5" w14:textId="77777777" w:rsidR="00733417" w:rsidRPr="00733417" w:rsidRDefault="00733417" w:rsidP="00DF409C">
            <w:pPr>
              <w:jc w:val="center"/>
              <w:rPr>
                <w:i/>
                <w:iCs/>
                <w:sz w:val="20"/>
                <w:szCs w:val="20"/>
              </w:rPr>
            </w:pPr>
            <w:r w:rsidRPr="00733417">
              <w:rPr>
                <w:i/>
                <w:iCs/>
                <w:sz w:val="20"/>
                <w:szCs w:val="20"/>
              </w:rPr>
              <w:t>0,13</w:t>
            </w:r>
          </w:p>
        </w:tc>
        <w:tc>
          <w:tcPr>
            <w:tcW w:w="708" w:type="dxa"/>
            <w:noWrap/>
            <w:hideMark/>
          </w:tcPr>
          <w:p w14:paraId="30BC1AA0"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3B5641EB" w14:textId="77777777" w:rsidR="00733417" w:rsidRPr="00733417" w:rsidRDefault="00733417" w:rsidP="00DF409C">
            <w:pPr>
              <w:jc w:val="center"/>
              <w:rPr>
                <w:i/>
                <w:iCs/>
                <w:sz w:val="20"/>
                <w:szCs w:val="20"/>
              </w:rPr>
            </w:pPr>
            <w:r w:rsidRPr="00733417">
              <w:rPr>
                <w:i/>
                <w:iCs/>
                <w:sz w:val="20"/>
                <w:szCs w:val="20"/>
              </w:rPr>
              <w:t>0,09</w:t>
            </w:r>
          </w:p>
        </w:tc>
        <w:tc>
          <w:tcPr>
            <w:tcW w:w="702" w:type="dxa"/>
            <w:hideMark/>
          </w:tcPr>
          <w:p w14:paraId="772BAD62" w14:textId="77777777" w:rsidR="00733417" w:rsidRPr="00733417" w:rsidRDefault="00733417" w:rsidP="00DF409C">
            <w:pPr>
              <w:jc w:val="center"/>
              <w:rPr>
                <w:i/>
                <w:iCs/>
                <w:sz w:val="20"/>
                <w:szCs w:val="20"/>
              </w:rPr>
            </w:pPr>
            <w:r w:rsidRPr="00733417">
              <w:rPr>
                <w:i/>
                <w:iCs/>
                <w:sz w:val="20"/>
                <w:szCs w:val="20"/>
              </w:rPr>
              <w:t> </w:t>
            </w:r>
          </w:p>
        </w:tc>
      </w:tr>
      <w:tr w:rsidR="00733417" w:rsidRPr="00733417" w14:paraId="1D4F73E6" w14:textId="77777777" w:rsidTr="00733417">
        <w:trPr>
          <w:trHeight w:val="315"/>
        </w:trPr>
        <w:tc>
          <w:tcPr>
            <w:tcW w:w="3114" w:type="dxa"/>
            <w:hideMark/>
          </w:tcPr>
          <w:p w14:paraId="7201A68C" w14:textId="77777777" w:rsidR="00733417" w:rsidRPr="00733417" w:rsidRDefault="00733417" w:rsidP="00DF409C">
            <w:pPr>
              <w:jc w:val="center"/>
              <w:rPr>
                <w:sz w:val="20"/>
                <w:szCs w:val="20"/>
              </w:rPr>
            </w:pPr>
            <w:r w:rsidRPr="00733417">
              <w:rPr>
                <w:sz w:val="20"/>
                <w:szCs w:val="20"/>
              </w:rPr>
              <w:t>Среднее профессиональное образование</w:t>
            </w:r>
          </w:p>
        </w:tc>
        <w:tc>
          <w:tcPr>
            <w:tcW w:w="850" w:type="dxa"/>
            <w:noWrap/>
          </w:tcPr>
          <w:p w14:paraId="445F404C" w14:textId="77777777" w:rsidR="00733417" w:rsidRPr="00733417" w:rsidRDefault="00733417" w:rsidP="00DF409C">
            <w:pPr>
              <w:jc w:val="center"/>
              <w:rPr>
                <w:sz w:val="20"/>
                <w:szCs w:val="20"/>
              </w:rPr>
            </w:pPr>
            <w:r w:rsidRPr="00733417">
              <w:rPr>
                <w:sz w:val="20"/>
                <w:szCs w:val="20"/>
              </w:rPr>
              <w:t>33,3</w:t>
            </w:r>
          </w:p>
        </w:tc>
        <w:tc>
          <w:tcPr>
            <w:tcW w:w="993" w:type="dxa"/>
            <w:noWrap/>
          </w:tcPr>
          <w:p w14:paraId="15326BC5" w14:textId="77777777" w:rsidR="00733417" w:rsidRPr="00733417" w:rsidRDefault="00733417" w:rsidP="00DF409C">
            <w:pPr>
              <w:jc w:val="center"/>
              <w:rPr>
                <w:sz w:val="20"/>
                <w:szCs w:val="20"/>
              </w:rPr>
            </w:pPr>
            <w:r w:rsidRPr="00733417">
              <w:rPr>
                <w:sz w:val="20"/>
                <w:szCs w:val="20"/>
              </w:rPr>
              <w:t>37,0</w:t>
            </w:r>
          </w:p>
        </w:tc>
        <w:tc>
          <w:tcPr>
            <w:tcW w:w="708" w:type="dxa"/>
          </w:tcPr>
          <w:p w14:paraId="4A5D14F8" w14:textId="77777777" w:rsidR="00733417" w:rsidRPr="00733417" w:rsidRDefault="00733417" w:rsidP="00DF409C">
            <w:pPr>
              <w:jc w:val="center"/>
              <w:rPr>
                <w:i/>
                <w:iCs/>
                <w:sz w:val="20"/>
                <w:szCs w:val="20"/>
              </w:rPr>
            </w:pPr>
            <w:r w:rsidRPr="00733417">
              <w:rPr>
                <w:i/>
                <w:iCs/>
                <w:sz w:val="20"/>
                <w:szCs w:val="20"/>
              </w:rPr>
              <w:t>111,2</w:t>
            </w:r>
          </w:p>
        </w:tc>
        <w:tc>
          <w:tcPr>
            <w:tcW w:w="993" w:type="dxa"/>
          </w:tcPr>
          <w:p w14:paraId="6FFA54F8" w14:textId="77777777" w:rsidR="00733417" w:rsidRPr="00733417" w:rsidRDefault="00733417" w:rsidP="00DF409C">
            <w:pPr>
              <w:jc w:val="center"/>
              <w:rPr>
                <w:sz w:val="20"/>
                <w:szCs w:val="20"/>
              </w:rPr>
            </w:pPr>
            <w:r w:rsidRPr="00733417">
              <w:rPr>
                <w:sz w:val="20"/>
                <w:szCs w:val="20"/>
              </w:rPr>
              <w:t>37,4</w:t>
            </w:r>
          </w:p>
        </w:tc>
        <w:tc>
          <w:tcPr>
            <w:tcW w:w="708" w:type="dxa"/>
            <w:noWrap/>
          </w:tcPr>
          <w:p w14:paraId="719A96FE" w14:textId="77777777" w:rsidR="00733417" w:rsidRPr="00733417" w:rsidRDefault="00733417" w:rsidP="00DF409C">
            <w:pPr>
              <w:jc w:val="center"/>
              <w:rPr>
                <w:i/>
                <w:iCs/>
                <w:sz w:val="20"/>
                <w:szCs w:val="20"/>
              </w:rPr>
            </w:pPr>
            <w:r w:rsidRPr="00733417">
              <w:rPr>
                <w:i/>
                <w:iCs/>
                <w:sz w:val="20"/>
                <w:szCs w:val="20"/>
              </w:rPr>
              <w:t>101,2</w:t>
            </w:r>
          </w:p>
        </w:tc>
        <w:tc>
          <w:tcPr>
            <w:tcW w:w="993" w:type="dxa"/>
            <w:noWrap/>
          </w:tcPr>
          <w:p w14:paraId="529F7380" w14:textId="77777777" w:rsidR="00733417" w:rsidRPr="00733417" w:rsidRDefault="00733417" w:rsidP="00DF409C">
            <w:pPr>
              <w:jc w:val="center"/>
              <w:rPr>
                <w:sz w:val="20"/>
                <w:szCs w:val="20"/>
              </w:rPr>
            </w:pPr>
            <w:r w:rsidRPr="00733417">
              <w:rPr>
                <w:sz w:val="20"/>
                <w:szCs w:val="20"/>
              </w:rPr>
              <w:t>38,7</w:t>
            </w:r>
          </w:p>
        </w:tc>
        <w:tc>
          <w:tcPr>
            <w:tcW w:w="702" w:type="dxa"/>
          </w:tcPr>
          <w:p w14:paraId="4A1EDEA0" w14:textId="77777777" w:rsidR="00733417" w:rsidRPr="00733417" w:rsidRDefault="00733417" w:rsidP="00DF409C">
            <w:pPr>
              <w:jc w:val="center"/>
              <w:rPr>
                <w:i/>
                <w:iCs/>
                <w:sz w:val="20"/>
                <w:szCs w:val="20"/>
              </w:rPr>
            </w:pPr>
            <w:r w:rsidRPr="00733417">
              <w:rPr>
                <w:i/>
                <w:iCs/>
                <w:sz w:val="20"/>
                <w:szCs w:val="20"/>
              </w:rPr>
              <w:t>103,5</w:t>
            </w:r>
          </w:p>
        </w:tc>
      </w:tr>
      <w:tr w:rsidR="00733417" w:rsidRPr="00733417" w14:paraId="540F1AAE" w14:textId="77777777" w:rsidTr="00733417">
        <w:trPr>
          <w:trHeight w:val="310"/>
        </w:trPr>
        <w:tc>
          <w:tcPr>
            <w:tcW w:w="3114" w:type="dxa"/>
            <w:hideMark/>
          </w:tcPr>
          <w:p w14:paraId="0C1DF4E2" w14:textId="4FAF6AEC" w:rsidR="00733417" w:rsidRPr="00733417" w:rsidRDefault="00733417" w:rsidP="00DF409C">
            <w:pPr>
              <w:jc w:val="center"/>
              <w:rPr>
                <w:i/>
                <w:iCs/>
                <w:sz w:val="20"/>
                <w:szCs w:val="20"/>
              </w:rPr>
            </w:pPr>
            <w:r w:rsidRPr="00733417">
              <w:rPr>
                <w:i/>
                <w:iCs/>
                <w:sz w:val="20"/>
                <w:szCs w:val="20"/>
              </w:rPr>
              <w:t>% к ВВП</w:t>
            </w:r>
          </w:p>
        </w:tc>
        <w:tc>
          <w:tcPr>
            <w:tcW w:w="850" w:type="dxa"/>
            <w:noWrap/>
            <w:hideMark/>
          </w:tcPr>
          <w:p w14:paraId="744829A9" w14:textId="77777777" w:rsidR="00733417" w:rsidRPr="00733417" w:rsidRDefault="00733417" w:rsidP="00DF409C">
            <w:pPr>
              <w:jc w:val="center"/>
              <w:rPr>
                <w:i/>
                <w:iCs/>
                <w:sz w:val="20"/>
                <w:szCs w:val="20"/>
              </w:rPr>
            </w:pPr>
            <w:r w:rsidRPr="00733417">
              <w:rPr>
                <w:i/>
                <w:iCs/>
                <w:sz w:val="20"/>
                <w:szCs w:val="20"/>
              </w:rPr>
              <w:t>0,03</w:t>
            </w:r>
          </w:p>
        </w:tc>
        <w:tc>
          <w:tcPr>
            <w:tcW w:w="993" w:type="dxa"/>
            <w:noWrap/>
            <w:hideMark/>
          </w:tcPr>
          <w:p w14:paraId="0F733501" w14:textId="77777777" w:rsidR="00733417" w:rsidRPr="00733417" w:rsidRDefault="00733417" w:rsidP="00DF409C">
            <w:pPr>
              <w:jc w:val="center"/>
              <w:rPr>
                <w:i/>
                <w:iCs/>
                <w:sz w:val="20"/>
                <w:szCs w:val="20"/>
              </w:rPr>
            </w:pPr>
            <w:r w:rsidRPr="00733417">
              <w:rPr>
                <w:i/>
                <w:iCs/>
                <w:sz w:val="20"/>
                <w:szCs w:val="20"/>
              </w:rPr>
              <w:t>0,03</w:t>
            </w:r>
          </w:p>
        </w:tc>
        <w:tc>
          <w:tcPr>
            <w:tcW w:w="708" w:type="dxa"/>
            <w:hideMark/>
          </w:tcPr>
          <w:p w14:paraId="51C51D89"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120AF720" w14:textId="77777777" w:rsidR="00733417" w:rsidRPr="00733417" w:rsidRDefault="00733417" w:rsidP="00DF409C">
            <w:pPr>
              <w:jc w:val="center"/>
              <w:rPr>
                <w:i/>
                <w:iCs/>
                <w:sz w:val="20"/>
                <w:szCs w:val="20"/>
              </w:rPr>
            </w:pPr>
            <w:r w:rsidRPr="00733417">
              <w:rPr>
                <w:i/>
                <w:iCs/>
                <w:sz w:val="20"/>
                <w:szCs w:val="20"/>
              </w:rPr>
              <w:t>0,03</w:t>
            </w:r>
          </w:p>
        </w:tc>
        <w:tc>
          <w:tcPr>
            <w:tcW w:w="708" w:type="dxa"/>
            <w:noWrap/>
            <w:hideMark/>
          </w:tcPr>
          <w:p w14:paraId="49B73EBF"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15EF011A" w14:textId="77777777" w:rsidR="00733417" w:rsidRPr="00733417" w:rsidRDefault="00733417" w:rsidP="00DF409C">
            <w:pPr>
              <w:jc w:val="center"/>
              <w:rPr>
                <w:i/>
                <w:iCs/>
                <w:sz w:val="20"/>
                <w:szCs w:val="20"/>
              </w:rPr>
            </w:pPr>
            <w:r w:rsidRPr="00733417">
              <w:rPr>
                <w:i/>
                <w:iCs/>
                <w:sz w:val="20"/>
                <w:szCs w:val="20"/>
              </w:rPr>
              <w:t>0,03</w:t>
            </w:r>
          </w:p>
        </w:tc>
        <w:tc>
          <w:tcPr>
            <w:tcW w:w="702" w:type="dxa"/>
            <w:hideMark/>
          </w:tcPr>
          <w:p w14:paraId="0D0A0283" w14:textId="77777777" w:rsidR="00733417" w:rsidRPr="00733417" w:rsidRDefault="00733417" w:rsidP="00DF409C">
            <w:pPr>
              <w:jc w:val="center"/>
              <w:rPr>
                <w:sz w:val="20"/>
                <w:szCs w:val="20"/>
              </w:rPr>
            </w:pPr>
            <w:r w:rsidRPr="00733417">
              <w:rPr>
                <w:sz w:val="20"/>
                <w:szCs w:val="20"/>
              </w:rPr>
              <w:t> </w:t>
            </w:r>
          </w:p>
        </w:tc>
      </w:tr>
      <w:tr w:rsidR="00733417" w:rsidRPr="00733417" w14:paraId="293C5B7C" w14:textId="77777777" w:rsidTr="00733417">
        <w:trPr>
          <w:trHeight w:val="525"/>
        </w:trPr>
        <w:tc>
          <w:tcPr>
            <w:tcW w:w="3114" w:type="dxa"/>
            <w:hideMark/>
          </w:tcPr>
          <w:p w14:paraId="627F5CCD" w14:textId="77777777" w:rsidR="00733417" w:rsidRPr="00733417" w:rsidRDefault="00733417" w:rsidP="00DF409C">
            <w:pPr>
              <w:jc w:val="center"/>
              <w:rPr>
                <w:i/>
                <w:iCs/>
                <w:sz w:val="20"/>
                <w:szCs w:val="20"/>
              </w:rPr>
            </w:pPr>
            <w:r w:rsidRPr="00733417">
              <w:rPr>
                <w:i/>
                <w:iCs/>
                <w:sz w:val="20"/>
                <w:szCs w:val="20"/>
              </w:rPr>
              <w:t>доля в общем объеме расходов, % (без учета условно утвержденных)</w:t>
            </w:r>
          </w:p>
        </w:tc>
        <w:tc>
          <w:tcPr>
            <w:tcW w:w="850" w:type="dxa"/>
            <w:noWrap/>
            <w:hideMark/>
          </w:tcPr>
          <w:p w14:paraId="4B180B46" w14:textId="77777777" w:rsidR="00733417" w:rsidRPr="00733417" w:rsidRDefault="00733417" w:rsidP="00DF409C">
            <w:pPr>
              <w:jc w:val="center"/>
              <w:rPr>
                <w:i/>
                <w:iCs/>
                <w:sz w:val="20"/>
                <w:szCs w:val="20"/>
              </w:rPr>
            </w:pPr>
            <w:r w:rsidRPr="00733417">
              <w:rPr>
                <w:i/>
                <w:iCs/>
                <w:sz w:val="20"/>
                <w:szCs w:val="20"/>
              </w:rPr>
              <w:t>0,17</w:t>
            </w:r>
          </w:p>
        </w:tc>
        <w:tc>
          <w:tcPr>
            <w:tcW w:w="993" w:type="dxa"/>
            <w:noWrap/>
            <w:hideMark/>
          </w:tcPr>
          <w:p w14:paraId="74755E5C" w14:textId="77777777" w:rsidR="00733417" w:rsidRPr="00733417" w:rsidRDefault="00733417" w:rsidP="00DF409C">
            <w:pPr>
              <w:jc w:val="center"/>
              <w:rPr>
                <w:i/>
                <w:iCs/>
                <w:sz w:val="20"/>
                <w:szCs w:val="20"/>
              </w:rPr>
            </w:pPr>
            <w:r w:rsidRPr="00733417">
              <w:rPr>
                <w:i/>
                <w:iCs/>
                <w:sz w:val="20"/>
                <w:szCs w:val="20"/>
              </w:rPr>
              <w:t>0,19</w:t>
            </w:r>
          </w:p>
        </w:tc>
        <w:tc>
          <w:tcPr>
            <w:tcW w:w="708" w:type="dxa"/>
            <w:hideMark/>
          </w:tcPr>
          <w:p w14:paraId="55B1D8C5"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22D5E665" w14:textId="77777777" w:rsidR="00733417" w:rsidRPr="00733417" w:rsidRDefault="00733417" w:rsidP="00DF409C">
            <w:pPr>
              <w:jc w:val="center"/>
              <w:rPr>
                <w:i/>
                <w:iCs/>
                <w:sz w:val="20"/>
                <w:szCs w:val="20"/>
              </w:rPr>
            </w:pPr>
            <w:r w:rsidRPr="00733417">
              <w:rPr>
                <w:i/>
                <w:iCs/>
                <w:sz w:val="20"/>
                <w:szCs w:val="20"/>
              </w:rPr>
              <w:t>0,18</w:t>
            </w:r>
          </w:p>
        </w:tc>
        <w:tc>
          <w:tcPr>
            <w:tcW w:w="708" w:type="dxa"/>
            <w:noWrap/>
            <w:hideMark/>
          </w:tcPr>
          <w:p w14:paraId="02F46898"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755D2FA9" w14:textId="77777777" w:rsidR="00733417" w:rsidRPr="00733417" w:rsidRDefault="00733417" w:rsidP="00DF409C">
            <w:pPr>
              <w:jc w:val="center"/>
              <w:rPr>
                <w:i/>
                <w:iCs/>
                <w:sz w:val="20"/>
                <w:szCs w:val="20"/>
              </w:rPr>
            </w:pPr>
            <w:r w:rsidRPr="00733417">
              <w:rPr>
                <w:i/>
                <w:iCs/>
                <w:sz w:val="20"/>
                <w:szCs w:val="20"/>
              </w:rPr>
              <w:t>0,18</w:t>
            </w:r>
          </w:p>
        </w:tc>
        <w:tc>
          <w:tcPr>
            <w:tcW w:w="702" w:type="dxa"/>
            <w:hideMark/>
          </w:tcPr>
          <w:p w14:paraId="12FA5931" w14:textId="77777777" w:rsidR="00733417" w:rsidRPr="00733417" w:rsidRDefault="00733417" w:rsidP="00DF409C">
            <w:pPr>
              <w:jc w:val="center"/>
              <w:rPr>
                <w:i/>
                <w:iCs/>
                <w:sz w:val="20"/>
                <w:szCs w:val="20"/>
              </w:rPr>
            </w:pPr>
            <w:r w:rsidRPr="00733417">
              <w:rPr>
                <w:i/>
                <w:iCs/>
                <w:sz w:val="20"/>
                <w:szCs w:val="20"/>
              </w:rPr>
              <w:t> </w:t>
            </w:r>
          </w:p>
        </w:tc>
      </w:tr>
      <w:tr w:rsidR="00733417" w:rsidRPr="00733417" w14:paraId="5A1D60EB" w14:textId="77777777" w:rsidTr="00733417">
        <w:trPr>
          <w:trHeight w:val="525"/>
        </w:trPr>
        <w:tc>
          <w:tcPr>
            <w:tcW w:w="3114" w:type="dxa"/>
            <w:hideMark/>
          </w:tcPr>
          <w:p w14:paraId="0B8E5DBF" w14:textId="77777777" w:rsidR="00733417" w:rsidRPr="00733417" w:rsidRDefault="00733417" w:rsidP="00DF409C">
            <w:pPr>
              <w:jc w:val="center"/>
              <w:rPr>
                <w:sz w:val="20"/>
                <w:szCs w:val="20"/>
              </w:rPr>
            </w:pPr>
            <w:r w:rsidRPr="00733417">
              <w:rPr>
                <w:sz w:val="20"/>
                <w:szCs w:val="20"/>
              </w:rPr>
              <w:t>Профессиональная подготовка, переподготовка и повышение квалификации</w:t>
            </w:r>
          </w:p>
        </w:tc>
        <w:tc>
          <w:tcPr>
            <w:tcW w:w="850" w:type="dxa"/>
            <w:noWrap/>
            <w:hideMark/>
          </w:tcPr>
          <w:p w14:paraId="6FAF169D" w14:textId="77777777" w:rsidR="00733417" w:rsidRPr="00733417" w:rsidRDefault="00733417" w:rsidP="00DF409C">
            <w:pPr>
              <w:jc w:val="center"/>
              <w:rPr>
                <w:sz w:val="20"/>
                <w:szCs w:val="20"/>
              </w:rPr>
            </w:pPr>
            <w:r w:rsidRPr="00733417">
              <w:rPr>
                <w:sz w:val="20"/>
                <w:szCs w:val="20"/>
              </w:rPr>
              <w:t>16,5</w:t>
            </w:r>
          </w:p>
        </w:tc>
        <w:tc>
          <w:tcPr>
            <w:tcW w:w="993" w:type="dxa"/>
            <w:noWrap/>
            <w:hideMark/>
          </w:tcPr>
          <w:p w14:paraId="2B038803" w14:textId="77777777" w:rsidR="00733417" w:rsidRPr="00733417" w:rsidRDefault="00733417" w:rsidP="00DF409C">
            <w:pPr>
              <w:jc w:val="center"/>
              <w:rPr>
                <w:sz w:val="20"/>
                <w:szCs w:val="20"/>
              </w:rPr>
            </w:pPr>
            <w:r w:rsidRPr="00733417">
              <w:rPr>
                <w:sz w:val="20"/>
                <w:szCs w:val="20"/>
              </w:rPr>
              <w:t>22,3</w:t>
            </w:r>
          </w:p>
        </w:tc>
        <w:tc>
          <w:tcPr>
            <w:tcW w:w="708" w:type="dxa"/>
            <w:hideMark/>
          </w:tcPr>
          <w:p w14:paraId="4185A20C" w14:textId="77777777" w:rsidR="00733417" w:rsidRPr="00733417" w:rsidRDefault="00733417" w:rsidP="00DF409C">
            <w:pPr>
              <w:jc w:val="center"/>
              <w:rPr>
                <w:sz w:val="20"/>
                <w:szCs w:val="20"/>
              </w:rPr>
            </w:pPr>
            <w:r w:rsidRPr="00733417">
              <w:rPr>
                <w:i/>
                <w:iCs/>
                <w:sz w:val="20"/>
                <w:szCs w:val="20"/>
              </w:rPr>
              <w:t>134,8</w:t>
            </w:r>
            <w:r w:rsidRPr="00733417">
              <w:rPr>
                <w:sz w:val="20"/>
                <w:szCs w:val="20"/>
              </w:rPr>
              <w:t> </w:t>
            </w:r>
          </w:p>
        </w:tc>
        <w:tc>
          <w:tcPr>
            <w:tcW w:w="993" w:type="dxa"/>
            <w:hideMark/>
          </w:tcPr>
          <w:p w14:paraId="3EA680B9" w14:textId="77777777" w:rsidR="00733417" w:rsidRPr="00733417" w:rsidRDefault="00733417" w:rsidP="00DF409C">
            <w:pPr>
              <w:jc w:val="center"/>
              <w:rPr>
                <w:sz w:val="20"/>
                <w:szCs w:val="20"/>
              </w:rPr>
            </w:pPr>
            <w:r w:rsidRPr="00733417">
              <w:rPr>
                <w:sz w:val="20"/>
                <w:szCs w:val="20"/>
              </w:rPr>
              <w:t>24,1</w:t>
            </w:r>
          </w:p>
        </w:tc>
        <w:tc>
          <w:tcPr>
            <w:tcW w:w="708" w:type="dxa"/>
            <w:noWrap/>
            <w:hideMark/>
          </w:tcPr>
          <w:p w14:paraId="14A5154C" w14:textId="77777777" w:rsidR="00733417" w:rsidRPr="00733417" w:rsidRDefault="00733417" w:rsidP="00DF409C">
            <w:pPr>
              <w:jc w:val="center"/>
              <w:rPr>
                <w:i/>
                <w:iCs/>
                <w:sz w:val="20"/>
                <w:szCs w:val="20"/>
              </w:rPr>
            </w:pPr>
            <w:r w:rsidRPr="00733417">
              <w:rPr>
                <w:i/>
                <w:iCs/>
                <w:sz w:val="20"/>
                <w:szCs w:val="20"/>
              </w:rPr>
              <w:t>108,3</w:t>
            </w:r>
          </w:p>
        </w:tc>
        <w:tc>
          <w:tcPr>
            <w:tcW w:w="993" w:type="dxa"/>
            <w:noWrap/>
            <w:hideMark/>
          </w:tcPr>
          <w:p w14:paraId="1C2EC127" w14:textId="77777777" w:rsidR="00733417" w:rsidRPr="00733417" w:rsidRDefault="00733417" w:rsidP="00DF409C">
            <w:pPr>
              <w:jc w:val="center"/>
              <w:rPr>
                <w:sz w:val="20"/>
                <w:szCs w:val="20"/>
              </w:rPr>
            </w:pPr>
            <w:r w:rsidRPr="00733417">
              <w:rPr>
                <w:sz w:val="20"/>
                <w:szCs w:val="20"/>
              </w:rPr>
              <w:t>24,5</w:t>
            </w:r>
          </w:p>
        </w:tc>
        <w:tc>
          <w:tcPr>
            <w:tcW w:w="702" w:type="dxa"/>
            <w:hideMark/>
          </w:tcPr>
          <w:p w14:paraId="48B4C604" w14:textId="77777777" w:rsidR="00733417" w:rsidRPr="00733417" w:rsidRDefault="00733417" w:rsidP="00DF409C">
            <w:pPr>
              <w:jc w:val="center"/>
              <w:rPr>
                <w:i/>
                <w:iCs/>
                <w:sz w:val="20"/>
                <w:szCs w:val="20"/>
              </w:rPr>
            </w:pPr>
            <w:r w:rsidRPr="00733417">
              <w:rPr>
                <w:i/>
                <w:iCs/>
                <w:sz w:val="20"/>
                <w:szCs w:val="20"/>
              </w:rPr>
              <w:t>101,6</w:t>
            </w:r>
          </w:p>
        </w:tc>
      </w:tr>
      <w:tr w:rsidR="00733417" w:rsidRPr="00733417" w14:paraId="46695FEC" w14:textId="77777777" w:rsidTr="00733417">
        <w:trPr>
          <w:trHeight w:val="315"/>
        </w:trPr>
        <w:tc>
          <w:tcPr>
            <w:tcW w:w="3114" w:type="dxa"/>
            <w:hideMark/>
          </w:tcPr>
          <w:p w14:paraId="341BEC91" w14:textId="17A5BA67" w:rsidR="00733417" w:rsidRPr="00733417" w:rsidRDefault="00733417" w:rsidP="00DF409C">
            <w:pPr>
              <w:jc w:val="center"/>
              <w:rPr>
                <w:i/>
                <w:iCs/>
                <w:sz w:val="20"/>
                <w:szCs w:val="20"/>
              </w:rPr>
            </w:pPr>
            <w:r w:rsidRPr="00733417">
              <w:rPr>
                <w:i/>
                <w:iCs/>
                <w:sz w:val="20"/>
                <w:szCs w:val="20"/>
              </w:rPr>
              <w:t>% к ВВП</w:t>
            </w:r>
          </w:p>
        </w:tc>
        <w:tc>
          <w:tcPr>
            <w:tcW w:w="850" w:type="dxa"/>
            <w:noWrap/>
            <w:hideMark/>
          </w:tcPr>
          <w:p w14:paraId="2E4F3E4F" w14:textId="77777777" w:rsidR="00733417" w:rsidRPr="00733417" w:rsidRDefault="00733417" w:rsidP="00DF409C">
            <w:pPr>
              <w:jc w:val="center"/>
              <w:rPr>
                <w:i/>
                <w:iCs/>
                <w:sz w:val="20"/>
                <w:szCs w:val="20"/>
              </w:rPr>
            </w:pPr>
            <w:r w:rsidRPr="00733417">
              <w:rPr>
                <w:i/>
                <w:iCs/>
                <w:sz w:val="20"/>
                <w:szCs w:val="20"/>
              </w:rPr>
              <w:t>0,02</w:t>
            </w:r>
          </w:p>
        </w:tc>
        <w:tc>
          <w:tcPr>
            <w:tcW w:w="993" w:type="dxa"/>
            <w:noWrap/>
            <w:hideMark/>
          </w:tcPr>
          <w:p w14:paraId="3116290D" w14:textId="77777777" w:rsidR="00733417" w:rsidRPr="00733417" w:rsidRDefault="00733417" w:rsidP="00DF409C">
            <w:pPr>
              <w:jc w:val="center"/>
              <w:rPr>
                <w:i/>
                <w:iCs/>
                <w:sz w:val="20"/>
                <w:szCs w:val="20"/>
              </w:rPr>
            </w:pPr>
            <w:r w:rsidRPr="00733417">
              <w:rPr>
                <w:i/>
                <w:iCs/>
                <w:sz w:val="20"/>
                <w:szCs w:val="20"/>
              </w:rPr>
              <w:t>0,02</w:t>
            </w:r>
          </w:p>
        </w:tc>
        <w:tc>
          <w:tcPr>
            <w:tcW w:w="708" w:type="dxa"/>
            <w:hideMark/>
          </w:tcPr>
          <w:p w14:paraId="3A31B516"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1FFCCCE9" w14:textId="77777777" w:rsidR="00733417" w:rsidRPr="00733417" w:rsidRDefault="00733417" w:rsidP="00DF409C">
            <w:pPr>
              <w:jc w:val="center"/>
              <w:rPr>
                <w:i/>
                <w:iCs/>
                <w:sz w:val="20"/>
                <w:szCs w:val="20"/>
              </w:rPr>
            </w:pPr>
            <w:r w:rsidRPr="00733417">
              <w:rPr>
                <w:i/>
                <w:iCs/>
                <w:sz w:val="20"/>
                <w:szCs w:val="20"/>
              </w:rPr>
              <w:t>0,02</w:t>
            </w:r>
          </w:p>
        </w:tc>
        <w:tc>
          <w:tcPr>
            <w:tcW w:w="708" w:type="dxa"/>
            <w:noWrap/>
            <w:hideMark/>
          </w:tcPr>
          <w:p w14:paraId="404DB7CC"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0090ECF2" w14:textId="77777777" w:rsidR="00733417" w:rsidRPr="00733417" w:rsidRDefault="00733417" w:rsidP="00DF409C">
            <w:pPr>
              <w:jc w:val="center"/>
              <w:rPr>
                <w:i/>
                <w:iCs/>
                <w:sz w:val="20"/>
                <w:szCs w:val="20"/>
              </w:rPr>
            </w:pPr>
            <w:r w:rsidRPr="00733417">
              <w:rPr>
                <w:i/>
                <w:iCs/>
                <w:sz w:val="20"/>
                <w:szCs w:val="20"/>
              </w:rPr>
              <w:t>0,02</w:t>
            </w:r>
          </w:p>
        </w:tc>
        <w:tc>
          <w:tcPr>
            <w:tcW w:w="702" w:type="dxa"/>
            <w:hideMark/>
          </w:tcPr>
          <w:p w14:paraId="52DEBF9A" w14:textId="77777777" w:rsidR="00733417" w:rsidRPr="00733417" w:rsidRDefault="00733417" w:rsidP="00DF409C">
            <w:pPr>
              <w:jc w:val="center"/>
              <w:rPr>
                <w:sz w:val="20"/>
                <w:szCs w:val="20"/>
              </w:rPr>
            </w:pPr>
            <w:r w:rsidRPr="00733417">
              <w:rPr>
                <w:sz w:val="20"/>
                <w:szCs w:val="20"/>
              </w:rPr>
              <w:t> </w:t>
            </w:r>
          </w:p>
        </w:tc>
      </w:tr>
      <w:tr w:rsidR="00733417" w:rsidRPr="00733417" w14:paraId="375D2120" w14:textId="77777777" w:rsidTr="00733417">
        <w:trPr>
          <w:trHeight w:val="525"/>
        </w:trPr>
        <w:tc>
          <w:tcPr>
            <w:tcW w:w="3114" w:type="dxa"/>
            <w:hideMark/>
          </w:tcPr>
          <w:p w14:paraId="5391B208" w14:textId="77777777" w:rsidR="00733417" w:rsidRPr="00733417" w:rsidRDefault="00733417" w:rsidP="00DF409C">
            <w:pPr>
              <w:jc w:val="center"/>
              <w:rPr>
                <w:i/>
                <w:iCs/>
                <w:sz w:val="20"/>
                <w:szCs w:val="20"/>
              </w:rPr>
            </w:pPr>
            <w:r w:rsidRPr="00733417">
              <w:rPr>
                <w:i/>
                <w:iCs/>
                <w:sz w:val="20"/>
                <w:szCs w:val="20"/>
              </w:rPr>
              <w:t>доля в общем объеме расходов, % (без учета условно утвержденных)</w:t>
            </w:r>
          </w:p>
        </w:tc>
        <w:tc>
          <w:tcPr>
            <w:tcW w:w="850" w:type="dxa"/>
            <w:noWrap/>
            <w:hideMark/>
          </w:tcPr>
          <w:p w14:paraId="1767B9D2" w14:textId="77777777" w:rsidR="00733417" w:rsidRPr="00733417" w:rsidRDefault="00733417" w:rsidP="00DF409C">
            <w:pPr>
              <w:jc w:val="center"/>
              <w:rPr>
                <w:i/>
                <w:iCs/>
                <w:sz w:val="20"/>
                <w:szCs w:val="20"/>
              </w:rPr>
            </w:pPr>
            <w:r w:rsidRPr="00733417">
              <w:rPr>
                <w:i/>
                <w:iCs/>
                <w:sz w:val="20"/>
                <w:szCs w:val="20"/>
              </w:rPr>
              <w:t>0,09</w:t>
            </w:r>
          </w:p>
        </w:tc>
        <w:tc>
          <w:tcPr>
            <w:tcW w:w="993" w:type="dxa"/>
            <w:noWrap/>
            <w:hideMark/>
          </w:tcPr>
          <w:p w14:paraId="015069C3" w14:textId="77777777" w:rsidR="00733417" w:rsidRPr="00733417" w:rsidRDefault="00733417" w:rsidP="00DF409C">
            <w:pPr>
              <w:jc w:val="center"/>
              <w:rPr>
                <w:i/>
                <w:iCs/>
                <w:sz w:val="20"/>
                <w:szCs w:val="20"/>
              </w:rPr>
            </w:pPr>
            <w:r w:rsidRPr="00733417">
              <w:rPr>
                <w:i/>
                <w:iCs/>
                <w:sz w:val="20"/>
                <w:szCs w:val="20"/>
              </w:rPr>
              <w:t>0,11</w:t>
            </w:r>
          </w:p>
        </w:tc>
        <w:tc>
          <w:tcPr>
            <w:tcW w:w="708" w:type="dxa"/>
            <w:hideMark/>
          </w:tcPr>
          <w:p w14:paraId="04F6015C" w14:textId="77777777" w:rsidR="00733417" w:rsidRPr="00733417" w:rsidRDefault="00733417" w:rsidP="00DF409C">
            <w:pPr>
              <w:jc w:val="center"/>
              <w:rPr>
                <w:i/>
                <w:iCs/>
                <w:sz w:val="20"/>
                <w:szCs w:val="20"/>
              </w:rPr>
            </w:pPr>
          </w:p>
        </w:tc>
        <w:tc>
          <w:tcPr>
            <w:tcW w:w="993" w:type="dxa"/>
            <w:noWrap/>
            <w:hideMark/>
          </w:tcPr>
          <w:p w14:paraId="6C9EDDA5" w14:textId="77777777" w:rsidR="00733417" w:rsidRPr="00733417" w:rsidRDefault="00733417" w:rsidP="00DF409C">
            <w:pPr>
              <w:jc w:val="center"/>
              <w:rPr>
                <w:i/>
                <w:iCs/>
                <w:sz w:val="20"/>
                <w:szCs w:val="20"/>
              </w:rPr>
            </w:pPr>
            <w:r w:rsidRPr="00733417">
              <w:rPr>
                <w:i/>
                <w:iCs/>
                <w:sz w:val="20"/>
                <w:szCs w:val="20"/>
              </w:rPr>
              <w:t>0,12</w:t>
            </w:r>
          </w:p>
        </w:tc>
        <w:tc>
          <w:tcPr>
            <w:tcW w:w="708" w:type="dxa"/>
            <w:noWrap/>
            <w:hideMark/>
          </w:tcPr>
          <w:p w14:paraId="25A9E342"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01802D2D" w14:textId="77777777" w:rsidR="00733417" w:rsidRPr="00733417" w:rsidRDefault="00733417" w:rsidP="00DF409C">
            <w:pPr>
              <w:jc w:val="center"/>
              <w:rPr>
                <w:i/>
                <w:iCs/>
                <w:sz w:val="20"/>
                <w:szCs w:val="20"/>
              </w:rPr>
            </w:pPr>
            <w:r w:rsidRPr="00733417">
              <w:rPr>
                <w:i/>
                <w:iCs/>
                <w:sz w:val="20"/>
                <w:szCs w:val="20"/>
              </w:rPr>
              <w:t>0,11</w:t>
            </w:r>
          </w:p>
        </w:tc>
        <w:tc>
          <w:tcPr>
            <w:tcW w:w="702" w:type="dxa"/>
            <w:hideMark/>
          </w:tcPr>
          <w:p w14:paraId="2D51D4CA" w14:textId="77777777" w:rsidR="00733417" w:rsidRPr="00733417" w:rsidRDefault="00733417" w:rsidP="00DF409C">
            <w:pPr>
              <w:jc w:val="center"/>
              <w:rPr>
                <w:sz w:val="20"/>
                <w:szCs w:val="20"/>
              </w:rPr>
            </w:pPr>
            <w:r w:rsidRPr="00733417">
              <w:rPr>
                <w:sz w:val="20"/>
                <w:szCs w:val="20"/>
              </w:rPr>
              <w:t> </w:t>
            </w:r>
          </w:p>
        </w:tc>
      </w:tr>
      <w:tr w:rsidR="00733417" w:rsidRPr="00733417" w14:paraId="702345E7" w14:textId="77777777" w:rsidTr="00733417">
        <w:trPr>
          <w:trHeight w:val="315"/>
        </w:trPr>
        <w:tc>
          <w:tcPr>
            <w:tcW w:w="3114" w:type="dxa"/>
            <w:hideMark/>
          </w:tcPr>
          <w:p w14:paraId="0ACCA281" w14:textId="77777777" w:rsidR="00733417" w:rsidRPr="00733417" w:rsidRDefault="00733417" w:rsidP="00DF409C">
            <w:pPr>
              <w:jc w:val="center"/>
              <w:rPr>
                <w:sz w:val="20"/>
                <w:szCs w:val="20"/>
              </w:rPr>
            </w:pPr>
            <w:r w:rsidRPr="00733417">
              <w:rPr>
                <w:sz w:val="20"/>
                <w:szCs w:val="20"/>
              </w:rPr>
              <w:t>Высшее образование</w:t>
            </w:r>
          </w:p>
        </w:tc>
        <w:tc>
          <w:tcPr>
            <w:tcW w:w="850" w:type="dxa"/>
            <w:noWrap/>
          </w:tcPr>
          <w:p w14:paraId="6782F0CC" w14:textId="77777777" w:rsidR="00733417" w:rsidRPr="00733417" w:rsidRDefault="00733417" w:rsidP="00DF409C">
            <w:pPr>
              <w:jc w:val="center"/>
              <w:rPr>
                <w:sz w:val="20"/>
                <w:szCs w:val="20"/>
              </w:rPr>
            </w:pPr>
            <w:r w:rsidRPr="00733417">
              <w:rPr>
                <w:sz w:val="20"/>
                <w:szCs w:val="20"/>
              </w:rPr>
              <w:t>591,7</w:t>
            </w:r>
          </w:p>
        </w:tc>
        <w:tc>
          <w:tcPr>
            <w:tcW w:w="993" w:type="dxa"/>
            <w:noWrap/>
          </w:tcPr>
          <w:p w14:paraId="255CBC52" w14:textId="77777777" w:rsidR="00733417" w:rsidRPr="00733417" w:rsidRDefault="00733417" w:rsidP="00DF409C">
            <w:pPr>
              <w:jc w:val="center"/>
              <w:rPr>
                <w:sz w:val="20"/>
                <w:szCs w:val="20"/>
              </w:rPr>
            </w:pPr>
            <w:r w:rsidRPr="00733417">
              <w:rPr>
                <w:sz w:val="20"/>
                <w:szCs w:val="20"/>
              </w:rPr>
              <w:t>603,1</w:t>
            </w:r>
          </w:p>
        </w:tc>
        <w:tc>
          <w:tcPr>
            <w:tcW w:w="708" w:type="dxa"/>
          </w:tcPr>
          <w:p w14:paraId="71B15314" w14:textId="77777777" w:rsidR="00733417" w:rsidRPr="00733417" w:rsidRDefault="00733417" w:rsidP="00DF409C">
            <w:pPr>
              <w:jc w:val="center"/>
              <w:rPr>
                <w:i/>
                <w:iCs/>
                <w:sz w:val="20"/>
                <w:szCs w:val="20"/>
              </w:rPr>
            </w:pPr>
            <w:r w:rsidRPr="00733417">
              <w:rPr>
                <w:i/>
                <w:iCs/>
                <w:sz w:val="20"/>
                <w:szCs w:val="20"/>
              </w:rPr>
              <w:t>101,9</w:t>
            </w:r>
          </w:p>
        </w:tc>
        <w:tc>
          <w:tcPr>
            <w:tcW w:w="993" w:type="dxa"/>
          </w:tcPr>
          <w:p w14:paraId="3ACD166F" w14:textId="77777777" w:rsidR="00733417" w:rsidRPr="00733417" w:rsidRDefault="00733417" w:rsidP="00DF409C">
            <w:pPr>
              <w:jc w:val="center"/>
              <w:rPr>
                <w:sz w:val="20"/>
                <w:szCs w:val="20"/>
              </w:rPr>
            </w:pPr>
            <w:r w:rsidRPr="00733417">
              <w:rPr>
                <w:sz w:val="20"/>
                <w:szCs w:val="20"/>
              </w:rPr>
              <w:t>628,8</w:t>
            </w:r>
          </w:p>
        </w:tc>
        <w:tc>
          <w:tcPr>
            <w:tcW w:w="708" w:type="dxa"/>
            <w:noWrap/>
          </w:tcPr>
          <w:p w14:paraId="68E27704" w14:textId="77777777" w:rsidR="00733417" w:rsidRPr="00733417" w:rsidRDefault="00733417" w:rsidP="00DF409C">
            <w:pPr>
              <w:jc w:val="center"/>
              <w:rPr>
                <w:i/>
                <w:iCs/>
                <w:sz w:val="20"/>
                <w:szCs w:val="20"/>
              </w:rPr>
            </w:pPr>
            <w:r w:rsidRPr="00733417">
              <w:rPr>
                <w:i/>
                <w:iCs/>
                <w:sz w:val="20"/>
                <w:szCs w:val="20"/>
              </w:rPr>
              <w:t>104,3</w:t>
            </w:r>
          </w:p>
        </w:tc>
        <w:tc>
          <w:tcPr>
            <w:tcW w:w="993" w:type="dxa"/>
            <w:noWrap/>
          </w:tcPr>
          <w:p w14:paraId="52FCB45C" w14:textId="77777777" w:rsidR="00733417" w:rsidRPr="00733417" w:rsidRDefault="00733417" w:rsidP="00DF409C">
            <w:pPr>
              <w:jc w:val="center"/>
              <w:rPr>
                <w:sz w:val="20"/>
                <w:szCs w:val="20"/>
              </w:rPr>
            </w:pPr>
            <w:r w:rsidRPr="00733417">
              <w:rPr>
                <w:sz w:val="20"/>
                <w:szCs w:val="20"/>
              </w:rPr>
              <w:t>637,7</w:t>
            </w:r>
          </w:p>
        </w:tc>
        <w:tc>
          <w:tcPr>
            <w:tcW w:w="702" w:type="dxa"/>
          </w:tcPr>
          <w:p w14:paraId="43A01A71" w14:textId="77777777" w:rsidR="00733417" w:rsidRPr="00733417" w:rsidRDefault="00733417" w:rsidP="00DF409C">
            <w:pPr>
              <w:jc w:val="center"/>
              <w:rPr>
                <w:i/>
                <w:iCs/>
                <w:sz w:val="20"/>
                <w:szCs w:val="20"/>
              </w:rPr>
            </w:pPr>
            <w:r w:rsidRPr="00733417">
              <w:rPr>
                <w:i/>
                <w:iCs/>
                <w:sz w:val="20"/>
                <w:szCs w:val="20"/>
              </w:rPr>
              <w:t>101,4</w:t>
            </w:r>
          </w:p>
        </w:tc>
      </w:tr>
      <w:tr w:rsidR="00733417" w:rsidRPr="00733417" w14:paraId="335B8CD0" w14:textId="77777777" w:rsidTr="00733417">
        <w:trPr>
          <w:trHeight w:val="315"/>
        </w:trPr>
        <w:tc>
          <w:tcPr>
            <w:tcW w:w="3114" w:type="dxa"/>
            <w:hideMark/>
          </w:tcPr>
          <w:p w14:paraId="143D9B7E" w14:textId="4BECACA7" w:rsidR="00733417" w:rsidRPr="00733417" w:rsidRDefault="00733417" w:rsidP="00DF409C">
            <w:pPr>
              <w:jc w:val="center"/>
              <w:rPr>
                <w:i/>
                <w:iCs/>
                <w:sz w:val="20"/>
                <w:szCs w:val="20"/>
              </w:rPr>
            </w:pPr>
            <w:r w:rsidRPr="00733417">
              <w:rPr>
                <w:i/>
                <w:iCs/>
                <w:sz w:val="20"/>
                <w:szCs w:val="20"/>
              </w:rPr>
              <w:t>% к ВВП</w:t>
            </w:r>
          </w:p>
        </w:tc>
        <w:tc>
          <w:tcPr>
            <w:tcW w:w="850" w:type="dxa"/>
            <w:noWrap/>
            <w:hideMark/>
          </w:tcPr>
          <w:p w14:paraId="1A82EBE5" w14:textId="77777777" w:rsidR="00733417" w:rsidRPr="00733417" w:rsidRDefault="00733417" w:rsidP="00DF409C">
            <w:pPr>
              <w:jc w:val="center"/>
              <w:rPr>
                <w:i/>
                <w:iCs/>
                <w:sz w:val="20"/>
                <w:szCs w:val="20"/>
              </w:rPr>
            </w:pPr>
            <w:r w:rsidRPr="00733417">
              <w:rPr>
                <w:i/>
                <w:iCs/>
                <w:sz w:val="20"/>
                <w:szCs w:val="20"/>
              </w:rPr>
              <w:t>0,54</w:t>
            </w:r>
          </w:p>
        </w:tc>
        <w:tc>
          <w:tcPr>
            <w:tcW w:w="993" w:type="dxa"/>
            <w:noWrap/>
            <w:hideMark/>
          </w:tcPr>
          <w:p w14:paraId="2BA06FBB" w14:textId="77777777" w:rsidR="00733417" w:rsidRPr="00733417" w:rsidRDefault="00733417" w:rsidP="00DF409C">
            <w:pPr>
              <w:jc w:val="center"/>
              <w:rPr>
                <w:i/>
                <w:iCs/>
                <w:sz w:val="20"/>
                <w:szCs w:val="20"/>
              </w:rPr>
            </w:pPr>
            <w:r w:rsidRPr="00733417">
              <w:rPr>
                <w:i/>
                <w:iCs/>
                <w:sz w:val="20"/>
                <w:szCs w:val="20"/>
              </w:rPr>
              <w:t>0,53</w:t>
            </w:r>
          </w:p>
        </w:tc>
        <w:tc>
          <w:tcPr>
            <w:tcW w:w="708" w:type="dxa"/>
            <w:hideMark/>
          </w:tcPr>
          <w:p w14:paraId="44EB33F9"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0E35A589" w14:textId="77777777" w:rsidR="00733417" w:rsidRPr="00733417" w:rsidRDefault="00733417" w:rsidP="00DF409C">
            <w:pPr>
              <w:jc w:val="center"/>
              <w:rPr>
                <w:i/>
                <w:iCs/>
                <w:sz w:val="20"/>
                <w:szCs w:val="20"/>
              </w:rPr>
            </w:pPr>
            <w:r w:rsidRPr="00733417">
              <w:rPr>
                <w:i/>
                <w:iCs/>
                <w:sz w:val="20"/>
                <w:szCs w:val="20"/>
              </w:rPr>
              <w:t>0,52</w:t>
            </w:r>
          </w:p>
        </w:tc>
        <w:tc>
          <w:tcPr>
            <w:tcW w:w="708" w:type="dxa"/>
            <w:noWrap/>
            <w:hideMark/>
          </w:tcPr>
          <w:p w14:paraId="3B1C3696"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4466ECB6" w14:textId="77777777" w:rsidR="00733417" w:rsidRPr="00733417" w:rsidRDefault="00733417" w:rsidP="00DF409C">
            <w:pPr>
              <w:jc w:val="center"/>
              <w:rPr>
                <w:i/>
                <w:iCs/>
                <w:sz w:val="20"/>
                <w:szCs w:val="20"/>
              </w:rPr>
            </w:pPr>
            <w:r w:rsidRPr="00733417">
              <w:rPr>
                <w:i/>
                <w:iCs/>
                <w:sz w:val="20"/>
                <w:szCs w:val="20"/>
              </w:rPr>
              <w:t>0,50</w:t>
            </w:r>
          </w:p>
        </w:tc>
        <w:tc>
          <w:tcPr>
            <w:tcW w:w="702" w:type="dxa"/>
            <w:hideMark/>
          </w:tcPr>
          <w:p w14:paraId="3B93E240" w14:textId="77777777" w:rsidR="00733417" w:rsidRPr="00733417" w:rsidRDefault="00733417" w:rsidP="00DF409C">
            <w:pPr>
              <w:jc w:val="center"/>
              <w:rPr>
                <w:sz w:val="20"/>
                <w:szCs w:val="20"/>
              </w:rPr>
            </w:pPr>
            <w:r w:rsidRPr="00733417">
              <w:rPr>
                <w:sz w:val="20"/>
                <w:szCs w:val="20"/>
              </w:rPr>
              <w:t> </w:t>
            </w:r>
          </w:p>
        </w:tc>
      </w:tr>
      <w:tr w:rsidR="00733417" w:rsidRPr="00733417" w14:paraId="3F6345D7" w14:textId="77777777" w:rsidTr="00733417">
        <w:trPr>
          <w:trHeight w:val="525"/>
        </w:trPr>
        <w:tc>
          <w:tcPr>
            <w:tcW w:w="3114" w:type="dxa"/>
            <w:hideMark/>
          </w:tcPr>
          <w:p w14:paraId="5A35E00D" w14:textId="77777777" w:rsidR="00733417" w:rsidRPr="00733417" w:rsidRDefault="00733417" w:rsidP="00DF409C">
            <w:pPr>
              <w:jc w:val="center"/>
              <w:rPr>
                <w:i/>
                <w:iCs/>
                <w:sz w:val="20"/>
                <w:szCs w:val="20"/>
              </w:rPr>
            </w:pPr>
            <w:r w:rsidRPr="00733417">
              <w:rPr>
                <w:i/>
                <w:iCs/>
                <w:sz w:val="20"/>
                <w:szCs w:val="20"/>
              </w:rPr>
              <w:t>доля в общем объеме расходов, % (без учета условно утвержденных)</w:t>
            </w:r>
          </w:p>
        </w:tc>
        <w:tc>
          <w:tcPr>
            <w:tcW w:w="850" w:type="dxa"/>
            <w:noWrap/>
            <w:hideMark/>
          </w:tcPr>
          <w:p w14:paraId="5FE1406B" w14:textId="77777777" w:rsidR="00733417" w:rsidRPr="00733417" w:rsidRDefault="00733417" w:rsidP="00DF409C">
            <w:pPr>
              <w:jc w:val="center"/>
              <w:rPr>
                <w:i/>
                <w:iCs/>
                <w:sz w:val="20"/>
                <w:szCs w:val="20"/>
              </w:rPr>
            </w:pPr>
            <w:r w:rsidRPr="00733417">
              <w:rPr>
                <w:i/>
                <w:iCs/>
                <w:sz w:val="20"/>
                <w:szCs w:val="20"/>
              </w:rPr>
              <w:t>3,1</w:t>
            </w:r>
          </w:p>
        </w:tc>
        <w:tc>
          <w:tcPr>
            <w:tcW w:w="993" w:type="dxa"/>
            <w:noWrap/>
            <w:hideMark/>
          </w:tcPr>
          <w:p w14:paraId="5F711FB6" w14:textId="77777777" w:rsidR="00733417" w:rsidRPr="00733417" w:rsidRDefault="00733417" w:rsidP="00DF409C">
            <w:pPr>
              <w:jc w:val="center"/>
              <w:rPr>
                <w:i/>
                <w:iCs/>
                <w:sz w:val="20"/>
                <w:szCs w:val="20"/>
              </w:rPr>
            </w:pPr>
            <w:r w:rsidRPr="00733417">
              <w:rPr>
                <w:i/>
                <w:iCs/>
                <w:sz w:val="20"/>
                <w:szCs w:val="20"/>
              </w:rPr>
              <w:t>3,1</w:t>
            </w:r>
          </w:p>
        </w:tc>
        <w:tc>
          <w:tcPr>
            <w:tcW w:w="708" w:type="dxa"/>
            <w:hideMark/>
          </w:tcPr>
          <w:p w14:paraId="11DA76F7" w14:textId="77777777" w:rsidR="00733417" w:rsidRPr="00733417" w:rsidRDefault="00733417" w:rsidP="00DF409C">
            <w:pPr>
              <w:jc w:val="center"/>
              <w:rPr>
                <w:sz w:val="20"/>
                <w:szCs w:val="20"/>
              </w:rPr>
            </w:pPr>
            <w:r w:rsidRPr="00733417">
              <w:rPr>
                <w:sz w:val="20"/>
                <w:szCs w:val="20"/>
              </w:rPr>
              <w:t>  </w:t>
            </w:r>
          </w:p>
        </w:tc>
        <w:tc>
          <w:tcPr>
            <w:tcW w:w="993" w:type="dxa"/>
            <w:noWrap/>
            <w:hideMark/>
          </w:tcPr>
          <w:p w14:paraId="0512A026" w14:textId="77777777" w:rsidR="00733417" w:rsidRPr="00733417" w:rsidRDefault="00733417" w:rsidP="00DF409C">
            <w:pPr>
              <w:jc w:val="center"/>
              <w:rPr>
                <w:i/>
                <w:iCs/>
                <w:sz w:val="20"/>
                <w:szCs w:val="20"/>
              </w:rPr>
            </w:pPr>
            <w:r w:rsidRPr="00733417">
              <w:rPr>
                <w:i/>
                <w:iCs/>
                <w:sz w:val="20"/>
                <w:szCs w:val="20"/>
              </w:rPr>
              <w:t>3,0</w:t>
            </w:r>
          </w:p>
        </w:tc>
        <w:tc>
          <w:tcPr>
            <w:tcW w:w="708" w:type="dxa"/>
            <w:noWrap/>
            <w:hideMark/>
          </w:tcPr>
          <w:p w14:paraId="3696910C"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49473886" w14:textId="77777777" w:rsidR="00733417" w:rsidRPr="00733417" w:rsidRDefault="00733417" w:rsidP="00DF409C">
            <w:pPr>
              <w:jc w:val="center"/>
              <w:rPr>
                <w:i/>
                <w:iCs/>
                <w:sz w:val="20"/>
                <w:szCs w:val="20"/>
              </w:rPr>
            </w:pPr>
            <w:r w:rsidRPr="00733417">
              <w:rPr>
                <w:i/>
                <w:iCs/>
                <w:sz w:val="20"/>
                <w:szCs w:val="20"/>
              </w:rPr>
              <w:t>2,9</w:t>
            </w:r>
          </w:p>
        </w:tc>
        <w:tc>
          <w:tcPr>
            <w:tcW w:w="702" w:type="dxa"/>
            <w:hideMark/>
          </w:tcPr>
          <w:p w14:paraId="4C504B3D" w14:textId="77777777" w:rsidR="00733417" w:rsidRPr="00733417" w:rsidRDefault="00733417" w:rsidP="00DF409C">
            <w:pPr>
              <w:jc w:val="center"/>
              <w:rPr>
                <w:sz w:val="20"/>
                <w:szCs w:val="20"/>
              </w:rPr>
            </w:pPr>
            <w:r w:rsidRPr="00733417">
              <w:rPr>
                <w:sz w:val="20"/>
                <w:szCs w:val="20"/>
              </w:rPr>
              <w:t> </w:t>
            </w:r>
          </w:p>
        </w:tc>
      </w:tr>
      <w:tr w:rsidR="00733417" w:rsidRPr="00733417" w14:paraId="741B5DC5" w14:textId="77777777" w:rsidTr="00733417">
        <w:trPr>
          <w:trHeight w:val="315"/>
        </w:trPr>
        <w:tc>
          <w:tcPr>
            <w:tcW w:w="3114" w:type="dxa"/>
            <w:hideMark/>
          </w:tcPr>
          <w:p w14:paraId="5E7B2B69" w14:textId="77777777" w:rsidR="00733417" w:rsidRPr="00733417" w:rsidRDefault="00733417" w:rsidP="00DF409C">
            <w:pPr>
              <w:jc w:val="center"/>
              <w:rPr>
                <w:sz w:val="20"/>
                <w:szCs w:val="20"/>
              </w:rPr>
            </w:pPr>
            <w:r w:rsidRPr="00733417">
              <w:rPr>
                <w:sz w:val="20"/>
                <w:szCs w:val="20"/>
              </w:rPr>
              <w:t>Молодежная политика</w:t>
            </w:r>
          </w:p>
        </w:tc>
        <w:tc>
          <w:tcPr>
            <w:tcW w:w="850" w:type="dxa"/>
            <w:noWrap/>
          </w:tcPr>
          <w:p w14:paraId="363D40F9" w14:textId="77777777" w:rsidR="00733417" w:rsidRPr="00733417" w:rsidRDefault="00733417" w:rsidP="00DF409C">
            <w:pPr>
              <w:jc w:val="center"/>
              <w:rPr>
                <w:sz w:val="20"/>
                <w:szCs w:val="20"/>
              </w:rPr>
            </w:pPr>
            <w:r w:rsidRPr="00733417">
              <w:rPr>
                <w:sz w:val="20"/>
                <w:szCs w:val="20"/>
              </w:rPr>
              <w:t>10,2</w:t>
            </w:r>
          </w:p>
        </w:tc>
        <w:tc>
          <w:tcPr>
            <w:tcW w:w="993" w:type="dxa"/>
            <w:noWrap/>
          </w:tcPr>
          <w:p w14:paraId="66F26486" w14:textId="77777777" w:rsidR="00733417" w:rsidRPr="00733417" w:rsidRDefault="00733417" w:rsidP="00DF409C">
            <w:pPr>
              <w:jc w:val="center"/>
              <w:rPr>
                <w:sz w:val="20"/>
                <w:szCs w:val="20"/>
              </w:rPr>
            </w:pPr>
            <w:r w:rsidRPr="00733417">
              <w:rPr>
                <w:sz w:val="20"/>
                <w:szCs w:val="20"/>
              </w:rPr>
              <w:t>12,1</w:t>
            </w:r>
          </w:p>
        </w:tc>
        <w:tc>
          <w:tcPr>
            <w:tcW w:w="708" w:type="dxa"/>
          </w:tcPr>
          <w:p w14:paraId="7C07613C" w14:textId="77777777" w:rsidR="00733417" w:rsidRPr="00733417" w:rsidRDefault="00733417" w:rsidP="00DF409C">
            <w:pPr>
              <w:jc w:val="center"/>
              <w:rPr>
                <w:i/>
                <w:iCs/>
                <w:sz w:val="20"/>
                <w:szCs w:val="20"/>
              </w:rPr>
            </w:pPr>
            <w:r w:rsidRPr="00733417">
              <w:rPr>
                <w:i/>
                <w:iCs/>
                <w:sz w:val="20"/>
                <w:szCs w:val="20"/>
              </w:rPr>
              <w:t>119,1</w:t>
            </w:r>
          </w:p>
        </w:tc>
        <w:tc>
          <w:tcPr>
            <w:tcW w:w="993" w:type="dxa"/>
          </w:tcPr>
          <w:p w14:paraId="422A44F7" w14:textId="77777777" w:rsidR="00733417" w:rsidRPr="00733417" w:rsidRDefault="00733417" w:rsidP="00DF409C">
            <w:pPr>
              <w:jc w:val="center"/>
              <w:rPr>
                <w:sz w:val="20"/>
                <w:szCs w:val="20"/>
              </w:rPr>
            </w:pPr>
            <w:r w:rsidRPr="00733417">
              <w:rPr>
                <w:sz w:val="20"/>
                <w:szCs w:val="20"/>
              </w:rPr>
              <w:t>12,3</w:t>
            </w:r>
          </w:p>
        </w:tc>
        <w:tc>
          <w:tcPr>
            <w:tcW w:w="708" w:type="dxa"/>
            <w:noWrap/>
          </w:tcPr>
          <w:p w14:paraId="6AA48F78" w14:textId="77777777" w:rsidR="00733417" w:rsidRPr="00733417" w:rsidRDefault="00733417" w:rsidP="00DF409C">
            <w:pPr>
              <w:jc w:val="center"/>
              <w:rPr>
                <w:i/>
                <w:iCs/>
                <w:sz w:val="20"/>
                <w:szCs w:val="20"/>
              </w:rPr>
            </w:pPr>
            <w:r w:rsidRPr="00733417">
              <w:rPr>
                <w:i/>
                <w:iCs/>
                <w:sz w:val="20"/>
                <w:szCs w:val="20"/>
              </w:rPr>
              <w:t>101,6</w:t>
            </w:r>
          </w:p>
        </w:tc>
        <w:tc>
          <w:tcPr>
            <w:tcW w:w="993" w:type="dxa"/>
            <w:noWrap/>
          </w:tcPr>
          <w:p w14:paraId="4620E355" w14:textId="77777777" w:rsidR="00733417" w:rsidRPr="00733417" w:rsidRDefault="00733417" w:rsidP="00DF409C">
            <w:pPr>
              <w:jc w:val="center"/>
              <w:rPr>
                <w:sz w:val="20"/>
                <w:szCs w:val="20"/>
              </w:rPr>
            </w:pPr>
            <w:r w:rsidRPr="00733417">
              <w:rPr>
                <w:sz w:val="20"/>
                <w:szCs w:val="20"/>
              </w:rPr>
              <w:t>9,9</w:t>
            </w:r>
          </w:p>
        </w:tc>
        <w:tc>
          <w:tcPr>
            <w:tcW w:w="702" w:type="dxa"/>
          </w:tcPr>
          <w:p w14:paraId="76BE0D91" w14:textId="77777777" w:rsidR="00733417" w:rsidRPr="00733417" w:rsidRDefault="00733417" w:rsidP="00DF409C">
            <w:pPr>
              <w:jc w:val="center"/>
              <w:rPr>
                <w:i/>
                <w:iCs/>
                <w:sz w:val="20"/>
                <w:szCs w:val="20"/>
              </w:rPr>
            </w:pPr>
            <w:r w:rsidRPr="00733417">
              <w:rPr>
                <w:i/>
                <w:iCs/>
                <w:sz w:val="20"/>
                <w:szCs w:val="20"/>
              </w:rPr>
              <w:t>80,2</w:t>
            </w:r>
          </w:p>
        </w:tc>
      </w:tr>
      <w:tr w:rsidR="00733417" w:rsidRPr="00733417" w14:paraId="0FCC0F1D" w14:textId="77777777" w:rsidTr="00733417">
        <w:trPr>
          <w:trHeight w:val="315"/>
        </w:trPr>
        <w:tc>
          <w:tcPr>
            <w:tcW w:w="3114" w:type="dxa"/>
            <w:hideMark/>
          </w:tcPr>
          <w:p w14:paraId="58E9568F" w14:textId="51A85517" w:rsidR="00733417" w:rsidRPr="00733417" w:rsidRDefault="00733417" w:rsidP="00DF409C">
            <w:pPr>
              <w:jc w:val="center"/>
              <w:rPr>
                <w:i/>
                <w:iCs/>
                <w:sz w:val="20"/>
                <w:szCs w:val="20"/>
              </w:rPr>
            </w:pPr>
            <w:r w:rsidRPr="00733417">
              <w:rPr>
                <w:i/>
                <w:iCs/>
                <w:sz w:val="20"/>
                <w:szCs w:val="20"/>
              </w:rPr>
              <w:t>% к ВВП</w:t>
            </w:r>
          </w:p>
        </w:tc>
        <w:tc>
          <w:tcPr>
            <w:tcW w:w="850" w:type="dxa"/>
            <w:noWrap/>
            <w:hideMark/>
          </w:tcPr>
          <w:p w14:paraId="0AAA9FDE" w14:textId="77777777" w:rsidR="00733417" w:rsidRPr="00733417" w:rsidRDefault="00733417" w:rsidP="00DF409C">
            <w:pPr>
              <w:jc w:val="center"/>
              <w:rPr>
                <w:i/>
                <w:iCs/>
                <w:sz w:val="20"/>
                <w:szCs w:val="20"/>
              </w:rPr>
            </w:pPr>
            <w:r w:rsidRPr="00733417">
              <w:rPr>
                <w:i/>
                <w:iCs/>
                <w:sz w:val="20"/>
                <w:szCs w:val="20"/>
              </w:rPr>
              <w:t>0,01</w:t>
            </w:r>
          </w:p>
        </w:tc>
        <w:tc>
          <w:tcPr>
            <w:tcW w:w="993" w:type="dxa"/>
            <w:noWrap/>
            <w:hideMark/>
          </w:tcPr>
          <w:p w14:paraId="4EC3BB0C" w14:textId="77777777" w:rsidR="00733417" w:rsidRPr="00733417" w:rsidRDefault="00733417" w:rsidP="00DF409C">
            <w:pPr>
              <w:jc w:val="center"/>
              <w:rPr>
                <w:i/>
                <w:iCs/>
                <w:sz w:val="20"/>
                <w:szCs w:val="20"/>
              </w:rPr>
            </w:pPr>
            <w:r w:rsidRPr="00733417">
              <w:rPr>
                <w:i/>
                <w:iCs/>
                <w:sz w:val="20"/>
                <w:szCs w:val="20"/>
              </w:rPr>
              <w:t>0,01</w:t>
            </w:r>
          </w:p>
        </w:tc>
        <w:tc>
          <w:tcPr>
            <w:tcW w:w="708" w:type="dxa"/>
            <w:hideMark/>
          </w:tcPr>
          <w:p w14:paraId="45EBAC6D"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7D42AF1B" w14:textId="77777777" w:rsidR="00733417" w:rsidRPr="00733417" w:rsidRDefault="00733417" w:rsidP="00DF409C">
            <w:pPr>
              <w:jc w:val="center"/>
              <w:rPr>
                <w:i/>
                <w:iCs/>
                <w:sz w:val="20"/>
                <w:szCs w:val="20"/>
              </w:rPr>
            </w:pPr>
            <w:r w:rsidRPr="00733417">
              <w:rPr>
                <w:i/>
                <w:iCs/>
                <w:sz w:val="20"/>
                <w:szCs w:val="20"/>
              </w:rPr>
              <w:t>0,01</w:t>
            </w:r>
          </w:p>
        </w:tc>
        <w:tc>
          <w:tcPr>
            <w:tcW w:w="708" w:type="dxa"/>
            <w:noWrap/>
            <w:hideMark/>
          </w:tcPr>
          <w:p w14:paraId="02449307"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1BC91C88" w14:textId="77777777" w:rsidR="00733417" w:rsidRPr="00733417" w:rsidRDefault="00733417" w:rsidP="00DF409C">
            <w:pPr>
              <w:jc w:val="center"/>
              <w:rPr>
                <w:i/>
                <w:iCs/>
                <w:sz w:val="20"/>
                <w:szCs w:val="20"/>
              </w:rPr>
            </w:pPr>
            <w:r w:rsidRPr="00733417">
              <w:rPr>
                <w:i/>
                <w:iCs/>
                <w:sz w:val="20"/>
                <w:szCs w:val="20"/>
              </w:rPr>
              <w:t>0,01</w:t>
            </w:r>
          </w:p>
        </w:tc>
        <w:tc>
          <w:tcPr>
            <w:tcW w:w="702" w:type="dxa"/>
            <w:hideMark/>
          </w:tcPr>
          <w:p w14:paraId="0D584E9A" w14:textId="77777777" w:rsidR="00733417" w:rsidRPr="00733417" w:rsidRDefault="00733417" w:rsidP="00DF409C">
            <w:pPr>
              <w:jc w:val="center"/>
              <w:rPr>
                <w:sz w:val="20"/>
                <w:szCs w:val="20"/>
              </w:rPr>
            </w:pPr>
            <w:r w:rsidRPr="00733417">
              <w:rPr>
                <w:sz w:val="20"/>
                <w:szCs w:val="20"/>
              </w:rPr>
              <w:t> </w:t>
            </w:r>
          </w:p>
        </w:tc>
      </w:tr>
      <w:tr w:rsidR="00733417" w:rsidRPr="00733417" w14:paraId="35E7439C" w14:textId="77777777" w:rsidTr="00733417">
        <w:trPr>
          <w:trHeight w:val="525"/>
        </w:trPr>
        <w:tc>
          <w:tcPr>
            <w:tcW w:w="3114" w:type="dxa"/>
            <w:hideMark/>
          </w:tcPr>
          <w:p w14:paraId="226C829C" w14:textId="77777777" w:rsidR="00733417" w:rsidRPr="00733417" w:rsidRDefault="00733417" w:rsidP="00DF409C">
            <w:pPr>
              <w:jc w:val="center"/>
              <w:rPr>
                <w:i/>
                <w:iCs/>
                <w:sz w:val="20"/>
                <w:szCs w:val="20"/>
              </w:rPr>
            </w:pPr>
            <w:r w:rsidRPr="00733417">
              <w:rPr>
                <w:i/>
                <w:iCs/>
                <w:sz w:val="20"/>
                <w:szCs w:val="20"/>
              </w:rPr>
              <w:t>доля в общем объеме расходов, % без учета условно утвержденных)</w:t>
            </w:r>
          </w:p>
        </w:tc>
        <w:tc>
          <w:tcPr>
            <w:tcW w:w="850" w:type="dxa"/>
            <w:noWrap/>
            <w:hideMark/>
          </w:tcPr>
          <w:p w14:paraId="37DB618E" w14:textId="77777777" w:rsidR="00733417" w:rsidRPr="00733417" w:rsidRDefault="00733417" w:rsidP="00DF409C">
            <w:pPr>
              <w:jc w:val="center"/>
              <w:rPr>
                <w:i/>
                <w:iCs/>
                <w:sz w:val="20"/>
                <w:szCs w:val="20"/>
              </w:rPr>
            </w:pPr>
            <w:r w:rsidRPr="00733417">
              <w:rPr>
                <w:i/>
                <w:iCs/>
                <w:sz w:val="20"/>
                <w:szCs w:val="20"/>
              </w:rPr>
              <w:t>0,05</w:t>
            </w:r>
          </w:p>
        </w:tc>
        <w:tc>
          <w:tcPr>
            <w:tcW w:w="993" w:type="dxa"/>
            <w:noWrap/>
            <w:hideMark/>
          </w:tcPr>
          <w:p w14:paraId="763A57FA" w14:textId="77777777" w:rsidR="00733417" w:rsidRPr="00733417" w:rsidRDefault="00733417" w:rsidP="00DF409C">
            <w:pPr>
              <w:jc w:val="center"/>
              <w:rPr>
                <w:i/>
                <w:iCs/>
                <w:sz w:val="20"/>
                <w:szCs w:val="20"/>
              </w:rPr>
            </w:pPr>
            <w:r w:rsidRPr="00733417">
              <w:rPr>
                <w:i/>
                <w:iCs/>
                <w:sz w:val="20"/>
                <w:szCs w:val="20"/>
              </w:rPr>
              <w:t>0,06</w:t>
            </w:r>
          </w:p>
        </w:tc>
        <w:tc>
          <w:tcPr>
            <w:tcW w:w="708" w:type="dxa"/>
            <w:hideMark/>
          </w:tcPr>
          <w:p w14:paraId="374E1864"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4A0A96DC" w14:textId="77777777" w:rsidR="00733417" w:rsidRPr="00733417" w:rsidRDefault="00733417" w:rsidP="00DF409C">
            <w:pPr>
              <w:jc w:val="center"/>
              <w:rPr>
                <w:i/>
                <w:iCs/>
                <w:sz w:val="20"/>
                <w:szCs w:val="20"/>
              </w:rPr>
            </w:pPr>
            <w:r w:rsidRPr="00733417">
              <w:rPr>
                <w:i/>
                <w:iCs/>
                <w:sz w:val="20"/>
                <w:szCs w:val="20"/>
              </w:rPr>
              <w:t>0,06</w:t>
            </w:r>
          </w:p>
        </w:tc>
        <w:tc>
          <w:tcPr>
            <w:tcW w:w="708" w:type="dxa"/>
            <w:noWrap/>
            <w:hideMark/>
          </w:tcPr>
          <w:p w14:paraId="134A4A4B"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2410E6F4" w14:textId="77777777" w:rsidR="00733417" w:rsidRPr="00733417" w:rsidRDefault="00733417" w:rsidP="00DF409C">
            <w:pPr>
              <w:jc w:val="center"/>
              <w:rPr>
                <w:i/>
                <w:iCs/>
                <w:sz w:val="20"/>
                <w:szCs w:val="20"/>
              </w:rPr>
            </w:pPr>
            <w:r w:rsidRPr="00733417">
              <w:rPr>
                <w:i/>
                <w:iCs/>
                <w:sz w:val="20"/>
                <w:szCs w:val="20"/>
              </w:rPr>
              <w:t>0,05</w:t>
            </w:r>
          </w:p>
        </w:tc>
        <w:tc>
          <w:tcPr>
            <w:tcW w:w="702" w:type="dxa"/>
            <w:hideMark/>
          </w:tcPr>
          <w:p w14:paraId="3778F1F6" w14:textId="77777777" w:rsidR="00733417" w:rsidRPr="00733417" w:rsidRDefault="00733417" w:rsidP="00DF409C">
            <w:pPr>
              <w:jc w:val="center"/>
              <w:rPr>
                <w:sz w:val="20"/>
                <w:szCs w:val="20"/>
              </w:rPr>
            </w:pPr>
            <w:r w:rsidRPr="00733417">
              <w:rPr>
                <w:sz w:val="20"/>
                <w:szCs w:val="20"/>
              </w:rPr>
              <w:t> </w:t>
            </w:r>
          </w:p>
        </w:tc>
      </w:tr>
      <w:tr w:rsidR="00733417" w:rsidRPr="00733417" w14:paraId="14B2B6C1" w14:textId="77777777" w:rsidTr="00733417">
        <w:trPr>
          <w:trHeight w:val="525"/>
        </w:trPr>
        <w:tc>
          <w:tcPr>
            <w:tcW w:w="3114" w:type="dxa"/>
            <w:hideMark/>
          </w:tcPr>
          <w:p w14:paraId="041977F7" w14:textId="77777777" w:rsidR="00733417" w:rsidRPr="00733417" w:rsidRDefault="00733417" w:rsidP="00DF409C">
            <w:pPr>
              <w:jc w:val="center"/>
              <w:rPr>
                <w:sz w:val="20"/>
                <w:szCs w:val="20"/>
              </w:rPr>
            </w:pPr>
            <w:r w:rsidRPr="00733417">
              <w:rPr>
                <w:sz w:val="20"/>
                <w:szCs w:val="20"/>
              </w:rPr>
              <w:t>Прикладные научные исследования в области образования</w:t>
            </w:r>
          </w:p>
        </w:tc>
        <w:tc>
          <w:tcPr>
            <w:tcW w:w="850" w:type="dxa"/>
            <w:noWrap/>
          </w:tcPr>
          <w:p w14:paraId="601BEC5C" w14:textId="77777777" w:rsidR="00733417" w:rsidRPr="00733417" w:rsidRDefault="00733417" w:rsidP="00DF409C">
            <w:pPr>
              <w:jc w:val="center"/>
              <w:rPr>
                <w:sz w:val="20"/>
                <w:szCs w:val="20"/>
              </w:rPr>
            </w:pPr>
            <w:r w:rsidRPr="00733417">
              <w:rPr>
                <w:sz w:val="20"/>
                <w:szCs w:val="20"/>
              </w:rPr>
              <w:t>14,5</w:t>
            </w:r>
          </w:p>
        </w:tc>
        <w:tc>
          <w:tcPr>
            <w:tcW w:w="993" w:type="dxa"/>
            <w:noWrap/>
          </w:tcPr>
          <w:p w14:paraId="2A477704" w14:textId="77777777" w:rsidR="00733417" w:rsidRPr="00733417" w:rsidRDefault="00733417" w:rsidP="00DF409C">
            <w:pPr>
              <w:jc w:val="center"/>
              <w:rPr>
                <w:sz w:val="20"/>
                <w:szCs w:val="20"/>
              </w:rPr>
            </w:pPr>
            <w:r w:rsidRPr="00733417">
              <w:rPr>
                <w:sz w:val="20"/>
                <w:szCs w:val="20"/>
              </w:rPr>
              <w:t>15,4</w:t>
            </w:r>
          </w:p>
        </w:tc>
        <w:tc>
          <w:tcPr>
            <w:tcW w:w="708" w:type="dxa"/>
          </w:tcPr>
          <w:p w14:paraId="12AD9605" w14:textId="77777777" w:rsidR="00733417" w:rsidRPr="00733417" w:rsidRDefault="00733417" w:rsidP="00DF409C">
            <w:pPr>
              <w:jc w:val="center"/>
              <w:rPr>
                <w:i/>
                <w:iCs/>
                <w:sz w:val="20"/>
                <w:szCs w:val="20"/>
              </w:rPr>
            </w:pPr>
            <w:r w:rsidRPr="00733417">
              <w:rPr>
                <w:i/>
                <w:iCs/>
                <w:sz w:val="20"/>
                <w:szCs w:val="20"/>
              </w:rPr>
              <w:t>106,1</w:t>
            </w:r>
          </w:p>
        </w:tc>
        <w:tc>
          <w:tcPr>
            <w:tcW w:w="993" w:type="dxa"/>
          </w:tcPr>
          <w:p w14:paraId="2860EED2" w14:textId="77777777" w:rsidR="00733417" w:rsidRPr="00733417" w:rsidRDefault="00733417" w:rsidP="00DF409C">
            <w:pPr>
              <w:jc w:val="center"/>
              <w:rPr>
                <w:sz w:val="20"/>
                <w:szCs w:val="20"/>
              </w:rPr>
            </w:pPr>
            <w:r w:rsidRPr="00733417">
              <w:rPr>
                <w:sz w:val="20"/>
                <w:szCs w:val="20"/>
              </w:rPr>
              <w:t>15,3</w:t>
            </w:r>
          </w:p>
        </w:tc>
        <w:tc>
          <w:tcPr>
            <w:tcW w:w="708" w:type="dxa"/>
            <w:noWrap/>
          </w:tcPr>
          <w:p w14:paraId="29B6C030" w14:textId="77777777" w:rsidR="00733417" w:rsidRPr="00733417" w:rsidRDefault="00733417" w:rsidP="00DF409C">
            <w:pPr>
              <w:jc w:val="center"/>
              <w:rPr>
                <w:i/>
                <w:iCs/>
                <w:sz w:val="20"/>
                <w:szCs w:val="20"/>
              </w:rPr>
            </w:pPr>
            <w:r w:rsidRPr="00733417">
              <w:rPr>
                <w:i/>
                <w:iCs/>
                <w:sz w:val="20"/>
                <w:szCs w:val="20"/>
              </w:rPr>
              <w:t>99,6</w:t>
            </w:r>
          </w:p>
        </w:tc>
        <w:tc>
          <w:tcPr>
            <w:tcW w:w="993" w:type="dxa"/>
            <w:noWrap/>
          </w:tcPr>
          <w:p w14:paraId="62F7B95E" w14:textId="77777777" w:rsidR="00733417" w:rsidRPr="00733417" w:rsidRDefault="00733417" w:rsidP="00DF409C">
            <w:pPr>
              <w:jc w:val="center"/>
              <w:rPr>
                <w:sz w:val="20"/>
                <w:szCs w:val="20"/>
              </w:rPr>
            </w:pPr>
            <w:r w:rsidRPr="00733417">
              <w:rPr>
                <w:sz w:val="20"/>
                <w:szCs w:val="20"/>
              </w:rPr>
              <w:t>14,7</w:t>
            </w:r>
          </w:p>
        </w:tc>
        <w:tc>
          <w:tcPr>
            <w:tcW w:w="702" w:type="dxa"/>
          </w:tcPr>
          <w:p w14:paraId="548F335F" w14:textId="77777777" w:rsidR="00733417" w:rsidRPr="00733417" w:rsidRDefault="00733417" w:rsidP="00DF409C">
            <w:pPr>
              <w:jc w:val="center"/>
              <w:rPr>
                <w:i/>
                <w:iCs/>
                <w:sz w:val="20"/>
                <w:szCs w:val="20"/>
              </w:rPr>
            </w:pPr>
            <w:r w:rsidRPr="00733417">
              <w:rPr>
                <w:i/>
                <w:iCs/>
                <w:sz w:val="20"/>
                <w:szCs w:val="20"/>
              </w:rPr>
              <w:t>95,5</w:t>
            </w:r>
          </w:p>
        </w:tc>
      </w:tr>
      <w:tr w:rsidR="00733417" w:rsidRPr="00733417" w14:paraId="267CAEFD" w14:textId="77777777" w:rsidTr="00733417">
        <w:trPr>
          <w:trHeight w:val="315"/>
        </w:trPr>
        <w:tc>
          <w:tcPr>
            <w:tcW w:w="3114" w:type="dxa"/>
            <w:hideMark/>
          </w:tcPr>
          <w:p w14:paraId="2719CB87" w14:textId="41D525B4" w:rsidR="00733417" w:rsidRPr="00733417" w:rsidRDefault="00733417" w:rsidP="00DF409C">
            <w:pPr>
              <w:jc w:val="center"/>
              <w:rPr>
                <w:i/>
                <w:iCs/>
                <w:sz w:val="20"/>
                <w:szCs w:val="20"/>
              </w:rPr>
            </w:pPr>
            <w:r w:rsidRPr="00733417">
              <w:rPr>
                <w:i/>
                <w:iCs/>
                <w:sz w:val="20"/>
                <w:szCs w:val="20"/>
              </w:rPr>
              <w:t>% к ВВП</w:t>
            </w:r>
          </w:p>
        </w:tc>
        <w:tc>
          <w:tcPr>
            <w:tcW w:w="850" w:type="dxa"/>
            <w:noWrap/>
            <w:hideMark/>
          </w:tcPr>
          <w:p w14:paraId="23A1C37A" w14:textId="77777777" w:rsidR="00733417" w:rsidRPr="00733417" w:rsidRDefault="00733417" w:rsidP="00DF409C">
            <w:pPr>
              <w:jc w:val="center"/>
              <w:rPr>
                <w:i/>
                <w:iCs/>
                <w:sz w:val="20"/>
                <w:szCs w:val="20"/>
              </w:rPr>
            </w:pPr>
            <w:r w:rsidRPr="00733417">
              <w:rPr>
                <w:i/>
                <w:iCs/>
                <w:sz w:val="20"/>
                <w:szCs w:val="20"/>
              </w:rPr>
              <w:t>0,01</w:t>
            </w:r>
          </w:p>
        </w:tc>
        <w:tc>
          <w:tcPr>
            <w:tcW w:w="993" w:type="dxa"/>
            <w:noWrap/>
            <w:hideMark/>
          </w:tcPr>
          <w:p w14:paraId="0FD4D319" w14:textId="77777777" w:rsidR="00733417" w:rsidRPr="00733417" w:rsidRDefault="00733417" w:rsidP="00DF409C">
            <w:pPr>
              <w:jc w:val="center"/>
              <w:rPr>
                <w:i/>
                <w:iCs/>
                <w:sz w:val="20"/>
                <w:szCs w:val="20"/>
              </w:rPr>
            </w:pPr>
            <w:r w:rsidRPr="00733417">
              <w:rPr>
                <w:i/>
                <w:iCs/>
                <w:sz w:val="20"/>
                <w:szCs w:val="20"/>
              </w:rPr>
              <w:t>0,01</w:t>
            </w:r>
          </w:p>
        </w:tc>
        <w:tc>
          <w:tcPr>
            <w:tcW w:w="708" w:type="dxa"/>
            <w:hideMark/>
          </w:tcPr>
          <w:p w14:paraId="72B32D43"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5EDC529B" w14:textId="77777777" w:rsidR="00733417" w:rsidRPr="00733417" w:rsidRDefault="00733417" w:rsidP="00DF409C">
            <w:pPr>
              <w:jc w:val="center"/>
              <w:rPr>
                <w:i/>
                <w:iCs/>
                <w:sz w:val="20"/>
                <w:szCs w:val="20"/>
              </w:rPr>
            </w:pPr>
            <w:r w:rsidRPr="00733417">
              <w:rPr>
                <w:i/>
                <w:iCs/>
                <w:sz w:val="20"/>
                <w:szCs w:val="20"/>
              </w:rPr>
              <w:t>0,01</w:t>
            </w:r>
          </w:p>
        </w:tc>
        <w:tc>
          <w:tcPr>
            <w:tcW w:w="708" w:type="dxa"/>
            <w:noWrap/>
            <w:hideMark/>
          </w:tcPr>
          <w:p w14:paraId="4559FA78"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27EAB898" w14:textId="77777777" w:rsidR="00733417" w:rsidRPr="00733417" w:rsidRDefault="00733417" w:rsidP="00DF409C">
            <w:pPr>
              <w:jc w:val="center"/>
              <w:rPr>
                <w:i/>
                <w:iCs/>
                <w:sz w:val="20"/>
                <w:szCs w:val="20"/>
              </w:rPr>
            </w:pPr>
            <w:r w:rsidRPr="00733417">
              <w:rPr>
                <w:i/>
                <w:iCs/>
                <w:sz w:val="20"/>
                <w:szCs w:val="20"/>
              </w:rPr>
              <w:t>0,01</w:t>
            </w:r>
          </w:p>
        </w:tc>
        <w:tc>
          <w:tcPr>
            <w:tcW w:w="702" w:type="dxa"/>
            <w:hideMark/>
          </w:tcPr>
          <w:p w14:paraId="72B86161" w14:textId="77777777" w:rsidR="00733417" w:rsidRPr="00733417" w:rsidRDefault="00733417" w:rsidP="00DF409C">
            <w:pPr>
              <w:jc w:val="center"/>
              <w:rPr>
                <w:sz w:val="20"/>
                <w:szCs w:val="20"/>
              </w:rPr>
            </w:pPr>
            <w:r w:rsidRPr="00733417">
              <w:rPr>
                <w:sz w:val="20"/>
                <w:szCs w:val="20"/>
              </w:rPr>
              <w:t> </w:t>
            </w:r>
          </w:p>
        </w:tc>
      </w:tr>
      <w:tr w:rsidR="00733417" w:rsidRPr="00733417" w14:paraId="6C761CA4" w14:textId="77777777" w:rsidTr="00733417">
        <w:trPr>
          <w:trHeight w:val="525"/>
        </w:trPr>
        <w:tc>
          <w:tcPr>
            <w:tcW w:w="3114" w:type="dxa"/>
            <w:hideMark/>
          </w:tcPr>
          <w:p w14:paraId="1851F75B" w14:textId="77777777" w:rsidR="00733417" w:rsidRPr="00733417" w:rsidRDefault="00733417" w:rsidP="00DF409C">
            <w:pPr>
              <w:jc w:val="center"/>
              <w:rPr>
                <w:i/>
                <w:iCs/>
                <w:sz w:val="20"/>
                <w:szCs w:val="20"/>
              </w:rPr>
            </w:pPr>
            <w:r w:rsidRPr="00733417">
              <w:rPr>
                <w:i/>
                <w:iCs/>
                <w:sz w:val="20"/>
                <w:szCs w:val="20"/>
              </w:rPr>
              <w:t>доля в общем объеме расходов, % без учета условно утвержденных)</w:t>
            </w:r>
          </w:p>
        </w:tc>
        <w:tc>
          <w:tcPr>
            <w:tcW w:w="850" w:type="dxa"/>
            <w:noWrap/>
            <w:hideMark/>
          </w:tcPr>
          <w:p w14:paraId="1B8B1090" w14:textId="77777777" w:rsidR="00733417" w:rsidRPr="00733417" w:rsidRDefault="00733417" w:rsidP="00DF409C">
            <w:pPr>
              <w:jc w:val="center"/>
              <w:rPr>
                <w:i/>
                <w:iCs/>
                <w:sz w:val="20"/>
                <w:szCs w:val="20"/>
              </w:rPr>
            </w:pPr>
            <w:r w:rsidRPr="00733417">
              <w:rPr>
                <w:i/>
                <w:iCs/>
                <w:sz w:val="20"/>
                <w:szCs w:val="20"/>
              </w:rPr>
              <w:t>0,08</w:t>
            </w:r>
          </w:p>
        </w:tc>
        <w:tc>
          <w:tcPr>
            <w:tcW w:w="993" w:type="dxa"/>
            <w:noWrap/>
            <w:hideMark/>
          </w:tcPr>
          <w:p w14:paraId="4107281F" w14:textId="77777777" w:rsidR="00733417" w:rsidRPr="00733417" w:rsidRDefault="00733417" w:rsidP="00DF409C">
            <w:pPr>
              <w:jc w:val="center"/>
              <w:rPr>
                <w:i/>
                <w:iCs/>
                <w:sz w:val="20"/>
                <w:szCs w:val="20"/>
              </w:rPr>
            </w:pPr>
            <w:r w:rsidRPr="00733417">
              <w:rPr>
                <w:i/>
                <w:iCs/>
                <w:sz w:val="20"/>
                <w:szCs w:val="20"/>
              </w:rPr>
              <w:t>0,08</w:t>
            </w:r>
          </w:p>
        </w:tc>
        <w:tc>
          <w:tcPr>
            <w:tcW w:w="708" w:type="dxa"/>
            <w:hideMark/>
          </w:tcPr>
          <w:p w14:paraId="4A9B15DC"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3AA288A4" w14:textId="77777777" w:rsidR="00733417" w:rsidRPr="00733417" w:rsidRDefault="00733417" w:rsidP="00DF409C">
            <w:pPr>
              <w:jc w:val="center"/>
              <w:rPr>
                <w:i/>
                <w:iCs/>
                <w:sz w:val="20"/>
                <w:szCs w:val="20"/>
              </w:rPr>
            </w:pPr>
            <w:r w:rsidRPr="00733417">
              <w:rPr>
                <w:i/>
                <w:iCs/>
                <w:sz w:val="20"/>
                <w:szCs w:val="20"/>
              </w:rPr>
              <w:t>0,07</w:t>
            </w:r>
          </w:p>
        </w:tc>
        <w:tc>
          <w:tcPr>
            <w:tcW w:w="708" w:type="dxa"/>
            <w:noWrap/>
            <w:hideMark/>
          </w:tcPr>
          <w:p w14:paraId="0860CEC1"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04E8670F" w14:textId="77777777" w:rsidR="00733417" w:rsidRPr="00733417" w:rsidRDefault="00733417" w:rsidP="00DF409C">
            <w:pPr>
              <w:jc w:val="center"/>
              <w:rPr>
                <w:i/>
                <w:iCs/>
                <w:sz w:val="20"/>
                <w:szCs w:val="20"/>
              </w:rPr>
            </w:pPr>
            <w:r w:rsidRPr="00733417">
              <w:rPr>
                <w:i/>
                <w:iCs/>
                <w:sz w:val="20"/>
                <w:szCs w:val="20"/>
              </w:rPr>
              <w:t>0,07</w:t>
            </w:r>
          </w:p>
        </w:tc>
        <w:tc>
          <w:tcPr>
            <w:tcW w:w="702" w:type="dxa"/>
            <w:hideMark/>
          </w:tcPr>
          <w:p w14:paraId="62C64C9D" w14:textId="77777777" w:rsidR="00733417" w:rsidRPr="00733417" w:rsidRDefault="00733417" w:rsidP="00DF409C">
            <w:pPr>
              <w:jc w:val="center"/>
              <w:rPr>
                <w:sz w:val="20"/>
                <w:szCs w:val="20"/>
              </w:rPr>
            </w:pPr>
            <w:r w:rsidRPr="00733417">
              <w:rPr>
                <w:sz w:val="20"/>
                <w:szCs w:val="20"/>
              </w:rPr>
              <w:t> </w:t>
            </w:r>
          </w:p>
        </w:tc>
      </w:tr>
      <w:tr w:rsidR="00733417" w:rsidRPr="00733417" w14:paraId="11A9D179" w14:textId="77777777" w:rsidTr="00733417">
        <w:trPr>
          <w:trHeight w:val="315"/>
        </w:trPr>
        <w:tc>
          <w:tcPr>
            <w:tcW w:w="3114" w:type="dxa"/>
            <w:hideMark/>
          </w:tcPr>
          <w:p w14:paraId="0A35B837" w14:textId="77777777" w:rsidR="00733417" w:rsidRPr="00733417" w:rsidRDefault="00733417" w:rsidP="00DF409C">
            <w:pPr>
              <w:jc w:val="center"/>
              <w:rPr>
                <w:sz w:val="20"/>
                <w:szCs w:val="20"/>
              </w:rPr>
            </w:pPr>
            <w:r w:rsidRPr="00733417">
              <w:rPr>
                <w:sz w:val="20"/>
                <w:szCs w:val="20"/>
              </w:rPr>
              <w:t>Другие вопросы в области образования</w:t>
            </w:r>
          </w:p>
        </w:tc>
        <w:tc>
          <w:tcPr>
            <w:tcW w:w="850" w:type="dxa"/>
          </w:tcPr>
          <w:p w14:paraId="49E8DA8A" w14:textId="77777777" w:rsidR="00733417" w:rsidRPr="00733417" w:rsidRDefault="00733417" w:rsidP="00DF409C">
            <w:pPr>
              <w:jc w:val="center"/>
              <w:rPr>
                <w:sz w:val="20"/>
                <w:szCs w:val="20"/>
              </w:rPr>
            </w:pPr>
            <w:r w:rsidRPr="00733417">
              <w:rPr>
                <w:sz w:val="20"/>
                <w:szCs w:val="20"/>
              </w:rPr>
              <w:t>34,0</w:t>
            </w:r>
          </w:p>
        </w:tc>
        <w:tc>
          <w:tcPr>
            <w:tcW w:w="993" w:type="dxa"/>
            <w:noWrap/>
          </w:tcPr>
          <w:p w14:paraId="0514C1B2" w14:textId="77777777" w:rsidR="00733417" w:rsidRPr="00733417" w:rsidRDefault="00733417" w:rsidP="00DF409C">
            <w:pPr>
              <w:jc w:val="center"/>
              <w:rPr>
                <w:sz w:val="20"/>
                <w:szCs w:val="20"/>
              </w:rPr>
            </w:pPr>
            <w:r w:rsidRPr="00733417">
              <w:rPr>
                <w:sz w:val="20"/>
                <w:szCs w:val="20"/>
              </w:rPr>
              <w:t>43,7</w:t>
            </w:r>
          </w:p>
        </w:tc>
        <w:tc>
          <w:tcPr>
            <w:tcW w:w="708" w:type="dxa"/>
          </w:tcPr>
          <w:p w14:paraId="085769D0" w14:textId="77777777" w:rsidR="00733417" w:rsidRPr="00733417" w:rsidRDefault="00733417" w:rsidP="00DF409C">
            <w:pPr>
              <w:jc w:val="center"/>
              <w:rPr>
                <w:i/>
                <w:iCs/>
                <w:sz w:val="20"/>
                <w:szCs w:val="20"/>
              </w:rPr>
            </w:pPr>
            <w:r w:rsidRPr="00733417">
              <w:rPr>
                <w:i/>
                <w:iCs/>
                <w:sz w:val="20"/>
                <w:szCs w:val="20"/>
              </w:rPr>
              <w:t>128,4</w:t>
            </w:r>
          </w:p>
        </w:tc>
        <w:tc>
          <w:tcPr>
            <w:tcW w:w="993" w:type="dxa"/>
          </w:tcPr>
          <w:p w14:paraId="1C83011E" w14:textId="77777777" w:rsidR="00733417" w:rsidRPr="00733417" w:rsidRDefault="00733417" w:rsidP="00DF409C">
            <w:pPr>
              <w:jc w:val="center"/>
              <w:rPr>
                <w:sz w:val="20"/>
                <w:szCs w:val="20"/>
              </w:rPr>
            </w:pPr>
            <w:r w:rsidRPr="00733417">
              <w:rPr>
                <w:sz w:val="20"/>
                <w:szCs w:val="20"/>
              </w:rPr>
              <w:t>46,8</w:t>
            </w:r>
          </w:p>
        </w:tc>
        <w:tc>
          <w:tcPr>
            <w:tcW w:w="708" w:type="dxa"/>
            <w:noWrap/>
          </w:tcPr>
          <w:p w14:paraId="68CEAA59" w14:textId="77777777" w:rsidR="00733417" w:rsidRPr="00733417" w:rsidRDefault="00733417" w:rsidP="00DF409C">
            <w:pPr>
              <w:jc w:val="center"/>
              <w:rPr>
                <w:i/>
                <w:iCs/>
                <w:sz w:val="20"/>
                <w:szCs w:val="20"/>
              </w:rPr>
            </w:pPr>
            <w:r w:rsidRPr="00733417">
              <w:rPr>
                <w:i/>
                <w:iCs/>
                <w:sz w:val="20"/>
                <w:szCs w:val="20"/>
              </w:rPr>
              <w:t>107,2</w:t>
            </w:r>
          </w:p>
        </w:tc>
        <w:tc>
          <w:tcPr>
            <w:tcW w:w="993" w:type="dxa"/>
            <w:noWrap/>
          </w:tcPr>
          <w:p w14:paraId="5B69F8FD" w14:textId="77777777" w:rsidR="00733417" w:rsidRPr="00733417" w:rsidRDefault="00733417" w:rsidP="00DF409C">
            <w:pPr>
              <w:jc w:val="center"/>
              <w:rPr>
                <w:sz w:val="20"/>
                <w:szCs w:val="20"/>
              </w:rPr>
            </w:pPr>
            <w:r w:rsidRPr="00733417">
              <w:rPr>
                <w:sz w:val="20"/>
                <w:szCs w:val="20"/>
              </w:rPr>
              <w:t>45,7</w:t>
            </w:r>
          </w:p>
        </w:tc>
        <w:tc>
          <w:tcPr>
            <w:tcW w:w="702" w:type="dxa"/>
          </w:tcPr>
          <w:p w14:paraId="0B81E7E4" w14:textId="77777777" w:rsidR="00733417" w:rsidRPr="00733417" w:rsidRDefault="00733417" w:rsidP="00DF409C">
            <w:pPr>
              <w:jc w:val="center"/>
              <w:rPr>
                <w:i/>
                <w:iCs/>
                <w:sz w:val="20"/>
                <w:szCs w:val="20"/>
              </w:rPr>
            </w:pPr>
            <w:r w:rsidRPr="00733417">
              <w:rPr>
                <w:i/>
                <w:iCs/>
                <w:sz w:val="20"/>
                <w:szCs w:val="20"/>
              </w:rPr>
              <w:t>97,6</w:t>
            </w:r>
          </w:p>
        </w:tc>
      </w:tr>
      <w:tr w:rsidR="00733417" w:rsidRPr="00733417" w14:paraId="60FEDF73" w14:textId="77777777" w:rsidTr="00733417">
        <w:trPr>
          <w:trHeight w:val="315"/>
        </w:trPr>
        <w:tc>
          <w:tcPr>
            <w:tcW w:w="3114" w:type="dxa"/>
            <w:hideMark/>
          </w:tcPr>
          <w:p w14:paraId="3AD5D8E9" w14:textId="291435C5" w:rsidR="00733417" w:rsidRPr="00733417" w:rsidRDefault="00733417" w:rsidP="00DF409C">
            <w:pPr>
              <w:jc w:val="center"/>
              <w:rPr>
                <w:i/>
                <w:iCs/>
                <w:sz w:val="20"/>
                <w:szCs w:val="20"/>
              </w:rPr>
            </w:pPr>
            <w:r w:rsidRPr="00733417">
              <w:rPr>
                <w:i/>
                <w:iCs/>
                <w:sz w:val="20"/>
                <w:szCs w:val="20"/>
              </w:rPr>
              <w:t>% к ВВП</w:t>
            </w:r>
          </w:p>
        </w:tc>
        <w:tc>
          <w:tcPr>
            <w:tcW w:w="850" w:type="dxa"/>
            <w:noWrap/>
            <w:hideMark/>
          </w:tcPr>
          <w:p w14:paraId="38EF4733" w14:textId="77777777" w:rsidR="00733417" w:rsidRPr="00733417" w:rsidRDefault="00733417" w:rsidP="00DF409C">
            <w:pPr>
              <w:jc w:val="center"/>
              <w:rPr>
                <w:i/>
                <w:iCs/>
                <w:sz w:val="20"/>
                <w:szCs w:val="20"/>
              </w:rPr>
            </w:pPr>
            <w:r w:rsidRPr="00733417">
              <w:rPr>
                <w:i/>
                <w:iCs/>
                <w:sz w:val="20"/>
                <w:szCs w:val="20"/>
              </w:rPr>
              <w:t>0,03</w:t>
            </w:r>
          </w:p>
        </w:tc>
        <w:tc>
          <w:tcPr>
            <w:tcW w:w="993" w:type="dxa"/>
            <w:noWrap/>
            <w:hideMark/>
          </w:tcPr>
          <w:p w14:paraId="4E8B4039" w14:textId="77777777" w:rsidR="00733417" w:rsidRPr="00733417" w:rsidRDefault="00733417" w:rsidP="00DF409C">
            <w:pPr>
              <w:jc w:val="center"/>
              <w:rPr>
                <w:i/>
                <w:iCs/>
                <w:sz w:val="20"/>
                <w:szCs w:val="20"/>
              </w:rPr>
            </w:pPr>
            <w:r w:rsidRPr="00733417">
              <w:rPr>
                <w:i/>
                <w:iCs/>
                <w:sz w:val="20"/>
                <w:szCs w:val="20"/>
              </w:rPr>
              <w:t>0,04</w:t>
            </w:r>
          </w:p>
        </w:tc>
        <w:tc>
          <w:tcPr>
            <w:tcW w:w="708" w:type="dxa"/>
            <w:hideMark/>
          </w:tcPr>
          <w:p w14:paraId="4F2BBC99"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5BEF1704" w14:textId="77777777" w:rsidR="00733417" w:rsidRPr="00733417" w:rsidRDefault="00733417" w:rsidP="00DF409C">
            <w:pPr>
              <w:jc w:val="center"/>
              <w:rPr>
                <w:i/>
                <w:iCs/>
                <w:sz w:val="20"/>
                <w:szCs w:val="20"/>
              </w:rPr>
            </w:pPr>
            <w:r w:rsidRPr="00733417">
              <w:rPr>
                <w:i/>
                <w:iCs/>
                <w:sz w:val="20"/>
                <w:szCs w:val="20"/>
              </w:rPr>
              <w:t>0,04</w:t>
            </w:r>
          </w:p>
        </w:tc>
        <w:tc>
          <w:tcPr>
            <w:tcW w:w="708" w:type="dxa"/>
            <w:noWrap/>
            <w:hideMark/>
          </w:tcPr>
          <w:p w14:paraId="7E52E1B2"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4CA9636C" w14:textId="77777777" w:rsidR="00733417" w:rsidRPr="00733417" w:rsidRDefault="00733417" w:rsidP="00DF409C">
            <w:pPr>
              <w:jc w:val="center"/>
              <w:rPr>
                <w:i/>
                <w:iCs/>
                <w:sz w:val="20"/>
                <w:szCs w:val="20"/>
              </w:rPr>
            </w:pPr>
            <w:r w:rsidRPr="00733417">
              <w:rPr>
                <w:i/>
                <w:iCs/>
                <w:sz w:val="20"/>
                <w:szCs w:val="20"/>
              </w:rPr>
              <w:t>0,04</w:t>
            </w:r>
          </w:p>
        </w:tc>
        <w:tc>
          <w:tcPr>
            <w:tcW w:w="702" w:type="dxa"/>
            <w:hideMark/>
          </w:tcPr>
          <w:p w14:paraId="19580685" w14:textId="77777777" w:rsidR="00733417" w:rsidRPr="00733417" w:rsidRDefault="00733417" w:rsidP="00DF409C">
            <w:pPr>
              <w:jc w:val="center"/>
              <w:rPr>
                <w:sz w:val="20"/>
                <w:szCs w:val="20"/>
              </w:rPr>
            </w:pPr>
            <w:r w:rsidRPr="00733417">
              <w:rPr>
                <w:sz w:val="20"/>
                <w:szCs w:val="20"/>
              </w:rPr>
              <w:t> </w:t>
            </w:r>
          </w:p>
        </w:tc>
      </w:tr>
      <w:tr w:rsidR="00733417" w:rsidRPr="00733417" w14:paraId="15554229" w14:textId="77777777" w:rsidTr="00733417">
        <w:trPr>
          <w:trHeight w:val="525"/>
        </w:trPr>
        <w:tc>
          <w:tcPr>
            <w:tcW w:w="3114" w:type="dxa"/>
            <w:hideMark/>
          </w:tcPr>
          <w:p w14:paraId="2CCF3564" w14:textId="77777777" w:rsidR="00733417" w:rsidRPr="00733417" w:rsidRDefault="00733417" w:rsidP="00DF409C">
            <w:pPr>
              <w:jc w:val="center"/>
              <w:rPr>
                <w:i/>
                <w:iCs/>
                <w:sz w:val="20"/>
                <w:szCs w:val="20"/>
              </w:rPr>
            </w:pPr>
            <w:r w:rsidRPr="00733417">
              <w:rPr>
                <w:i/>
                <w:iCs/>
                <w:sz w:val="20"/>
                <w:szCs w:val="20"/>
              </w:rPr>
              <w:t>доля в общем объеме расходов, %(без учета условно утвержденных)</w:t>
            </w:r>
          </w:p>
        </w:tc>
        <w:tc>
          <w:tcPr>
            <w:tcW w:w="850" w:type="dxa"/>
            <w:noWrap/>
            <w:hideMark/>
          </w:tcPr>
          <w:p w14:paraId="24400569" w14:textId="77777777" w:rsidR="00733417" w:rsidRPr="00733417" w:rsidRDefault="00733417" w:rsidP="00DF409C">
            <w:pPr>
              <w:jc w:val="center"/>
              <w:rPr>
                <w:i/>
                <w:iCs/>
                <w:sz w:val="20"/>
                <w:szCs w:val="20"/>
              </w:rPr>
            </w:pPr>
            <w:r w:rsidRPr="00733417">
              <w:rPr>
                <w:i/>
                <w:iCs/>
                <w:sz w:val="20"/>
                <w:szCs w:val="20"/>
              </w:rPr>
              <w:t>0,18</w:t>
            </w:r>
          </w:p>
        </w:tc>
        <w:tc>
          <w:tcPr>
            <w:tcW w:w="993" w:type="dxa"/>
            <w:noWrap/>
            <w:hideMark/>
          </w:tcPr>
          <w:p w14:paraId="471C5CF1" w14:textId="77777777" w:rsidR="00733417" w:rsidRPr="00733417" w:rsidRDefault="00733417" w:rsidP="00DF409C">
            <w:pPr>
              <w:jc w:val="center"/>
              <w:rPr>
                <w:i/>
                <w:iCs/>
                <w:sz w:val="20"/>
                <w:szCs w:val="20"/>
              </w:rPr>
            </w:pPr>
            <w:r w:rsidRPr="00733417">
              <w:rPr>
                <w:i/>
                <w:iCs/>
                <w:sz w:val="20"/>
                <w:szCs w:val="20"/>
              </w:rPr>
              <w:t>0,22</w:t>
            </w:r>
          </w:p>
        </w:tc>
        <w:tc>
          <w:tcPr>
            <w:tcW w:w="708" w:type="dxa"/>
            <w:hideMark/>
          </w:tcPr>
          <w:p w14:paraId="2626748D"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2C520763" w14:textId="77777777" w:rsidR="00733417" w:rsidRPr="00733417" w:rsidRDefault="00733417" w:rsidP="00DF409C">
            <w:pPr>
              <w:jc w:val="center"/>
              <w:rPr>
                <w:i/>
                <w:iCs/>
                <w:sz w:val="20"/>
                <w:szCs w:val="20"/>
              </w:rPr>
            </w:pPr>
            <w:r w:rsidRPr="00733417">
              <w:rPr>
                <w:i/>
                <w:iCs/>
                <w:sz w:val="20"/>
                <w:szCs w:val="20"/>
              </w:rPr>
              <w:t>0,23</w:t>
            </w:r>
          </w:p>
        </w:tc>
        <w:tc>
          <w:tcPr>
            <w:tcW w:w="708" w:type="dxa"/>
            <w:noWrap/>
            <w:hideMark/>
          </w:tcPr>
          <w:p w14:paraId="61F22359" w14:textId="77777777" w:rsidR="00733417" w:rsidRPr="00733417" w:rsidRDefault="00733417" w:rsidP="00DF409C">
            <w:pPr>
              <w:jc w:val="center"/>
              <w:rPr>
                <w:i/>
                <w:iCs/>
                <w:sz w:val="20"/>
                <w:szCs w:val="20"/>
              </w:rPr>
            </w:pPr>
            <w:r w:rsidRPr="00733417">
              <w:rPr>
                <w:i/>
                <w:iCs/>
                <w:sz w:val="20"/>
                <w:szCs w:val="20"/>
              </w:rPr>
              <w:t> </w:t>
            </w:r>
          </w:p>
        </w:tc>
        <w:tc>
          <w:tcPr>
            <w:tcW w:w="993" w:type="dxa"/>
            <w:noWrap/>
            <w:hideMark/>
          </w:tcPr>
          <w:p w14:paraId="21430AFD" w14:textId="77777777" w:rsidR="00733417" w:rsidRPr="00733417" w:rsidRDefault="00733417" w:rsidP="00DF409C">
            <w:pPr>
              <w:jc w:val="center"/>
              <w:rPr>
                <w:i/>
                <w:iCs/>
                <w:sz w:val="20"/>
                <w:szCs w:val="20"/>
              </w:rPr>
            </w:pPr>
            <w:r w:rsidRPr="00733417">
              <w:rPr>
                <w:i/>
                <w:iCs/>
                <w:sz w:val="20"/>
                <w:szCs w:val="20"/>
              </w:rPr>
              <w:t>0,21</w:t>
            </w:r>
          </w:p>
        </w:tc>
        <w:tc>
          <w:tcPr>
            <w:tcW w:w="702" w:type="dxa"/>
            <w:hideMark/>
          </w:tcPr>
          <w:p w14:paraId="240956D7" w14:textId="77777777" w:rsidR="00733417" w:rsidRPr="00733417" w:rsidRDefault="00733417" w:rsidP="00DF409C">
            <w:pPr>
              <w:jc w:val="center"/>
              <w:rPr>
                <w:sz w:val="20"/>
                <w:szCs w:val="20"/>
              </w:rPr>
            </w:pPr>
            <w:r w:rsidRPr="00733417">
              <w:rPr>
                <w:sz w:val="20"/>
                <w:szCs w:val="20"/>
              </w:rPr>
              <w:t> </w:t>
            </w:r>
          </w:p>
        </w:tc>
      </w:tr>
    </w:tbl>
    <w:p w14:paraId="02D7E063" w14:textId="77777777" w:rsidR="00733417" w:rsidRPr="005F3D48" w:rsidRDefault="00733417" w:rsidP="00733417">
      <w:pPr>
        <w:keepLines/>
        <w:spacing w:before="60" w:after="120"/>
        <w:ind w:firstLine="708"/>
        <w:jc w:val="both"/>
        <w:rPr>
          <w:szCs w:val="20"/>
        </w:rPr>
      </w:pPr>
      <w:r w:rsidRPr="005F3D48">
        <w:rPr>
          <w:i/>
          <w:sz w:val="20"/>
          <w:szCs w:val="20"/>
        </w:rPr>
        <w:t>Источник:</w:t>
      </w:r>
      <w:r w:rsidRPr="005F3D48">
        <w:rPr>
          <w:sz w:val="20"/>
          <w:szCs w:val="20"/>
        </w:rPr>
        <w:t xml:space="preserve"> Законопроект, «Приложение 1</w:t>
      </w:r>
      <w:r>
        <w:rPr>
          <w:sz w:val="20"/>
          <w:szCs w:val="20"/>
        </w:rPr>
        <w:t>4</w:t>
      </w:r>
      <w:r w:rsidRPr="005F3D48">
        <w:rPr>
          <w:sz w:val="20"/>
          <w:szCs w:val="20"/>
        </w:rPr>
        <w:t xml:space="preserve"> к федеральному закону «О федеральном бюджете на 20</w:t>
      </w:r>
      <w:r>
        <w:rPr>
          <w:sz w:val="20"/>
          <w:szCs w:val="20"/>
        </w:rPr>
        <w:t>20</w:t>
      </w:r>
      <w:r w:rsidRPr="005F3D48">
        <w:rPr>
          <w:sz w:val="20"/>
          <w:szCs w:val="20"/>
        </w:rPr>
        <w:t xml:space="preserve"> год и на плановый период 202</w:t>
      </w:r>
      <w:r>
        <w:rPr>
          <w:sz w:val="20"/>
          <w:szCs w:val="20"/>
        </w:rPr>
        <w:t>1</w:t>
      </w:r>
      <w:r w:rsidRPr="005F3D48">
        <w:rPr>
          <w:sz w:val="20"/>
          <w:szCs w:val="20"/>
        </w:rPr>
        <w:t xml:space="preserve"> и 202</w:t>
      </w:r>
      <w:r>
        <w:rPr>
          <w:sz w:val="20"/>
          <w:szCs w:val="20"/>
        </w:rPr>
        <w:t>2</w:t>
      </w:r>
      <w:r w:rsidRPr="005F3D48">
        <w:rPr>
          <w:sz w:val="20"/>
          <w:szCs w:val="20"/>
        </w:rPr>
        <w:t xml:space="preserve"> годов», расчеты авторов.</w:t>
      </w:r>
    </w:p>
    <w:p w14:paraId="41CA3C60" w14:textId="71993E4C" w:rsidR="00733417" w:rsidRDefault="00733417" w:rsidP="00733417">
      <w:pPr>
        <w:spacing w:after="60"/>
        <w:ind w:firstLine="709"/>
        <w:jc w:val="both"/>
      </w:pPr>
      <w:r>
        <w:t xml:space="preserve">Как следует из </w:t>
      </w:r>
      <w:r w:rsidR="00465F0C" w:rsidRPr="00CC71D3">
        <w:rPr>
          <w:i/>
          <w:iCs/>
        </w:rPr>
        <w:t>табл</w:t>
      </w:r>
      <w:r w:rsidR="00465F0C">
        <w:rPr>
          <w:i/>
          <w:iCs/>
        </w:rPr>
        <w:t xml:space="preserve">ицы </w:t>
      </w:r>
      <w:r w:rsidR="00C84D38">
        <w:rPr>
          <w:i/>
          <w:noProof/>
        </w:rPr>
        <w:t>24</w:t>
      </w:r>
      <w:r w:rsidR="00465F0C">
        <w:rPr>
          <w:i/>
          <w:iCs/>
        </w:rPr>
        <w:t xml:space="preserve">, </w:t>
      </w:r>
      <w:r>
        <w:t xml:space="preserve">доля расходов на образование в ВВП в 2020 г. и 2021 г. остается на уровне 2019 г. – 0,8%, в 2022 г. она снижается до 0,7%. Это означает, что Российская Федерация по уровню расходов на образование в ВВП продолжает отставать от развитых стран (несмотря на то, что основные расходы на образование несут консолидированные бюджеты субъектов Российской Федерации, при низких расходах </w:t>
      </w:r>
      <w:r w:rsidR="00465F0C">
        <w:t xml:space="preserve">федерального бюджета </w:t>
      </w:r>
      <w:r>
        <w:t xml:space="preserve">на образование они также остаются сравнительно низкими). </w:t>
      </w:r>
    </w:p>
    <w:p w14:paraId="067B118F" w14:textId="64EC370D" w:rsidR="00733417" w:rsidRDefault="00733417" w:rsidP="00733417">
      <w:pPr>
        <w:spacing w:after="60"/>
        <w:ind w:firstLine="709"/>
        <w:jc w:val="both"/>
      </w:pPr>
      <w:r>
        <w:t xml:space="preserve">Резко падают в </w:t>
      </w:r>
      <w:r w:rsidR="00465F0C">
        <w:t xml:space="preserve">федеральном бюджете </w:t>
      </w:r>
      <w:r>
        <w:t>расходы на дошкольное образование: в 2020 г. почти наполовину, в 2022 г. – в 4 раза. Национальный проект «Образование» уделяет сравнительно небольшое внимание дошкольному образованию (развитие яслей вынесено в национальный проект «Демография»). Представляется, тем не менее, что сокращение указанных расходов нежелательно, поскольку именно раннее развитие обеспечивает успешность ребенка в школе и в профессиональном образовании. Кроме того, в условиях реализации Национального проекта «Образование» можно ожидать, что региональные и муниципальные управления образованием основное внимание будут уделять тем направлениям развития системы образования, по котор</w:t>
      </w:r>
      <w:r w:rsidR="002D1D00">
        <w:t>ым</w:t>
      </w:r>
      <w:r>
        <w:t xml:space="preserve"> они должны отчитываться по указанному национальному проекту. При этом текущее недофинансирование системы дошкольного образования оценивается более чем в 30%.</w:t>
      </w:r>
    </w:p>
    <w:p w14:paraId="3A5D56E4" w14:textId="5508C803" w:rsidR="00733417" w:rsidRDefault="00733417" w:rsidP="00733417">
      <w:pPr>
        <w:spacing w:after="60"/>
        <w:ind w:firstLine="709"/>
        <w:jc w:val="both"/>
      </w:pPr>
      <w:r>
        <w:t xml:space="preserve">Падают и расходы </w:t>
      </w:r>
      <w:r w:rsidR="002D1D00">
        <w:t xml:space="preserve">федерального бюджета </w:t>
      </w:r>
      <w:r>
        <w:t>на общее образование: в 2020 г. на 4,4%, в 2021 г. они остаются практически неизменными, но с учетом инфляции в реальном выражении сокращаются, а в 2022 г.  снижаются по отношению к 2019 г. почти на четверть (на 23,5%).  Между тем</w:t>
      </w:r>
      <w:r w:rsidR="002D1D00">
        <w:t>,</w:t>
      </w:r>
      <w:r>
        <w:t xml:space="preserve"> без увеличения расходов ФБ субъекты вряд ли смогут эффективно софинансировать расходы на реализацию Национального проекта «Образование», поскольку последний не учитывает рост сопутствующих расходов, связанных с его осуществлением (например, рост расходов на заработную плату учителей при вводе в эксплуатацию новых школ наряду с действующими или рост расходов на оплату коммунальных услуг).</w:t>
      </w:r>
    </w:p>
    <w:p w14:paraId="29DB4EA8" w14:textId="4CEDF035" w:rsidR="00733417" w:rsidRDefault="00733417" w:rsidP="00733417">
      <w:pPr>
        <w:spacing w:after="60"/>
        <w:ind w:firstLine="709"/>
        <w:jc w:val="both"/>
      </w:pPr>
      <w:r>
        <w:t xml:space="preserve">Снижаются и расходы </w:t>
      </w:r>
      <w:r w:rsidR="002D1D00">
        <w:t xml:space="preserve">федерального бюджета </w:t>
      </w:r>
      <w:r>
        <w:t xml:space="preserve">на дополнительное образование детей, хотя в условиях индивидуализации образования именно развитие дополнительного образования детей и молодежи в возрасте 5-18 лет приобретает особое значение.  Входящий в Национальный проект «Образование» Федеральный проект «Успех каждого ребенка», хотя и решает часть острых проблем в этой области, как и ГП РО, но в целом расходы Федерации на эти цели должны расти с тем, чтобы обеспечить всестороннее развитие детей. </w:t>
      </w:r>
    </w:p>
    <w:p w14:paraId="5D655719" w14:textId="6F5006C1" w:rsidR="00733417" w:rsidRDefault="00733417" w:rsidP="00733417">
      <w:pPr>
        <w:spacing w:after="60"/>
        <w:ind w:firstLine="709"/>
        <w:jc w:val="both"/>
      </w:pPr>
      <w:r>
        <w:t>Расходы ФБ на среднее профессиональное образование</w:t>
      </w:r>
      <w:r w:rsidR="002D1D00">
        <w:t xml:space="preserve"> (далее – СПО)</w:t>
      </w:r>
      <w:r>
        <w:t xml:space="preserve"> запланированы на стабильном уровне 0,03% ВВП и 0,18% от общих расходов ФБ. СПО </w:t>
      </w:r>
      <w:r w:rsidR="002D1D00">
        <w:t xml:space="preserve">– </w:t>
      </w:r>
      <w:r>
        <w:t xml:space="preserve">один из немногих бенефициаров </w:t>
      </w:r>
      <w:r w:rsidR="002D1D00">
        <w:t xml:space="preserve">федерального бюджета </w:t>
      </w:r>
      <w:r>
        <w:t>по финансированию образования. Вместе с тем, поскольку быстро увеличивается численность выпускников 9-ого класса, поступающих на учебу в профессиональные образовательные организации, доля расходов на финансирование текущих нужд организаций СПО (помимо Нацпроекта «Образование», который во многом в ФП «Молодые профессионалы» ориентирован на организацию и проведение международных конкурсов профессионального мастерства) в ФБ должна вырасти, по крайней мере, до 0,07-0,08%</w:t>
      </w:r>
      <w:r w:rsidR="002D1D00">
        <w:t xml:space="preserve"> </w:t>
      </w:r>
      <w:r>
        <w:t xml:space="preserve">ВВП. </w:t>
      </w:r>
    </w:p>
    <w:p w14:paraId="13CB52A5" w14:textId="781E74E6" w:rsidR="00733417" w:rsidRDefault="00733417" w:rsidP="00733417">
      <w:pPr>
        <w:spacing w:after="60"/>
        <w:ind w:firstLine="709"/>
        <w:jc w:val="both"/>
      </w:pPr>
      <w:r>
        <w:t xml:space="preserve">В абсолютном выражении растут расходы </w:t>
      </w:r>
      <w:r w:rsidR="002D1D00">
        <w:t xml:space="preserve">федерального бюджета </w:t>
      </w:r>
      <w:r>
        <w:t>на «</w:t>
      </w:r>
      <w:r w:rsidRPr="00F2144D">
        <w:t>Профессиональн</w:t>
      </w:r>
      <w:r>
        <w:t>ую</w:t>
      </w:r>
      <w:r w:rsidRPr="00F2144D">
        <w:t xml:space="preserve"> подготовк</w:t>
      </w:r>
      <w:r>
        <w:t>у</w:t>
      </w:r>
      <w:r w:rsidRPr="00F2144D">
        <w:t>, переподготовк</w:t>
      </w:r>
      <w:r>
        <w:t>у</w:t>
      </w:r>
      <w:r w:rsidRPr="00F2144D">
        <w:t xml:space="preserve"> и повышение квалификации</w:t>
      </w:r>
      <w:r>
        <w:t xml:space="preserve">», что во многом связано с реализацией ФП «Учитель будущего» и общим настроем на повышение квалификации занятого населения. Но уже в 2022 г. рост расходов на эту цель оказывается ниже уровня инфляции, т.е. в реальном выражении расходы падают, что неприемлемо с точки зрения повышения качества образования, а также повышения квалификации и переподготовки кадров в условиях нарастающей скорости технологических изменений.  </w:t>
      </w:r>
    </w:p>
    <w:p w14:paraId="7A2E4161" w14:textId="343208B8" w:rsidR="00733417" w:rsidRDefault="00733417" w:rsidP="00733417">
      <w:pPr>
        <w:spacing w:after="60"/>
        <w:ind w:firstLine="709"/>
        <w:jc w:val="both"/>
      </w:pPr>
      <w:r>
        <w:t>Относительно снижаются и расходы на высшее образование</w:t>
      </w:r>
      <w:r w:rsidR="00CC4379">
        <w:t xml:space="preserve"> (далее – ВО): </w:t>
      </w:r>
      <w:r>
        <w:t>кроме 2021 г. они растут ниже уровня инфляции. С учетом того, что высшее образование является одним из основных драйверов развития современной экономики и роста человеческого капитала, доля расходов на ВО в 0,50-0,52%</w:t>
      </w:r>
      <w:r w:rsidR="00CC4379">
        <w:t xml:space="preserve"> </w:t>
      </w:r>
      <w:r>
        <w:t xml:space="preserve">ВВП является явно недостаточной (в развитых странах она составляет 0,9-1,2% ВВП). Соответственно, Россия обрекает себя на снижение общего качества высшего образования при некотором росте конкурентоспособности на мировом образовательном рынке небольшой группы высших учебных заведений. </w:t>
      </w:r>
    </w:p>
    <w:p w14:paraId="5B8F2457" w14:textId="20251E90" w:rsidR="00733417" w:rsidRDefault="00733417" w:rsidP="00733417">
      <w:pPr>
        <w:spacing w:after="60"/>
        <w:ind w:firstLine="709"/>
        <w:jc w:val="both"/>
      </w:pPr>
      <w:r>
        <w:t xml:space="preserve">В области молодежной политики основные расходы </w:t>
      </w:r>
      <w:r w:rsidR="00CC4379">
        <w:t xml:space="preserve">федерального бюджета </w:t>
      </w:r>
      <w:r>
        <w:t>концентрируются на крупных имиджевых мероприятиях, при этом нарастают серьезные проблемы в решении жизненны</w:t>
      </w:r>
      <w:r w:rsidR="000B225F">
        <w:t>х проблем молодежи (в том числе</w:t>
      </w:r>
      <w:r>
        <w:t xml:space="preserve"> в трудоустройстве), которые не решаются на региональном уровне. В силу сказанного представляется необходимым увеличить расходы </w:t>
      </w:r>
      <w:r w:rsidR="00CC4379">
        <w:t xml:space="preserve">федерального бюджета </w:t>
      </w:r>
      <w:r>
        <w:t xml:space="preserve">на молодежную политику хотя бы до 0,015% ВВП при структурном изменении входящих в нее мероприятий. </w:t>
      </w:r>
    </w:p>
    <w:p w14:paraId="1D72126C" w14:textId="10B629CA" w:rsidR="00733417" w:rsidRDefault="00733417" w:rsidP="00733417">
      <w:pPr>
        <w:spacing w:after="60"/>
        <w:ind w:firstLine="709"/>
        <w:jc w:val="both"/>
      </w:pPr>
      <w:r>
        <w:t>Расходы на прикладные научные исследования в области образования в реальном выражении растут только в 2020 г., а затем падают с учетом запланированного уровня инфляции. Между тем</w:t>
      </w:r>
      <w:r w:rsidR="00CC4379">
        <w:t>,</w:t>
      </w:r>
      <w:r>
        <w:t xml:space="preserve"> от качества и интенсивности этих исследований зависит повышение качества образования. Поэтому целесообразно, чтобы эти расходы росли выше уровня инфляции. </w:t>
      </w:r>
    </w:p>
    <w:p w14:paraId="3C397387" w14:textId="5F89BA9C" w:rsidR="00733417" w:rsidRDefault="00733417" w:rsidP="00733417">
      <w:pPr>
        <w:spacing w:after="60"/>
        <w:ind w:firstLine="709"/>
        <w:jc w:val="both"/>
      </w:pPr>
      <w:r>
        <w:t xml:space="preserve"> Расходы </w:t>
      </w:r>
      <w:r w:rsidR="00CC4379">
        <w:t xml:space="preserve">федерального бюджета </w:t>
      </w:r>
      <w:r>
        <w:t xml:space="preserve">на «Другие вопросы в области образования» во многом носят характер устранения непредвиденных затрат в условиях </w:t>
      </w:r>
      <w:r w:rsidR="00CC4379">
        <w:t xml:space="preserve">некоторой </w:t>
      </w:r>
      <w:r>
        <w:t>экономической неопределенности. Они запланированы на уровне 0,04%</w:t>
      </w:r>
      <w:r w:rsidR="00CC4379">
        <w:t xml:space="preserve"> </w:t>
      </w:r>
      <w:r>
        <w:t xml:space="preserve">ВВП на протяжении всего периода 2020-2022 гг., но относительно общего объема расходов </w:t>
      </w:r>
      <w:r w:rsidR="00CC4379">
        <w:t xml:space="preserve">бюджета </w:t>
      </w:r>
      <w:r>
        <w:t>они снижаются с 0,23% до 0,21%.</w:t>
      </w:r>
    </w:p>
    <w:p w14:paraId="0311E806" w14:textId="41C8D4E7" w:rsidR="00733417" w:rsidRDefault="00733417" w:rsidP="00733417">
      <w:pPr>
        <w:spacing w:after="60"/>
        <w:ind w:firstLine="709"/>
        <w:jc w:val="both"/>
      </w:pPr>
      <w:r>
        <w:t xml:space="preserve">В целом анализ показывает, что для обеспечения роста качества образования расходы </w:t>
      </w:r>
      <w:r w:rsidR="00CC4379">
        <w:t xml:space="preserve">федерального бюджета </w:t>
      </w:r>
      <w:r>
        <w:t>на образование должны вырасти в прогнозном периоде не менее чем до 1,0% ВВП.</w:t>
      </w:r>
    </w:p>
    <w:p w14:paraId="3FEBC654" w14:textId="77777777" w:rsidR="00E35F1A" w:rsidRPr="008E6B24" w:rsidRDefault="00E35F1A">
      <w:pPr>
        <w:rPr>
          <w:b/>
          <w:szCs w:val="20"/>
        </w:rPr>
      </w:pPr>
    </w:p>
    <w:p w14:paraId="2D223190" w14:textId="15EB611E" w:rsidR="00995E45" w:rsidRPr="008E6B24" w:rsidRDefault="00995E45" w:rsidP="00A059D2">
      <w:pPr>
        <w:keepNext/>
        <w:spacing w:before="60" w:after="60"/>
        <w:jc w:val="center"/>
        <w:outlineLvl w:val="2"/>
        <w:rPr>
          <w:b/>
          <w:szCs w:val="20"/>
        </w:rPr>
      </w:pPr>
      <w:bookmarkStart w:id="57" w:name="_Toc21436754"/>
      <w:r w:rsidRPr="00927EED">
        <w:rPr>
          <w:b/>
          <w:szCs w:val="20"/>
        </w:rPr>
        <w:t>Расходы на НИОКР</w:t>
      </w:r>
      <w:bookmarkEnd w:id="48"/>
      <w:bookmarkEnd w:id="57"/>
    </w:p>
    <w:p w14:paraId="76F79140" w14:textId="540B630F" w:rsidR="00792993" w:rsidRDefault="00792993" w:rsidP="00BE65E2">
      <w:pPr>
        <w:spacing w:after="60"/>
        <w:ind w:firstLine="709"/>
        <w:jc w:val="both"/>
      </w:pPr>
      <w:bookmarkStart w:id="58" w:name="_Toc465959028"/>
      <w:r>
        <w:t>Бюджетные ассигнования на НИОКР гражданского назначения, запланированные на 20</w:t>
      </w:r>
      <w:r w:rsidRPr="001E2F05">
        <w:t>20</w:t>
      </w:r>
      <w:r>
        <w:t>-202</w:t>
      </w:r>
      <w:r w:rsidRPr="001E2F05">
        <w:t>2</w:t>
      </w:r>
      <w:r>
        <w:t xml:space="preserve"> гг., будут ежегодно возрастать, но разными темпами: на 2020 г. запланирован самый большой прирост по сравнению с 2019 г. (почти на 24%), а в следующие два года темпы роста составят около 3-4% в </w:t>
      </w:r>
      <w:r w:rsidRPr="00BE65E2">
        <w:t>год (</w:t>
      </w:r>
      <w:r w:rsidRPr="00BE65E2">
        <w:rPr>
          <w:i/>
        </w:rPr>
        <w:t>табл</w:t>
      </w:r>
      <w:r w:rsidR="00E6524F" w:rsidRPr="00BE65E2">
        <w:rPr>
          <w:i/>
        </w:rPr>
        <w:t xml:space="preserve">ица </w:t>
      </w:r>
      <w:r w:rsidR="00C84D38">
        <w:rPr>
          <w:i/>
          <w:noProof/>
        </w:rPr>
        <w:t>25</w:t>
      </w:r>
      <w:r w:rsidRPr="00BE65E2">
        <w:t>). Отчасти</w:t>
      </w:r>
      <w:r>
        <w:t xml:space="preserve"> существенный прирост финансирования в 2020 г. связан с переносом неизрасходованных средств с 2019 г. Поэтому в 2020-2021 гг. </w:t>
      </w:r>
      <w:r w:rsidR="00E6524F">
        <w:t xml:space="preserve">ассигнования </w:t>
      </w:r>
      <w:r>
        <w:t>возрастают (на 15% в каждый год) по сравнению с плановыми значениями, отраженными в Законе №</w:t>
      </w:r>
      <w:r w:rsidR="00E6524F">
        <w:t xml:space="preserve"> </w:t>
      </w:r>
      <w:r>
        <w:t>459-ФЗ.</w:t>
      </w:r>
    </w:p>
    <w:p w14:paraId="6C698121" w14:textId="77777777" w:rsidR="00DF409C" w:rsidRDefault="00DF409C" w:rsidP="00BE65E2">
      <w:pPr>
        <w:spacing w:after="60"/>
        <w:ind w:firstLine="709"/>
        <w:jc w:val="both"/>
      </w:pPr>
    </w:p>
    <w:p w14:paraId="16412849" w14:textId="1A5C6390" w:rsidR="000419EA" w:rsidRPr="00600DF7" w:rsidRDefault="000419EA" w:rsidP="000419EA">
      <w:pPr>
        <w:spacing w:after="60"/>
        <w:jc w:val="right"/>
        <w:rPr>
          <w:i/>
        </w:rPr>
      </w:pPr>
      <w:r w:rsidRPr="00600DF7">
        <w:rPr>
          <w:i/>
        </w:rPr>
        <w:t>Таблица</w:t>
      </w:r>
      <w:r>
        <w:rPr>
          <w:i/>
        </w:rPr>
        <w:t xml:space="preserve"> </w:t>
      </w:r>
      <w:bookmarkStart w:id="59" w:name="_Ref21345462"/>
      <w:r w:rsidR="00C84D38">
        <w:rPr>
          <w:i/>
          <w:noProof/>
        </w:rPr>
        <w:t>25</w:t>
      </w:r>
      <w:bookmarkEnd w:id="59"/>
    </w:p>
    <w:p w14:paraId="291F93FE" w14:textId="77777777" w:rsidR="00792993" w:rsidRPr="008E4B3E" w:rsidRDefault="00792993" w:rsidP="00BE65E2">
      <w:pPr>
        <w:spacing w:after="60"/>
        <w:jc w:val="center"/>
        <w:rPr>
          <w:b/>
        </w:rPr>
      </w:pPr>
      <w:r w:rsidRPr="008E4B3E">
        <w:rPr>
          <w:b/>
        </w:rPr>
        <w:t xml:space="preserve">Динамика ассигнований на НИОКР </w:t>
      </w:r>
      <w:r>
        <w:rPr>
          <w:b/>
        </w:rPr>
        <w:t xml:space="preserve">гражданского назначения </w:t>
      </w:r>
    </w:p>
    <w:tbl>
      <w:tblPr>
        <w:tblStyle w:val="a4"/>
        <w:tblW w:w="0" w:type="auto"/>
        <w:tblLook w:val="04A0" w:firstRow="1" w:lastRow="0" w:firstColumn="1" w:lastColumn="0" w:noHBand="0" w:noVBand="1"/>
      </w:tblPr>
      <w:tblGrid>
        <w:gridCol w:w="5174"/>
        <w:gridCol w:w="1383"/>
        <w:gridCol w:w="1382"/>
        <w:gridCol w:w="1348"/>
      </w:tblGrid>
      <w:tr w:rsidR="00792993" w:rsidRPr="00C34D4B" w14:paraId="4DAAAF19" w14:textId="77777777" w:rsidTr="0081751D">
        <w:tc>
          <w:tcPr>
            <w:tcW w:w="5353" w:type="dxa"/>
          </w:tcPr>
          <w:p w14:paraId="3B7D37DD" w14:textId="77777777" w:rsidR="00792993" w:rsidRPr="00BF3847" w:rsidRDefault="00792993" w:rsidP="00BE65E2">
            <w:pPr>
              <w:spacing w:after="60"/>
              <w:jc w:val="center"/>
              <w:rPr>
                <w:b/>
                <w:sz w:val="20"/>
                <w:szCs w:val="20"/>
              </w:rPr>
            </w:pPr>
            <w:r>
              <w:rPr>
                <w:b/>
                <w:sz w:val="20"/>
                <w:szCs w:val="20"/>
              </w:rPr>
              <w:t>Показатель</w:t>
            </w:r>
          </w:p>
        </w:tc>
        <w:tc>
          <w:tcPr>
            <w:tcW w:w="1418" w:type="dxa"/>
          </w:tcPr>
          <w:p w14:paraId="4DD4E2CA" w14:textId="77777777" w:rsidR="00792993" w:rsidRPr="00BF3847" w:rsidRDefault="00792993" w:rsidP="00BE65E2">
            <w:pPr>
              <w:spacing w:after="60"/>
              <w:jc w:val="center"/>
              <w:rPr>
                <w:b/>
                <w:sz w:val="20"/>
                <w:szCs w:val="20"/>
              </w:rPr>
            </w:pPr>
            <w:r>
              <w:rPr>
                <w:b/>
                <w:sz w:val="20"/>
                <w:szCs w:val="20"/>
              </w:rPr>
              <w:t>2020</w:t>
            </w:r>
            <w:r w:rsidRPr="00BF3847">
              <w:rPr>
                <w:b/>
                <w:sz w:val="20"/>
                <w:szCs w:val="20"/>
              </w:rPr>
              <w:t xml:space="preserve"> г.</w:t>
            </w:r>
          </w:p>
        </w:tc>
        <w:tc>
          <w:tcPr>
            <w:tcW w:w="1417" w:type="dxa"/>
          </w:tcPr>
          <w:p w14:paraId="7B0D407D" w14:textId="77777777" w:rsidR="00792993" w:rsidRPr="00BF3847" w:rsidRDefault="00792993" w:rsidP="00BE65E2">
            <w:pPr>
              <w:spacing w:after="60"/>
              <w:jc w:val="center"/>
              <w:rPr>
                <w:b/>
                <w:sz w:val="20"/>
                <w:szCs w:val="20"/>
              </w:rPr>
            </w:pPr>
            <w:r w:rsidRPr="00BF3847">
              <w:rPr>
                <w:b/>
                <w:sz w:val="20"/>
                <w:szCs w:val="20"/>
              </w:rPr>
              <w:t>20</w:t>
            </w:r>
            <w:r>
              <w:rPr>
                <w:b/>
                <w:sz w:val="20"/>
                <w:szCs w:val="20"/>
              </w:rPr>
              <w:t>21</w:t>
            </w:r>
            <w:r w:rsidRPr="00BF3847">
              <w:rPr>
                <w:b/>
                <w:sz w:val="20"/>
                <w:szCs w:val="20"/>
              </w:rPr>
              <w:t xml:space="preserve"> г.</w:t>
            </w:r>
          </w:p>
        </w:tc>
        <w:tc>
          <w:tcPr>
            <w:tcW w:w="1383" w:type="dxa"/>
          </w:tcPr>
          <w:p w14:paraId="466FE4D6" w14:textId="77777777" w:rsidR="00792993" w:rsidRPr="00BF3847" w:rsidRDefault="00792993" w:rsidP="00BE65E2">
            <w:pPr>
              <w:spacing w:after="60"/>
              <w:jc w:val="center"/>
              <w:rPr>
                <w:b/>
                <w:sz w:val="20"/>
                <w:szCs w:val="20"/>
              </w:rPr>
            </w:pPr>
            <w:r w:rsidRPr="00BF3847">
              <w:rPr>
                <w:b/>
                <w:sz w:val="20"/>
                <w:szCs w:val="20"/>
              </w:rPr>
              <w:t>202</w:t>
            </w:r>
            <w:r>
              <w:rPr>
                <w:b/>
                <w:sz w:val="20"/>
                <w:szCs w:val="20"/>
              </w:rPr>
              <w:t>2</w:t>
            </w:r>
            <w:r w:rsidRPr="00BF3847">
              <w:rPr>
                <w:b/>
                <w:sz w:val="20"/>
                <w:szCs w:val="20"/>
              </w:rPr>
              <w:t xml:space="preserve"> г.</w:t>
            </w:r>
          </w:p>
        </w:tc>
      </w:tr>
      <w:tr w:rsidR="00792993" w:rsidRPr="00C34D4B" w14:paraId="7D853E87" w14:textId="77777777" w:rsidTr="0081751D">
        <w:tc>
          <w:tcPr>
            <w:tcW w:w="5353" w:type="dxa"/>
          </w:tcPr>
          <w:p w14:paraId="280C2541" w14:textId="58634D18" w:rsidR="00792993" w:rsidRPr="00BF3847" w:rsidRDefault="00792993" w:rsidP="00BE65E2">
            <w:pPr>
              <w:spacing w:after="60"/>
              <w:jc w:val="both"/>
              <w:rPr>
                <w:sz w:val="20"/>
                <w:szCs w:val="20"/>
              </w:rPr>
            </w:pPr>
            <w:r>
              <w:rPr>
                <w:sz w:val="20"/>
                <w:szCs w:val="20"/>
              </w:rPr>
              <w:t>Расходы федерального бюджета на НИОКР гражданского назначения, всего, млрд руб.</w:t>
            </w:r>
          </w:p>
        </w:tc>
        <w:tc>
          <w:tcPr>
            <w:tcW w:w="1418" w:type="dxa"/>
          </w:tcPr>
          <w:p w14:paraId="74FDF9EA" w14:textId="74917119" w:rsidR="00792993" w:rsidRPr="00BF3847" w:rsidRDefault="00792993" w:rsidP="00BE65E2">
            <w:pPr>
              <w:spacing w:after="60"/>
              <w:jc w:val="center"/>
              <w:rPr>
                <w:sz w:val="20"/>
                <w:szCs w:val="20"/>
              </w:rPr>
            </w:pPr>
            <w:r>
              <w:rPr>
                <w:sz w:val="20"/>
                <w:szCs w:val="20"/>
              </w:rPr>
              <w:t>505,6</w:t>
            </w:r>
          </w:p>
        </w:tc>
        <w:tc>
          <w:tcPr>
            <w:tcW w:w="1417" w:type="dxa"/>
          </w:tcPr>
          <w:p w14:paraId="4E6974E7" w14:textId="0AACD50E" w:rsidR="00792993" w:rsidRPr="00BF3847" w:rsidRDefault="00792993" w:rsidP="00BE65E2">
            <w:pPr>
              <w:spacing w:after="60"/>
              <w:jc w:val="center"/>
              <w:rPr>
                <w:sz w:val="20"/>
                <w:szCs w:val="20"/>
              </w:rPr>
            </w:pPr>
            <w:r>
              <w:rPr>
                <w:sz w:val="20"/>
                <w:szCs w:val="20"/>
              </w:rPr>
              <w:t>518,</w:t>
            </w:r>
            <w:r w:rsidR="00C14D3F">
              <w:rPr>
                <w:sz w:val="20"/>
                <w:szCs w:val="20"/>
              </w:rPr>
              <w:t>9</w:t>
            </w:r>
          </w:p>
        </w:tc>
        <w:tc>
          <w:tcPr>
            <w:tcW w:w="1383" w:type="dxa"/>
          </w:tcPr>
          <w:p w14:paraId="3EB6952A" w14:textId="23762F10" w:rsidR="00792993" w:rsidRPr="00BF3847" w:rsidRDefault="00792993" w:rsidP="00BE65E2">
            <w:pPr>
              <w:spacing w:after="60"/>
              <w:jc w:val="center"/>
              <w:rPr>
                <w:sz w:val="20"/>
                <w:szCs w:val="20"/>
              </w:rPr>
            </w:pPr>
            <w:r>
              <w:rPr>
                <w:sz w:val="20"/>
                <w:szCs w:val="20"/>
              </w:rPr>
              <w:t>540,</w:t>
            </w:r>
            <w:r w:rsidR="00C14D3F">
              <w:rPr>
                <w:sz w:val="20"/>
                <w:szCs w:val="20"/>
              </w:rPr>
              <w:t>7</w:t>
            </w:r>
          </w:p>
        </w:tc>
      </w:tr>
      <w:tr w:rsidR="00792993" w:rsidRPr="00C34D4B" w14:paraId="50708AB1" w14:textId="77777777" w:rsidTr="0081751D">
        <w:tc>
          <w:tcPr>
            <w:tcW w:w="5353" w:type="dxa"/>
          </w:tcPr>
          <w:p w14:paraId="7BBCABD0" w14:textId="77777777" w:rsidR="00792993" w:rsidRPr="00BE65E2" w:rsidRDefault="00792993" w:rsidP="00BE65E2">
            <w:pPr>
              <w:spacing w:after="60"/>
              <w:rPr>
                <w:i/>
                <w:sz w:val="20"/>
                <w:szCs w:val="20"/>
              </w:rPr>
            </w:pPr>
            <w:r w:rsidRPr="00BE65E2">
              <w:rPr>
                <w:i/>
                <w:sz w:val="20"/>
                <w:szCs w:val="20"/>
              </w:rPr>
              <w:t>Прирост к предыдущему году, %</w:t>
            </w:r>
          </w:p>
        </w:tc>
        <w:tc>
          <w:tcPr>
            <w:tcW w:w="1418" w:type="dxa"/>
          </w:tcPr>
          <w:p w14:paraId="101844A0" w14:textId="77777777" w:rsidR="00792993" w:rsidRPr="00BE65E2" w:rsidRDefault="00792993" w:rsidP="00BE65E2">
            <w:pPr>
              <w:spacing w:after="60"/>
              <w:jc w:val="center"/>
              <w:rPr>
                <w:i/>
                <w:sz w:val="20"/>
                <w:szCs w:val="20"/>
              </w:rPr>
            </w:pPr>
            <w:r w:rsidRPr="00BE65E2">
              <w:rPr>
                <w:i/>
                <w:sz w:val="20"/>
                <w:szCs w:val="20"/>
              </w:rPr>
              <w:t>+23,9</w:t>
            </w:r>
          </w:p>
        </w:tc>
        <w:tc>
          <w:tcPr>
            <w:tcW w:w="1417" w:type="dxa"/>
          </w:tcPr>
          <w:p w14:paraId="0E0D5D8F" w14:textId="77777777" w:rsidR="00792993" w:rsidRPr="00BE65E2" w:rsidRDefault="00792993" w:rsidP="00BE65E2">
            <w:pPr>
              <w:spacing w:after="60"/>
              <w:jc w:val="center"/>
              <w:rPr>
                <w:i/>
                <w:sz w:val="20"/>
                <w:szCs w:val="20"/>
              </w:rPr>
            </w:pPr>
            <w:r w:rsidRPr="00BE65E2">
              <w:rPr>
                <w:i/>
                <w:sz w:val="20"/>
                <w:szCs w:val="20"/>
              </w:rPr>
              <w:t>+2,6</w:t>
            </w:r>
          </w:p>
        </w:tc>
        <w:tc>
          <w:tcPr>
            <w:tcW w:w="1383" w:type="dxa"/>
          </w:tcPr>
          <w:p w14:paraId="31CAE99A" w14:textId="77777777" w:rsidR="00792993" w:rsidRPr="00BE65E2" w:rsidRDefault="00792993" w:rsidP="00BE65E2">
            <w:pPr>
              <w:spacing w:after="60"/>
              <w:jc w:val="center"/>
              <w:rPr>
                <w:i/>
                <w:sz w:val="20"/>
                <w:szCs w:val="20"/>
              </w:rPr>
            </w:pPr>
            <w:r w:rsidRPr="00BE65E2">
              <w:rPr>
                <w:i/>
                <w:sz w:val="20"/>
                <w:szCs w:val="20"/>
              </w:rPr>
              <w:t>+4,2</w:t>
            </w:r>
          </w:p>
        </w:tc>
      </w:tr>
      <w:tr w:rsidR="00792993" w:rsidRPr="00C34D4B" w14:paraId="43D93B31" w14:textId="77777777" w:rsidTr="0081751D">
        <w:tc>
          <w:tcPr>
            <w:tcW w:w="5353" w:type="dxa"/>
          </w:tcPr>
          <w:p w14:paraId="088588AA" w14:textId="77777777" w:rsidR="00792993" w:rsidRPr="00BE65E2" w:rsidRDefault="00792993" w:rsidP="00BE65E2">
            <w:pPr>
              <w:spacing w:after="60"/>
              <w:rPr>
                <w:i/>
                <w:sz w:val="20"/>
                <w:szCs w:val="20"/>
              </w:rPr>
            </w:pPr>
            <w:r w:rsidRPr="00BE65E2">
              <w:rPr>
                <w:i/>
                <w:sz w:val="20"/>
                <w:szCs w:val="20"/>
              </w:rPr>
              <w:t>Прирост в сравнении с законопроектом на 2018-2020 гг., в каждом году, %</w:t>
            </w:r>
          </w:p>
        </w:tc>
        <w:tc>
          <w:tcPr>
            <w:tcW w:w="1418" w:type="dxa"/>
          </w:tcPr>
          <w:p w14:paraId="05D88581" w14:textId="77777777" w:rsidR="00792993" w:rsidRPr="00BE65E2" w:rsidRDefault="00792993" w:rsidP="00BE65E2">
            <w:pPr>
              <w:spacing w:after="60"/>
              <w:jc w:val="center"/>
              <w:rPr>
                <w:i/>
                <w:sz w:val="20"/>
                <w:szCs w:val="20"/>
              </w:rPr>
            </w:pPr>
            <w:r w:rsidRPr="00BE65E2">
              <w:rPr>
                <w:i/>
                <w:sz w:val="20"/>
                <w:szCs w:val="20"/>
              </w:rPr>
              <w:t>+14,4</w:t>
            </w:r>
          </w:p>
        </w:tc>
        <w:tc>
          <w:tcPr>
            <w:tcW w:w="1417" w:type="dxa"/>
          </w:tcPr>
          <w:p w14:paraId="5E864BA0" w14:textId="77777777" w:rsidR="00792993" w:rsidRPr="00BE65E2" w:rsidRDefault="00792993" w:rsidP="00BE65E2">
            <w:pPr>
              <w:spacing w:after="60"/>
              <w:jc w:val="center"/>
              <w:rPr>
                <w:i/>
                <w:sz w:val="20"/>
                <w:szCs w:val="20"/>
              </w:rPr>
            </w:pPr>
            <w:r w:rsidRPr="00BE65E2">
              <w:rPr>
                <w:i/>
                <w:sz w:val="20"/>
                <w:szCs w:val="20"/>
              </w:rPr>
              <w:t>+14,6</w:t>
            </w:r>
          </w:p>
        </w:tc>
        <w:tc>
          <w:tcPr>
            <w:tcW w:w="1383" w:type="dxa"/>
          </w:tcPr>
          <w:p w14:paraId="611027F1" w14:textId="77777777" w:rsidR="00792993" w:rsidRPr="00BE65E2" w:rsidRDefault="00792993" w:rsidP="00BE65E2">
            <w:pPr>
              <w:spacing w:after="60"/>
              <w:jc w:val="center"/>
              <w:rPr>
                <w:i/>
                <w:sz w:val="20"/>
                <w:szCs w:val="20"/>
              </w:rPr>
            </w:pPr>
            <w:r w:rsidRPr="00BE65E2">
              <w:rPr>
                <w:i/>
                <w:sz w:val="20"/>
                <w:szCs w:val="20"/>
              </w:rPr>
              <w:t>-</w:t>
            </w:r>
          </w:p>
        </w:tc>
      </w:tr>
    </w:tbl>
    <w:p w14:paraId="7FC09D31" w14:textId="5EA6C9B9" w:rsidR="00792993" w:rsidRPr="008E4B3E" w:rsidRDefault="00792993" w:rsidP="00BE65E2">
      <w:pPr>
        <w:spacing w:after="60"/>
        <w:ind w:firstLine="708"/>
        <w:jc w:val="both"/>
        <w:rPr>
          <w:sz w:val="20"/>
          <w:szCs w:val="20"/>
        </w:rPr>
      </w:pPr>
      <w:r w:rsidRPr="00BE65E2">
        <w:rPr>
          <w:i/>
          <w:sz w:val="20"/>
          <w:szCs w:val="20"/>
        </w:rPr>
        <w:t>Источник</w:t>
      </w:r>
      <w:r w:rsidRPr="008E4B3E">
        <w:rPr>
          <w:sz w:val="20"/>
          <w:szCs w:val="20"/>
        </w:rPr>
        <w:t>: Приложение 8 к Пояснительной записке к проекту федерального закона «О федеральном бюджете на 20</w:t>
      </w:r>
      <w:r>
        <w:rPr>
          <w:sz w:val="20"/>
          <w:szCs w:val="20"/>
        </w:rPr>
        <w:t>20</w:t>
      </w:r>
      <w:r w:rsidRPr="008E4B3E">
        <w:rPr>
          <w:sz w:val="20"/>
          <w:szCs w:val="20"/>
        </w:rPr>
        <w:t xml:space="preserve"> год и на плановый период 202</w:t>
      </w:r>
      <w:r>
        <w:rPr>
          <w:sz w:val="20"/>
          <w:szCs w:val="20"/>
        </w:rPr>
        <w:t>1</w:t>
      </w:r>
      <w:r w:rsidRPr="008E4B3E">
        <w:rPr>
          <w:sz w:val="20"/>
          <w:szCs w:val="20"/>
        </w:rPr>
        <w:t xml:space="preserve"> и 202</w:t>
      </w:r>
      <w:r>
        <w:rPr>
          <w:sz w:val="20"/>
          <w:szCs w:val="20"/>
        </w:rPr>
        <w:t>2</w:t>
      </w:r>
      <w:r w:rsidR="00927EED">
        <w:rPr>
          <w:sz w:val="20"/>
          <w:szCs w:val="20"/>
        </w:rPr>
        <w:t xml:space="preserve"> годов», расчеты авторов</w:t>
      </w:r>
    </w:p>
    <w:p w14:paraId="1B5B4B34" w14:textId="5F548523" w:rsidR="00792993" w:rsidRPr="000419EA" w:rsidRDefault="00792993" w:rsidP="00BE65E2">
      <w:pPr>
        <w:spacing w:after="60"/>
        <w:ind w:firstLine="709"/>
        <w:jc w:val="both"/>
      </w:pPr>
      <w:r>
        <w:t>Основной «зонтичной» программой, через которую выделяется финансирование на гражданские НИОКР, а также на иные нужды функционирования науки, является государственная программа «Научно-технологическое развитие Российской Федерации», общие ассигнования на которую будут ежегодно расти. Они предусмотрены в размере 740,7 млрд</w:t>
      </w:r>
      <w:r w:rsidR="00E6524F">
        <w:t xml:space="preserve"> руб.</w:t>
      </w:r>
      <w:r>
        <w:t xml:space="preserve"> в 2020 г., 795,9 млрд руб. в 2021 г. и 870,7 млрд </w:t>
      </w:r>
      <w:r w:rsidRPr="000419EA">
        <w:t xml:space="preserve">руб. в 2022 г. Из этих </w:t>
      </w:r>
      <w:r w:rsidR="00E6524F" w:rsidRPr="000419EA">
        <w:t>средств собственно</w:t>
      </w:r>
      <w:r w:rsidRPr="000419EA">
        <w:t xml:space="preserve"> на НИОКР будет потрачено чуть менее трети (</w:t>
      </w:r>
      <w:r w:rsidRPr="000419EA">
        <w:rPr>
          <w:i/>
        </w:rPr>
        <w:t>табл</w:t>
      </w:r>
      <w:r w:rsidR="00E6524F" w:rsidRPr="000419EA">
        <w:rPr>
          <w:i/>
        </w:rPr>
        <w:t>ица</w:t>
      </w:r>
      <w:r w:rsidRPr="000419EA">
        <w:rPr>
          <w:i/>
        </w:rPr>
        <w:t xml:space="preserve"> </w:t>
      </w:r>
      <w:r w:rsidR="00C84D38">
        <w:rPr>
          <w:i/>
          <w:noProof/>
        </w:rPr>
        <w:t>26</w:t>
      </w:r>
      <w:r w:rsidRPr="000419EA">
        <w:t xml:space="preserve">). </w:t>
      </w:r>
    </w:p>
    <w:p w14:paraId="1860BAAC" w14:textId="1E7D1A52" w:rsidR="00792993" w:rsidRDefault="00792993" w:rsidP="00BE65E2">
      <w:pPr>
        <w:spacing w:after="60"/>
        <w:ind w:firstLine="709"/>
        <w:jc w:val="both"/>
      </w:pPr>
      <w:r w:rsidRPr="000419EA">
        <w:t xml:space="preserve">По другим наукоемким программам, </w:t>
      </w:r>
      <w:r w:rsidR="00E6524F" w:rsidRPr="000419EA">
        <w:t xml:space="preserve">в сравнении </w:t>
      </w:r>
      <w:r w:rsidRPr="000419EA">
        <w:t>с предыдущим плановым периодом</w:t>
      </w:r>
      <w:r w:rsidR="00E6524F" w:rsidRPr="000419EA">
        <w:t>,</w:t>
      </w:r>
      <w:r w:rsidRPr="000419EA">
        <w:t xml:space="preserve"> существенно (более чем наполовину) возросли ассигнования на космические исследования и сократились расходы на НИОКР в области здравоохранения (</w:t>
      </w:r>
      <w:r w:rsidR="00E6524F" w:rsidRPr="000419EA">
        <w:rPr>
          <w:i/>
        </w:rPr>
        <w:t xml:space="preserve">таблица </w:t>
      </w:r>
      <w:r w:rsidR="00C84D38">
        <w:rPr>
          <w:i/>
          <w:noProof/>
        </w:rPr>
        <w:t>26</w:t>
      </w:r>
      <w:r w:rsidRPr="000419EA">
        <w:t>). По этой программе сокращение на 2020 г. и 2021 г. составило около 14,5% ежегодно. Это негативный тренд, поскольку стоимость НИОКР в здравоохранении постоянно растет, а низкие бюджетные расходы закладывают дальнейшее отставание от развитых</w:t>
      </w:r>
      <w:r>
        <w:t xml:space="preserve"> стран мира. Заниженными представляются ассигнования на развитие электронной и радиоэлектронной промышленности, а также исследования в области сельского хозяйства. При этом сохраняется высокая концентрации ресурсов на четырех наиболее наукоемких программах: на них приходится более 85% суммарных расходов на НИОКР.</w:t>
      </w:r>
    </w:p>
    <w:p w14:paraId="16706024" w14:textId="3BDCCA46" w:rsidR="000419EA" w:rsidRPr="00600DF7" w:rsidRDefault="000419EA" w:rsidP="000419EA">
      <w:pPr>
        <w:spacing w:after="60"/>
        <w:jc w:val="right"/>
        <w:rPr>
          <w:i/>
        </w:rPr>
      </w:pPr>
      <w:r w:rsidRPr="00600DF7">
        <w:rPr>
          <w:i/>
        </w:rPr>
        <w:t>Таблица</w:t>
      </w:r>
      <w:r>
        <w:rPr>
          <w:i/>
        </w:rPr>
        <w:t xml:space="preserve"> </w:t>
      </w:r>
      <w:bookmarkStart w:id="60" w:name="_Ref21345497"/>
      <w:r w:rsidR="00C84D38">
        <w:rPr>
          <w:i/>
          <w:noProof/>
        </w:rPr>
        <w:t>26</w:t>
      </w:r>
      <w:bookmarkEnd w:id="60"/>
    </w:p>
    <w:p w14:paraId="02D2BD9E" w14:textId="6ECD7FEC" w:rsidR="00792993" w:rsidRPr="0001225C" w:rsidRDefault="00792993" w:rsidP="00BE65E2">
      <w:pPr>
        <w:spacing w:after="60"/>
        <w:jc w:val="center"/>
        <w:rPr>
          <w:b/>
        </w:rPr>
      </w:pPr>
      <w:r w:rsidRPr="0001225C">
        <w:rPr>
          <w:b/>
        </w:rPr>
        <w:t xml:space="preserve">Динамика ассигнований </w:t>
      </w:r>
      <w:r>
        <w:rPr>
          <w:b/>
        </w:rPr>
        <w:t>на научные исследования и разработки по</w:t>
      </w:r>
      <w:r w:rsidRPr="0001225C">
        <w:rPr>
          <w:b/>
        </w:rPr>
        <w:t xml:space="preserve"> </w:t>
      </w:r>
      <w:r>
        <w:rPr>
          <w:b/>
        </w:rPr>
        <w:t xml:space="preserve">ряду </w:t>
      </w:r>
      <w:r w:rsidRPr="0001225C">
        <w:rPr>
          <w:b/>
        </w:rPr>
        <w:t>государственны</w:t>
      </w:r>
      <w:r>
        <w:rPr>
          <w:b/>
        </w:rPr>
        <w:t>х</w:t>
      </w:r>
      <w:r w:rsidRPr="0001225C">
        <w:rPr>
          <w:b/>
        </w:rPr>
        <w:t xml:space="preserve"> программ</w:t>
      </w:r>
      <w:r w:rsidR="00E6524F">
        <w:rPr>
          <w:b/>
        </w:rPr>
        <w:t xml:space="preserve">, </w:t>
      </w:r>
      <w:r w:rsidRPr="0001225C">
        <w:rPr>
          <w:b/>
        </w:rPr>
        <w:t>млрд руб.</w:t>
      </w:r>
    </w:p>
    <w:tbl>
      <w:tblPr>
        <w:tblStyle w:val="a4"/>
        <w:tblW w:w="0" w:type="auto"/>
        <w:tblLook w:val="04A0" w:firstRow="1" w:lastRow="0" w:firstColumn="1" w:lastColumn="0" w:noHBand="0" w:noVBand="1"/>
      </w:tblPr>
      <w:tblGrid>
        <w:gridCol w:w="5174"/>
        <w:gridCol w:w="1382"/>
        <w:gridCol w:w="1381"/>
        <w:gridCol w:w="1350"/>
      </w:tblGrid>
      <w:tr w:rsidR="00792993" w:rsidRPr="00C34D4B" w14:paraId="218C6352" w14:textId="77777777" w:rsidTr="00BE65E2">
        <w:trPr>
          <w:tblHeader/>
        </w:trPr>
        <w:tc>
          <w:tcPr>
            <w:tcW w:w="5209" w:type="dxa"/>
          </w:tcPr>
          <w:p w14:paraId="69C11722" w14:textId="77777777" w:rsidR="00792993" w:rsidRPr="00BF3847" w:rsidRDefault="00792993" w:rsidP="00BE65E2">
            <w:pPr>
              <w:spacing w:after="60"/>
              <w:jc w:val="center"/>
              <w:rPr>
                <w:b/>
                <w:sz w:val="20"/>
                <w:szCs w:val="20"/>
              </w:rPr>
            </w:pPr>
            <w:r w:rsidRPr="00BF3847">
              <w:rPr>
                <w:b/>
                <w:sz w:val="20"/>
                <w:szCs w:val="20"/>
              </w:rPr>
              <w:t>Название ГП</w:t>
            </w:r>
          </w:p>
        </w:tc>
        <w:tc>
          <w:tcPr>
            <w:tcW w:w="1390" w:type="dxa"/>
          </w:tcPr>
          <w:p w14:paraId="2FA17129" w14:textId="77777777" w:rsidR="00792993" w:rsidRPr="00BF3847" w:rsidRDefault="00792993" w:rsidP="00BE65E2">
            <w:pPr>
              <w:spacing w:after="60"/>
              <w:jc w:val="center"/>
              <w:rPr>
                <w:b/>
                <w:sz w:val="20"/>
                <w:szCs w:val="20"/>
              </w:rPr>
            </w:pPr>
            <w:r w:rsidRPr="00BF3847">
              <w:rPr>
                <w:b/>
                <w:sz w:val="20"/>
                <w:szCs w:val="20"/>
              </w:rPr>
              <w:t>20</w:t>
            </w:r>
            <w:r>
              <w:rPr>
                <w:b/>
                <w:sz w:val="20"/>
                <w:szCs w:val="20"/>
              </w:rPr>
              <w:t>20</w:t>
            </w:r>
            <w:r w:rsidRPr="00BF3847">
              <w:rPr>
                <w:b/>
                <w:sz w:val="20"/>
                <w:szCs w:val="20"/>
              </w:rPr>
              <w:t xml:space="preserve"> г.</w:t>
            </w:r>
          </w:p>
        </w:tc>
        <w:tc>
          <w:tcPr>
            <w:tcW w:w="1389" w:type="dxa"/>
          </w:tcPr>
          <w:p w14:paraId="5F7EFB66" w14:textId="77777777" w:rsidR="00792993" w:rsidRPr="00BF3847" w:rsidRDefault="00792993" w:rsidP="00BE65E2">
            <w:pPr>
              <w:spacing w:after="60"/>
              <w:jc w:val="center"/>
              <w:rPr>
                <w:b/>
                <w:sz w:val="20"/>
                <w:szCs w:val="20"/>
              </w:rPr>
            </w:pPr>
            <w:r w:rsidRPr="00BF3847">
              <w:rPr>
                <w:b/>
                <w:sz w:val="20"/>
                <w:szCs w:val="20"/>
              </w:rPr>
              <w:t>20</w:t>
            </w:r>
            <w:r>
              <w:rPr>
                <w:b/>
                <w:sz w:val="20"/>
                <w:szCs w:val="20"/>
              </w:rPr>
              <w:t>2</w:t>
            </w:r>
            <w:r w:rsidRPr="00BF3847">
              <w:rPr>
                <w:b/>
                <w:sz w:val="20"/>
                <w:szCs w:val="20"/>
              </w:rPr>
              <w:t>1 г.</w:t>
            </w:r>
          </w:p>
        </w:tc>
        <w:tc>
          <w:tcPr>
            <w:tcW w:w="1357" w:type="dxa"/>
          </w:tcPr>
          <w:p w14:paraId="257F592A" w14:textId="77777777" w:rsidR="00792993" w:rsidRPr="00BF3847" w:rsidRDefault="00792993" w:rsidP="00BE65E2">
            <w:pPr>
              <w:spacing w:after="60"/>
              <w:jc w:val="center"/>
              <w:rPr>
                <w:b/>
                <w:sz w:val="20"/>
                <w:szCs w:val="20"/>
              </w:rPr>
            </w:pPr>
            <w:r w:rsidRPr="00BF3847">
              <w:rPr>
                <w:b/>
                <w:sz w:val="20"/>
                <w:szCs w:val="20"/>
              </w:rPr>
              <w:t>202</w:t>
            </w:r>
            <w:r>
              <w:rPr>
                <w:b/>
                <w:sz w:val="20"/>
                <w:szCs w:val="20"/>
              </w:rPr>
              <w:t>2</w:t>
            </w:r>
            <w:r w:rsidRPr="00BF3847">
              <w:rPr>
                <w:b/>
                <w:sz w:val="20"/>
                <w:szCs w:val="20"/>
              </w:rPr>
              <w:t xml:space="preserve"> г.</w:t>
            </w:r>
          </w:p>
        </w:tc>
      </w:tr>
      <w:tr w:rsidR="00792993" w:rsidRPr="00C34D4B" w14:paraId="054E20BF" w14:textId="77777777" w:rsidTr="0081751D">
        <w:tc>
          <w:tcPr>
            <w:tcW w:w="9345" w:type="dxa"/>
            <w:gridSpan w:val="4"/>
          </w:tcPr>
          <w:p w14:paraId="21CB0A12" w14:textId="77777777" w:rsidR="00792993" w:rsidRPr="00BF3847" w:rsidRDefault="00792993" w:rsidP="00BE65E2">
            <w:pPr>
              <w:spacing w:after="60"/>
              <w:jc w:val="center"/>
              <w:rPr>
                <w:b/>
                <w:sz w:val="20"/>
                <w:szCs w:val="20"/>
              </w:rPr>
            </w:pPr>
            <w:r>
              <w:rPr>
                <w:b/>
                <w:sz w:val="20"/>
                <w:szCs w:val="20"/>
              </w:rPr>
              <w:t>Наукоемкие программы</w:t>
            </w:r>
          </w:p>
        </w:tc>
      </w:tr>
      <w:tr w:rsidR="00792993" w:rsidRPr="00C34D4B" w14:paraId="5F068FE8" w14:textId="77777777" w:rsidTr="0081751D">
        <w:tc>
          <w:tcPr>
            <w:tcW w:w="5209" w:type="dxa"/>
          </w:tcPr>
          <w:p w14:paraId="214AE873" w14:textId="77777777" w:rsidR="00792993" w:rsidRPr="00BF3847" w:rsidRDefault="00792993" w:rsidP="00BE65E2">
            <w:pPr>
              <w:spacing w:after="60"/>
              <w:rPr>
                <w:sz w:val="20"/>
                <w:szCs w:val="20"/>
              </w:rPr>
            </w:pPr>
            <w:r>
              <w:rPr>
                <w:sz w:val="20"/>
                <w:szCs w:val="20"/>
              </w:rPr>
              <w:t>Научно-технологическое развитие РФ</w:t>
            </w:r>
          </w:p>
        </w:tc>
        <w:tc>
          <w:tcPr>
            <w:tcW w:w="1390" w:type="dxa"/>
          </w:tcPr>
          <w:p w14:paraId="51C44BEF" w14:textId="77777777" w:rsidR="00792993" w:rsidRPr="00BF3847" w:rsidRDefault="00792993" w:rsidP="00BE65E2">
            <w:pPr>
              <w:spacing w:after="60"/>
              <w:jc w:val="center"/>
              <w:rPr>
                <w:sz w:val="20"/>
                <w:szCs w:val="20"/>
              </w:rPr>
            </w:pPr>
            <w:r>
              <w:rPr>
                <w:sz w:val="20"/>
                <w:szCs w:val="20"/>
              </w:rPr>
              <w:t>238,4</w:t>
            </w:r>
          </w:p>
        </w:tc>
        <w:tc>
          <w:tcPr>
            <w:tcW w:w="1389" w:type="dxa"/>
          </w:tcPr>
          <w:p w14:paraId="72A1E697" w14:textId="77777777" w:rsidR="00792993" w:rsidRPr="00BF3847" w:rsidRDefault="00792993" w:rsidP="00BE65E2">
            <w:pPr>
              <w:spacing w:after="60"/>
              <w:jc w:val="center"/>
              <w:rPr>
                <w:sz w:val="20"/>
                <w:szCs w:val="20"/>
              </w:rPr>
            </w:pPr>
            <w:r>
              <w:rPr>
                <w:sz w:val="20"/>
                <w:szCs w:val="20"/>
              </w:rPr>
              <w:t>266,4</w:t>
            </w:r>
          </w:p>
        </w:tc>
        <w:tc>
          <w:tcPr>
            <w:tcW w:w="1357" w:type="dxa"/>
          </w:tcPr>
          <w:p w14:paraId="481815BB" w14:textId="77777777" w:rsidR="00792993" w:rsidRPr="00BF3847" w:rsidRDefault="00792993" w:rsidP="00BE65E2">
            <w:pPr>
              <w:spacing w:after="60"/>
              <w:jc w:val="center"/>
              <w:rPr>
                <w:sz w:val="20"/>
                <w:szCs w:val="20"/>
              </w:rPr>
            </w:pPr>
            <w:r>
              <w:rPr>
                <w:sz w:val="20"/>
                <w:szCs w:val="20"/>
              </w:rPr>
              <w:t>301,0</w:t>
            </w:r>
          </w:p>
        </w:tc>
      </w:tr>
      <w:tr w:rsidR="00792993" w:rsidRPr="00C34D4B" w14:paraId="0A375F6A" w14:textId="77777777" w:rsidTr="0081751D">
        <w:tc>
          <w:tcPr>
            <w:tcW w:w="5209" w:type="dxa"/>
          </w:tcPr>
          <w:p w14:paraId="19CBA37B" w14:textId="77777777" w:rsidR="00792993" w:rsidRPr="00BF3847" w:rsidRDefault="00792993" w:rsidP="00BE65E2">
            <w:pPr>
              <w:spacing w:after="60"/>
              <w:rPr>
                <w:sz w:val="20"/>
                <w:szCs w:val="20"/>
              </w:rPr>
            </w:pPr>
            <w:r w:rsidRPr="00BF3847">
              <w:rPr>
                <w:sz w:val="20"/>
                <w:szCs w:val="20"/>
              </w:rPr>
              <w:t xml:space="preserve">Космическая деятельность России </w:t>
            </w:r>
          </w:p>
        </w:tc>
        <w:tc>
          <w:tcPr>
            <w:tcW w:w="1390" w:type="dxa"/>
          </w:tcPr>
          <w:p w14:paraId="344B6440" w14:textId="77777777" w:rsidR="00792993" w:rsidRPr="00BF3847" w:rsidRDefault="00792993" w:rsidP="00BE65E2">
            <w:pPr>
              <w:spacing w:after="60"/>
              <w:jc w:val="center"/>
              <w:rPr>
                <w:sz w:val="20"/>
                <w:szCs w:val="20"/>
              </w:rPr>
            </w:pPr>
            <w:r>
              <w:rPr>
                <w:sz w:val="20"/>
                <w:szCs w:val="20"/>
              </w:rPr>
              <w:t>109,1</w:t>
            </w:r>
          </w:p>
        </w:tc>
        <w:tc>
          <w:tcPr>
            <w:tcW w:w="1389" w:type="dxa"/>
          </w:tcPr>
          <w:p w14:paraId="4B51B86D" w14:textId="77777777" w:rsidR="00792993" w:rsidRPr="00BF3847" w:rsidRDefault="00792993" w:rsidP="00BE65E2">
            <w:pPr>
              <w:spacing w:after="60"/>
              <w:jc w:val="center"/>
              <w:rPr>
                <w:sz w:val="20"/>
                <w:szCs w:val="20"/>
              </w:rPr>
            </w:pPr>
            <w:r>
              <w:rPr>
                <w:sz w:val="20"/>
                <w:szCs w:val="20"/>
              </w:rPr>
              <w:t>95,1</w:t>
            </w:r>
          </w:p>
        </w:tc>
        <w:tc>
          <w:tcPr>
            <w:tcW w:w="1357" w:type="dxa"/>
          </w:tcPr>
          <w:p w14:paraId="191D0AE3" w14:textId="77777777" w:rsidR="00792993" w:rsidRPr="00BF3847" w:rsidRDefault="00792993" w:rsidP="00BE65E2">
            <w:pPr>
              <w:spacing w:after="60"/>
              <w:jc w:val="center"/>
              <w:rPr>
                <w:sz w:val="20"/>
                <w:szCs w:val="20"/>
              </w:rPr>
            </w:pPr>
            <w:r>
              <w:rPr>
                <w:sz w:val="20"/>
                <w:szCs w:val="20"/>
              </w:rPr>
              <w:t>83,9</w:t>
            </w:r>
          </w:p>
        </w:tc>
      </w:tr>
      <w:tr w:rsidR="00792993" w:rsidRPr="00C34D4B" w14:paraId="70A12928" w14:textId="77777777" w:rsidTr="0081751D">
        <w:tc>
          <w:tcPr>
            <w:tcW w:w="5209" w:type="dxa"/>
          </w:tcPr>
          <w:p w14:paraId="09541AC9" w14:textId="77777777" w:rsidR="00792993" w:rsidRPr="00BF3847" w:rsidRDefault="00792993" w:rsidP="00BE65E2">
            <w:pPr>
              <w:spacing w:after="60"/>
              <w:rPr>
                <w:sz w:val="20"/>
                <w:szCs w:val="20"/>
              </w:rPr>
            </w:pPr>
            <w:r>
              <w:rPr>
                <w:sz w:val="20"/>
                <w:szCs w:val="20"/>
              </w:rPr>
              <w:t xml:space="preserve">Развитие авиационной промышленности </w:t>
            </w:r>
          </w:p>
        </w:tc>
        <w:tc>
          <w:tcPr>
            <w:tcW w:w="1390" w:type="dxa"/>
          </w:tcPr>
          <w:p w14:paraId="7A944A1D" w14:textId="77777777" w:rsidR="00792993" w:rsidRDefault="00792993" w:rsidP="00BE65E2">
            <w:pPr>
              <w:spacing w:after="60"/>
              <w:jc w:val="center"/>
              <w:rPr>
                <w:sz w:val="20"/>
                <w:szCs w:val="20"/>
              </w:rPr>
            </w:pPr>
            <w:r>
              <w:rPr>
                <w:sz w:val="20"/>
                <w:szCs w:val="20"/>
              </w:rPr>
              <w:t>44,8</w:t>
            </w:r>
          </w:p>
        </w:tc>
        <w:tc>
          <w:tcPr>
            <w:tcW w:w="1389" w:type="dxa"/>
          </w:tcPr>
          <w:p w14:paraId="25EC241C" w14:textId="77777777" w:rsidR="00792993" w:rsidRDefault="00792993" w:rsidP="00BE65E2">
            <w:pPr>
              <w:spacing w:after="60"/>
              <w:jc w:val="center"/>
              <w:rPr>
                <w:sz w:val="20"/>
                <w:szCs w:val="20"/>
              </w:rPr>
            </w:pPr>
            <w:r>
              <w:rPr>
                <w:sz w:val="20"/>
                <w:szCs w:val="20"/>
              </w:rPr>
              <w:t>39,8</w:t>
            </w:r>
          </w:p>
        </w:tc>
        <w:tc>
          <w:tcPr>
            <w:tcW w:w="1357" w:type="dxa"/>
          </w:tcPr>
          <w:p w14:paraId="6F321D76" w14:textId="77777777" w:rsidR="00792993" w:rsidRDefault="00792993" w:rsidP="00BE65E2">
            <w:pPr>
              <w:spacing w:after="60"/>
              <w:jc w:val="center"/>
              <w:rPr>
                <w:sz w:val="20"/>
                <w:szCs w:val="20"/>
              </w:rPr>
            </w:pPr>
            <w:r>
              <w:rPr>
                <w:sz w:val="20"/>
                <w:szCs w:val="20"/>
              </w:rPr>
              <w:t>39,8</w:t>
            </w:r>
          </w:p>
        </w:tc>
      </w:tr>
      <w:tr w:rsidR="00792993" w:rsidRPr="00C34D4B" w14:paraId="601ACD87" w14:textId="77777777" w:rsidTr="0081751D">
        <w:tc>
          <w:tcPr>
            <w:tcW w:w="5209" w:type="dxa"/>
          </w:tcPr>
          <w:p w14:paraId="71B4D5F2" w14:textId="77777777" w:rsidR="00792993" w:rsidRPr="00BF3847" w:rsidRDefault="00792993" w:rsidP="00BE65E2">
            <w:pPr>
              <w:spacing w:after="60"/>
              <w:rPr>
                <w:sz w:val="20"/>
                <w:szCs w:val="20"/>
              </w:rPr>
            </w:pPr>
            <w:r w:rsidRPr="00BF3847">
              <w:rPr>
                <w:sz w:val="20"/>
                <w:szCs w:val="20"/>
              </w:rPr>
              <w:t>Развитие здравоохранения</w:t>
            </w:r>
          </w:p>
        </w:tc>
        <w:tc>
          <w:tcPr>
            <w:tcW w:w="1390" w:type="dxa"/>
          </w:tcPr>
          <w:p w14:paraId="41808CD7" w14:textId="77777777" w:rsidR="00792993" w:rsidRPr="00BF3847" w:rsidRDefault="00792993" w:rsidP="00BE65E2">
            <w:pPr>
              <w:spacing w:after="60"/>
              <w:jc w:val="center"/>
              <w:rPr>
                <w:sz w:val="20"/>
                <w:szCs w:val="20"/>
              </w:rPr>
            </w:pPr>
            <w:r>
              <w:rPr>
                <w:sz w:val="20"/>
                <w:szCs w:val="20"/>
              </w:rPr>
              <w:t>41,4</w:t>
            </w:r>
          </w:p>
        </w:tc>
        <w:tc>
          <w:tcPr>
            <w:tcW w:w="1389" w:type="dxa"/>
          </w:tcPr>
          <w:p w14:paraId="7BA7EB8B" w14:textId="77777777" w:rsidR="00792993" w:rsidRPr="00BF3847" w:rsidRDefault="00792993" w:rsidP="00BE65E2">
            <w:pPr>
              <w:spacing w:after="60"/>
              <w:jc w:val="center"/>
              <w:rPr>
                <w:sz w:val="20"/>
                <w:szCs w:val="20"/>
              </w:rPr>
            </w:pPr>
            <w:r>
              <w:rPr>
                <w:sz w:val="20"/>
                <w:szCs w:val="20"/>
              </w:rPr>
              <w:t>43,6</w:t>
            </w:r>
          </w:p>
        </w:tc>
        <w:tc>
          <w:tcPr>
            <w:tcW w:w="1357" w:type="dxa"/>
          </w:tcPr>
          <w:p w14:paraId="740432B9" w14:textId="77777777" w:rsidR="00792993" w:rsidRPr="00BF3847" w:rsidRDefault="00792993" w:rsidP="00BE65E2">
            <w:pPr>
              <w:spacing w:after="60"/>
              <w:jc w:val="center"/>
              <w:rPr>
                <w:sz w:val="20"/>
                <w:szCs w:val="20"/>
              </w:rPr>
            </w:pPr>
            <w:r>
              <w:rPr>
                <w:sz w:val="20"/>
                <w:szCs w:val="20"/>
              </w:rPr>
              <w:t>39,9</w:t>
            </w:r>
          </w:p>
        </w:tc>
      </w:tr>
      <w:tr w:rsidR="00792993" w:rsidRPr="00C34D4B" w14:paraId="1E28F3AF" w14:textId="77777777" w:rsidTr="0081751D">
        <w:tc>
          <w:tcPr>
            <w:tcW w:w="5209" w:type="dxa"/>
          </w:tcPr>
          <w:p w14:paraId="7F4BAAA7" w14:textId="77777777" w:rsidR="00792993" w:rsidRPr="002F20C2" w:rsidRDefault="00792993" w:rsidP="00BE65E2">
            <w:pPr>
              <w:spacing w:after="60"/>
              <w:rPr>
                <w:i/>
                <w:sz w:val="20"/>
                <w:szCs w:val="20"/>
              </w:rPr>
            </w:pPr>
            <w:r w:rsidRPr="002F20C2">
              <w:rPr>
                <w:i/>
                <w:sz w:val="20"/>
                <w:szCs w:val="20"/>
              </w:rPr>
              <w:t xml:space="preserve">Доля </w:t>
            </w:r>
            <w:r>
              <w:rPr>
                <w:i/>
                <w:sz w:val="20"/>
                <w:szCs w:val="20"/>
              </w:rPr>
              <w:t>четырех</w:t>
            </w:r>
            <w:r w:rsidRPr="002F20C2">
              <w:rPr>
                <w:i/>
                <w:sz w:val="20"/>
                <w:szCs w:val="20"/>
              </w:rPr>
              <w:t xml:space="preserve"> программ в общем объеме ассигнований на гражданские НИОКР, %</w:t>
            </w:r>
          </w:p>
        </w:tc>
        <w:tc>
          <w:tcPr>
            <w:tcW w:w="1390" w:type="dxa"/>
          </w:tcPr>
          <w:p w14:paraId="14DEB71E" w14:textId="77777777" w:rsidR="00792993" w:rsidRPr="00792DF4" w:rsidRDefault="00792993" w:rsidP="00BE65E2">
            <w:pPr>
              <w:spacing w:after="60"/>
              <w:jc w:val="center"/>
              <w:rPr>
                <w:i/>
                <w:sz w:val="20"/>
                <w:szCs w:val="20"/>
              </w:rPr>
            </w:pPr>
            <w:r w:rsidRPr="00792DF4">
              <w:rPr>
                <w:i/>
                <w:sz w:val="20"/>
                <w:szCs w:val="20"/>
              </w:rPr>
              <w:t>85,8%</w:t>
            </w:r>
          </w:p>
        </w:tc>
        <w:tc>
          <w:tcPr>
            <w:tcW w:w="1389" w:type="dxa"/>
          </w:tcPr>
          <w:p w14:paraId="3F23A37C" w14:textId="77777777" w:rsidR="00792993" w:rsidRPr="00792DF4" w:rsidRDefault="00792993" w:rsidP="00BE65E2">
            <w:pPr>
              <w:spacing w:after="60"/>
              <w:jc w:val="center"/>
              <w:rPr>
                <w:i/>
                <w:sz w:val="20"/>
                <w:szCs w:val="20"/>
              </w:rPr>
            </w:pPr>
            <w:r w:rsidRPr="00792DF4">
              <w:rPr>
                <w:i/>
                <w:sz w:val="20"/>
                <w:szCs w:val="20"/>
              </w:rPr>
              <w:t>85,7%</w:t>
            </w:r>
          </w:p>
        </w:tc>
        <w:tc>
          <w:tcPr>
            <w:tcW w:w="1357" w:type="dxa"/>
          </w:tcPr>
          <w:p w14:paraId="55439E9E" w14:textId="77777777" w:rsidR="00792993" w:rsidRPr="00792DF4" w:rsidRDefault="00792993" w:rsidP="00BE65E2">
            <w:pPr>
              <w:spacing w:after="60"/>
              <w:jc w:val="center"/>
              <w:rPr>
                <w:i/>
                <w:sz w:val="20"/>
                <w:szCs w:val="20"/>
              </w:rPr>
            </w:pPr>
            <w:r w:rsidRPr="00792DF4">
              <w:rPr>
                <w:i/>
                <w:sz w:val="20"/>
                <w:szCs w:val="20"/>
              </w:rPr>
              <w:t>8</w:t>
            </w:r>
            <w:r>
              <w:rPr>
                <w:i/>
                <w:sz w:val="20"/>
                <w:szCs w:val="20"/>
              </w:rPr>
              <w:t>5,9</w:t>
            </w:r>
            <w:r w:rsidRPr="00792DF4">
              <w:rPr>
                <w:i/>
                <w:sz w:val="20"/>
                <w:szCs w:val="20"/>
              </w:rPr>
              <w:t>%</w:t>
            </w:r>
          </w:p>
        </w:tc>
      </w:tr>
      <w:tr w:rsidR="00792993" w:rsidRPr="00C34D4B" w14:paraId="78476D5D" w14:textId="77777777" w:rsidTr="0081751D">
        <w:tc>
          <w:tcPr>
            <w:tcW w:w="9345" w:type="dxa"/>
            <w:gridSpan w:val="4"/>
          </w:tcPr>
          <w:p w14:paraId="241943B6" w14:textId="77777777" w:rsidR="00792993" w:rsidRPr="00792DF4" w:rsidRDefault="00792993" w:rsidP="00BE65E2">
            <w:pPr>
              <w:spacing w:after="60"/>
              <w:jc w:val="center"/>
              <w:rPr>
                <w:b/>
                <w:sz w:val="20"/>
                <w:szCs w:val="20"/>
              </w:rPr>
            </w:pPr>
            <w:r w:rsidRPr="00792DF4">
              <w:rPr>
                <w:b/>
                <w:sz w:val="20"/>
                <w:szCs w:val="20"/>
              </w:rPr>
              <w:t>Программы</w:t>
            </w:r>
            <w:r>
              <w:rPr>
                <w:b/>
                <w:sz w:val="20"/>
                <w:szCs w:val="20"/>
              </w:rPr>
              <w:t xml:space="preserve"> по приоритетным технологическим областям</w:t>
            </w:r>
          </w:p>
        </w:tc>
      </w:tr>
      <w:tr w:rsidR="00792993" w:rsidRPr="00C34D4B" w14:paraId="15E3EDF2" w14:textId="77777777" w:rsidTr="0081751D">
        <w:tc>
          <w:tcPr>
            <w:tcW w:w="5209" w:type="dxa"/>
          </w:tcPr>
          <w:p w14:paraId="673B773A" w14:textId="77777777" w:rsidR="00792993" w:rsidRPr="006A521F" w:rsidRDefault="00792993" w:rsidP="00BE65E2">
            <w:pPr>
              <w:spacing w:after="60"/>
              <w:rPr>
                <w:sz w:val="20"/>
                <w:szCs w:val="20"/>
              </w:rPr>
            </w:pPr>
            <w:r w:rsidRPr="006A521F">
              <w:rPr>
                <w:sz w:val="20"/>
                <w:szCs w:val="20"/>
              </w:rPr>
              <w:t xml:space="preserve">Развитие электронной и радиоэлектронной промышленности </w:t>
            </w:r>
          </w:p>
        </w:tc>
        <w:tc>
          <w:tcPr>
            <w:tcW w:w="1390" w:type="dxa"/>
          </w:tcPr>
          <w:p w14:paraId="6F59E261" w14:textId="77777777" w:rsidR="00792993" w:rsidRPr="006A521F" w:rsidRDefault="00792993" w:rsidP="00BE65E2">
            <w:pPr>
              <w:spacing w:after="60"/>
              <w:jc w:val="center"/>
              <w:rPr>
                <w:sz w:val="20"/>
                <w:szCs w:val="20"/>
              </w:rPr>
            </w:pPr>
            <w:r>
              <w:rPr>
                <w:sz w:val="20"/>
                <w:szCs w:val="20"/>
              </w:rPr>
              <w:t>9,7</w:t>
            </w:r>
          </w:p>
        </w:tc>
        <w:tc>
          <w:tcPr>
            <w:tcW w:w="1389" w:type="dxa"/>
          </w:tcPr>
          <w:p w14:paraId="664E9C2C" w14:textId="77777777" w:rsidR="00792993" w:rsidRPr="006A521F" w:rsidRDefault="00792993" w:rsidP="00BE65E2">
            <w:pPr>
              <w:spacing w:after="60"/>
              <w:jc w:val="center"/>
              <w:rPr>
                <w:sz w:val="20"/>
                <w:szCs w:val="20"/>
              </w:rPr>
            </w:pPr>
            <w:r>
              <w:rPr>
                <w:sz w:val="20"/>
                <w:szCs w:val="20"/>
              </w:rPr>
              <w:t>10,5</w:t>
            </w:r>
          </w:p>
        </w:tc>
        <w:tc>
          <w:tcPr>
            <w:tcW w:w="1357" w:type="dxa"/>
          </w:tcPr>
          <w:p w14:paraId="70CA246A" w14:textId="77777777" w:rsidR="00792993" w:rsidRPr="006A521F" w:rsidRDefault="00792993" w:rsidP="00BE65E2">
            <w:pPr>
              <w:spacing w:after="60"/>
              <w:jc w:val="center"/>
              <w:rPr>
                <w:sz w:val="20"/>
                <w:szCs w:val="20"/>
              </w:rPr>
            </w:pPr>
            <w:r>
              <w:rPr>
                <w:sz w:val="20"/>
                <w:szCs w:val="20"/>
              </w:rPr>
              <w:t>10,5</w:t>
            </w:r>
          </w:p>
        </w:tc>
      </w:tr>
      <w:tr w:rsidR="00792993" w:rsidRPr="00C34D4B" w14:paraId="66CE1E2E" w14:textId="77777777" w:rsidTr="0081751D">
        <w:tc>
          <w:tcPr>
            <w:tcW w:w="5209" w:type="dxa"/>
          </w:tcPr>
          <w:p w14:paraId="642C2511" w14:textId="77777777" w:rsidR="00792993" w:rsidRPr="006A521F" w:rsidRDefault="00792993" w:rsidP="00BE65E2">
            <w:pPr>
              <w:spacing w:after="60"/>
              <w:rPr>
                <w:sz w:val="20"/>
                <w:szCs w:val="20"/>
              </w:rPr>
            </w:pPr>
            <w:r>
              <w:rPr>
                <w:sz w:val="20"/>
                <w:szCs w:val="20"/>
              </w:rPr>
              <w:t>Экономическое развитие и инновационная экономика</w:t>
            </w:r>
          </w:p>
        </w:tc>
        <w:tc>
          <w:tcPr>
            <w:tcW w:w="1390" w:type="dxa"/>
          </w:tcPr>
          <w:p w14:paraId="0C96FA4F" w14:textId="77777777" w:rsidR="00792993" w:rsidRDefault="00792993" w:rsidP="00BE65E2">
            <w:pPr>
              <w:spacing w:after="60"/>
              <w:jc w:val="center"/>
              <w:rPr>
                <w:sz w:val="20"/>
                <w:szCs w:val="20"/>
              </w:rPr>
            </w:pPr>
            <w:r>
              <w:rPr>
                <w:sz w:val="20"/>
                <w:szCs w:val="20"/>
              </w:rPr>
              <w:t>7,8</w:t>
            </w:r>
          </w:p>
        </w:tc>
        <w:tc>
          <w:tcPr>
            <w:tcW w:w="1389" w:type="dxa"/>
          </w:tcPr>
          <w:p w14:paraId="170D6937" w14:textId="77777777" w:rsidR="00792993" w:rsidRDefault="00792993" w:rsidP="00BE65E2">
            <w:pPr>
              <w:spacing w:after="60"/>
              <w:jc w:val="center"/>
              <w:rPr>
                <w:sz w:val="20"/>
                <w:szCs w:val="20"/>
              </w:rPr>
            </w:pPr>
            <w:r>
              <w:rPr>
                <w:sz w:val="20"/>
                <w:szCs w:val="20"/>
              </w:rPr>
              <w:t>7,5</w:t>
            </w:r>
          </w:p>
        </w:tc>
        <w:tc>
          <w:tcPr>
            <w:tcW w:w="1357" w:type="dxa"/>
          </w:tcPr>
          <w:p w14:paraId="788A2583" w14:textId="77777777" w:rsidR="00792993" w:rsidRDefault="00792993" w:rsidP="00BE65E2">
            <w:pPr>
              <w:spacing w:after="60"/>
              <w:jc w:val="center"/>
              <w:rPr>
                <w:sz w:val="20"/>
                <w:szCs w:val="20"/>
              </w:rPr>
            </w:pPr>
            <w:r>
              <w:rPr>
                <w:sz w:val="20"/>
                <w:szCs w:val="20"/>
              </w:rPr>
              <w:t>7,4</w:t>
            </w:r>
          </w:p>
        </w:tc>
      </w:tr>
      <w:tr w:rsidR="00792993" w:rsidRPr="00C34D4B" w14:paraId="34430016" w14:textId="77777777" w:rsidTr="0081751D">
        <w:tc>
          <w:tcPr>
            <w:tcW w:w="5209" w:type="dxa"/>
          </w:tcPr>
          <w:p w14:paraId="0C68B3D7" w14:textId="77777777" w:rsidR="00792993" w:rsidRDefault="00792993" w:rsidP="00BE65E2">
            <w:pPr>
              <w:spacing w:after="60"/>
              <w:rPr>
                <w:sz w:val="20"/>
                <w:szCs w:val="20"/>
              </w:rPr>
            </w:pPr>
            <w:r>
              <w:rPr>
                <w:sz w:val="20"/>
                <w:szCs w:val="20"/>
              </w:rPr>
              <w:t>Государственная программа РФ «Развитие рыбохозяйственного комплекса»</w:t>
            </w:r>
          </w:p>
        </w:tc>
        <w:tc>
          <w:tcPr>
            <w:tcW w:w="1390" w:type="dxa"/>
          </w:tcPr>
          <w:p w14:paraId="27C7EC84" w14:textId="77777777" w:rsidR="00792993" w:rsidRDefault="00792993" w:rsidP="00BE65E2">
            <w:pPr>
              <w:spacing w:after="60"/>
              <w:jc w:val="center"/>
              <w:rPr>
                <w:sz w:val="20"/>
                <w:szCs w:val="20"/>
              </w:rPr>
            </w:pPr>
            <w:r>
              <w:rPr>
                <w:sz w:val="20"/>
                <w:szCs w:val="20"/>
              </w:rPr>
              <w:t>6,7</w:t>
            </w:r>
          </w:p>
        </w:tc>
        <w:tc>
          <w:tcPr>
            <w:tcW w:w="1389" w:type="dxa"/>
          </w:tcPr>
          <w:p w14:paraId="3BC93A47" w14:textId="77777777" w:rsidR="00792993" w:rsidRDefault="00792993" w:rsidP="00BE65E2">
            <w:pPr>
              <w:spacing w:after="60"/>
              <w:jc w:val="center"/>
              <w:rPr>
                <w:sz w:val="20"/>
                <w:szCs w:val="20"/>
              </w:rPr>
            </w:pPr>
            <w:r>
              <w:rPr>
                <w:sz w:val="20"/>
                <w:szCs w:val="20"/>
              </w:rPr>
              <w:t>4,6</w:t>
            </w:r>
          </w:p>
        </w:tc>
        <w:tc>
          <w:tcPr>
            <w:tcW w:w="1357" w:type="dxa"/>
          </w:tcPr>
          <w:p w14:paraId="31CD83B8" w14:textId="77777777" w:rsidR="00792993" w:rsidRDefault="00792993" w:rsidP="00BE65E2">
            <w:pPr>
              <w:spacing w:after="60"/>
              <w:jc w:val="center"/>
              <w:rPr>
                <w:sz w:val="20"/>
                <w:szCs w:val="20"/>
              </w:rPr>
            </w:pPr>
            <w:r>
              <w:rPr>
                <w:sz w:val="20"/>
                <w:szCs w:val="20"/>
              </w:rPr>
              <w:t>4,9</w:t>
            </w:r>
          </w:p>
        </w:tc>
      </w:tr>
      <w:tr w:rsidR="00792993" w:rsidRPr="00C34D4B" w14:paraId="52E05682" w14:textId="77777777" w:rsidTr="0081751D">
        <w:tc>
          <w:tcPr>
            <w:tcW w:w="5209" w:type="dxa"/>
          </w:tcPr>
          <w:p w14:paraId="09672875" w14:textId="77777777" w:rsidR="00792993" w:rsidRDefault="00792993" w:rsidP="00BE65E2">
            <w:pPr>
              <w:spacing w:after="60"/>
              <w:rPr>
                <w:sz w:val="20"/>
                <w:szCs w:val="20"/>
              </w:rPr>
            </w:pPr>
            <w:r>
              <w:rPr>
                <w:sz w:val="20"/>
                <w:szCs w:val="20"/>
              </w:rPr>
              <w:t>Государственная программа РФ «Развитие сельского хозяйства и регулирования рынков сельскохозяйственной продукции, сырья и продовольствия»</w:t>
            </w:r>
          </w:p>
        </w:tc>
        <w:tc>
          <w:tcPr>
            <w:tcW w:w="1390" w:type="dxa"/>
          </w:tcPr>
          <w:p w14:paraId="5587C986" w14:textId="77777777" w:rsidR="00792993" w:rsidRDefault="00792993" w:rsidP="00BE65E2">
            <w:pPr>
              <w:spacing w:after="60"/>
              <w:jc w:val="center"/>
              <w:rPr>
                <w:sz w:val="20"/>
                <w:szCs w:val="20"/>
              </w:rPr>
            </w:pPr>
            <w:r>
              <w:rPr>
                <w:sz w:val="20"/>
                <w:szCs w:val="20"/>
              </w:rPr>
              <w:t>1,8</w:t>
            </w:r>
          </w:p>
        </w:tc>
        <w:tc>
          <w:tcPr>
            <w:tcW w:w="1389" w:type="dxa"/>
          </w:tcPr>
          <w:p w14:paraId="554AFC49" w14:textId="77777777" w:rsidR="00792993" w:rsidRDefault="00792993" w:rsidP="00BE65E2">
            <w:pPr>
              <w:spacing w:after="60"/>
              <w:jc w:val="center"/>
              <w:rPr>
                <w:sz w:val="20"/>
                <w:szCs w:val="20"/>
              </w:rPr>
            </w:pPr>
            <w:r>
              <w:rPr>
                <w:sz w:val="20"/>
                <w:szCs w:val="20"/>
              </w:rPr>
              <w:t>1,9</w:t>
            </w:r>
          </w:p>
        </w:tc>
        <w:tc>
          <w:tcPr>
            <w:tcW w:w="1357" w:type="dxa"/>
          </w:tcPr>
          <w:p w14:paraId="38BD57DC" w14:textId="77777777" w:rsidR="00792993" w:rsidRDefault="00792993" w:rsidP="00BE65E2">
            <w:pPr>
              <w:spacing w:after="60"/>
              <w:jc w:val="center"/>
              <w:rPr>
                <w:sz w:val="20"/>
                <w:szCs w:val="20"/>
              </w:rPr>
            </w:pPr>
            <w:r>
              <w:rPr>
                <w:sz w:val="20"/>
                <w:szCs w:val="20"/>
              </w:rPr>
              <w:t>2,0</w:t>
            </w:r>
          </w:p>
        </w:tc>
      </w:tr>
      <w:tr w:rsidR="00792993" w:rsidRPr="00C34D4B" w14:paraId="57E63A51" w14:textId="77777777" w:rsidTr="0081751D">
        <w:tc>
          <w:tcPr>
            <w:tcW w:w="5209" w:type="dxa"/>
          </w:tcPr>
          <w:p w14:paraId="03638CED" w14:textId="77777777" w:rsidR="00792993" w:rsidRDefault="00792993" w:rsidP="00BE65E2">
            <w:pPr>
              <w:spacing w:after="60"/>
              <w:rPr>
                <w:sz w:val="20"/>
                <w:szCs w:val="20"/>
              </w:rPr>
            </w:pPr>
            <w:r>
              <w:rPr>
                <w:sz w:val="20"/>
                <w:szCs w:val="20"/>
              </w:rPr>
              <w:t>Государственная программа РФ «Развитие экономики»</w:t>
            </w:r>
          </w:p>
        </w:tc>
        <w:tc>
          <w:tcPr>
            <w:tcW w:w="1390" w:type="dxa"/>
          </w:tcPr>
          <w:p w14:paraId="1D220F74" w14:textId="77777777" w:rsidR="00792993" w:rsidRDefault="00792993" w:rsidP="00BE65E2">
            <w:pPr>
              <w:spacing w:after="60"/>
              <w:jc w:val="center"/>
              <w:rPr>
                <w:sz w:val="20"/>
                <w:szCs w:val="20"/>
              </w:rPr>
            </w:pPr>
            <w:r>
              <w:rPr>
                <w:sz w:val="20"/>
                <w:szCs w:val="20"/>
              </w:rPr>
              <w:t>1,5</w:t>
            </w:r>
          </w:p>
        </w:tc>
        <w:tc>
          <w:tcPr>
            <w:tcW w:w="1389" w:type="dxa"/>
          </w:tcPr>
          <w:p w14:paraId="3EB7A730" w14:textId="77777777" w:rsidR="00792993" w:rsidRDefault="00792993" w:rsidP="00BE65E2">
            <w:pPr>
              <w:spacing w:after="60"/>
              <w:jc w:val="center"/>
              <w:rPr>
                <w:sz w:val="20"/>
                <w:szCs w:val="20"/>
              </w:rPr>
            </w:pPr>
            <w:r>
              <w:rPr>
                <w:sz w:val="20"/>
                <w:szCs w:val="20"/>
              </w:rPr>
              <w:t>1,6</w:t>
            </w:r>
          </w:p>
        </w:tc>
        <w:tc>
          <w:tcPr>
            <w:tcW w:w="1357" w:type="dxa"/>
          </w:tcPr>
          <w:p w14:paraId="2695B24F" w14:textId="77777777" w:rsidR="00792993" w:rsidRDefault="00792993" w:rsidP="00BE65E2">
            <w:pPr>
              <w:spacing w:after="60"/>
              <w:jc w:val="center"/>
              <w:rPr>
                <w:sz w:val="20"/>
                <w:szCs w:val="20"/>
              </w:rPr>
            </w:pPr>
            <w:r>
              <w:rPr>
                <w:sz w:val="20"/>
                <w:szCs w:val="20"/>
              </w:rPr>
              <w:t>1,2</w:t>
            </w:r>
          </w:p>
        </w:tc>
      </w:tr>
    </w:tbl>
    <w:p w14:paraId="3658296A" w14:textId="21B81D26" w:rsidR="00792993" w:rsidRPr="008E4B3E" w:rsidRDefault="00792993" w:rsidP="00BE65E2">
      <w:pPr>
        <w:spacing w:after="60"/>
        <w:ind w:firstLine="708"/>
        <w:jc w:val="both"/>
        <w:rPr>
          <w:sz w:val="20"/>
          <w:szCs w:val="20"/>
        </w:rPr>
      </w:pPr>
      <w:r w:rsidRPr="00BE65E2">
        <w:rPr>
          <w:i/>
          <w:sz w:val="20"/>
          <w:szCs w:val="20"/>
        </w:rPr>
        <w:t>Источник</w:t>
      </w:r>
      <w:r w:rsidRPr="008E4B3E">
        <w:rPr>
          <w:sz w:val="20"/>
          <w:szCs w:val="20"/>
        </w:rPr>
        <w:t>: Приложение 8 к Пояснительной записке к проекту федерального закона «О федеральном бюджете на 20</w:t>
      </w:r>
      <w:r>
        <w:rPr>
          <w:sz w:val="20"/>
          <w:szCs w:val="20"/>
        </w:rPr>
        <w:t>20</w:t>
      </w:r>
      <w:r w:rsidRPr="008E4B3E">
        <w:rPr>
          <w:sz w:val="20"/>
          <w:szCs w:val="20"/>
        </w:rPr>
        <w:t xml:space="preserve"> год и на плановый период 202</w:t>
      </w:r>
      <w:r>
        <w:rPr>
          <w:sz w:val="20"/>
          <w:szCs w:val="20"/>
        </w:rPr>
        <w:t>1</w:t>
      </w:r>
      <w:r w:rsidRPr="008E4B3E">
        <w:rPr>
          <w:sz w:val="20"/>
          <w:szCs w:val="20"/>
        </w:rPr>
        <w:t xml:space="preserve"> и 202</w:t>
      </w:r>
      <w:r>
        <w:rPr>
          <w:sz w:val="20"/>
          <w:szCs w:val="20"/>
        </w:rPr>
        <w:t>2</w:t>
      </w:r>
      <w:r w:rsidR="00927EED">
        <w:rPr>
          <w:sz w:val="20"/>
          <w:szCs w:val="20"/>
        </w:rPr>
        <w:t xml:space="preserve"> годов», расчеты авторов</w:t>
      </w:r>
    </w:p>
    <w:p w14:paraId="6F39A83D" w14:textId="6C06A3CB" w:rsidR="00792993" w:rsidRDefault="00792993" w:rsidP="00BE65E2">
      <w:pPr>
        <w:spacing w:after="60"/>
        <w:ind w:firstLine="709"/>
        <w:jc w:val="both"/>
      </w:pPr>
      <w:r w:rsidRPr="00927EED">
        <w:t xml:space="preserve">На реализацию Национального проекта (НП) «Наука», </w:t>
      </w:r>
      <w:r w:rsidR="00927EED" w:rsidRPr="00927EED">
        <w:t>преимущественно финансируемого в рамках г</w:t>
      </w:r>
      <w:r w:rsidRPr="00927EED">
        <w:t>осударственной программы «Научно-технологическое развитие РФ», планируется</w:t>
      </w:r>
      <w:r>
        <w:t xml:space="preserve"> выделить больше средств, чем было заложено в Законе №</w:t>
      </w:r>
      <w:r w:rsidR="00301A6F">
        <w:t xml:space="preserve"> </w:t>
      </w:r>
      <w:r>
        <w:t>459-ФЗ (</w:t>
      </w:r>
      <w:r w:rsidRPr="00AA53A0">
        <w:rPr>
          <w:i/>
        </w:rPr>
        <w:t>см. табл</w:t>
      </w:r>
      <w:r w:rsidR="000419EA">
        <w:rPr>
          <w:i/>
        </w:rPr>
        <w:t xml:space="preserve">ицу </w:t>
      </w:r>
      <w:r w:rsidR="00C84D38">
        <w:rPr>
          <w:i/>
          <w:noProof/>
        </w:rPr>
        <w:t>27</w:t>
      </w:r>
      <w:r>
        <w:t>). При этом изменение пропорций финансирования между тремя федеральными проектами в составе НП «Наука» связаны в основном с перераспределением средств внутри НП и переносом реализации части мероприятий с 2019 г. на 2020 г.</w:t>
      </w:r>
    </w:p>
    <w:p w14:paraId="25807D94" w14:textId="39F1CD8B" w:rsidR="000419EA" w:rsidRPr="00600DF7" w:rsidRDefault="000419EA" w:rsidP="000419EA">
      <w:pPr>
        <w:spacing w:after="60"/>
        <w:jc w:val="right"/>
        <w:rPr>
          <w:i/>
        </w:rPr>
      </w:pPr>
      <w:r w:rsidRPr="00600DF7">
        <w:rPr>
          <w:i/>
        </w:rPr>
        <w:t>Таблица</w:t>
      </w:r>
      <w:r>
        <w:rPr>
          <w:i/>
        </w:rPr>
        <w:t xml:space="preserve"> </w:t>
      </w:r>
      <w:bookmarkStart w:id="61" w:name="_Ref21345550"/>
      <w:r w:rsidR="00C84D38">
        <w:rPr>
          <w:i/>
          <w:noProof/>
        </w:rPr>
        <w:t>27</w:t>
      </w:r>
      <w:bookmarkEnd w:id="61"/>
    </w:p>
    <w:p w14:paraId="75E7FED7" w14:textId="4174EAEA" w:rsidR="00792993" w:rsidRPr="00AA53A0" w:rsidRDefault="00792993" w:rsidP="00BE65E2">
      <w:pPr>
        <w:spacing w:after="60"/>
        <w:jc w:val="center"/>
        <w:rPr>
          <w:rFonts w:eastAsia="Calibri"/>
          <w:b/>
        </w:rPr>
      </w:pPr>
      <w:r w:rsidRPr="00AA53A0">
        <w:rPr>
          <w:rFonts w:eastAsia="Calibri"/>
          <w:b/>
        </w:rPr>
        <w:t>Пар</w:t>
      </w:r>
      <w:r>
        <w:rPr>
          <w:rFonts w:eastAsia="Calibri"/>
          <w:b/>
        </w:rPr>
        <w:t>аметры федеральных проектов Н</w:t>
      </w:r>
      <w:r w:rsidRPr="00AA53A0">
        <w:rPr>
          <w:rFonts w:eastAsia="Calibri"/>
          <w:b/>
        </w:rPr>
        <w:t>ационально</w:t>
      </w:r>
      <w:r>
        <w:rPr>
          <w:rFonts w:eastAsia="Calibri"/>
          <w:b/>
        </w:rPr>
        <w:t>го</w:t>
      </w:r>
      <w:r w:rsidRPr="00AA53A0">
        <w:rPr>
          <w:rFonts w:eastAsia="Calibri"/>
          <w:b/>
        </w:rPr>
        <w:t xml:space="preserve"> проект</w:t>
      </w:r>
      <w:r>
        <w:rPr>
          <w:rFonts w:eastAsia="Calibri"/>
          <w:b/>
        </w:rPr>
        <w:t>а</w:t>
      </w:r>
      <w:r w:rsidRPr="00AA53A0">
        <w:rPr>
          <w:rFonts w:eastAsia="Calibri"/>
          <w:b/>
        </w:rPr>
        <w:t xml:space="preserve"> «Наука»</w:t>
      </w:r>
      <w:r w:rsidR="00A1224C">
        <w:rPr>
          <w:rFonts w:eastAsia="Calibri"/>
          <w:b/>
        </w:rPr>
        <w:t xml:space="preserve">, </w:t>
      </w:r>
      <w:r w:rsidRPr="00AA53A0">
        <w:rPr>
          <w:rFonts w:eastAsia="Calibri"/>
          <w:b/>
        </w:rPr>
        <w:t>мл</w:t>
      </w:r>
      <w:r>
        <w:rPr>
          <w:rFonts w:eastAsia="Calibri"/>
          <w:b/>
        </w:rPr>
        <w:t>рд</w:t>
      </w:r>
      <w:r w:rsidRPr="00AA53A0">
        <w:rPr>
          <w:rFonts w:eastAsia="Calibri"/>
          <w:b/>
        </w:rPr>
        <w:t xml:space="preserve"> руб.</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4595"/>
        <w:gridCol w:w="1540"/>
        <w:gridCol w:w="1394"/>
        <w:gridCol w:w="1520"/>
      </w:tblGrid>
      <w:tr w:rsidR="00792993" w:rsidRPr="00AA53A0" w14:paraId="40FC2BED" w14:textId="77777777" w:rsidTr="00A1224C">
        <w:trPr>
          <w:trHeight w:val="137"/>
          <w:tblHeader/>
          <w:jc w:val="center"/>
        </w:trPr>
        <w:tc>
          <w:tcPr>
            <w:tcW w:w="2539" w:type="pct"/>
            <w:vAlign w:val="center"/>
          </w:tcPr>
          <w:p w14:paraId="60287CBC" w14:textId="77777777" w:rsidR="00792993" w:rsidRPr="00AA53A0" w:rsidRDefault="00792993" w:rsidP="00A1224C">
            <w:pPr>
              <w:spacing w:after="60"/>
              <w:jc w:val="center"/>
              <w:rPr>
                <w:b/>
                <w:sz w:val="20"/>
                <w:szCs w:val="20"/>
              </w:rPr>
            </w:pPr>
            <w:r w:rsidRPr="00AA53A0">
              <w:rPr>
                <w:b/>
                <w:sz w:val="20"/>
                <w:szCs w:val="20"/>
              </w:rPr>
              <w:t>Наука</w:t>
            </w:r>
          </w:p>
        </w:tc>
        <w:tc>
          <w:tcPr>
            <w:tcW w:w="851" w:type="pct"/>
            <w:vAlign w:val="center"/>
          </w:tcPr>
          <w:p w14:paraId="0C46113E" w14:textId="77777777" w:rsidR="00792993" w:rsidRPr="00E0466C" w:rsidRDefault="00792993" w:rsidP="00A1224C">
            <w:pPr>
              <w:spacing w:after="60"/>
              <w:jc w:val="center"/>
              <w:rPr>
                <w:b/>
                <w:sz w:val="20"/>
                <w:szCs w:val="20"/>
              </w:rPr>
            </w:pPr>
            <w:r w:rsidRPr="00E0466C">
              <w:rPr>
                <w:b/>
                <w:sz w:val="20"/>
                <w:szCs w:val="20"/>
              </w:rPr>
              <w:t>2020 год</w:t>
            </w:r>
          </w:p>
        </w:tc>
        <w:tc>
          <w:tcPr>
            <w:tcW w:w="770" w:type="pct"/>
            <w:vAlign w:val="center"/>
          </w:tcPr>
          <w:p w14:paraId="77101BF0" w14:textId="77777777" w:rsidR="00792993" w:rsidRPr="00E0466C" w:rsidRDefault="00792993" w:rsidP="00A1224C">
            <w:pPr>
              <w:spacing w:after="60"/>
              <w:jc w:val="center"/>
              <w:rPr>
                <w:b/>
                <w:sz w:val="20"/>
                <w:szCs w:val="20"/>
              </w:rPr>
            </w:pPr>
            <w:r w:rsidRPr="00E0466C">
              <w:rPr>
                <w:b/>
                <w:sz w:val="20"/>
                <w:szCs w:val="20"/>
              </w:rPr>
              <w:t>2021 год</w:t>
            </w:r>
          </w:p>
        </w:tc>
        <w:tc>
          <w:tcPr>
            <w:tcW w:w="840" w:type="pct"/>
            <w:vAlign w:val="center"/>
          </w:tcPr>
          <w:p w14:paraId="400CAAAB" w14:textId="77777777" w:rsidR="00792993" w:rsidRPr="00E0466C" w:rsidRDefault="00792993" w:rsidP="00A1224C">
            <w:pPr>
              <w:spacing w:after="60"/>
              <w:jc w:val="center"/>
              <w:rPr>
                <w:b/>
                <w:sz w:val="20"/>
                <w:szCs w:val="20"/>
              </w:rPr>
            </w:pPr>
            <w:r w:rsidRPr="00E0466C">
              <w:rPr>
                <w:b/>
                <w:sz w:val="20"/>
                <w:szCs w:val="20"/>
              </w:rPr>
              <w:t>2022 год</w:t>
            </w:r>
          </w:p>
        </w:tc>
      </w:tr>
      <w:tr w:rsidR="00792993" w:rsidRPr="00AA53A0" w14:paraId="74A5F182" w14:textId="77777777" w:rsidTr="00A1224C">
        <w:trPr>
          <w:trHeight w:val="243"/>
          <w:jc w:val="center"/>
        </w:trPr>
        <w:tc>
          <w:tcPr>
            <w:tcW w:w="2539" w:type="pct"/>
            <w:vAlign w:val="center"/>
          </w:tcPr>
          <w:p w14:paraId="252DF9B7" w14:textId="77777777" w:rsidR="00792993" w:rsidRPr="00AA53A0" w:rsidRDefault="00792993" w:rsidP="00A1224C">
            <w:pPr>
              <w:spacing w:after="60"/>
              <w:rPr>
                <w:b/>
                <w:bCs/>
                <w:color w:val="000000"/>
                <w:sz w:val="20"/>
                <w:szCs w:val="20"/>
              </w:rPr>
            </w:pPr>
            <w:r w:rsidRPr="00AA53A0">
              <w:rPr>
                <w:b/>
                <w:bCs/>
                <w:color w:val="000000"/>
                <w:sz w:val="20"/>
                <w:szCs w:val="20"/>
              </w:rPr>
              <w:t>Всего</w:t>
            </w:r>
          </w:p>
        </w:tc>
        <w:tc>
          <w:tcPr>
            <w:tcW w:w="851" w:type="pct"/>
            <w:vAlign w:val="center"/>
          </w:tcPr>
          <w:p w14:paraId="6FD1BA6B" w14:textId="77777777" w:rsidR="00792993" w:rsidRPr="00AA53A0" w:rsidRDefault="00792993" w:rsidP="00A1224C">
            <w:pPr>
              <w:spacing w:after="60"/>
              <w:jc w:val="center"/>
              <w:rPr>
                <w:b/>
                <w:bCs/>
                <w:iCs/>
                <w:color w:val="000000"/>
                <w:sz w:val="20"/>
                <w:szCs w:val="20"/>
              </w:rPr>
            </w:pPr>
            <w:r>
              <w:rPr>
                <w:b/>
                <w:bCs/>
                <w:iCs/>
                <w:color w:val="000000"/>
                <w:sz w:val="20"/>
                <w:szCs w:val="20"/>
              </w:rPr>
              <w:t>47,4</w:t>
            </w:r>
          </w:p>
        </w:tc>
        <w:tc>
          <w:tcPr>
            <w:tcW w:w="770" w:type="pct"/>
            <w:vAlign w:val="center"/>
          </w:tcPr>
          <w:p w14:paraId="5BE98C03" w14:textId="77777777" w:rsidR="00792993" w:rsidRPr="00AA53A0" w:rsidRDefault="00792993" w:rsidP="00A1224C">
            <w:pPr>
              <w:spacing w:after="60"/>
              <w:jc w:val="center"/>
              <w:rPr>
                <w:b/>
                <w:bCs/>
                <w:iCs/>
                <w:color w:val="000000"/>
                <w:sz w:val="20"/>
                <w:szCs w:val="20"/>
              </w:rPr>
            </w:pPr>
            <w:r>
              <w:rPr>
                <w:b/>
                <w:bCs/>
                <w:iCs/>
                <w:color w:val="000000"/>
                <w:sz w:val="20"/>
                <w:szCs w:val="20"/>
              </w:rPr>
              <w:t>69,8</w:t>
            </w:r>
          </w:p>
        </w:tc>
        <w:tc>
          <w:tcPr>
            <w:tcW w:w="840" w:type="pct"/>
            <w:vAlign w:val="center"/>
          </w:tcPr>
          <w:p w14:paraId="29AD33B8" w14:textId="77777777" w:rsidR="00792993" w:rsidRPr="00AA53A0" w:rsidRDefault="00792993" w:rsidP="00A1224C">
            <w:pPr>
              <w:spacing w:after="60"/>
              <w:jc w:val="center"/>
              <w:rPr>
                <w:b/>
                <w:bCs/>
                <w:iCs/>
                <w:color w:val="000000"/>
                <w:sz w:val="20"/>
                <w:szCs w:val="20"/>
              </w:rPr>
            </w:pPr>
            <w:r>
              <w:rPr>
                <w:b/>
                <w:bCs/>
                <w:iCs/>
                <w:color w:val="000000"/>
                <w:sz w:val="20"/>
                <w:szCs w:val="20"/>
              </w:rPr>
              <w:t>96,1</w:t>
            </w:r>
          </w:p>
        </w:tc>
      </w:tr>
      <w:tr w:rsidR="00792993" w:rsidRPr="00AA53A0" w14:paraId="199BCE03" w14:textId="77777777" w:rsidTr="00C14D3F">
        <w:trPr>
          <w:trHeight w:val="158"/>
          <w:jc w:val="center"/>
        </w:trPr>
        <w:tc>
          <w:tcPr>
            <w:tcW w:w="2539" w:type="pct"/>
            <w:vAlign w:val="center"/>
          </w:tcPr>
          <w:p w14:paraId="1D2EF600" w14:textId="77777777" w:rsidR="00792993" w:rsidRPr="00BE65E2" w:rsidRDefault="00792993" w:rsidP="00A1224C">
            <w:pPr>
              <w:spacing w:after="60"/>
              <w:rPr>
                <w:bCs/>
                <w:i/>
                <w:color w:val="000000"/>
                <w:sz w:val="20"/>
                <w:szCs w:val="20"/>
              </w:rPr>
            </w:pPr>
            <w:r w:rsidRPr="00BE65E2">
              <w:rPr>
                <w:bCs/>
                <w:i/>
                <w:color w:val="000000"/>
                <w:sz w:val="20"/>
                <w:szCs w:val="20"/>
              </w:rPr>
              <w:t>Изменение по сравнению с Законом №459-ФЗ, %</w:t>
            </w:r>
          </w:p>
        </w:tc>
        <w:tc>
          <w:tcPr>
            <w:tcW w:w="851" w:type="pct"/>
            <w:vAlign w:val="center"/>
          </w:tcPr>
          <w:p w14:paraId="2DA01586" w14:textId="77777777" w:rsidR="00792993" w:rsidRPr="00BE65E2" w:rsidRDefault="00792993" w:rsidP="00A1224C">
            <w:pPr>
              <w:spacing w:after="60"/>
              <w:jc w:val="center"/>
              <w:rPr>
                <w:bCs/>
                <w:i/>
                <w:iCs/>
                <w:color w:val="000000"/>
                <w:sz w:val="20"/>
                <w:szCs w:val="20"/>
              </w:rPr>
            </w:pPr>
            <w:r w:rsidRPr="00BE65E2">
              <w:rPr>
                <w:bCs/>
                <w:i/>
                <w:iCs/>
                <w:color w:val="000000"/>
                <w:sz w:val="20"/>
                <w:szCs w:val="20"/>
              </w:rPr>
              <w:t>+10,2</w:t>
            </w:r>
          </w:p>
        </w:tc>
        <w:tc>
          <w:tcPr>
            <w:tcW w:w="770" w:type="pct"/>
            <w:vAlign w:val="center"/>
          </w:tcPr>
          <w:p w14:paraId="71668002" w14:textId="77777777" w:rsidR="00792993" w:rsidRPr="00BE65E2" w:rsidRDefault="00792993" w:rsidP="00A1224C">
            <w:pPr>
              <w:spacing w:after="60"/>
              <w:jc w:val="center"/>
              <w:rPr>
                <w:bCs/>
                <w:i/>
                <w:iCs/>
                <w:color w:val="000000"/>
                <w:sz w:val="20"/>
                <w:szCs w:val="20"/>
              </w:rPr>
            </w:pPr>
            <w:r w:rsidRPr="00BE65E2">
              <w:rPr>
                <w:bCs/>
                <w:i/>
                <w:iCs/>
                <w:color w:val="000000"/>
                <w:sz w:val="20"/>
                <w:szCs w:val="20"/>
              </w:rPr>
              <w:t>+11,2</w:t>
            </w:r>
          </w:p>
        </w:tc>
        <w:tc>
          <w:tcPr>
            <w:tcW w:w="840" w:type="pct"/>
            <w:vAlign w:val="center"/>
          </w:tcPr>
          <w:p w14:paraId="0449ADC3" w14:textId="77777777" w:rsidR="00792993" w:rsidRPr="00BE65E2" w:rsidRDefault="00792993" w:rsidP="00A1224C">
            <w:pPr>
              <w:spacing w:after="60"/>
              <w:jc w:val="center"/>
              <w:rPr>
                <w:bCs/>
                <w:i/>
                <w:iCs/>
                <w:color w:val="000000"/>
                <w:sz w:val="20"/>
                <w:szCs w:val="20"/>
              </w:rPr>
            </w:pPr>
            <w:r w:rsidRPr="00BE65E2">
              <w:rPr>
                <w:bCs/>
                <w:i/>
                <w:iCs/>
                <w:color w:val="000000"/>
                <w:sz w:val="20"/>
                <w:szCs w:val="20"/>
              </w:rPr>
              <w:t>+8,6*</w:t>
            </w:r>
          </w:p>
        </w:tc>
      </w:tr>
      <w:tr w:rsidR="00792993" w:rsidRPr="00AA53A0" w14:paraId="362641CA" w14:textId="77777777" w:rsidTr="00A1224C">
        <w:trPr>
          <w:trHeight w:val="20"/>
          <w:jc w:val="center"/>
        </w:trPr>
        <w:tc>
          <w:tcPr>
            <w:tcW w:w="5000" w:type="pct"/>
            <w:gridSpan w:val="4"/>
            <w:vAlign w:val="center"/>
          </w:tcPr>
          <w:p w14:paraId="093AF719" w14:textId="77777777" w:rsidR="00792993" w:rsidRPr="00AA5ABD" w:rsidRDefault="00792993" w:rsidP="00A1224C">
            <w:pPr>
              <w:spacing w:after="60"/>
              <w:rPr>
                <w:bCs/>
                <w:color w:val="000000"/>
                <w:sz w:val="20"/>
                <w:szCs w:val="20"/>
              </w:rPr>
            </w:pPr>
            <w:r w:rsidRPr="00BE65E2">
              <w:rPr>
                <w:sz w:val="20"/>
                <w:szCs w:val="20"/>
              </w:rPr>
              <w:t>в том числе по федеральным проектам:</w:t>
            </w:r>
          </w:p>
        </w:tc>
      </w:tr>
      <w:tr w:rsidR="00792993" w:rsidRPr="00AA53A0" w14:paraId="187C212C" w14:textId="77777777" w:rsidTr="00C14D3F">
        <w:trPr>
          <w:trHeight w:val="469"/>
          <w:jc w:val="center"/>
        </w:trPr>
        <w:tc>
          <w:tcPr>
            <w:tcW w:w="2539" w:type="pct"/>
            <w:vAlign w:val="center"/>
          </w:tcPr>
          <w:p w14:paraId="74B6B5B3" w14:textId="77777777" w:rsidR="00792993" w:rsidRPr="00AA53A0" w:rsidRDefault="00792993" w:rsidP="000419EA">
            <w:pPr>
              <w:spacing w:after="60"/>
              <w:ind w:firstLineChars="27" w:firstLine="54"/>
              <w:jc w:val="right"/>
              <w:rPr>
                <w:color w:val="000000"/>
                <w:sz w:val="20"/>
                <w:szCs w:val="20"/>
              </w:rPr>
            </w:pPr>
            <w:r w:rsidRPr="00AA53A0">
              <w:rPr>
                <w:color w:val="000000"/>
                <w:sz w:val="20"/>
                <w:szCs w:val="20"/>
              </w:rPr>
              <w:t>Федеральный проект "Развитие научной и научно-производственной кооперации"</w:t>
            </w:r>
          </w:p>
        </w:tc>
        <w:tc>
          <w:tcPr>
            <w:tcW w:w="851" w:type="pct"/>
            <w:vAlign w:val="center"/>
          </w:tcPr>
          <w:p w14:paraId="206593A2" w14:textId="77777777" w:rsidR="00792993" w:rsidRPr="00AA53A0" w:rsidRDefault="00792993" w:rsidP="00A1224C">
            <w:pPr>
              <w:spacing w:after="60"/>
              <w:jc w:val="center"/>
              <w:rPr>
                <w:color w:val="000000"/>
                <w:sz w:val="20"/>
                <w:szCs w:val="20"/>
              </w:rPr>
            </w:pPr>
            <w:r>
              <w:rPr>
                <w:color w:val="000000"/>
                <w:sz w:val="20"/>
                <w:szCs w:val="20"/>
              </w:rPr>
              <w:t>12,6</w:t>
            </w:r>
          </w:p>
        </w:tc>
        <w:tc>
          <w:tcPr>
            <w:tcW w:w="770" w:type="pct"/>
            <w:vAlign w:val="center"/>
          </w:tcPr>
          <w:p w14:paraId="73DD6E36" w14:textId="77777777" w:rsidR="00792993" w:rsidRPr="00AA53A0" w:rsidRDefault="00792993" w:rsidP="00A1224C">
            <w:pPr>
              <w:spacing w:after="60"/>
              <w:jc w:val="center"/>
              <w:rPr>
                <w:color w:val="000000"/>
                <w:sz w:val="20"/>
                <w:szCs w:val="20"/>
              </w:rPr>
            </w:pPr>
            <w:r>
              <w:rPr>
                <w:color w:val="000000"/>
                <w:sz w:val="20"/>
                <w:szCs w:val="20"/>
              </w:rPr>
              <w:t>7,9</w:t>
            </w:r>
          </w:p>
        </w:tc>
        <w:tc>
          <w:tcPr>
            <w:tcW w:w="840" w:type="pct"/>
            <w:vAlign w:val="center"/>
          </w:tcPr>
          <w:p w14:paraId="10DA0EF2" w14:textId="77777777" w:rsidR="00792993" w:rsidRPr="00AA53A0" w:rsidRDefault="00792993" w:rsidP="00A1224C">
            <w:pPr>
              <w:spacing w:after="60"/>
              <w:jc w:val="center"/>
              <w:rPr>
                <w:color w:val="000000"/>
                <w:sz w:val="20"/>
                <w:szCs w:val="20"/>
              </w:rPr>
            </w:pPr>
            <w:r>
              <w:rPr>
                <w:color w:val="000000"/>
                <w:sz w:val="20"/>
                <w:szCs w:val="20"/>
              </w:rPr>
              <w:t>10,6</w:t>
            </w:r>
          </w:p>
        </w:tc>
      </w:tr>
      <w:tr w:rsidR="00792993" w:rsidRPr="00AA53A0" w14:paraId="37BD33C6" w14:textId="77777777" w:rsidTr="00C14D3F">
        <w:trPr>
          <w:trHeight w:val="662"/>
          <w:jc w:val="center"/>
        </w:trPr>
        <w:tc>
          <w:tcPr>
            <w:tcW w:w="2539" w:type="pct"/>
            <w:vAlign w:val="center"/>
          </w:tcPr>
          <w:p w14:paraId="6D1164DB" w14:textId="77777777" w:rsidR="00792993" w:rsidRPr="00AA53A0" w:rsidRDefault="00792993" w:rsidP="000419EA">
            <w:pPr>
              <w:spacing w:after="60"/>
              <w:ind w:firstLineChars="27" w:firstLine="54"/>
              <w:jc w:val="right"/>
              <w:rPr>
                <w:color w:val="000000"/>
                <w:sz w:val="20"/>
                <w:szCs w:val="20"/>
              </w:rPr>
            </w:pPr>
            <w:r w:rsidRPr="00AA53A0">
              <w:rPr>
                <w:color w:val="000000"/>
                <w:sz w:val="20"/>
                <w:szCs w:val="20"/>
              </w:rPr>
              <w:t>Федеральный проект "Развитие передовой инфраструктуры для проведения исследований и разработок в Российской Федерации"</w:t>
            </w:r>
          </w:p>
        </w:tc>
        <w:tc>
          <w:tcPr>
            <w:tcW w:w="851" w:type="pct"/>
            <w:vAlign w:val="center"/>
          </w:tcPr>
          <w:p w14:paraId="4F571786" w14:textId="77777777" w:rsidR="00792993" w:rsidRPr="00AA53A0" w:rsidRDefault="00792993" w:rsidP="00A1224C">
            <w:pPr>
              <w:spacing w:after="60"/>
              <w:jc w:val="center"/>
              <w:rPr>
                <w:color w:val="000000"/>
                <w:sz w:val="20"/>
                <w:szCs w:val="20"/>
              </w:rPr>
            </w:pPr>
            <w:r>
              <w:rPr>
                <w:color w:val="000000"/>
                <w:sz w:val="20"/>
                <w:szCs w:val="20"/>
              </w:rPr>
              <w:t>23,4</w:t>
            </w:r>
          </w:p>
        </w:tc>
        <w:tc>
          <w:tcPr>
            <w:tcW w:w="770" w:type="pct"/>
            <w:vAlign w:val="center"/>
          </w:tcPr>
          <w:p w14:paraId="5B2E5428" w14:textId="77777777" w:rsidR="00792993" w:rsidRPr="00AA53A0" w:rsidRDefault="00792993" w:rsidP="00A1224C">
            <w:pPr>
              <w:spacing w:after="60"/>
              <w:jc w:val="center"/>
              <w:rPr>
                <w:color w:val="000000"/>
                <w:sz w:val="20"/>
                <w:szCs w:val="20"/>
              </w:rPr>
            </w:pPr>
            <w:r>
              <w:rPr>
                <w:color w:val="000000"/>
                <w:sz w:val="20"/>
                <w:szCs w:val="20"/>
              </w:rPr>
              <w:t>37,1</w:t>
            </w:r>
          </w:p>
        </w:tc>
        <w:tc>
          <w:tcPr>
            <w:tcW w:w="840" w:type="pct"/>
            <w:vAlign w:val="center"/>
          </w:tcPr>
          <w:p w14:paraId="1B5F72A0" w14:textId="77777777" w:rsidR="00792993" w:rsidRPr="00AA53A0" w:rsidRDefault="00792993" w:rsidP="00A1224C">
            <w:pPr>
              <w:spacing w:after="60"/>
              <w:jc w:val="center"/>
              <w:rPr>
                <w:color w:val="000000"/>
                <w:sz w:val="20"/>
                <w:szCs w:val="20"/>
              </w:rPr>
            </w:pPr>
            <w:r>
              <w:rPr>
                <w:color w:val="000000"/>
                <w:sz w:val="20"/>
                <w:szCs w:val="20"/>
              </w:rPr>
              <w:t>59,4</w:t>
            </w:r>
          </w:p>
        </w:tc>
      </w:tr>
      <w:tr w:rsidR="00792993" w:rsidRPr="00AA53A0" w14:paraId="3DE4954A" w14:textId="77777777" w:rsidTr="00C14D3F">
        <w:trPr>
          <w:trHeight w:val="363"/>
          <w:jc w:val="center"/>
        </w:trPr>
        <w:tc>
          <w:tcPr>
            <w:tcW w:w="2539" w:type="pct"/>
            <w:vAlign w:val="center"/>
          </w:tcPr>
          <w:p w14:paraId="70780FFD" w14:textId="77777777" w:rsidR="00792993" w:rsidRPr="00AA53A0" w:rsidRDefault="00792993" w:rsidP="000419EA">
            <w:pPr>
              <w:spacing w:after="60"/>
              <w:ind w:firstLineChars="27" w:firstLine="54"/>
              <w:jc w:val="right"/>
              <w:rPr>
                <w:color w:val="000000"/>
                <w:sz w:val="20"/>
                <w:szCs w:val="20"/>
              </w:rPr>
            </w:pPr>
            <w:r w:rsidRPr="00AA53A0">
              <w:rPr>
                <w:color w:val="000000"/>
                <w:sz w:val="20"/>
                <w:szCs w:val="20"/>
              </w:rPr>
              <w:t>Федеральный проект "Развитие кадрового потенциала в сфере исследований и разработок"</w:t>
            </w:r>
          </w:p>
        </w:tc>
        <w:tc>
          <w:tcPr>
            <w:tcW w:w="851" w:type="pct"/>
            <w:vAlign w:val="center"/>
          </w:tcPr>
          <w:p w14:paraId="490A4DAD" w14:textId="77777777" w:rsidR="00792993" w:rsidRPr="00AA53A0" w:rsidRDefault="00792993" w:rsidP="00A1224C">
            <w:pPr>
              <w:spacing w:after="60"/>
              <w:jc w:val="center"/>
              <w:rPr>
                <w:color w:val="000000"/>
                <w:sz w:val="20"/>
                <w:szCs w:val="20"/>
              </w:rPr>
            </w:pPr>
            <w:r>
              <w:rPr>
                <w:color w:val="000000"/>
                <w:sz w:val="20"/>
                <w:szCs w:val="20"/>
              </w:rPr>
              <w:t>11,3</w:t>
            </w:r>
          </w:p>
        </w:tc>
        <w:tc>
          <w:tcPr>
            <w:tcW w:w="770" w:type="pct"/>
            <w:vAlign w:val="center"/>
          </w:tcPr>
          <w:p w14:paraId="2B52CDED" w14:textId="77777777" w:rsidR="00792993" w:rsidRPr="00AA53A0" w:rsidRDefault="00792993" w:rsidP="00A1224C">
            <w:pPr>
              <w:spacing w:after="60"/>
              <w:jc w:val="center"/>
              <w:rPr>
                <w:color w:val="000000"/>
                <w:sz w:val="20"/>
                <w:szCs w:val="20"/>
              </w:rPr>
            </w:pPr>
            <w:r>
              <w:rPr>
                <w:color w:val="000000"/>
                <w:sz w:val="20"/>
                <w:szCs w:val="20"/>
              </w:rPr>
              <w:t>24,7</w:t>
            </w:r>
          </w:p>
        </w:tc>
        <w:tc>
          <w:tcPr>
            <w:tcW w:w="840" w:type="pct"/>
            <w:vAlign w:val="center"/>
          </w:tcPr>
          <w:p w14:paraId="22B2BC0A" w14:textId="77777777" w:rsidR="00792993" w:rsidRPr="00AA53A0" w:rsidRDefault="00792993" w:rsidP="00A1224C">
            <w:pPr>
              <w:spacing w:after="60"/>
              <w:jc w:val="center"/>
              <w:rPr>
                <w:color w:val="000000"/>
                <w:sz w:val="20"/>
                <w:szCs w:val="20"/>
              </w:rPr>
            </w:pPr>
            <w:r>
              <w:rPr>
                <w:color w:val="000000"/>
                <w:sz w:val="20"/>
                <w:szCs w:val="20"/>
              </w:rPr>
              <w:t>26,1</w:t>
            </w:r>
          </w:p>
        </w:tc>
      </w:tr>
    </w:tbl>
    <w:p w14:paraId="05400091" w14:textId="77777777" w:rsidR="00792993" w:rsidRDefault="00792993" w:rsidP="00A1224C">
      <w:pPr>
        <w:spacing w:after="60"/>
        <w:ind w:firstLine="709"/>
        <w:jc w:val="both"/>
        <w:rPr>
          <w:sz w:val="20"/>
          <w:szCs w:val="20"/>
        </w:rPr>
      </w:pPr>
      <w:r>
        <w:rPr>
          <w:sz w:val="20"/>
          <w:szCs w:val="20"/>
        </w:rPr>
        <w:t>* - изменение к паспорту проекта на 2022 г.</w:t>
      </w:r>
    </w:p>
    <w:p w14:paraId="03627580" w14:textId="6E1060BB" w:rsidR="00792993" w:rsidRPr="00AA53A0" w:rsidRDefault="00792993" w:rsidP="00A1224C">
      <w:pPr>
        <w:spacing w:after="60"/>
        <w:ind w:firstLine="709"/>
        <w:jc w:val="both"/>
        <w:rPr>
          <w:sz w:val="20"/>
          <w:szCs w:val="20"/>
        </w:rPr>
      </w:pPr>
      <w:r w:rsidRPr="00A1224C">
        <w:rPr>
          <w:i/>
          <w:sz w:val="20"/>
          <w:szCs w:val="20"/>
        </w:rPr>
        <w:t>Источник</w:t>
      </w:r>
      <w:r>
        <w:rPr>
          <w:sz w:val="20"/>
          <w:szCs w:val="20"/>
        </w:rPr>
        <w:t xml:space="preserve">: </w:t>
      </w:r>
      <w:r w:rsidRPr="008E4B3E">
        <w:rPr>
          <w:sz w:val="20"/>
          <w:szCs w:val="20"/>
        </w:rPr>
        <w:t>Пояснительн</w:t>
      </w:r>
      <w:r>
        <w:rPr>
          <w:sz w:val="20"/>
          <w:szCs w:val="20"/>
        </w:rPr>
        <w:t>ая</w:t>
      </w:r>
      <w:r w:rsidRPr="008E4B3E">
        <w:rPr>
          <w:sz w:val="20"/>
          <w:szCs w:val="20"/>
        </w:rPr>
        <w:t xml:space="preserve"> записк</w:t>
      </w:r>
      <w:r>
        <w:rPr>
          <w:sz w:val="20"/>
          <w:szCs w:val="20"/>
        </w:rPr>
        <w:t>а</w:t>
      </w:r>
      <w:r w:rsidRPr="008E4B3E">
        <w:rPr>
          <w:sz w:val="20"/>
          <w:szCs w:val="20"/>
        </w:rPr>
        <w:t xml:space="preserve"> к проекту федерального закона «О федеральном бюджете на 20</w:t>
      </w:r>
      <w:r>
        <w:rPr>
          <w:sz w:val="20"/>
          <w:szCs w:val="20"/>
        </w:rPr>
        <w:t>20</w:t>
      </w:r>
      <w:r w:rsidRPr="008E4B3E">
        <w:rPr>
          <w:sz w:val="20"/>
          <w:szCs w:val="20"/>
        </w:rPr>
        <w:t xml:space="preserve"> год и на плановый период 202</w:t>
      </w:r>
      <w:r>
        <w:rPr>
          <w:sz w:val="20"/>
          <w:szCs w:val="20"/>
        </w:rPr>
        <w:t>1</w:t>
      </w:r>
      <w:r w:rsidRPr="008E4B3E">
        <w:rPr>
          <w:sz w:val="20"/>
          <w:szCs w:val="20"/>
        </w:rPr>
        <w:t xml:space="preserve"> и 202</w:t>
      </w:r>
      <w:r>
        <w:rPr>
          <w:sz w:val="20"/>
          <w:szCs w:val="20"/>
        </w:rPr>
        <w:t>2</w:t>
      </w:r>
      <w:r w:rsidRPr="008E4B3E">
        <w:rPr>
          <w:sz w:val="20"/>
          <w:szCs w:val="20"/>
        </w:rPr>
        <w:t xml:space="preserve"> годов»</w:t>
      </w:r>
      <w:r w:rsidR="00927EED">
        <w:rPr>
          <w:sz w:val="20"/>
          <w:szCs w:val="20"/>
        </w:rPr>
        <w:t>, расчеты авторов</w:t>
      </w:r>
    </w:p>
    <w:p w14:paraId="252C62FE" w14:textId="77777777" w:rsidR="009D6C12" w:rsidRDefault="009D6C12" w:rsidP="00A1224C">
      <w:pPr>
        <w:spacing w:after="60"/>
        <w:ind w:firstLine="709"/>
        <w:jc w:val="both"/>
      </w:pPr>
    </w:p>
    <w:p w14:paraId="7342532A" w14:textId="7EEBDD20" w:rsidR="00792993" w:rsidRDefault="00792993" w:rsidP="00A1224C">
      <w:pPr>
        <w:spacing w:after="60"/>
        <w:ind w:firstLine="709"/>
        <w:jc w:val="both"/>
      </w:pPr>
      <w:r>
        <w:t xml:space="preserve">Среди существенных аспектов стоит отметить, во-первых, значительное финансирование создания лабораторий мирового уровня под руководством ведущих ученых с мировым именем, в том числе соотечественников. На сравнительно небольшое число лабораторий выделяется по 2 млрд руб. в год по одной строке, и дополнительно на 2020-2021 гг. суммарно 1,9 млрд руб. С учетом того, что, согласно условиям программы, половина размера гранта может направляться на зарплату ведущего ученого, получается, что расходы на нее могут варьироваться от </w:t>
      </w:r>
      <w:r w:rsidR="003D1B2E">
        <w:t>0,4 млрд</w:t>
      </w:r>
      <w:r>
        <w:t xml:space="preserve"> руб. до 1 млрд руб. в год, что составляет около 1 млн руб. в месяц в расчете на ведущего ученого. Таким образом, данная программа оказывается дороже, чем суммарно расходы на НИОКР по государственной программе развития сельского хозяйства и государственной программе «Развитие экономики». С учетом того, что ведущие ученые из числа соотечественников и иностранцы проводят в России максимум 4 месяца в год и не планируют возвращаться, а научные и социально-экономические эффекты работы созданных лабораторий неизвестны, такое решение о бюджетных ассигнованиях следует рассматривать как </w:t>
      </w:r>
      <w:r w:rsidR="00CB2AB7">
        <w:t>преимущественно</w:t>
      </w:r>
      <w:r>
        <w:t xml:space="preserve"> политическое, </w:t>
      </w:r>
      <w:r w:rsidR="00CB2AB7">
        <w:t xml:space="preserve">нежели экономически </w:t>
      </w:r>
      <w:r>
        <w:t>о</w:t>
      </w:r>
      <w:r w:rsidR="00CB2AB7">
        <w:t>боснованное</w:t>
      </w:r>
      <w:r>
        <w:t>.</w:t>
      </w:r>
    </w:p>
    <w:p w14:paraId="527D5DC7" w14:textId="306B478F" w:rsidR="00792993" w:rsidRDefault="00792993" w:rsidP="00A1224C">
      <w:pPr>
        <w:spacing w:after="60"/>
        <w:ind w:firstLine="709"/>
        <w:jc w:val="both"/>
      </w:pPr>
      <w:r>
        <w:t xml:space="preserve">Во-вторых, важное изменение касается усиления поддержки Российского научного фонда (РНФ) – с 9,3 млрд руб. в 2020 г. до 22,4 млрд руб. </w:t>
      </w:r>
      <w:r w:rsidRPr="000419EA">
        <w:t>в 2022 г. (</w:t>
      </w:r>
      <w:r w:rsidRPr="000419EA">
        <w:rPr>
          <w:i/>
        </w:rPr>
        <w:t>табл</w:t>
      </w:r>
      <w:r w:rsidR="00544459" w:rsidRPr="000419EA">
        <w:rPr>
          <w:i/>
        </w:rPr>
        <w:t>ица</w:t>
      </w:r>
      <w:r w:rsidRPr="000419EA">
        <w:rPr>
          <w:i/>
        </w:rPr>
        <w:t xml:space="preserve"> </w:t>
      </w:r>
      <w:r w:rsidR="00C84D38">
        <w:rPr>
          <w:i/>
          <w:noProof/>
        </w:rPr>
        <w:t>28</w:t>
      </w:r>
      <w:r w:rsidRPr="000419EA">
        <w:t xml:space="preserve">). </w:t>
      </w:r>
      <w:r w:rsidR="00544459" w:rsidRPr="000419EA">
        <w:t>Изменения, по-видимому,</w:t>
      </w:r>
      <w:r w:rsidRPr="000419EA">
        <w:t xml:space="preserve"> связаны с тем, что РНФ не в состоянии привлечь внебюджетное финансирование, которое он должен был привлекать практически</w:t>
      </w:r>
      <w:r>
        <w:t xml:space="preserve"> на паритетной основе. Суммарно РНФ и Российский фонд фундаментальных исследований (РФФИ) будут распределять около трети бюджетных ассигнований на фундаментальные исследования, что в целом является позитивной тенденцие</w:t>
      </w:r>
      <w:r w:rsidR="00DF409C">
        <w:t>й.</w:t>
      </w:r>
    </w:p>
    <w:p w14:paraId="7FF97990" w14:textId="73140424" w:rsidR="00DF409C" w:rsidRDefault="00DF409C" w:rsidP="00A1224C">
      <w:pPr>
        <w:spacing w:after="60"/>
        <w:ind w:firstLine="709"/>
        <w:jc w:val="both"/>
      </w:pPr>
    </w:p>
    <w:p w14:paraId="61EFDE00" w14:textId="77777777" w:rsidR="00DF409C" w:rsidRDefault="00DF409C" w:rsidP="00A1224C">
      <w:pPr>
        <w:spacing w:after="60"/>
        <w:ind w:firstLine="709"/>
        <w:jc w:val="both"/>
      </w:pPr>
    </w:p>
    <w:p w14:paraId="41DF2BB7" w14:textId="429E206C" w:rsidR="000419EA" w:rsidRPr="00600DF7" w:rsidRDefault="000419EA" w:rsidP="000419EA">
      <w:pPr>
        <w:spacing w:after="60"/>
        <w:jc w:val="right"/>
        <w:rPr>
          <w:i/>
        </w:rPr>
      </w:pPr>
      <w:r w:rsidRPr="00600DF7">
        <w:rPr>
          <w:i/>
        </w:rPr>
        <w:t>Таблица</w:t>
      </w:r>
      <w:r>
        <w:rPr>
          <w:i/>
        </w:rPr>
        <w:t xml:space="preserve"> </w:t>
      </w:r>
      <w:bookmarkStart w:id="62" w:name="_Ref21345607"/>
      <w:r w:rsidR="00C84D38">
        <w:rPr>
          <w:i/>
          <w:noProof/>
        </w:rPr>
        <w:t>28</w:t>
      </w:r>
      <w:bookmarkEnd w:id="62"/>
    </w:p>
    <w:p w14:paraId="07F73F93" w14:textId="77777777" w:rsidR="00792993" w:rsidRPr="0014543A" w:rsidRDefault="00792993" w:rsidP="00A1224C">
      <w:pPr>
        <w:spacing w:after="60"/>
        <w:jc w:val="center"/>
        <w:rPr>
          <w:b/>
        </w:rPr>
      </w:pPr>
      <w:r>
        <w:rPr>
          <w:b/>
        </w:rPr>
        <w:t>Б</w:t>
      </w:r>
      <w:r w:rsidRPr="0014543A">
        <w:rPr>
          <w:b/>
        </w:rPr>
        <w:t>юджетны</w:t>
      </w:r>
      <w:r>
        <w:rPr>
          <w:b/>
        </w:rPr>
        <w:t>е</w:t>
      </w:r>
      <w:r w:rsidRPr="0014543A">
        <w:rPr>
          <w:b/>
        </w:rPr>
        <w:t xml:space="preserve"> ассигновани</w:t>
      </w:r>
      <w:r>
        <w:rPr>
          <w:b/>
        </w:rPr>
        <w:t>я</w:t>
      </w:r>
      <w:r w:rsidRPr="0014543A">
        <w:rPr>
          <w:b/>
        </w:rPr>
        <w:t xml:space="preserve"> </w:t>
      </w:r>
      <w:r>
        <w:rPr>
          <w:b/>
        </w:rPr>
        <w:t xml:space="preserve">на </w:t>
      </w:r>
      <w:r w:rsidRPr="0014543A">
        <w:rPr>
          <w:b/>
        </w:rPr>
        <w:t>фундаментальны</w:t>
      </w:r>
      <w:r>
        <w:rPr>
          <w:b/>
        </w:rPr>
        <w:t>е исследования</w:t>
      </w:r>
    </w:p>
    <w:tbl>
      <w:tblPr>
        <w:tblStyle w:val="a4"/>
        <w:tblW w:w="0" w:type="auto"/>
        <w:tblLook w:val="04A0" w:firstRow="1" w:lastRow="0" w:firstColumn="1" w:lastColumn="0" w:noHBand="0" w:noVBand="1"/>
      </w:tblPr>
      <w:tblGrid>
        <w:gridCol w:w="5625"/>
        <w:gridCol w:w="1204"/>
        <w:gridCol w:w="1246"/>
        <w:gridCol w:w="1212"/>
      </w:tblGrid>
      <w:tr w:rsidR="00792993" w:rsidRPr="00385B36" w14:paraId="03BB4C78" w14:textId="77777777" w:rsidTr="000419EA">
        <w:trPr>
          <w:tblHeader/>
        </w:trPr>
        <w:tc>
          <w:tcPr>
            <w:tcW w:w="5665" w:type="dxa"/>
          </w:tcPr>
          <w:p w14:paraId="334E99D5" w14:textId="77777777" w:rsidR="00792993" w:rsidRPr="00BE65E2" w:rsidRDefault="00792993" w:rsidP="00BE65E2">
            <w:pPr>
              <w:spacing w:after="60"/>
              <w:jc w:val="center"/>
              <w:rPr>
                <w:b/>
                <w:sz w:val="20"/>
                <w:szCs w:val="20"/>
              </w:rPr>
            </w:pPr>
            <w:r w:rsidRPr="00BE65E2">
              <w:rPr>
                <w:b/>
                <w:sz w:val="20"/>
                <w:szCs w:val="20"/>
              </w:rPr>
              <w:t>Вид расходов</w:t>
            </w:r>
          </w:p>
        </w:tc>
        <w:tc>
          <w:tcPr>
            <w:tcW w:w="1210" w:type="dxa"/>
          </w:tcPr>
          <w:p w14:paraId="69705964" w14:textId="77777777" w:rsidR="00792993" w:rsidRPr="009871FC" w:rsidRDefault="00792993" w:rsidP="00C14D3F">
            <w:pPr>
              <w:spacing w:after="60"/>
              <w:jc w:val="center"/>
              <w:rPr>
                <w:b/>
                <w:sz w:val="20"/>
                <w:szCs w:val="20"/>
              </w:rPr>
            </w:pPr>
            <w:r w:rsidRPr="009871FC">
              <w:rPr>
                <w:b/>
                <w:sz w:val="20"/>
                <w:szCs w:val="20"/>
              </w:rPr>
              <w:t>20</w:t>
            </w:r>
            <w:r>
              <w:rPr>
                <w:b/>
                <w:sz w:val="20"/>
                <w:szCs w:val="20"/>
              </w:rPr>
              <w:t>20</w:t>
            </w:r>
            <w:r w:rsidRPr="009871FC">
              <w:rPr>
                <w:b/>
                <w:sz w:val="20"/>
                <w:szCs w:val="20"/>
              </w:rPr>
              <w:t xml:space="preserve"> г.</w:t>
            </w:r>
          </w:p>
        </w:tc>
        <w:tc>
          <w:tcPr>
            <w:tcW w:w="1252" w:type="dxa"/>
          </w:tcPr>
          <w:p w14:paraId="16224971" w14:textId="77777777" w:rsidR="00792993" w:rsidRPr="009871FC" w:rsidRDefault="00792993" w:rsidP="00C14D3F">
            <w:pPr>
              <w:spacing w:after="60"/>
              <w:jc w:val="center"/>
              <w:rPr>
                <w:b/>
                <w:sz w:val="20"/>
                <w:szCs w:val="20"/>
              </w:rPr>
            </w:pPr>
            <w:r w:rsidRPr="009871FC">
              <w:rPr>
                <w:b/>
                <w:sz w:val="20"/>
                <w:szCs w:val="20"/>
              </w:rPr>
              <w:t>202</w:t>
            </w:r>
            <w:r>
              <w:rPr>
                <w:b/>
                <w:sz w:val="20"/>
                <w:szCs w:val="20"/>
              </w:rPr>
              <w:t>1</w:t>
            </w:r>
            <w:r w:rsidRPr="009871FC">
              <w:rPr>
                <w:b/>
                <w:sz w:val="20"/>
                <w:szCs w:val="20"/>
              </w:rPr>
              <w:t xml:space="preserve"> г.</w:t>
            </w:r>
          </w:p>
        </w:tc>
        <w:tc>
          <w:tcPr>
            <w:tcW w:w="1218" w:type="dxa"/>
          </w:tcPr>
          <w:p w14:paraId="3C682E0C" w14:textId="77777777" w:rsidR="00792993" w:rsidRPr="009871FC" w:rsidRDefault="00792993" w:rsidP="00C14D3F">
            <w:pPr>
              <w:spacing w:after="60"/>
              <w:jc w:val="center"/>
              <w:rPr>
                <w:b/>
                <w:sz w:val="20"/>
                <w:szCs w:val="20"/>
              </w:rPr>
            </w:pPr>
            <w:r w:rsidRPr="009871FC">
              <w:rPr>
                <w:b/>
                <w:sz w:val="20"/>
                <w:szCs w:val="20"/>
              </w:rPr>
              <w:t>202</w:t>
            </w:r>
            <w:r>
              <w:rPr>
                <w:b/>
                <w:sz w:val="20"/>
                <w:szCs w:val="20"/>
              </w:rPr>
              <w:t>2</w:t>
            </w:r>
            <w:r w:rsidRPr="009871FC">
              <w:rPr>
                <w:b/>
                <w:sz w:val="20"/>
                <w:szCs w:val="20"/>
              </w:rPr>
              <w:t xml:space="preserve"> г.</w:t>
            </w:r>
          </w:p>
        </w:tc>
      </w:tr>
      <w:tr w:rsidR="00792993" w:rsidRPr="00385B36" w14:paraId="234CE1F2" w14:textId="77777777" w:rsidTr="0081751D">
        <w:tc>
          <w:tcPr>
            <w:tcW w:w="5665" w:type="dxa"/>
          </w:tcPr>
          <w:p w14:paraId="43713D5C" w14:textId="174895A5" w:rsidR="00792993" w:rsidRDefault="00792993" w:rsidP="00C14D3F">
            <w:pPr>
              <w:spacing w:after="60"/>
              <w:rPr>
                <w:sz w:val="20"/>
                <w:szCs w:val="20"/>
              </w:rPr>
            </w:pPr>
            <w:r>
              <w:rPr>
                <w:sz w:val="20"/>
                <w:szCs w:val="20"/>
              </w:rPr>
              <w:t>Фундаментальные исследования (подраздел ФКР), млрд</w:t>
            </w:r>
            <w:r w:rsidR="00544459">
              <w:rPr>
                <w:sz w:val="20"/>
                <w:szCs w:val="20"/>
              </w:rPr>
              <w:t xml:space="preserve"> </w:t>
            </w:r>
            <w:r>
              <w:rPr>
                <w:sz w:val="20"/>
                <w:szCs w:val="20"/>
              </w:rPr>
              <w:t>руб.</w:t>
            </w:r>
          </w:p>
        </w:tc>
        <w:tc>
          <w:tcPr>
            <w:tcW w:w="1210" w:type="dxa"/>
          </w:tcPr>
          <w:p w14:paraId="6A4BBAE0" w14:textId="77777777" w:rsidR="00792993" w:rsidRPr="009871FC" w:rsidRDefault="00792993" w:rsidP="00C14D3F">
            <w:pPr>
              <w:spacing w:after="60"/>
              <w:jc w:val="center"/>
              <w:rPr>
                <w:sz w:val="20"/>
                <w:szCs w:val="20"/>
              </w:rPr>
            </w:pPr>
            <w:r>
              <w:rPr>
                <w:sz w:val="20"/>
                <w:szCs w:val="20"/>
              </w:rPr>
              <w:t>190,7</w:t>
            </w:r>
          </w:p>
        </w:tc>
        <w:tc>
          <w:tcPr>
            <w:tcW w:w="1252" w:type="dxa"/>
          </w:tcPr>
          <w:p w14:paraId="764D1603" w14:textId="77777777" w:rsidR="00792993" w:rsidRPr="009871FC" w:rsidRDefault="00792993" w:rsidP="00C14D3F">
            <w:pPr>
              <w:spacing w:after="60"/>
              <w:jc w:val="center"/>
              <w:rPr>
                <w:sz w:val="20"/>
                <w:szCs w:val="20"/>
              </w:rPr>
            </w:pPr>
            <w:r>
              <w:rPr>
                <w:sz w:val="20"/>
                <w:szCs w:val="20"/>
              </w:rPr>
              <w:t>216,3</w:t>
            </w:r>
          </w:p>
        </w:tc>
        <w:tc>
          <w:tcPr>
            <w:tcW w:w="1218" w:type="dxa"/>
          </w:tcPr>
          <w:p w14:paraId="06526DD9" w14:textId="77777777" w:rsidR="00792993" w:rsidRPr="00385B36" w:rsidRDefault="00792993" w:rsidP="00C14D3F">
            <w:pPr>
              <w:spacing w:after="60"/>
              <w:jc w:val="center"/>
              <w:rPr>
                <w:sz w:val="20"/>
                <w:szCs w:val="20"/>
              </w:rPr>
            </w:pPr>
            <w:r>
              <w:rPr>
                <w:sz w:val="20"/>
                <w:szCs w:val="20"/>
              </w:rPr>
              <w:t>250,7</w:t>
            </w:r>
          </w:p>
        </w:tc>
      </w:tr>
      <w:tr w:rsidR="00792993" w:rsidRPr="00385B36" w14:paraId="108FC460" w14:textId="77777777" w:rsidTr="0081751D">
        <w:tc>
          <w:tcPr>
            <w:tcW w:w="5665" w:type="dxa"/>
          </w:tcPr>
          <w:p w14:paraId="5784B8A9" w14:textId="77777777" w:rsidR="00792993" w:rsidRPr="009871FC" w:rsidRDefault="00792993" w:rsidP="00C14D3F">
            <w:pPr>
              <w:spacing w:after="60"/>
              <w:rPr>
                <w:i/>
                <w:sz w:val="20"/>
                <w:szCs w:val="20"/>
              </w:rPr>
            </w:pPr>
            <w:r w:rsidRPr="009871FC">
              <w:rPr>
                <w:i/>
                <w:sz w:val="20"/>
                <w:szCs w:val="20"/>
              </w:rPr>
              <w:t>Доля в общих расходах на гражданские НИОКР, %</w:t>
            </w:r>
          </w:p>
        </w:tc>
        <w:tc>
          <w:tcPr>
            <w:tcW w:w="1210" w:type="dxa"/>
          </w:tcPr>
          <w:p w14:paraId="19AD0AA2" w14:textId="77777777" w:rsidR="00792993" w:rsidRPr="009871FC" w:rsidRDefault="00792993" w:rsidP="00C14D3F">
            <w:pPr>
              <w:spacing w:after="60"/>
              <w:jc w:val="center"/>
              <w:rPr>
                <w:i/>
                <w:sz w:val="20"/>
                <w:szCs w:val="20"/>
              </w:rPr>
            </w:pPr>
            <w:r>
              <w:rPr>
                <w:i/>
                <w:sz w:val="20"/>
                <w:szCs w:val="20"/>
              </w:rPr>
              <w:t>37,7</w:t>
            </w:r>
          </w:p>
        </w:tc>
        <w:tc>
          <w:tcPr>
            <w:tcW w:w="1252" w:type="dxa"/>
          </w:tcPr>
          <w:p w14:paraId="1E7D9729" w14:textId="77777777" w:rsidR="00792993" w:rsidRPr="009871FC" w:rsidRDefault="00792993" w:rsidP="00C14D3F">
            <w:pPr>
              <w:spacing w:after="60"/>
              <w:jc w:val="center"/>
              <w:rPr>
                <w:i/>
                <w:sz w:val="20"/>
                <w:szCs w:val="20"/>
              </w:rPr>
            </w:pPr>
            <w:r>
              <w:rPr>
                <w:i/>
                <w:sz w:val="20"/>
                <w:szCs w:val="20"/>
              </w:rPr>
              <w:t>41,7</w:t>
            </w:r>
          </w:p>
        </w:tc>
        <w:tc>
          <w:tcPr>
            <w:tcW w:w="1218" w:type="dxa"/>
          </w:tcPr>
          <w:p w14:paraId="531CBD1C" w14:textId="77777777" w:rsidR="00792993" w:rsidRPr="009871FC" w:rsidRDefault="00792993" w:rsidP="00C14D3F">
            <w:pPr>
              <w:spacing w:after="60"/>
              <w:jc w:val="center"/>
              <w:rPr>
                <w:i/>
                <w:sz w:val="20"/>
                <w:szCs w:val="20"/>
              </w:rPr>
            </w:pPr>
            <w:r>
              <w:rPr>
                <w:i/>
                <w:sz w:val="20"/>
                <w:szCs w:val="20"/>
              </w:rPr>
              <w:t>46,4</w:t>
            </w:r>
          </w:p>
        </w:tc>
      </w:tr>
      <w:tr w:rsidR="00792993" w:rsidRPr="00385B36" w14:paraId="5CCF2462" w14:textId="77777777" w:rsidTr="0081751D">
        <w:tc>
          <w:tcPr>
            <w:tcW w:w="5665" w:type="dxa"/>
          </w:tcPr>
          <w:p w14:paraId="766D4B3F" w14:textId="77777777" w:rsidR="00792993" w:rsidRPr="00385B36" w:rsidRDefault="00792993" w:rsidP="00C14D3F">
            <w:pPr>
              <w:spacing w:after="60"/>
              <w:rPr>
                <w:sz w:val="20"/>
                <w:szCs w:val="20"/>
              </w:rPr>
            </w:pPr>
            <w:r>
              <w:rPr>
                <w:sz w:val="20"/>
                <w:szCs w:val="20"/>
              </w:rPr>
              <w:t>Российский фонд фундаментальных исследований</w:t>
            </w:r>
          </w:p>
        </w:tc>
        <w:tc>
          <w:tcPr>
            <w:tcW w:w="1210" w:type="dxa"/>
          </w:tcPr>
          <w:p w14:paraId="59ECAED0" w14:textId="77777777" w:rsidR="00792993" w:rsidRDefault="00792993" w:rsidP="00C14D3F">
            <w:pPr>
              <w:spacing w:after="60"/>
              <w:jc w:val="center"/>
              <w:rPr>
                <w:sz w:val="20"/>
                <w:szCs w:val="20"/>
              </w:rPr>
            </w:pPr>
            <w:r>
              <w:rPr>
                <w:sz w:val="20"/>
                <w:szCs w:val="20"/>
              </w:rPr>
              <w:t>22,9</w:t>
            </w:r>
          </w:p>
        </w:tc>
        <w:tc>
          <w:tcPr>
            <w:tcW w:w="1252" w:type="dxa"/>
          </w:tcPr>
          <w:p w14:paraId="67FB5660" w14:textId="77777777" w:rsidR="00792993" w:rsidRDefault="00792993" w:rsidP="00C14D3F">
            <w:pPr>
              <w:spacing w:after="60"/>
              <w:jc w:val="center"/>
              <w:rPr>
                <w:sz w:val="20"/>
                <w:szCs w:val="20"/>
              </w:rPr>
            </w:pPr>
            <w:r>
              <w:rPr>
                <w:sz w:val="20"/>
                <w:szCs w:val="20"/>
              </w:rPr>
              <w:t>23,9</w:t>
            </w:r>
          </w:p>
        </w:tc>
        <w:tc>
          <w:tcPr>
            <w:tcW w:w="1218" w:type="dxa"/>
          </w:tcPr>
          <w:p w14:paraId="302D8189" w14:textId="77777777" w:rsidR="00792993" w:rsidRDefault="00792993" w:rsidP="00C14D3F">
            <w:pPr>
              <w:spacing w:after="60"/>
              <w:jc w:val="center"/>
              <w:rPr>
                <w:sz w:val="20"/>
                <w:szCs w:val="20"/>
              </w:rPr>
            </w:pPr>
            <w:r>
              <w:rPr>
                <w:sz w:val="20"/>
                <w:szCs w:val="20"/>
              </w:rPr>
              <w:t>24,7</w:t>
            </w:r>
          </w:p>
        </w:tc>
      </w:tr>
      <w:tr w:rsidR="00792993" w:rsidRPr="00385B36" w14:paraId="296C0240" w14:textId="77777777" w:rsidTr="0081751D">
        <w:tc>
          <w:tcPr>
            <w:tcW w:w="5665" w:type="dxa"/>
          </w:tcPr>
          <w:p w14:paraId="11B3A59C" w14:textId="77777777" w:rsidR="00792993" w:rsidRDefault="00792993" w:rsidP="00C14D3F">
            <w:pPr>
              <w:spacing w:after="60"/>
              <w:rPr>
                <w:sz w:val="20"/>
                <w:szCs w:val="20"/>
              </w:rPr>
            </w:pPr>
            <w:r>
              <w:rPr>
                <w:sz w:val="20"/>
                <w:szCs w:val="20"/>
              </w:rPr>
              <w:t>Российский научный фонд</w:t>
            </w:r>
          </w:p>
        </w:tc>
        <w:tc>
          <w:tcPr>
            <w:tcW w:w="1210" w:type="dxa"/>
          </w:tcPr>
          <w:p w14:paraId="33E51BA1" w14:textId="77777777" w:rsidR="00792993" w:rsidRDefault="00792993" w:rsidP="00C14D3F">
            <w:pPr>
              <w:spacing w:after="60"/>
              <w:jc w:val="center"/>
              <w:rPr>
                <w:sz w:val="20"/>
                <w:szCs w:val="20"/>
              </w:rPr>
            </w:pPr>
            <w:r>
              <w:rPr>
                <w:sz w:val="20"/>
                <w:szCs w:val="20"/>
              </w:rPr>
              <w:t>9,3</w:t>
            </w:r>
          </w:p>
        </w:tc>
        <w:tc>
          <w:tcPr>
            <w:tcW w:w="1252" w:type="dxa"/>
          </w:tcPr>
          <w:p w14:paraId="7761ADAD" w14:textId="77777777" w:rsidR="00792993" w:rsidRDefault="00792993" w:rsidP="00C14D3F">
            <w:pPr>
              <w:spacing w:after="60"/>
              <w:jc w:val="center"/>
              <w:rPr>
                <w:sz w:val="20"/>
                <w:szCs w:val="20"/>
              </w:rPr>
            </w:pPr>
            <w:r>
              <w:rPr>
                <w:sz w:val="20"/>
                <w:szCs w:val="20"/>
              </w:rPr>
              <w:t>21,8</w:t>
            </w:r>
          </w:p>
        </w:tc>
        <w:tc>
          <w:tcPr>
            <w:tcW w:w="1218" w:type="dxa"/>
          </w:tcPr>
          <w:p w14:paraId="7950BCE8" w14:textId="77777777" w:rsidR="00792993" w:rsidRDefault="00792993" w:rsidP="00C14D3F">
            <w:pPr>
              <w:spacing w:after="60"/>
              <w:jc w:val="center"/>
              <w:rPr>
                <w:sz w:val="20"/>
                <w:szCs w:val="20"/>
              </w:rPr>
            </w:pPr>
            <w:r>
              <w:rPr>
                <w:sz w:val="20"/>
                <w:szCs w:val="20"/>
              </w:rPr>
              <w:t>22,4</w:t>
            </w:r>
          </w:p>
        </w:tc>
      </w:tr>
    </w:tbl>
    <w:p w14:paraId="2F9F0F5E" w14:textId="218599A0" w:rsidR="00792993" w:rsidRPr="0014543A" w:rsidRDefault="00792993" w:rsidP="00BE65E2">
      <w:pPr>
        <w:spacing w:after="60"/>
        <w:ind w:firstLine="708"/>
        <w:jc w:val="both"/>
        <w:rPr>
          <w:sz w:val="20"/>
          <w:szCs w:val="20"/>
        </w:rPr>
      </w:pPr>
      <w:r w:rsidRPr="00BE65E2">
        <w:rPr>
          <w:i/>
          <w:sz w:val="20"/>
          <w:szCs w:val="20"/>
        </w:rPr>
        <w:t>Источник</w:t>
      </w:r>
      <w:r w:rsidRPr="0014543A">
        <w:rPr>
          <w:sz w:val="20"/>
          <w:szCs w:val="20"/>
        </w:rPr>
        <w:t xml:space="preserve">: </w:t>
      </w:r>
      <w:r w:rsidRPr="0014543A">
        <w:rPr>
          <w:color w:val="000000"/>
          <w:sz w:val="20"/>
          <w:szCs w:val="20"/>
        </w:rPr>
        <w:t>Приложение 1</w:t>
      </w:r>
      <w:r>
        <w:rPr>
          <w:color w:val="000000"/>
          <w:sz w:val="20"/>
          <w:szCs w:val="20"/>
        </w:rPr>
        <w:t>1</w:t>
      </w:r>
      <w:r w:rsidRPr="0014543A">
        <w:rPr>
          <w:color w:val="000000"/>
          <w:sz w:val="20"/>
          <w:szCs w:val="20"/>
        </w:rPr>
        <w:t xml:space="preserve"> и Приложение 1</w:t>
      </w:r>
      <w:r>
        <w:rPr>
          <w:color w:val="000000"/>
          <w:sz w:val="20"/>
          <w:szCs w:val="20"/>
        </w:rPr>
        <w:t>4</w:t>
      </w:r>
      <w:r w:rsidRPr="0014543A">
        <w:rPr>
          <w:color w:val="000000"/>
          <w:sz w:val="20"/>
          <w:szCs w:val="20"/>
        </w:rPr>
        <w:t xml:space="preserve"> </w:t>
      </w:r>
      <w:r w:rsidRPr="0014543A">
        <w:rPr>
          <w:sz w:val="20"/>
          <w:szCs w:val="20"/>
        </w:rPr>
        <w:t>к проекту федерального закона «О федеральном бюджете на 20</w:t>
      </w:r>
      <w:r>
        <w:rPr>
          <w:sz w:val="20"/>
          <w:szCs w:val="20"/>
        </w:rPr>
        <w:t>20</w:t>
      </w:r>
      <w:r w:rsidRPr="0014543A">
        <w:rPr>
          <w:sz w:val="20"/>
          <w:szCs w:val="20"/>
        </w:rPr>
        <w:t xml:space="preserve"> год и на плановый период 202</w:t>
      </w:r>
      <w:r>
        <w:rPr>
          <w:sz w:val="20"/>
          <w:szCs w:val="20"/>
        </w:rPr>
        <w:t>1</w:t>
      </w:r>
      <w:r w:rsidRPr="0014543A">
        <w:rPr>
          <w:sz w:val="20"/>
          <w:szCs w:val="20"/>
        </w:rPr>
        <w:t xml:space="preserve"> и 202</w:t>
      </w:r>
      <w:r>
        <w:rPr>
          <w:sz w:val="20"/>
          <w:szCs w:val="20"/>
        </w:rPr>
        <w:t>2</w:t>
      </w:r>
      <w:r w:rsidR="00CB2AB7">
        <w:rPr>
          <w:sz w:val="20"/>
          <w:szCs w:val="20"/>
        </w:rPr>
        <w:t xml:space="preserve"> годов», расчеты авторов</w:t>
      </w:r>
    </w:p>
    <w:p w14:paraId="041D52E2" w14:textId="0F65AA99" w:rsidR="00792993" w:rsidRDefault="00792993" w:rsidP="00A1224C">
      <w:pPr>
        <w:spacing w:after="60"/>
        <w:ind w:firstLine="709"/>
        <w:jc w:val="both"/>
      </w:pPr>
      <w:r>
        <w:t>Вместе с тем</w:t>
      </w:r>
      <w:r w:rsidR="00544459">
        <w:t>,</w:t>
      </w:r>
      <w:r>
        <w:t xml:space="preserve"> </w:t>
      </w:r>
      <w:r w:rsidR="00544459">
        <w:t>очевидно,</w:t>
      </w:r>
      <w:r>
        <w:t xml:space="preserve"> что фонды могли бы распределять и более существенные средства. Так, ассигнования на НИОКР для НИЦ «Курчатовский институт» запланированы на уровне, который к 2022 г. (24,9 млрд руб.) превысит весь бюджет РФФИ. Для сравнения, МГУ им. Ломоносова будет получать на НИОКР в 5-6 раз меньше, чем «Курчатовский институт».</w:t>
      </w:r>
    </w:p>
    <w:p w14:paraId="74015162" w14:textId="238328EF" w:rsidR="00792993" w:rsidRPr="000419EA" w:rsidRDefault="00792993" w:rsidP="00A1224C">
      <w:pPr>
        <w:spacing w:after="60"/>
        <w:ind w:firstLine="709"/>
        <w:jc w:val="both"/>
      </w:pPr>
      <w:r>
        <w:t xml:space="preserve">В целом расходы на </w:t>
      </w:r>
      <w:r w:rsidRPr="008C3E5C">
        <w:rPr>
          <w:b/>
        </w:rPr>
        <w:t xml:space="preserve">фундаментальные </w:t>
      </w:r>
      <w:r>
        <w:rPr>
          <w:b/>
        </w:rPr>
        <w:t xml:space="preserve">научные </w:t>
      </w:r>
      <w:r w:rsidRPr="008C3E5C">
        <w:rPr>
          <w:b/>
        </w:rPr>
        <w:t>исследования</w:t>
      </w:r>
      <w:r>
        <w:t xml:space="preserve"> будут возрастать ежегодно, однако их доля в ассигнованиях на гражданские </w:t>
      </w:r>
      <w:r w:rsidRPr="000419EA">
        <w:t>НИОКР снизится по сравнению с бюджетными планами прошлого года – с почти 48% до 38-46% (</w:t>
      </w:r>
      <w:r w:rsidRPr="000419EA">
        <w:rPr>
          <w:i/>
        </w:rPr>
        <w:t>табл</w:t>
      </w:r>
      <w:r w:rsidR="00544459" w:rsidRPr="000419EA">
        <w:rPr>
          <w:i/>
        </w:rPr>
        <w:t>ица</w:t>
      </w:r>
      <w:r w:rsidRPr="000419EA">
        <w:rPr>
          <w:i/>
        </w:rPr>
        <w:t xml:space="preserve"> </w:t>
      </w:r>
      <w:r w:rsidR="00C84D38">
        <w:rPr>
          <w:i/>
          <w:noProof/>
        </w:rPr>
        <w:t>28</w:t>
      </w:r>
      <w:r w:rsidRPr="000419EA">
        <w:t>). Соответственно, вновь растет роль государства в финансировании прикладных НИОКР, что свидетельствует о неблагоприятной ситуации с внебюджетным финансированием в инновационной сфере.</w:t>
      </w:r>
    </w:p>
    <w:p w14:paraId="60A34545" w14:textId="5D24456B" w:rsidR="009D6C12" w:rsidRDefault="00792993" w:rsidP="009D6C12">
      <w:pPr>
        <w:spacing w:after="60"/>
        <w:ind w:firstLine="709"/>
        <w:jc w:val="both"/>
      </w:pPr>
      <w:r w:rsidRPr="000419EA">
        <w:t xml:space="preserve">В области </w:t>
      </w:r>
      <w:r w:rsidRPr="000419EA">
        <w:rPr>
          <w:b/>
        </w:rPr>
        <w:t>прикладных научных исследований</w:t>
      </w:r>
      <w:r w:rsidRPr="000419EA">
        <w:t xml:space="preserve"> по основной статье гражданских расходов (прикладные научные исследования в области национальной экономики) планируется сначала существенный рост ассигнований (в 2020 г.), а затем снижение объемов бюджетного финансирования на 4-7% ежегодно (</w:t>
      </w:r>
      <w:r w:rsidRPr="000419EA">
        <w:rPr>
          <w:i/>
        </w:rPr>
        <w:t>табл</w:t>
      </w:r>
      <w:r w:rsidR="00544459" w:rsidRPr="000419EA">
        <w:rPr>
          <w:i/>
        </w:rPr>
        <w:t xml:space="preserve">ица </w:t>
      </w:r>
      <w:r w:rsidR="00C84D38">
        <w:rPr>
          <w:i/>
          <w:noProof/>
        </w:rPr>
        <w:t>29</w:t>
      </w:r>
      <w:r w:rsidRPr="000419EA">
        <w:t>). Положительная динамика финансирования заложена на 2020-2021 гг. для прикладных исследований в области здравоохранения, однако затем расходы, и так относительно скромные, начнут сокращаться.</w:t>
      </w:r>
    </w:p>
    <w:p w14:paraId="536E9AFB" w14:textId="2A25113F" w:rsidR="009D6C12" w:rsidRDefault="009D6C12" w:rsidP="009D6C12">
      <w:pPr>
        <w:spacing w:after="60"/>
        <w:ind w:firstLine="709"/>
        <w:jc w:val="both"/>
      </w:pPr>
    </w:p>
    <w:p w14:paraId="6F8DA3EC" w14:textId="78C17668" w:rsidR="000419EA" w:rsidRPr="00600DF7" w:rsidRDefault="000419EA" w:rsidP="000419EA">
      <w:pPr>
        <w:spacing w:after="60"/>
        <w:jc w:val="right"/>
        <w:rPr>
          <w:i/>
        </w:rPr>
      </w:pPr>
      <w:r w:rsidRPr="00600DF7">
        <w:rPr>
          <w:i/>
        </w:rPr>
        <w:t>Таблица</w:t>
      </w:r>
      <w:r>
        <w:rPr>
          <w:i/>
        </w:rPr>
        <w:t xml:space="preserve"> </w:t>
      </w:r>
      <w:bookmarkStart w:id="63" w:name="_Ref21345654"/>
      <w:r w:rsidR="00C84D38">
        <w:rPr>
          <w:i/>
          <w:noProof/>
        </w:rPr>
        <w:t>29</w:t>
      </w:r>
      <w:bookmarkEnd w:id="63"/>
    </w:p>
    <w:p w14:paraId="5436C9BB" w14:textId="77777777" w:rsidR="00792993" w:rsidRPr="00F77928" w:rsidRDefault="00792993" w:rsidP="00A1224C">
      <w:pPr>
        <w:spacing w:after="60"/>
        <w:jc w:val="center"/>
        <w:rPr>
          <w:b/>
        </w:rPr>
      </w:pPr>
      <w:r w:rsidRPr="00F77928">
        <w:rPr>
          <w:b/>
        </w:rPr>
        <w:t>Изменение объемов бюджетных ассигнований в области прикладных научных исследований</w:t>
      </w:r>
    </w:p>
    <w:tbl>
      <w:tblPr>
        <w:tblW w:w="9072" w:type="dxa"/>
        <w:tblInd w:w="-5" w:type="dxa"/>
        <w:tblLayout w:type="fixed"/>
        <w:tblLook w:val="04A0" w:firstRow="1" w:lastRow="0" w:firstColumn="1" w:lastColumn="0" w:noHBand="0" w:noVBand="1"/>
      </w:tblPr>
      <w:tblGrid>
        <w:gridCol w:w="2694"/>
        <w:gridCol w:w="1063"/>
        <w:gridCol w:w="1063"/>
        <w:gridCol w:w="1063"/>
        <w:gridCol w:w="1063"/>
        <w:gridCol w:w="1063"/>
        <w:gridCol w:w="1063"/>
      </w:tblGrid>
      <w:tr w:rsidR="00792993" w:rsidRPr="00D457E8" w14:paraId="5393EB1F" w14:textId="77777777" w:rsidTr="00A1224C">
        <w:trPr>
          <w:trHeight w:val="33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5E7FE" w14:textId="77777777" w:rsidR="00792993" w:rsidRPr="00D457E8" w:rsidRDefault="00792993" w:rsidP="00A1224C">
            <w:pPr>
              <w:spacing w:after="60"/>
              <w:jc w:val="center"/>
              <w:rPr>
                <w:b/>
                <w:bCs/>
                <w:color w:val="000000"/>
                <w:sz w:val="20"/>
                <w:szCs w:val="20"/>
              </w:rPr>
            </w:pPr>
            <w:r w:rsidRPr="00D457E8">
              <w:rPr>
                <w:b/>
                <w:bCs/>
                <w:color w:val="000000"/>
                <w:sz w:val="20"/>
                <w:szCs w:val="20"/>
              </w:rPr>
              <w:t>Наименование</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1301EC0B" w14:textId="12B3E86C" w:rsidR="00792993" w:rsidRPr="00D457E8" w:rsidRDefault="00792993" w:rsidP="00A1224C">
            <w:pPr>
              <w:spacing w:after="60"/>
              <w:jc w:val="center"/>
              <w:rPr>
                <w:b/>
                <w:bCs/>
                <w:color w:val="000000"/>
                <w:sz w:val="20"/>
                <w:szCs w:val="20"/>
              </w:rPr>
            </w:pPr>
            <w:r w:rsidRPr="00D457E8">
              <w:rPr>
                <w:b/>
                <w:bCs/>
                <w:color w:val="000000"/>
                <w:sz w:val="20"/>
                <w:szCs w:val="20"/>
              </w:rPr>
              <w:t>20</w:t>
            </w:r>
            <w:r>
              <w:rPr>
                <w:b/>
                <w:bCs/>
                <w:color w:val="000000"/>
                <w:sz w:val="20"/>
                <w:szCs w:val="20"/>
              </w:rPr>
              <w:t>20</w:t>
            </w:r>
            <w:r w:rsidRPr="00D457E8">
              <w:rPr>
                <w:b/>
                <w:bCs/>
                <w:color w:val="000000"/>
                <w:sz w:val="20"/>
                <w:szCs w:val="20"/>
              </w:rPr>
              <w:t xml:space="preserve"> г., млрд руб.</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4BC923A2" w14:textId="1AE824CB" w:rsidR="00792993" w:rsidRPr="00544459" w:rsidRDefault="00544459" w:rsidP="00A1224C">
            <w:pPr>
              <w:spacing w:after="60"/>
              <w:jc w:val="center"/>
              <w:rPr>
                <w:b/>
                <w:bCs/>
                <w:i/>
                <w:color w:val="000000"/>
                <w:sz w:val="20"/>
                <w:szCs w:val="20"/>
              </w:rPr>
            </w:pPr>
            <w:r>
              <w:rPr>
                <w:b/>
                <w:i/>
                <w:color w:val="000000"/>
                <w:sz w:val="20"/>
                <w:szCs w:val="20"/>
              </w:rPr>
              <w:t>2020 г. к 2019 г.,</w:t>
            </w:r>
            <w:r w:rsidR="00792993" w:rsidRPr="00544459">
              <w:rPr>
                <w:b/>
                <w:i/>
                <w:color w:val="000000"/>
                <w:sz w:val="20"/>
                <w:szCs w:val="20"/>
              </w:rPr>
              <w:t xml:space="preserve"> %</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7E68DC2F" w14:textId="56D84401" w:rsidR="00792993" w:rsidRPr="00D457E8" w:rsidRDefault="00792993" w:rsidP="00A1224C">
            <w:pPr>
              <w:spacing w:after="60"/>
              <w:jc w:val="center"/>
              <w:rPr>
                <w:b/>
                <w:bCs/>
                <w:color w:val="000000"/>
                <w:sz w:val="20"/>
                <w:szCs w:val="20"/>
              </w:rPr>
            </w:pPr>
            <w:r>
              <w:rPr>
                <w:b/>
                <w:bCs/>
                <w:color w:val="000000"/>
                <w:sz w:val="20"/>
                <w:szCs w:val="20"/>
              </w:rPr>
              <w:t>2021</w:t>
            </w:r>
            <w:r w:rsidRPr="00D457E8">
              <w:rPr>
                <w:b/>
                <w:bCs/>
                <w:color w:val="000000"/>
                <w:sz w:val="20"/>
                <w:szCs w:val="20"/>
              </w:rPr>
              <w:t xml:space="preserve"> г., млрд руб.</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17D3EB37" w14:textId="75898122" w:rsidR="00792993" w:rsidRPr="00544459" w:rsidRDefault="00544459" w:rsidP="00A1224C">
            <w:pPr>
              <w:spacing w:after="60"/>
              <w:jc w:val="center"/>
              <w:rPr>
                <w:b/>
                <w:bCs/>
                <w:i/>
                <w:color w:val="000000"/>
                <w:sz w:val="20"/>
                <w:szCs w:val="20"/>
              </w:rPr>
            </w:pPr>
            <w:r>
              <w:rPr>
                <w:b/>
                <w:i/>
                <w:color w:val="000000"/>
                <w:sz w:val="20"/>
                <w:szCs w:val="20"/>
              </w:rPr>
              <w:t xml:space="preserve">2021 г. к 2020 г., </w:t>
            </w:r>
            <w:r w:rsidR="00792993" w:rsidRPr="00544459">
              <w:rPr>
                <w:b/>
                <w:i/>
                <w:color w:val="000000"/>
                <w:sz w:val="20"/>
                <w:szCs w:val="20"/>
              </w:rPr>
              <w:t>%</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37F36570" w14:textId="372BF122" w:rsidR="00792993" w:rsidRPr="00D457E8" w:rsidRDefault="00792993" w:rsidP="00A1224C">
            <w:pPr>
              <w:spacing w:after="60"/>
              <w:jc w:val="center"/>
              <w:rPr>
                <w:b/>
                <w:bCs/>
                <w:color w:val="000000"/>
                <w:sz w:val="20"/>
                <w:szCs w:val="20"/>
              </w:rPr>
            </w:pPr>
            <w:r w:rsidRPr="00D457E8">
              <w:rPr>
                <w:b/>
                <w:bCs/>
                <w:color w:val="000000"/>
                <w:sz w:val="20"/>
                <w:szCs w:val="20"/>
              </w:rPr>
              <w:t>20</w:t>
            </w:r>
            <w:r>
              <w:rPr>
                <w:b/>
                <w:bCs/>
                <w:color w:val="000000"/>
                <w:sz w:val="20"/>
                <w:szCs w:val="20"/>
              </w:rPr>
              <w:t>22</w:t>
            </w:r>
            <w:r w:rsidRPr="00D457E8">
              <w:rPr>
                <w:b/>
                <w:bCs/>
                <w:color w:val="000000"/>
                <w:sz w:val="20"/>
                <w:szCs w:val="20"/>
              </w:rPr>
              <w:t xml:space="preserve"> г., млрд руб.</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0F8745F8" w14:textId="2BCE81E4" w:rsidR="00792993" w:rsidRPr="00544459" w:rsidRDefault="00544459" w:rsidP="00A1224C">
            <w:pPr>
              <w:spacing w:after="60"/>
              <w:jc w:val="center"/>
              <w:rPr>
                <w:b/>
                <w:bCs/>
                <w:i/>
                <w:color w:val="000000"/>
                <w:sz w:val="20"/>
                <w:szCs w:val="20"/>
              </w:rPr>
            </w:pPr>
            <w:r>
              <w:rPr>
                <w:b/>
                <w:i/>
                <w:color w:val="000000"/>
                <w:sz w:val="20"/>
                <w:szCs w:val="20"/>
              </w:rPr>
              <w:t xml:space="preserve">2022 г. к 2021 г., </w:t>
            </w:r>
            <w:r w:rsidR="00792993" w:rsidRPr="00544459">
              <w:rPr>
                <w:b/>
                <w:i/>
                <w:color w:val="000000"/>
                <w:sz w:val="20"/>
                <w:szCs w:val="20"/>
              </w:rPr>
              <w:t>%</w:t>
            </w:r>
          </w:p>
        </w:tc>
      </w:tr>
      <w:tr w:rsidR="00792993" w:rsidRPr="00D457E8" w14:paraId="4AB500BF" w14:textId="77777777" w:rsidTr="00A1224C">
        <w:trPr>
          <w:trHeight w:val="3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CAFEEA8" w14:textId="77777777" w:rsidR="00792993" w:rsidRPr="00A1224C" w:rsidRDefault="00792993" w:rsidP="00A1224C">
            <w:pPr>
              <w:spacing w:after="60"/>
              <w:jc w:val="both"/>
              <w:rPr>
                <w:bCs/>
                <w:color w:val="000000"/>
                <w:sz w:val="20"/>
                <w:szCs w:val="20"/>
              </w:rPr>
            </w:pPr>
            <w:r w:rsidRPr="00A1224C">
              <w:rPr>
                <w:bCs/>
                <w:color w:val="000000"/>
                <w:sz w:val="20"/>
                <w:szCs w:val="20"/>
              </w:rPr>
              <w:t>Прикладные научные исследования в области национальной экономики</w:t>
            </w:r>
          </w:p>
        </w:tc>
        <w:tc>
          <w:tcPr>
            <w:tcW w:w="1063" w:type="dxa"/>
            <w:tcBorders>
              <w:top w:val="nil"/>
              <w:left w:val="nil"/>
              <w:bottom w:val="single" w:sz="4" w:space="0" w:color="auto"/>
              <w:right w:val="single" w:sz="4" w:space="0" w:color="auto"/>
            </w:tcBorders>
            <w:shd w:val="clear" w:color="auto" w:fill="auto"/>
            <w:noWrap/>
            <w:vAlign w:val="center"/>
          </w:tcPr>
          <w:p w14:paraId="3463A08A" w14:textId="77777777" w:rsidR="00792993" w:rsidRPr="00D457E8" w:rsidRDefault="00792993" w:rsidP="00A1224C">
            <w:pPr>
              <w:spacing w:after="60"/>
              <w:jc w:val="center"/>
              <w:rPr>
                <w:bCs/>
                <w:color w:val="000000"/>
                <w:sz w:val="20"/>
                <w:szCs w:val="20"/>
              </w:rPr>
            </w:pPr>
            <w:r>
              <w:rPr>
                <w:bCs/>
                <w:color w:val="000000"/>
                <w:sz w:val="20"/>
                <w:szCs w:val="20"/>
              </w:rPr>
              <w:t>229,3</w:t>
            </w:r>
          </w:p>
        </w:tc>
        <w:tc>
          <w:tcPr>
            <w:tcW w:w="1063" w:type="dxa"/>
            <w:tcBorders>
              <w:top w:val="nil"/>
              <w:left w:val="nil"/>
              <w:bottom w:val="single" w:sz="4" w:space="0" w:color="auto"/>
              <w:right w:val="single" w:sz="4" w:space="0" w:color="auto"/>
            </w:tcBorders>
            <w:shd w:val="clear" w:color="auto" w:fill="auto"/>
            <w:noWrap/>
            <w:vAlign w:val="center"/>
          </w:tcPr>
          <w:p w14:paraId="6D128B32" w14:textId="77777777" w:rsidR="00792993" w:rsidRPr="00544459" w:rsidRDefault="00792993" w:rsidP="00A1224C">
            <w:pPr>
              <w:spacing w:after="60"/>
              <w:jc w:val="center"/>
              <w:rPr>
                <w:bCs/>
                <w:i/>
                <w:color w:val="000000"/>
                <w:sz w:val="20"/>
                <w:szCs w:val="20"/>
              </w:rPr>
            </w:pPr>
            <w:r w:rsidRPr="00544459">
              <w:rPr>
                <w:bCs/>
                <w:i/>
                <w:color w:val="000000"/>
                <w:sz w:val="20"/>
                <w:szCs w:val="20"/>
              </w:rPr>
              <w:t>+43,6</w:t>
            </w:r>
          </w:p>
        </w:tc>
        <w:tc>
          <w:tcPr>
            <w:tcW w:w="1063" w:type="dxa"/>
            <w:tcBorders>
              <w:top w:val="nil"/>
              <w:left w:val="nil"/>
              <w:bottom w:val="single" w:sz="4" w:space="0" w:color="auto"/>
              <w:right w:val="single" w:sz="4" w:space="0" w:color="auto"/>
            </w:tcBorders>
            <w:shd w:val="clear" w:color="auto" w:fill="auto"/>
            <w:noWrap/>
            <w:vAlign w:val="center"/>
          </w:tcPr>
          <w:p w14:paraId="7B72FEC9" w14:textId="77777777" w:rsidR="00792993" w:rsidRPr="00D457E8" w:rsidRDefault="00792993" w:rsidP="00A1224C">
            <w:pPr>
              <w:spacing w:after="60"/>
              <w:jc w:val="center"/>
              <w:rPr>
                <w:bCs/>
                <w:color w:val="000000"/>
                <w:sz w:val="20"/>
                <w:szCs w:val="20"/>
              </w:rPr>
            </w:pPr>
            <w:r>
              <w:rPr>
                <w:bCs/>
                <w:color w:val="000000"/>
                <w:sz w:val="20"/>
                <w:szCs w:val="20"/>
              </w:rPr>
              <w:t>212,9</w:t>
            </w:r>
          </w:p>
        </w:tc>
        <w:tc>
          <w:tcPr>
            <w:tcW w:w="1063" w:type="dxa"/>
            <w:tcBorders>
              <w:top w:val="nil"/>
              <w:left w:val="nil"/>
              <w:bottom w:val="single" w:sz="4" w:space="0" w:color="auto"/>
              <w:right w:val="single" w:sz="4" w:space="0" w:color="auto"/>
            </w:tcBorders>
            <w:shd w:val="clear" w:color="auto" w:fill="auto"/>
            <w:noWrap/>
            <w:vAlign w:val="center"/>
          </w:tcPr>
          <w:p w14:paraId="05A56E84" w14:textId="77777777" w:rsidR="00792993" w:rsidRPr="00544459" w:rsidRDefault="00792993" w:rsidP="00A1224C">
            <w:pPr>
              <w:spacing w:after="60"/>
              <w:jc w:val="center"/>
              <w:rPr>
                <w:bCs/>
                <w:i/>
                <w:color w:val="000000"/>
                <w:sz w:val="20"/>
                <w:szCs w:val="20"/>
              </w:rPr>
            </w:pPr>
            <w:r w:rsidRPr="00544459">
              <w:rPr>
                <w:bCs/>
                <w:i/>
                <w:color w:val="000000"/>
                <w:sz w:val="20"/>
                <w:szCs w:val="20"/>
              </w:rPr>
              <w:t>-7,2</w:t>
            </w:r>
          </w:p>
        </w:tc>
        <w:tc>
          <w:tcPr>
            <w:tcW w:w="1063" w:type="dxa"/>
            <w:tcBorders>
              <w:top w:val="nil"/>
              <w:left w:val="nil"/>
              <w:bottom w:val="single" w:sz="4" w:space="0" w:color="auto"/>
              <w:right w:val="single" w:sz="4" w:space="0" w:color="auto"/>
            </w:tcBorders>
            <w:shd w:val="clear" w:color="auto" w:fill="auto"/>
            <w:noWrap/>
            <w:vAlign w:val="center"/>
          </w:tcPr>
          <w:p w14:paraId="368D7D6B" w14:textId="77777777" w:rsidR="00792993" w:rsidRPr="00D457E8" w:rsidRDefault="00792993" w:rsidP="00A1224C">
            <w:pPr>
              <w:spacing w:after="60"/>
              <w:jc w:val="center"/>
              <w:rPr>
                <w:bCs/>
                <w:color w:val="000000"/>
                <w:sz w:val="20"/>
                <w:szCs w:val="20"/>
              </w:rPr>
            </w:pPr>
            <w:r>
              <w:rPr>
                <w:bCs/>
                <w:color w:val="000000"/>
                <w:sz w:val="20"/>
                <w:szCs w:val="20"/>
              </w:rPr>
              <w:t>203,7</w:t>
            </w:r>
          </w:p>
        </w:tc>
        <w:tc>
          <w:tcPr>
            <w:tcW w:w="1063" w:type="dxa"/>
            <w:tcBorders>
              <w:top w:val="nil"/>
              <w:left w:val="nil"/>
              <w:bottom w:val="single" w:sz="4" w:space="0" w:color="auto"/>
              <w:right w:val="single" w:sz="4" w:space="0" w:color="auto"/>
            </w:tcBorders>
            <w:shd w:val="clear" w:color="auto" w:fill="auto"/>
            <w:noWrap/>
            <w:vAlign w:val="center"/>
          </w:tcPr>
          <w:p w14:paraId="6D1145F0" w14:textId="77777777" w:rsidR="00792993" w:rsidRPr="00544459" w:rsidRDefault="00792993" w:rsidP="00A1224C">
            <w:pPr>
              <w:spacing w:after="60"/>
              <w:jc w:val="center"/>
              <w:rPr>
                <w:bCs/>
                <w:i/>
                <w:color w:val="000000"/>
                <w:sz w:val="20"/>
                <w:szCs w:val="20"/>
              </w:rPr>
            </w:pPr>
            <w:r w:rsidRPr="00544459">
              <w:rPr>
                <w:bCs/>
                <w:i/>
                <w:color w:val="000000"/>
                <w:sz w:val="20"/>
                <w:szCs w:val="20"/>
              </w:rPr>
              <w:t>-4,3</w:t>
            </w:r>
          </w:p>
        </w:tc>
      </w:tr>
      <w:tr w:rsidR="00792993" w:rsidRPr="00D457E8" w14:paraId="3DFD1A53" w14:textId="77777777" w:rsidTr="00A1224C">
        <w:trPr>
          <w:trHeight w:val="784"/>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CEA8345" w14:textId="77777777" w:rsidR="00792993" w:rsidRPr="00A1224C" w:rsidRDefault="00792993" w:rsidP="00A1224C">
            <w:pPr>
              <w:spacing w:after="60"/>
              <w:jc w:val="both"/>
              <w:rPr>
                <w:bCs/>
                <w:color w:val="000000"/>
                <w:sz w:val="20"/>
                <w:szCs w:val="20"/>
              </w:rPr>
            </w:pPr>
            <w:r w:rsidRPr="00A1224C">
              <w:rPr>
                <w:bCs/>
                <w:color w:val="000000"/>
                <w:sz w:val="20"/>
                <w:szCs w:val="20"/>
              </w:rPr>
              <w:t>Прикладные научные исследования в области здравоохранения</w:t>
            </w:r>
          </w:p>
        </w:tc>
        <w:tc>
          <w:tcPr>
            <w:tcW w:w="1063" w:type="dxa"/>
            <w:tcBorders>
              <w:top w:val="nil"/>
              <w:left w:val="nil"/>
              <w:bottom w:val="single" w:sz="4" w:space="0" w:color="auto"/>
              <w:right w:val="single" w:sz="4" w:space="0" w:color="auto"/>
            </w:tcBorders>
            <w:shd w:val="clear" w:color="auto" w:fill="auto"/>
            <w:noWrap/>
            <w:vAlign w:val="center"/>
          </w:tcPr>
          <w:p w14:paraId="6BBAA669" w14:textId="77777777" w:rsidR="00792993" w:rsidRPr="00D457E8" w:rsidRDefault="00792993" w:rsidP="00A1224C">
            <w:pPr>
              <w:spacing w:after="60"/>
              <w:jc w:val="center"/>
              <w:rPr>
                <w:bCs/>
                <w:color w:val="000000"/>
                <w:sz w:val="20"/>
                <w:szCs w:val="20"/>
              </w:rPr>
            </w:pPr>
            <w:r>
              <w:rPr>
                <w:bCs/>
                <w:color w:val="000000"/>
                <w:sz w:val="20"/>
                <w:szCs w:val="20"/>
              </w:rPr>
              <w:t>40,3</w:t>
            </w:r>
          </w:p>
        </w:tc>
        <w:tc>
          <w:tcPr>
            <w:tcW w:w="1063" w:type="dxa"/>
            <w:tcBorders>
              <w:top w:val="nil"/>
              <w:left w:val="nil"/>
              <w:bottom w:val="single" w:sz="4" w:space="0" w:color="auto"/>
              <w:right w:val="single" w:sz="4" w:space="0" w:color="auto"/>
            </w:tcBorders>
            <w:shd w:val="clear" w:color="auto" w:fill="auto"/>
            <w:noWrap/>
            <w:vAlign w:val="center"/>
          </w:tcPr>
          <w:p w14:paraId="728EFAC2" w14:textId="77777777" w:rsidR="00792993" w:rsidRPr="00544459" w:rsidRDefault="00792993" w:rsidP="00A1224C">
            <w:pPr>
              <w:spacing w:after="60"/>
              <w:jc w:val="center"/>
              <w:rPr>
                <w:bCs/>
                <w:i/>
                <w:color w:val="000000"/>
                <w:sz w:val="20"/>
                <w:szCs w:val="20"/>
              </w:rPr>
            </w:pPr>
            <w:r w:rsidRPr="00544459">
              <w:rPr>
                <w:bCs/>
                <w:i/>
                <w:color w:val="000000"/>
                <w:sz w:val="20"/>
                <w:szCs w:val="20"/>
              </w:rPr>
              <w:t>+29,2</w:t>
            </w:r>
          </w:p>
        </w:tc>
        <w:tc>
          <w:tcPr>
            <w:tcW w:w="1063" w:type="dxa"/>
            <w:tcBorders>
              <w:top w:val="nil"/>
              <w:left w:val="nil"/>
              <w:bottom w:val="single" w:sz="4" w:space="0" w:color="auto"/>
              <w:right w:val="single" w:sz="4" w:space="0" w:color="auto"/>
            </w:tcBorders>
            <w:shd w:val="clear" w:color="auto" w:fill="auto"/>
            <w:noWrap/>
            <w:vAlign w:val="center"/>
          </w:tcPr>
          <w:p w14:paraId="7236E4FA" w14:textId="77777777" w:rsidR="00792993" w:rsidRPr="00D457E8" w:rsidRDefault="00792993" w:rsidP="00A1224C">
            <w:pPr>
              <w:spacing w:after="60"/>
              <w:jc w:val="center"/>
              <w:rPr>
                <w:bCs/>
                <w:color w:val="000000"/>
                <w:sz w:val="20"/>
                <w:szCs w:val="20"/>
              </w:rPr>
            </w:pPr>
            <w:r>
              <w:rPr>
                <w:bCs/>
                <w:color w:val="000000"/>
                <w:sz w:val="20"/>
                <w:szCs w:val="20"/>
              </w:rPr>
              <w:t>43,4</w:t>
            </w:r>
          </w:p>
        </w:tc>
        <w:tc>
          <w:tcPr>
            <w:tcW w:w="1063" w:type="dxa"/>
            <w:tcBorders>
              <w:top w:val="nil"/>
              <w:left w:val="nil"/>
              <w:bottom w:val="single" w:sz="4" w:space="0" w:color="auto"/>
              <w:right w:val="single" w:sz="4" w:space="0" w:color="auto"/>
            </w:tcBorders>
            <w:shd w:val="clear" w:color="auto" w:fill="auto"/>
            <w:noWrap/>
            <w:vAlign w:val="center"/>
          </w:tcPr>
          <w:p w14:paraId="3EFB3871" w14:textId="77777777" w:rsidR="00792993" w:rsidRPr="00544459" w:rsidRDefault="00792993" w:rsidP="00A1224C">
            <w:pPr>
              <w:spacing w:after="60"/>
              <w:jc w:val="center"/>
              <w:rPr>
                <w:bCs/>
                <w:i/>
                <w:color w:val="000000"/>
                <w:sz w:val="20"/>
                <w:szCs w:val="20"/>
              </w:rPr>
            </w:pPr>
            <w:r w:rsidRPr="00544459">
              <w:rPr>
                <w:bCs/>
                <w:i/>
                <w:color w:val="000000"/>
                <w:sz w:val="20"/>
                <w:szCs w:val="20"/>
              </w:rPr>
              <w:t>+7,6</w:t>
            </w:r>
          </w:p>
        </w:tc>
        <w:tc>
          <w:tcPr>
            <w:tcW w:w="1063" w:type="dxa"/>
            <w:tcBorders>
              <w:top w:val="nil"/>
              <w:left w:val="nil"/>
              <w:bottom w:val="single" w:sz="4" w:space="0" w:color="auto"/>
              <w:right w:val="single" w:sz="4" w:space="0" w:color="auto"/>
            </w:tcBorders>
            <w:shd w:val="clear" w:color="auto" w:fill="auto"/>
            <w:noWrap/>
            <w:vAlign w:val="center"/>
          </w:tcPr>
          <w:p w14:paraId="46B11700" w14:textId="77777777" w:rsidR="00792993" w:rsidRPr="00D457E8" w:rsidRDefault="00792993" w:rsidP="00A1224C">
            <w:pPr>
              <w:spacing w:after="60"/>
              <w:jc w:val="center"/>
              <w:rPr>
                <w:bCs/>
                <w:color w:val="000000"/>
                <w:sz w:val="20"/>
                <w:szCs w:val="20"/>
              </w:rPr>
            </w:pPr>
            <w:r>
              <w:rPr>
                <w:bCs/>
                <w:color w:val="000000"/>
                <w:sz w:val="20"/>
                <w:szCs w:val="20"/>
              </w:rPr>
              <w:t>39,8</w:t>
            </w:r>
          </w:p>
        </w:tc>
        <w:tc>
          <w:tcPr>
            <w:tcW w:w="1063" w:type="dxa"/>
            <w:tcBorders>
              <w:top w:val="nil"/>
              <w:left w:val="nil"/>
              <w:bottom w:val="single" w:sz="4" w:space="0" w:color="auto"/>
              <w:right w:val="single" w:sz="4" w:space="0" w:color="auto"/>
            </w:tcBorders>
            <w:shd w:val="clear" w:color="auto" w:fill="auto"/>
            <w:noWrap/>
            <w:vAlign w:val="center"/>
          </w:tcPr>
          <w:p w14:paraId="12CC2D93" w14:textId="77777777" w:rsidR="00792993" w:rsidRPr="00544459" w:rsidRDefault="00792993" w:rsidP="00A1224C">
            <w:pPr>
              <w:spacing w:after="60"/>
              <w:jc w:val="center"/>
              <w:rPr>
                <w:bCs/>
                <w:i/>
                <w:color w:val="000000"/>
                <w:sz w:val="20"/>
                <w:szCs w:val="20"/>
              </w:rPr>
            </w:pPr>
            <w:r w:rsidRPr="00544459">
              <w:rPr>
                <w:bCs/>
                <w:i/>
                <w:color w:val="000000"/>
                <w:sz w:val="20"/>
                <w:szCs w:val="20"/>
              </w:rPr>
              <w:t>-8,3</w:t>
            </w:r>
          </w:p>
        </w:tc>
      </w:tr>
    </w:tbl>
    <w:p w14:paraId="31E7A54A" w14:textId="10CDBCA6" w:rsidR="00792993" w:rsidRDefault="00792993" w:rsidP="00BE65E2">
      <w:pPr>
        <w:spacing w:after="60"/>
        <w:ind w:firstLine="709"/>
        <w:jc w:val="both"/>
        <w:rPr>
          <w:sz w:val="20"/>
          <w:szCs w:val="20"/>
        </w:rPr>
      </w:pPr>
      <w:r w:rsidRPr="00BE65E2">
        <w:rPr>
          <w:i/>
          <w:color w:val="000000"/>
          <w:sz w:val="20"/>
          <w:szCs w:val="20"/>
        </w:rPr>
        <w:t>Источник</w:t>
      </w:r>
      <w:r>
        <w:rPr>
          <w:color w:val="000000"/>
          <w:sz w:val="20"/>
          <w:szCs w:val="20"/>
        </w:rPr>
        <w:t xml:space="preserve">: </w:t>
      </w:r>
      <w:r w:rsidRPr="0014543A">
        <w:rPr>
          <w:color w:val="000000"/>
          <w:sz w:val="20"/>
          <w:szCs w:val="20"/>
        </w:rPr>
        <w:t>Приложение 1</w:t>
      </w:r>
      <w:r>
        <w:rPr>
          <w:color w:val="000000"/>
          <w:sz w:val="20"/>
          <w:szCs w:val="20"/>
        </w:rPr>
        <w:t>4</w:t>
      </w:r>
      <w:r w:rsidRPr="0014543A">
        <w:rPr>
          <w:color w:val="000000"/>
          <w:sz w:val="20"/>
          <w:szCs w:val="20"/>
        </w:rPr>
        <w:t xml:space="preserve"> </w:t>
      </w:r>
      <w:r w:rsidRPr="0014543A">
        <w:rPr>
          <w:sz w:val="20"/>
          <w:szCs w:val="20"/>
        </w:rPr>
        <w:t>к проекту федерального закона «О федеральном бюджете на 20</w:t>
      </w:r>
      <w:r>
        <w:rPr>
          <w:sz w:val="20"/>
          <w:szCs w:val="20"/>
        </w:rPr>
        <w:t>20</w:t>
      </w:r>
      <w:r w:rsidRPr="0014543A">
        <w:rPr>
          <w:sz w:val="20"/>
          <w:szCs w:val="20"/>
        </w:rPr>
        <w:t xml:space="preserve"> год и на плановый период 202</w:t>
      </w:r>
      <w:r>
        <w:rPr>
          <w:sz w:val="20"/>
          <w:szCs w:val="20"/>
        </w:rPr>
        <w:t>1</w:t>
      </w:r>
      <w:r w:rsidRPr="0014543A">
        <w:rPr>
          <w:sz w:val="20"/>
          <w:szCs w:val="20"/>
        </w:rPr>
        <w:t xml:space="preserve"> и 202</w:t>
      </w:r>
      <w:r>
        <w:rPr>
          <w:sz w:val="20"/>
          <w:szCs w:val="20"/>
        </w:rPr>
        <w:t>2</w:t>
      </w:r>
      <w:r w:rsidR="00CB2AB7">
        <w:rPr>
          <w:sz w:val="20"/>
          <w:szCs w:val="20"/>
        </w:rPr>
        <w:t xml:space="preserve"> годов», расчеты авторов</w:t>
      </w:r>
    </w:p>
    <w:p w14:paraId="1EBCD822" w14:textId="2C59C7D2" w:rsidR="00792993" w:rsidRDefault="00544459" w:rsidP="00BE65E2">
      <w:pPr>
        <w:spacing w:after="60"/>
        <w:ind w:firstLine="360"/>
        <w:jc w:val="both"/>
      </w:pPr>
      <w:r>
        <w:t>По результатам проведенного анализа можно сформулировать следующие основные рекомендации:</w:t>
      </w:r>
    </w:p>
    <w:p w14:paraId="4DBC586F" w14:textId="77777777" w:rsidR="00792993" w:rsidRPr="00477BD7" w:rsidRDefault="00792993" w:rsidP="001173C1">
      <w:pPr>
        <w:pStyle w:val="afc"/>
        <w:numPr>
          <w:ilvl w:val="0"/>
          <w:numId w:val="5"/>
        </w:numPr>
        <w:spacing w:before="0" w:after="60"/>
        <w:rPr>
          <w:szCs w:val="24"/>
        </w:rPr>
      </w:pPr>
      <w:r w:rsidRPr="00477BD7">
        <w:rPr>
          <w:szCs w:val="24"/>
        </w:rPr>
        <w:t>Увеличить финансирование НИОКР по программе развития электронной и радиоэлектронной промышленности и программе развития сельского хозяйства за счет перераспределения средств между программами</w:t>
      </w:r>
      <w:r>
        <w:rPr>
          <w:szCs w:val="24"/>
        </w:rPr>
        <w:t xml:space="preserve"> (возможный источник – Программа «Цифровая экономика»)</w:t>
      </w:r>
      <w:r w:rsidRPr="00477BD7">
        <w:rPr>
          <w:szCs w:val="24"/>
        </w:rPr>
        <w:t>.</w:t>
      </w:r>
    </w:p>
    <w:p w14:paraId="4D996A1F" w14:textId="77777777" w:rsidR="00792993" w:rsidRPr="00477BD7" w:rsidRDefault="00792993" w:rsidP="001173C1">
      <w:pPr>
        <w:pStyle w:val="afc"/>
        <w:numPr>
          <w:ilvl w:val="0"/>
          <w:numId w:val="5"/>
        </w:numPr>
        <w:spacing w:before="0" w:after="60"/>
        <w:rPr>
          <w:szCs w:val="24"/>
        </w:rPr>
      </w:pPr>
      <w:r w:rsidRPr="00477BD7">
        <w:rPr>
          <w:szCs w:val="24"/>
        </w:rPr>
        <w:t xml:space="preserve">Увеличить расходы на развитие научной и научно-производственной кооперации </w:t>
      </w:r>
      <w:r>
        <w:rPr>
          <w:szCs w:val="24"/>
        </w:rPr>
        <w:t xml:space="preserve">в рамках Национального проекта «Наука» </w:t>
      </w:r>
      <w:r w:rsidRPr="00477BD7">
        <w:rPr>
          <w:szCs w:val="24"/>
        </w:rPr>
        <w:t xml:space="preserve">за счет </w:t>
      </w:r>
      <w:r>
        <w:rPr>
          <w:szCs w:val="24"/>
        </w:rPr>
        <w:t xml:space="preserve">сокращения финансирования создания лабораторий мирового уровня под руководством ведущих ученых с мировым именем, в том числе соотечественников. </w:t>
      </w:r>
    </w:p>
    <w:p w14:paraId="05212AFF" w14:textId="77777777" w:rsidR="00792993" w:rsidRDefault="00792993" w:rsidP="00792993"/>
    <w:p w14:paraId="6F988958" w14:textId="01088859" w:rsidR="00995E45" w:rsidRPr="008E6B24" w:rsidRDefault="00995E45" w:rsidP="0035761E">
      <w:pPr>
        <w:keepNext/>
        <w:spacing w:before="60" w:after="60"/>
        <w:jc w:val="center"/>
        <w:outlineLvl w:val="2"/>
        <w:rPr>
          <w:b/>
          <w:szCs w:val="20"/>
        </w:rPr>
      </w:pPr>
      <w:bookmarkStart w:id="64" w:name="_Toc21436755"/>
      <w:r w:rsidRPr="00363098">
        <w:rPr>
          <w:b/>
          <w:szCs w:val="20"/>
        </w:rPr>
        <w:t>Расходы на здравоохранение</w:t>
      </w:r>
      <w:bookmarkEnd w:id="58"/>
      <w:r w:rsidR="0024133A" w:rsidRPr="00363098">
        <w:rPr>
          <w:b/>
          <w:szCs w:val="20"/>
        </w:rPr>
        <w:t xml:space="preserve"> и бюджет ФФОМС</w:t>
      </w:r>
      <w:bookmarkEnd w:id="64"/>
    </w:p>
    <w:p w14:paraId="73930F4B" w14:textId="77777777" w:rsidR="00FE78DC" w:rsidRPr="00C86838" w:rsidRDefault="00FE78DC" w:rsidP="00FE78DC">
      <w:pPr>
        <w:spacing w:after="60"/>
        <w:ind w:firstLine="709"/>
        <w:jc w:val="both"/>
        <w:rPr>
          <w:b/>
          <w:i/>
        </w:rPr>
      </w:pPr>
      <w:r w:rsidRPr="00C86838">
        <w:rPr>
          <w:b/>
          <w:i/>
        </w:rPr>
        <w:t>Федеральный бюджет</w:t>
      </w:r>
    </w:p>
    <w:p w14:paraId="159E6EB8" w14:textId="0FD93FAE" w:rsidR="00363098" w:rsidRDefault="00363098" w:rsidP="00363098">
      <w:pPr>
        <w:spacing w:after="60"/>
        <w:ind w:firstLine="709"/>
        <w:jc w:val="both"/>
      </w:pPr>
      <w:r>
        <w:t>В первую очередь отметим, что расходы</w:t>
      </w:r>
      <w:r w:rsidRPr="00893E75">
        <w:t xml:space="preserve"> </w:t>
      </w:r>
      <w:r>
        <w:t>федерального бюджета по функциональному разделу классификации расходов 09 «Здравоохранение» не совпадают между Приложением №14 к законопроекту и пояснительной запиской к нему (</w:t>
      </w:r>
      <w:r w:rsidRPr="00C1771D">
        <w:rPr>
          <w:i/>
        </w:rPr>
        <w:t>р</w:t>
      </w:r>
      <w:r w:rsidRPr="009963C0">
        <w:rPr>
          <w:i/>
        </w:rPr>
        <w:t>ис</w:t>
      </w:r>
      <w:r w:rsidR="00BE4072">
        <w:rPr>
          <w:i/>
        </w:rPr>
        <w:t>.</w:t>
      </w:r>
      <w:r w:rsidRPr="009963C0">
        <w:rPr>
          <w:i/>
        </w:rPr>
        <w:t xml:space="preserve"> 1</w:t>
      </w:r>
      <w:r w:rsidRPr="00543EFB">
        <w:t>). Кроме того, имеются расхождения между расходами на здравоохранение</w:t>
      </w:r>
      <w:r>
        <w:t xml:space="preserve">, утвержденными в </w:t>
      </w:r>
      <w:r w:rsidRPr="00B01522">
        <w:t xml:space="preserve">Федеральном законе </w:t>
      </w:r>
      <w:r w:rsidR="00B01522">
        <w:t>№</w:t>
      </w:r>
      <w:r w:rsidRPr="00B01522">
        <w:t xml:space="preserve"> 459-ФЗ (ред. от 18.07.2019) и</w:t>
      </w:r>
      <w:r>
        <w:t xml:space="preserve"> расходами на здравоохранение согласно этому же закону в пояснительной записке.</w:t>
      </w:r>
    </w:p>
    <w:p w14:paraId="402474C6" w14:textId="77777777" w:rsidR="00363098" w:rsidRPr="004319C8" w:rsidRDefault="00363098" w:rsidP="00363098">
      <w:pPr>
        <w:rPr>
          <w:lang w:val="en-US"/>
        </w:rPr>
      </w:pPr>
      <w:r>
        <w:rPr>
          <w:noProof/>
        </w:rPr>
        <w:drawing>
          <wp:inline distT="0" distB="0" distL="0" distR="0" wp14:anchorId="3A7F244D" wp14:editId="4AC8EF92">
            <wp:extent cx="5940000" cy="2743200"/>
            <wp:effectExtent l="0" t="0" r="16510" b="12700"/>
            <wp:docPr id="1" name="Диаграмма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8627807-2902-5146-85A0-209F4DF6D0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E76755" w14:textId="77777777" w:rsidR="00543EFB" w:rsidRDefault="00543EFB" w:rsidP="00543EFB">
      <w:pPr>
        <w:ind w:firstLine="708"/>
        <w:jc w:val="both"/>
        <w:rPr>
          <w:sz w:val="20"/>
        </w:rPr>
      </w:pPr>
      <w:r w:rsidRPr="00363098">
        <w:rPr>
          <w:i/>
          <w:sz w:val="20"/>
        </w:rPr>
        <w:t>Источник</w:t>
      </w:r>
      <w:r w:rsidRPr="00363098">
        <w:rPr>
          <w:sz w:val="20"/>
        </w:rPr>
        <w:t>: Федеральный закон от 29.11.2018 № 459-ФЗ «О федеральном бюджете на 2019 год и на плановый период 2020 и 2021 годов», проект федерального закона «О федеральном бюджете на 2020 год и на плановый период 2021 и 2022 годов».</w:t>
      </w:r>
    </w:p>
    <w:p w14:paraId="51A0AD5D" w14:textId="123A79A5" w:rsidR="00363098" w:rsidRPr="00363098" w:rsidRDefault="00363098" w:rsidP="00543EFB">
      <w:pPr>
        <w:spacing w:before="120" w:after="120"/>
        <w:jc w:val="center"/>
        <w:rPr>
          <w:b/>
        </w:rPr>
      </w:pPr>
      <w:r w:rsidRPr="009963C0">
        <w:rPr>
          <w:b/>
          <w:i/>
        </w:rPr>
        <w:t>Рис</w:t>
      </w:r>
      <w:r w:rsidR="00543EFB" w:rsidRPr="009963C0">
        <w:rPr>
          <w:b/>
          <w:i/>
        </w:rPr>
        <w:t>.</w:t>
      </w:r>
      <w:r w:rsidRPr="009963C0">
        <w:rPr>
          <w:b/>
          <w:i/>
        </w:rPr>
        <w:t xml:space="preserve"> 1</w:t>
      </w:r>
      <w:r w:rsidR="00543EFB" w:rsidRPr="009963C0">
        <w:rPr>
          <w:b/>
          <w:i/>
        </w:rPr>
        <w:t>.</w:t>
      </w:r>
      <w:r w:rsidR="00543EFB">
        <w:rPr>
          <w:b/>
        </w:rPr>
        <w:t xml:space="preserve"> </w:t>
      </w:r>
      <w:r w:rsidRPr="00363098">
        <w:rPr>
          <w:b/>
        </w:rPr>
        <w:t>Динамика бюджетных ассигнований по разделу здравоохранение в 2020-2022 гг., млрд руб.</w:t>
      </w:r>
    </w:p>
    <w:p w14:paraId="7AF3B0EA" w14:textId="12B25606" w:rsidR="00363098" w:rsidRPr="00363098" w:rsidRDefault="00363098" w:rsidP="00363098">
      <w:pPr>
        <w:spacing w:after="60"/>
        <w:ind w:firstLine="709"/>
        <w:jc w:val="both"/>
        <w:rPr>
          <w:rFonts w:eastAsia="Calibri"/>
          <w:szCs w:val="22"/>
          <w:lang w:eastAsia="en-US"/>
        </w:rPr>
      </w:pPr>
      <w:r w:rsidRPr="00363098">
        <w:rPr>
          <w:rFonts w:eastAsia="Calibri"/>
          <w:szCs w:val="22"/>
          <w:lang w:eastAsia="en-US"/>
        </w:rPr>
        <w:t>Причину расхождений значений расходов между документами установить не удалось, однако вывод относительно увеличения расходов на период 2020 и 2021 гг. по сравнению с расходами, заложенными в прошлогодний закон о бюджете, остается неизменным. С нашей точки зрения</w:t>
      </w:r>
      <w:r w:rsidR="00B01522">
        <w:rPr>
          <w:rFonts w:eastAsia="Calibri"/>
          <w:szCs w:val="22"/>
          <w:lang w:eastAsia="en-US"/>
        </w:rPr>
        <w:t>,</w:t>
      </w:r>
      <w:r w:rsidRPr="00363098">
        <w:rPr>
          <w:rFonts w:eastAsia="Calibri"/>
          <w:szCs w:val="22"/>
          <w:lang w:eastAsia="en-US"/>
        </w:rPr>
        <w:t xml:space="preserve"> наиболее важными направлениями расширения федерального финансирования стали улучшение лекарственного обеспечения граждан при прохождении амбулаторного лечения и усиление стимулов для медицинских работников, </w:t>
      </w:r>
      <w:r w:rsidR="00B01522" w:rsidRPr="00363098">
        <w:rPr>
          <w:rFonts w:eastAsia="Calibri"/>
          <w:szCs w:val="22"/>
          <w:lang w:eastAsia="en-US"/>
        </w:rPr>
        <w:t>направленны</w:t>
      </w:r>
      <w:r w:rsidR="00B01522">
        <w:rPr>
          <w:rFonts w:eastAsia="Calibri"/>
          <w:szCs w:val="22"/>
          <w:lang w:eastAsia="en-US"/>
        </w:rPr>
        <w:t>е</w:t>
      </w:r>
      <w:r w:rsidR="00B01522" w:rsidRPr="00363098">
        <w:rPr>
          <w:rFonts w:eastAsia="Calibri"/>
          <w:szCs w:val="22"/>
          <w:lang w:eastAsia="en-US"/>
        </w:rPr>
        <w:t xml:space="preserve"> </w:t>
      </w:r>
      <w:r w:rsidRPr="00363098">
        <w:rPr>
          <w:rFonts w:eastAsia="Calibri"/>
          <w:szCs w:val="22"/>
          <w:lang w:eastAsia="en-US"/>
        </w:rPr>
        <w:t xml:space="preserve">на повышение доступности медицинской помощи. </w:t>
      </w:r>
    </w:p>
    <w:p w14:paraId="71D6EA0E" w14:textId="10ECD3BF" w:rsidR="00363098" w:rsidRPr="00363098" w:rsidRDefault="00363098" w:rsidP="00363098">
      <w:pPr>
        <w:spacing w:after="60"/>
        <w:ind w:firstLine="709"/>
        <w:jc w:val="both"/>
        <w:rPr>
          <w:rFonts w:eastAsia="Calibri"/>
          <w:szCs w:val="22"/>
          <w:lang w:eastAsia="en-US"/>
        </w:rPr>
      </w:pPr>
      <w:r w:rsidRPr="00363098">
        <w:rPr>
          <w:rFonts w:eastAsia="Calibri"/>
          <w:szCs w:val="22"/>
          <w:lang w:eastAsia="en-US"/>
        </w:rPr>
        <w:t>Принципиально новым направлением расходов федерального бюджета стала закупка лекарственных препаратов для обеспечения граждан, перенесших острое нарушение мозгового кровообращения, инфаркт миокарда и другие острые сердечно-сосудистые заболевания, в амбулаторных условиях в 2020 – 2023 годах (10</w:t>
      </w:r>
      <w:r w:rsidR="00B01522">
        <w:rPr>
          <w:rFonts w:eastAsia="Calibri"/>
          <w:szCs w:val="22"/>
          <w:lang w:eastAsia="en-US"/>
        </w:rPr>
        <w:t>,2 млрд</w:t>
      </w:r>
      <w:r w:rsidRPr="00363098">
        <w:rPr>
          <w:rFonts w:eastAsia="Calibri"/>
          <w:szCs w:val="22"/>
          <w:lang w:eastAsia="en-US"/>
        </w:rPr>
        <w:t xml:space="preserve"> рублей ежегодно). При этом </w:t>
      </w:r>
      <w:r w:rsidR="00CA7C3C" w:rsidRPr="00363098">
        <w:rPr>
          <w:rFonts w:eastAsia="Calibri"/>
          <w:szCs w:val="22"/>
          <w:lang w:eastAsia="en-US"/>
        </w:rPr>
        <w:t xml:space="preserve">24.09.2019 </w:t>
      </w:r>
      <w:r w:rsidRPr="00363098">
        <w:rPr>
          <w:rFonts w:eastAsia="Calibri"/>
          <w:szCs w:val="22"/>
          <w:lang w:eastAsia="en-US"/>
        </w:rPr>
        <w:t xml:space="preserve">Председателем Правительства </w:t>
      </w:r>
      <w:r w:rsidR="00B01522">
        <w:rPr>
          <w:rFonts w:eastAsia="Calibri"/>
          <w:szCs w:val="22"/>
          <w:lang w:eastAsia="en-US"/>
        </w:rPr>
        <w:t xml:space="preserve">РФ </w:t>
      </w:r>
      <w:r w:rsidR="00CA7C3C">
        <w:rPr>
          <w:rFonts w:eastAsia="Calibri"/>
          <w:szCs w:val="22"/>
          <w:lang w:eastAsia="en-US"/>
        </w:rPr>
        <w:t xml:space="preserve">было </w:t>
      </w:r>
      <w:r w:rsidRPr="00363098">
        <w:rPr>
          <w:rFonts w:eastAsia="Calibri"/>
          <w:szCs w:val="22"/>
          <w:lang w:eastAsia="en-US"/>
        </w:rPr>
        <w:t xml:space="preserve">подписано поручение, в соответствии с которым предусмотрено увеличение размера данных ассигнований до 14,5 млрд руб. ежегодно, что пока не отражено в законопроекте, хотя он был внесен в Государственную Думу после выхода данного поручения. </w:t>
      </w:r>
    </w:p>
    <w:p w14:paraId="5CDE0E66" w14:textId="77777777" w:rsidR="00363098" w:rsidRPr="00363098" w:rsidRDefault="00363098" w:rsidP="00363098">
      <w:pPr>
        <w:spacing w:after="60"/>
        <w:ind w:firstLine="709"/>
        <w:jc w:val="both"/>
        <w:rPr>
          <w:rFonts w:eastAsia="Calibri"/>
          <w:szCs w:val="22"/>
          <w:lang w:eastAsia="en-US"/>
        </w:rPr>
      </w:pPr>
      <w:r w:rsidRPr="00363098">
        <w:rPr>
          <w:rFonts w:eastAsia="Calibri"/>
          <w:szCs w:val="22"/>
          <w:lang w:eastAsia="en-US"/>
        </w:rPr>
        <w:t xml:space="preserve">В целом, в 2016 г. Минздрав России уже выступал со сходным предложением: компенсация 50% расходов на лекарственное обеспечение лицам, перенесшим стентирование коронарных сосудов, но тогда концепция пилотного проекта была отклонена из-за отсутствия необходимых средств, размер которых в то время оценивался на уровне 2,35 млрд руб. в год. Это существенно меньше суммы, заложенной в текущий законопроект, однако отметим, что в прежнем варианте проекта численность льготополучателей была существенно меньше, а также было предусмотрено софинансирование со стороны населения. </w:t>
      </w:r>
    </w:p>
    <w:p w14:paraId="4DDB4DE0" w14:textId="46BF8EB4" w:rsidR="00363098" w:rsidRPr="00363098" w:rsidRDefault="00363098" w:rsidP="00363098">
      <w:pPr>
        <w:spacing w:after="60"/>
        <w:ind w:firstLine="709"/>
        <w:jc w:val="both"/>
        <w:rPr>
          <w:rFonts w:eastAsia="Calibri"/>
          <w:szCs w:val="22"/>
          <w:lang w:eastAsia="en-US"/>
        </w:rPr>
      </w:pPr>
      <w:r w:rsidRPr="00363098">
        <w:rPr>
          <w:rFonts w:eastAsia="Calibri"/>
          <w:szCs w:val="22"/>
          <w:lang w:eastAsia="en-US"/>
        </w:rPr>
        <w:t>Отметим также, что</w:t>
      </w:r>
      <w:r w:rsidR="009963C0">
        <w:rPr>
          <w:rFonts w:eastAsia="Calibri"/>
          <w:szCs w:val="22"/>
          <w:lang w:eastAsia="en-US"/>
        </w:rPr>
        <w:t>,</w:t>
      </w:r>
      <w:r w:rsidRPr="00363098">
        <w:rPr>
          <w:rFonts w:eastAsia="Calibri"/>
          <w:szCs w:val="22"/>
          <w:lang w:eastAsia="en-US"/>
        </w:rPr>
        <w:t xml:space="preserve"> хотя в самом законопроекте расходы на проведение пилотного проекта отражены как «субсидии на </w:t>
      </w:r>
      <w:r w:rsidRPr="00363098">
        <w:rPr>
          <w:rFonts w:eastAsia="Calibri"/>
          <w:i/>
          <w:szCs w:val="22"/>
          <w:lang w:eastAsia="en-US"/>
        </w:rPr>
        <w:t>обеспечение</w:t>
      </w:r>
      <w:r w:rsidRPr="00363098">
        <w:rPr>
          <w:rFonts w:eastAsia="Calibri"/>
          <w:szCs w:val="22"/>
          <w:lang w:eastAsia="en-US"/>
        </w:rPr>
        <w:t xml:space="preserve"> граждан …», в тексте пояснительной записки они отражены как «</w:t>
      </w:r>
      <w:r w:rsidRPr="00363098">
        <w:rPr>
          <w:rFonts w:eastAsia="Calibri"/>
          <w:i/>
          <w:szCs w:val="28"/>
          <w:lang w:eastAsia="en-US"/>
        </w:rPr>
        <w:t>закупка</w:t>
      </w:r>
      <w:r w:rsidRPr="00363098">
        <w:rPr>
          <w:rFonts w:eastAsia="Calibri"/>
          <w:szCs w:val="28"/>
          <w:lang w:eastAsia="en-US"/>
        </w:rPr>
        <w:t xml:space="preserve"> лекарственных препаратов для обеспечения граждан…»</w:t>
      </w:r>
      <w:r w:rsidR="00B01522">
        <w:rPr>
          <w:rFonts w:eastAsia="Calibri"/>
          <w:szCs w:val="28"/>
          <w:lang w:eastAsia="en-US"/>
        </w:rPr>
        <w:t>.</w:t>
      </w:r>
      <w:r w:rsidRPr="00363098">
        <w:rPr>
          <w:rFonts w:eastAsia="Calibri"/>
          <w:szCs w:val="22"/>
          <w:lang w:eastAsia="en-US"/>
        </w:rPr>
        <w:t xml:space="preserve"> С нашей точки зрения</w:t>
      </w:r>
      <w:r w:rsidR="00B01522">
        <w:rPr>
          <w:rFonts w:eastAsia="Calibri"/>
          <w:szCs w:val="22"/>
          <w:lang w:eastAsia="en-US"/>
        </w:rPr>
        <w:t>,</w:t>
      </w:r>
      <w:r w:rsidRPr="00363098">
        <w:rPr>
          <w:rFonts w:eastAsia="Calibri"/>
          <w:szCs w:val="22"/>
          <w:lang w:eastAsia="en-US"/>
        </w:rPr>
        <w:t xml:space="preserve"> проведение пилотного проекта имеет смысл осуществлять в форме возмещения расходов на лекарства, а не в форме осуществления государственных закупок. Это позволит избежать ряд проблем</w:t>
      </w:r>
      <w:r w:rsidR="00B01522">
        <w:rPr>
          <w:rFonts w:eastAsia="Calibri"/>
          <w:szCs w:val="22"/>
          <w:lang w:eastAsia="en-US"/>
        </w:rPr>
        <w:t>,</w:t>
      </w:r>
      <w:r w:rsidRPr="00363098">
        <w:rPr>
          <w:rFonts w:eastAsia="Calibri"/>
          <w:szCs w:val="22"/>
          <w:lang w:eastAsia="en-US"/>
        </w:rPr>
        <w:t xml:space="preserve"> связанных с государственными закупками лекарств, включая проблемы планирования закупок (что является затруднительным в силу отсутствия регистра пациентов, которым требуются конкретные лекарственные препараты), а также проблемы, связанные с установлением начальной максимальной цены контракта. Кроме того, проведение пилотного проекта в форме возмещения расходов позволит протестировать механизм разделения расходов на лекарственное обеспечение между государством и гражданами, который будет способствовать повышению эффективности расходования государственных средств при одновременном улучшении доступности лекарств для населения.</w:t>
      </w:r>
    </w:p>
    <w:p w14:paraId="714756A6" w14:textId="7085483A" w:rsidR="00363098" w:rsidRPr="00363098" w:rsidRDefault="00363098" w:rsidP="00363098">
      <w:pPr>
        <w:spacing w:after="60"/>
        <w:ind w:firstLine="709"/>
        <w:jc w:val="both"/>
        <w:rPr>
          <w:rFonts w:eastAsia="Calibri"/>
          <w:szCs w:val="22"/>
          <w:lang w:eastAsia="en-US"/>
        </w:rPr>
      </w:pPr>
      <w:r w:rsidRPr="00363098">
        <w:rPr>
          <w:rFonts w:eastAsia="Calibri"/>
          <w:szCs w:val="22"/>
          <w:lang w:eastAsia="en-US"/>
        </w:rPr>
        <w:t>Наряду с проведением тестирования новой модели законопроект предусматривает увеличение финансирования по ряду ранее существовавших программ лекарственного обеспечения, что свидетельствует об общей ориентации на развитие системы амбулаторного лекарственного обеспечения. Предусмотрено увеличение расходов на лекарственное обеспечение больных редкими заболеваниями по программе высокозатратных нозологий – ВЗН (на 6</w:t>
      </w:r>
      <w:r w:rsidR="00B01522">
        <w:rPr>
          <w:rFonts w:eastAsia="Calibri"/>
          <w:szCs w:val="22"/>
          <w:lang w:eastAsia="en-US"/>
        </w:rPr>
        <w:t>,2 млрд</w:t>
      </w:r>
      <w:r w:rsidRPr="00363098">
        <w:rPr>
          <w:rFonts w:eastAsia="Calibri"/>
          <w:szCs w:val="22"/>
          <w:lang w:eastAsia="en-US"/>
        </w:rPr>
        <w:t xml:space="preserve"> руб. в 2020 г., 8</w:t>
      </w:r>
      <w:r w:rsidR="00B01522">
        <w:rPr>
          <w:rFonts w:eastAsia="Calibri"/>
          <w:szCs w:val="22"/>
          <w:lang w:eastAsia="en-US"/>
        </w:rPr>
        <w:t>,</w:t>
      </w:r>
      <w:r w:rsidRPr="00363098">
        <w:rPr>
          <w:rFonts w:eastAsia="Calibri"/>
          <w:szCs w:val="22"/>
          <w:lang w:eastAsia="en-US"/>
        </w:rPr>
        <w:t>7</w:t>
      </w:r>
      <w:r w:rsidR="00B01522">
        <w:rPr>
          <w:rFonts w:eastAsia="Calibri"/>
          <w:szCs w:val="22"/>
          <w:lang w:eastAsia="en-US"/>
        </w:rPr>
        <w:t xml:space="preserve"> млрд</w:t>
      </w:r>
      <w:r w:rsidRPr="00363098">
        <w:rPr>
          <w:rFonts w:eastAsia="Calibri"/>
          <w:szCs w:val="22"/>
          <w:lang w:eastAsia="en-US"/>
        </w:rPr>
        <w:t xml:space="preserve"> руб. в 2021 г. и на 2</w:t>
      </w:r>
      <w:r w:rsidR="00B01522">
        <w:rPr>
          <w:rFonts w:eastAsia="Calibri"/>
          <w:szCs w:val="22"/>
          <w:lang w:eastAsia="en-US"/>
        </w:rPr>
        <w:t>,</w:t>
      </w:r>
      <w:r w:rsidRPr="00363098">
        <w:rPr>
          <w:rFonts w:eastAsia="Calibri"/>
          <w:szCs w:val="22"/>
          <w:lang w:eastAsia="en-US"/>
        </w:rPr>
        <w:t>6</w:t>
      </w:r>
      <w:r w:rsidR="00B01522">
        <w:rPr>
          <w:rFonts w:eastAsia="Calibri"/>
          <w:szCs w:val="22"/>
          <w:lang w:eastAsia="en-US"/>
        </w:rPr>
        <w:t xml:space="preserve"> млрд</w:t>
      </w:r>
      <w:r w:rsidRPr="00363098">
        <w:rPr>
          <w:rFonts w:eastAsia="Calibri"/>
          <w:szCs w:val="22"/>
          <w:lang w:eastAsia="en-US"/>
        </w:rPr>
        <w:t xml:space="preserve"> руб. – в 2022 г.), а также инфицированных ВИЧ (на 7</w:t>
      </w:r>
      <w:r w:rsidR="00B01522">
        <w:rPr>
          <w:rFonts w:eastAsia="Calibri"/>
          <w:szCs w:val="22"/>
          <w:lang w:eastAsia="en-US"/>
        </w:rPr>
        <w:t>,</w:t>
      </w:r>
      <w:r w:rsidRPr="00363098">
        <w:rPr>
          <w:rFonts w:eastAsia="Calibri"/>
          <w:szCs w:val="22"/>
          <w:lang w:eastAsia="en-US"/>
        </w:rPr>
        <w:t>7</w:t>
      </w:r>
      <w:r w:rsidR="00B01522">
        <w:rPr>
          <w:rFonts w:eastAsia="Calibri"/>
          <w:szCs w:val="22"/>
          <w:lang w:eastAsia="en-US"/>
        </w:rPr>
        <w:t xml:space="preserve"> млрд</w:t>
      </w:r>
      <w:r w:rsidRPr="00363098">
        <w:rPr>
          <w:rFonts w:eastAsia="Calibri"/>
          <w:szCs w:val="22"/>
          <w:lang w:eastAsia="en-US"/>
        </w:rPr>
        <w:t xml:space="preserve"> руб</w:t>
      </w:r>
      <w:r w:rsidR="00B01522">
        <w:rPr>
          <w:rFonts w:eastAsia="Calibri"/>
          <w:szCs w:val="22"/>
          <w:lang w:eastAsia="en-US"/>
        </w:rPr>
        <w:t>.</w:t>
      </w:r>
      <w:r w:rsidRPr="00363098">
        <w:rPr>
          <w:rFonts w:eastAsia="Calibri"/>
          <w:szCs w:val="22"/>
          <w:lang w:eastAsia="en-US"/>
        </w:rPr>
        <w:t xml:space="preserve"> ежегодно)</w:t>
      </w:r>
      <w:r w:rsidR="00D04FBA">
        <w:rPr>
          <w:rFonts w:eastAsia="Calibri"/>
          <w:szCs w:val="22"/>
          <w:lang w:eastAsia="en-US"/>
        </w:rPr>
        <w:t>.</w:t>
      </w:r>
    </w:p>
    <w:p w14:paraId="0BB42D6B" w14:textId="77777777" w:rsidR="00D04FBA" w:rsidRDefault="00363098" w:rsidP="00363098">
      <w:pPr>
        <w:spacing w:after="60"/>
        <w:ind w:firstLine="709"/>
        <w:jc w:val="both"/>
        <w:rPr>
          <w:rFonts w:eastAsia="Calibri"/>
          <w:szCs w:val="22"/>
          <w:lang w:eastAsia="en-US"/>
        </w:rPr>
      </w:pPr>
      <w:r w:rsidRPr="00363098">
        <w:rPr>
          <w:rFonts w:eastAsia="Calibri"/>
          <w:szCs w:val="22"/>
          <w:lang w:eastAsia="en-US"/>
        </w:rPr>
        <w:t>Увеличение государственных расходов на лекарственное обеспечение в России, с нашей точки зрения, является оправданным, так как в настоящее время государство финансирует менее 50% расходов на рецептурные лекарственные средства. Б</w:t>
      </w:r>
      <w:r w:rsidRPr="00D04FBA">
        <w:rPr>
          <w:rFonts w:eastAsia="Calibri"/>
          <w:i/>
          <w:szCs w:val="22"/>
          <w:lang w:eastAsia="en-US"/>
        </w:rPr>
        <w:t>о</w:t>
      </w:r>
      <w:r w:rsidRPr="00363098">
        <w:rPr>
          <w:rFonts w:eastAsia="Calibri"/>
          <w:szCs w:val="22"/>
          <w:lang w:eastAsia="en-US"/>
        </w:rPr>
        <w:t xml:space="preserve">льшая часть расходов ложится на население, что снижает доступность современных лекарств для пациентов. </w:t>
      </w:r>
    </w:p>
    <w:p w14:paraId="5C1EF8EC" w14:textId="548724D5" w:rsidR="00363098" w:rsidRPr="00363098" w:rsidRDefault="00363098" w:rsidP="00D04FBA">
      <w:pPr>
        <w:spacing w:after="60"/>
        <w:ind w:firstLine="709"/>
        <w:jc w:val="both"/>
        <w:rPr>
          <w:rFonts w:eastAsia="Calibri"/>
          <w:i/>
          <w:szCs w:val="22"/>
          <w:lang w:eastAsia="en-US"/>
        </w:rPr>
      </w:pPr>
      <w:r w:rsidRPr="00363098">
        <w:rPr>
          <w:rFonts w:eastAsia="Calibri"/>
          <w:szCs w:val="22"/>
          <w:lang w:eastAsia="en-US"/>
        </w:rPr>
        <w:t>Однако одновременно не можем не отметить, что согласно п. 3.1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 Постановлением Правительства РФ от 28.08.2014 N 871 (ред. от 20.11.2018) "Об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w:t>
      </w:r>
      <w:r w:rsidR="00D04FBA">
        <w:rPr>
          <w:rFonts w:eastAsia="Calibri"/>
          <w:szCs w:val="22"/>
          <w:lang w:eastAsia="en-US"/>
        </w:rPr>
        <w:t xml:space="preserve">я оказания медицинской помощи"), установлено, что </w:t>
      </w:r>
      <w:r>
        <w:rPr>
          <w:rFonts w:eastAsia="Calibri"/>
          <w:i/>
          <w:szCs w:val="22"/>
          <w:lang w:eastAsia="en-US"/>
        </w:rPr>
        <w:t>«</w:t>
      </w:r>
      <w:r w:rsidRPr="00363098">
        <w:rPr>
          <w:rFonts w:eastAsia="Calibri"/>
          <w:i/>
          <w:szCs w:val="22"/>
          <w:lang w:eastAsia="en-US"/>
        </w:rPr>
        <w:t>Включение лекарственного препарата в перечень дорогостоящих лекарственных препаратов и при необходимости исключение из него в соответствии с положениями настоящих Правил альтернативного лекарственного препарата не должно приводить к увеличению объемов бюджетных ассигнований, предусмотренных в федеральном бюджете на соответствующий финансовый год и плановый период</w:t>
      </w:r>
      <w:r>
        <w:rPr>
          <w:rFonts w:eastAsia="Calibri"/>
          <w:i/>
          <w:szCs w:val="22"/>
          <w:lang w:eastAsia="en-US"/>
        </w:rPr>
        <w:t>».</w:t>
      </w:r>
    </w:p>
    <w:p w14:paraId="2B4053D9" w14:textId="2DC6FDB7" w:rsidR="00363098" w:rsidRPr="00363098" w:rsidRDefault="00363098" w:rsidP="00363098">
      <w:pPr>
        <w:spacing w:after="60"/>
        <w:ind w:firstLine="709"/>
        <w:jc w:val="both"/>
        <w:rPr>
          <w:rFonts w:eastAsia="Calibri"/>
          <w:szCs w:val="22"/>
          <w:lang w:eastAsia="en-US"/>
        </w:rPr>
      </w:pPr>
      <w:r w:rsidRPr="00363098">
        <w:rPr>
          <w:rFonts w:eastAsia="Calibri"/>
          <w:szCs w:val="22"/>
          <w:lang w:eastAsia="en-US"/>
        </w:rPr>
        <w:t>В настоящее время известно, что в Проекте перечня программы ВЗН на 2020 г. предусмотрено включение трех новых препаратов для лечения первоначальных семи нозологий, при этом каждый из данных препаратов характеризуется той же или меньшей величиной затрат, по сравнению с препаратами, уже включенными в программу. Затраты на уже включенные препараты не могут вырасти в связи с наличием зарегистрированных предельных отпускных цен; наоборот, при выходе воспроизведенных аналогов стоимость терапии такими препаратами существенно сокращается. Добавление 9 препаратов для лечения 5 орфанных заболеваний уже было предусмотрено в прошлогоднем законе о бюджете. В результате</w:t>
      </w:r>
      <w:r w:rsidR="00B01522">
        <w:rPr>
          <w:rFonts w:eastAsia="Calibri"/>
          <w:szCs w:val="22"/>
          <w:lang w:eastAsia="en-US"/>
        </w:rPr>
        <w:t>,</w:t>
      </w:r>
      <w:r w:rsidRPr="00363098">
        <w:rPr>
          <w:rFonts w:eastAsia="Calibri"/>
          <w:szCs w:val="22"/>
          <w:lang w:eastAsia="en-US"/>
        </w:rPr>
        <w:t xml:space="preserve"> обоснованность увеличения расходов на программу ВЗН вызывает вопросы.</w:t>
      </w:r>
    </w:p>
    <w:p w14:paraId="5DDD64B3" w14:textId="26BFBD17" w:rsidR="00363098" w:rsidRPr="00363098" w:rsidRDefault="00363098" w:rsidP="00363098">
      <w:pPr>
        <w:spacing w:after="60"/>
        <w:ind w:firstLine="709"/>
        <w:jc w:val="both"/>
        <w:rPr>
          <w:rFonts w:eastAsia="Calibri"/>
          <w:szCs w:val="22"/>
          <w:lang w:eastAsia="en-US"/>
        </w:rPr>
      </w:pPr>
      <w:r w:rsidRPr="00363098">
        <w:rPr>
          <w:rFonts w:eastAsia="Calibri"/>
          <w:szCs w:val="22"/>
          <w:lang w:eastAsia="en-US"/>
        </w:rPr>
        <w:t xml:space="preserve">Другим крупным блоком мер, которые потребовали увеличения расходов федерального бюджета по сравнению с текущим законом, стало увеличение компенсационных и стимулирующих выплат медицинским работникам. С 2020 г. впервые вводятся единовременные компенсационные выплаты медицинским работникам, прибывшим на </w:t>
      </w:r>
      <w:r w:rsidR="00B01522" w:rsidRPr="00363098">
        <w:rPr>
          <w:rFonts w:eastAsia="Calibri"/>
          <w:szCs w:val="22"/>
          <w:lang w:eastAsia="en-US"/>
        </w:rPr>
        <w:t>работ</w:t>
      </w:r>
      <w:r w:rsidR="00B01522">
        <w:rPr>
          <w:rFonts w:eastAsia="Calibri"/>
          <w:szCs w:val="22"/>
          <w:lang w:eastAsia="en-US"/>
        </w:rPr>
        <w:t>у</w:t>
      </w:r>
      <w:r w:rsidR="00B01522" w:rsidRPr="00363098">
        <w:rPr>
          <w:rFonts w:eastAsia="Calibri"/>
          <w:szCs w:val="22"/>
          <w:lang w:eastAsia="en-US"/>
        </w:rPr>
        <w:t xml:space="preserve"> </w:t>
      </w:r>
      <w:r w:rsidRPr="00363098">
        <w:rPr>
          <w:rFonts w:eastAsia="Calibri"/>
          <w:szCs w:val="22"/>
          <w:lang w:eastAsia="en-US"/>
        </w:rPr>
        <w:t xml:space="preserve">в медицинские организации ФМБА России. В отличие от программы «Земский доктор» проект по привлечению новых специалистов в систему ФМБА носит краткосрочный характер: основную часть выплат планируется реализовать в 2020-2021 гг., ликвидировав наиболее острый дефицит специалистов. Общая сумма средств составит </w:t>
      </w:r>
      <w:r w:rsidR="00B01522">
        <w:rPr>
          <w:rFonts w:eastAsia="Calibri"/>
          <w:szCs w:val="22"/>
          <w:lang w:eastAsia="en-US"/>
        </w:rPr>
        <w:t>0,</w:t>
      </w:r>
      <w:r w:rsidRPr="00363098">
        <w:rPr>
          <w:rFonts w:eastAsia="Calibri"/>
          <w:szCs w:val="22"/>
          <w:lang w:eastAsia="en-US"/>
        </w:rPr>
        <w:t>2</w:t>
      </w:r>
      <w:r w:rsidR="00B01522">
        <w:rPr>
          <w:rFonts w:eastAsia="Calibri"/>
          <w:szCs w:val="22"/>
          <w:lang w:eastAsia="en-US"/>
        </w:rPr>
        <w:t xml:space="preserve"> млрд</w:t>
      </w:r>
      <w:r w:rsidRPr="00363098">
        <w:rPr>
          <w:rFonts w:eastAsia="Calibri"/>
          <w:szCs w:val="22"/>
          <w:lang w:eastAsia="en-US"/>
        </w:rPr>
        <w:t xml:space="preserve"> руб. Следует отметить, что приведенная сумма значительно ниже первоначальной заявки Минздрава России, предполагавшей привлечение в систему 435 врачей и 78 фельдшеров, что из расчета на предполагавшиеся ставки выплат составило бы</w:t>
      </w:r>
      <w:r w:rsidR="00B01522">
        <w:rPr>
          <w:rFonts w:eastAsia="Calibri"/>
          <w:szCs w:val="22"/>
          <w:lang w:eastAsia="en-US"/>
        </w:rPr>
        <w:t xml:space="preserve"> практически</w:t>
      </w:r>
      <w:r w:rsidRPr="00363098">
        <w:rPr>
          <w:rFonts w:eastAsia="Calibri"/>
          <w:szCs w:val="22"/>
          <w:lang w:eastAsia="en-US"/>
        </w:rPr>
        <w:t xml:space="preserve"> </w:t>
      </w:r>
      <w:r w:rsidR="00B01522">
        <w:rPr>
          <w:rFonts w:eastAsia="Calibri"/>
          <w:szCs w:val="22"/>
          <w:lang w:eastAsia="en-US"/>
        </w:rPr>
        <w:t>0,5 млрд</w:t>
      </w:r>
      <w:r w:rsidRPr="00363098">
        <w:rPr>
          <w:rFonts w:eastAsia="Calibri"/>
          <w:szCs w:val="22"/>
          <w:lang w:eastAsia="en-US"/>
        </w:rPr>
        <w:t xml:space="preserve"> руб. выплат.</w:t>
      </w:r>
    </w:p>
    <w:p w14:paraId="116D2210" w14:textId="69E75CA6" w:rsidR="00363098" w:rsidRPr="00363098" w:rsidRDefault="00363098" w:rsidP="00363098">
      <w:pPr>
        <w:spacing w:after="60"/>
        <w:ind w:firstLine="709"/>
        <w:jc w:val="both"/>
        <w:rPr>
          <w:rFonts w:eastAsia="Calibri"/>
          <w:szCs w:val="22"/>
          <w:lang w:eastAsia="en-US"/>
        </w:rPr>
      </w:pPr>
      <w:r w:rsidRPr="00363098">
        <w:rPr>
          <w:rFonts w:eastAsia="Calibri"/>
          <w:szCs w:val="22"/>
          <w:lang w:eastAsia="en-US"/>
        </w:rPr>
        <w:t>В совокупности субсидии на единовременные компенсационные выплаты медицинским работникам в рамках программ</w:t>
      </w:r>
      <w:r w:rsidR="00C43C68">
        <w:rPr>
          <w:rFonts w:eastAsia="Calibri"/>
          <w:szCs w:val="22"/>
          <w:lang w:eastAsia="en-US"/>
        </w:rPr>
        <w:t>ы</w:t>
      </w:r>
      <w:r w:rsidRPr="00363098">
        <w:rPr>
          <w:rFonts w:eastAsia="Calibri"/>
          <w:szCs w:val="22"/>
          <w:lang w:eastAsia="en-US"/>
        </w:rPr>
        <w:t xml:space="preserve"> «Земский доктор» в 2020-2022 гг. увеличены более чем в 2 раза (</w:t>
      </w:r>
      <w:r w:rsidR="00C43C68">
        <w:rPr>
          <w:rFonts w:eastAsia="Calibri"/>
          <w:szCs w:val="22"/>
          <w:lang w:eastAsia="en-US"/>
        </w:rPr>
        <w:t xml:space="preserve">порядка 6,6 млрд руб. ежегодно </w:t>
      </w:r>
      <w:r w:rsidRPr="00363098">
        <w:rPr>
          <w:rFonts w:eastAsia="Calibri"/>
          <w:szCs w:val="22"/>
          <w:lang w:eastAsia="en-US"/>
        </w:rPr>
        <w:t>в 2020</w:t>
      </w:r>
      <w:r w:rsidR="00C43C68">
        <w:rPr>
          <w:rFonts w:eastAsia="Calibri"/>
          <w:szCs w:val="22"/>
          <w:lang w:eastAsia="en-US"/>
        </w:rPr>
        <w:t>-2022 гг.</w:t>
      </w:r>
      <w:r w:rsidRPr="00363098">
        <w:rPr>
          <w:rFonts w:eastAsia="Calibri"/>
          <w:szCs w:val="22"/>
          <w:lang w:eastAsia="en-US"/>
        </w:rPr>
        <w:t>) по сравнению с размерами ассигнований, предусмотренными действующим бюджетом (3</w:t>
      </w:r>
      <w:r w:rsidR="00C43C68">
        <w:rPr>
          <w:rFonts w:eastAsia="Calibri"/>
          <w:szCs w:val="22"/>
          <w:lang w:eastAsia="en-US"/>
        </w:rPr>
        <w:t>,</w:t>
      </w:r>
      <w:r w:rsidRPr="00363098">
        <w:rPr>
          <w:rFonts w:eastAsia="Calibri"/>
          <w:szCs w:val="22"/>
          <w:lang w:eastAsia="en-US"/>
        </w:rPr>
        <w:t>2</w:t>
      </w:r>
      <w:r w:rsidR="00C43C68">
        <w:rPr>
          <w:rFonts w:eastAsia="Calibri"/>
          <w:szCs w:val="22"/>
          <w:lang w:eastAsia="en-US"/>
        </w:rPr>
        <w:t xml:space="preserve"> млрд</w:t>
      </w:r>
      <w:r w:rsidRPr="00363098">
        <w:rPr>
          <w:rFonts w:eastAsia="Calibri"/>
          <w:szCs w:val="22"/>
          <w:lang w:eastAsia="en-US"/>
        </w:rPr>
        <w:t xml:space="preserve"> руб. ежегодно). Помимо рассмотренной выше новой категории выплат рост расходов отражает ряд изменений действующей программы, принятых или планируемых к принятию в текущем году:</w:t>
      </w:r>
    </w:p>
    <w:p w14:paraId="22C07D08" w14:textId="77777777" w:rsidR="00363098" w:rsidRPr="00363098" w:rsidRDefault="00363098" w:rsidP="001173C1">
      <w:pPr>
        <w:numPr>
          <w:ilvl w:val="0"/>
          <w:numId w:val="15"/>
        </w:numPr>
        <w:spacing w:after="60"/>
        <w:ind w:left="1066" w:hanging="357"/>
        <w:jc w:val="both"/>
        <w:rPr>
          <w:rFonts w:eastAsia="Calibri"/>
          <w:szCs w:val="22"/>
          <w:lang w:eastAsia="en-US"/>
        </w:rPr>
      </w:pPr>
      <w:r w:rsidRPr="00363098">
        <w:rPr>
          <w:rFonts w:eastAsia="Calibri"/>
          <w:szCs w:val="22"/>
          <w:lang w:eastAsia="en-US"/>
        </w:rPr>
        <w:t>введение повышенного размера выплат для врачей и фельдшеров, участвующих в программе на особо сложных территориях;</w:t>
      </w:r>
    </w:p>
    <w:p w14:paraId="4D895EBE" w14:textId="77777777" w:rsidR="00363098" w:rsidRPr="00363098" w:rsidRDefault="00363098" w:rsidP="001173C1">
      <w:pPr>
        <w:numPr>
          <w:ilvl w:val="0"/>
          <w:numId w:val="15"/>
        </w:numPr>
        <w:spacing w:after="60"/>
        <w:ind w:left="1066" w:hanging="357"/>
        <w:jc w:val="both"/>
        <w:rPr>
          <w:rFonts w:eastAsia="Calibri"/>
          <w:szCs w:val="22"/>
          <w:lang w:eastAsia="en-US"/>
        </w:rPr>
      </w:pPr>
      <w:r w:rsidRPr="00363098">
        <w:rPr>
          <w:rFonts w:eastAsia="Calibri"/>
          <w:szCs w:val="22"/>
          <w:lang w:eastAsia="en-US"/>
        </w:rPr>
        <w:t>отмена возрастных ограничений для участников программы.</w:t>
      </w:r>
    </w:p>
    <w:p w14:paraId="2A0479C3" w14:textId="20F6ADB5" w:rsidR="00363098" w:rsidRPr="00363098" w:rsidRDefault="00363098" w:rsidP="00363098">
      <w:pPr>
        <w:spacing w:after="60"/>
        <w:ind w:firstLine="709"/>
        <w:jc w:val="both"/>
        <w:rPr>
          <w:rFonts w:eastAsia="Calibri"/>
          <w:szCs w:val="22"/>
          <w:lang w:eastAsia="en-US"/>
        </w:rPr>
      </w:pPr>
      <w:r w:rsidRPr="00363098">
        <w:rPr>
          <w:rFonts w:eastAsia="Calibri"/>
          <w:szCs w:val="22"/>
          <w:lang w:eastAsia="en-US"/>
        </w:rPr>
        <w:t>Другие стимулирующие выплаты, анонсированные Минздравом России (врачам-наставникам, персоналу организаций, использующих бережливые технологии) и Правительством России (врачам, ведущим доабортные консультации)</w:t>
      </w:r>
      <w:r w:rsidR="00D04FBA">
        <w:rPr>
          <w:rFonts w:eastAsia="Calibri"/>
          <w:szCs w:val="22"/>
          <w:lang w:eastAsia="en-US"/>
        </w:rPr>
        <w:t>,</w:t>
      </w:r>
      <w:r w:rsidRPr="00363098">
        <w:rPr>
          <w:rFonts w:eastAsia="Calibri"/>
          <w:szCs w:val="22"/>
          <w:lang w:eastAsia="en-US"/>
        </w:rPr>
        <w:t xml:space="preserve"> в тексте законопроекта и пояснительной записки не отражены.</w:t>
      </w:r>
    </w:p>
    <w:p w14:paraId="49E0929C" w14:textId="77777777" w:rsidR="00FE78DC" w:rsidRPr="00F804BF" w:rsidRDefault="00FE78DC" w:rsidP="00FE78DC">
      <w:pPr>
        <w:spacing w:after="60"/>
        <w:ind w:firstLine="709"/>
        <w:jc w:val="both"/>
      </w:pPr>
    </w:p>
    <w:p w14:paraId="47653A9F" w14:textId="77777777" w:rsidR="00FE78DC" w:rsidRPr="00C86838" w:rsidRDefault="00FE78DC" w:rsidP="00FE78DC">
      <w:pPr>
        <w:spacing w:after="60"/>
        <w:ind w:firstLine="709"/>
        <w:jc w:val="both"/>
        <w:rPr>
          <w:b/>
          <w:i/>
        </w:rPr>
      </w:pPr>
      <w:r w:rsidRPr="00C86838">
        <w:rPr>
          <w:b/>
          <w:i/>
        </w:rPr>
        <w:t>Федеральный фонд обязательного медицинского страхования</w:t>
      </w:r>
    </w:p>
    <w:p w14:paraId="4C5D95BD" w14:textId="6BDA2E02" w:rsidR="00363098" w:rsidRPr="00363098" w:rsidRDefault="00363098" w:rsidP="00363098">
      <w:pPr>
        <w:spacing w:after="60"/>
        <w:ind w:firstLine="709"/>
        <w:jc w:val="both"/>
        <w:rPr>
          <w:rFonts w:eastAsia="Calibri"/>
          <w:szCs w:val="22"/>
          <w:lang w:eastAsia="en-US"/>
        </w:rPr>
      </w:pPr>
      <w:bookmarkStart w:id="65" w:name="_Toc465959029"/>
      <w:r w:rsidRPr="00363098">
        <w:rPr>
          <w:rFonts w:eastAsia="Calibri"/>
          <w:szCs w:val="22"/>
          <w:lang w:eastAsia="en-US"/>
        </w:rPr>
        <w:t>Бюджет Федерального фонда ОМС не претерпел существенных изменений по сравнению с плановыми значениями на 2020 и 2021 гг., утвержденными действующим законом. Как доходы, так и расходы Фонда продолжат медленный рост (</w:t>
      </w:r>
      <w:r w:rsidR="00BE4072">
        <w:rPr>
          <w:rFonts w:eastAsia="Calibri"/>
          <w:i/>
          <w:szCs w:val="22"/>
          <w:lang w:eastAsia="en-US"/>
        </w:rPr>
        <w:t>рис.</w:t>
      </w:r>
      <w:r w:rsidRPr="009963C0">
        <w:rPr>
          <w:rFonts w:eastAsia="Calibri"/>
          <w:i/>
          <w:szCs w:val="22"/>
          <w:lang w:eastAsia="en-US"/>
        </w:rPr>
        <w:t xml:space="preserve"> 2</w:t>
      </w:r>
      <w:r w:rsidRPr="00363098">
        <w:rPr>
          <w:rFonts w:eastAsia="Calibri"/>
          <w:szCs w:val="22"/>
          <w:lang w:eastAsia="en-US"/>
        </w:rPr>
        <w:t xml:space="preserve">). </w:t>
      </w:r>
    </w:p>
    <w:p w14:paraId="3D463F30" w14:textId="77777777" w:rsidR="00363098" w:rsidRPr="00363098" w:rsidRDefault="00363098" w:rsidP="00363098">
      <w:pPr>
        <w:spacing w:after="60"/>
        <w:ind w:firstLine="709"/>
        <w:jc w:val="both"/>
        <w:rPr>
          <w:rFonts w:eastAsia="Calibri"/>
          <w:szCs w:val="22"/>
          <w:lang w:eastAsia="en-US"/>
        </w:rPr>
      </w:pPr>
      <w:r w:rsidRPr="00363098">
        <w:rPr>
          <w:rFonts w:eastAsia="Calibri"/>
          <w:szCs w:val="22"/>
          <w:lang w:eastAsia="en-US"/>
        </w:rPr>
        <w:t>Рост расходов Федерального фонда ОМС обусловлен преимущественно увеличением субвенций бюджетам территориальных фондов ОМС в целях финансового обеспечения переданных полномочий по организации ОМС на территории субъектов РФ. Увеличение субвенции отражает:</w:t>
      </w:r>
    </w:p>
    <w:p w14:paraId="4AF2F1DF" w14:textId="77777777" w:rsidR="00363098" w:rsidRPr="00363098" w:rsidRDefault="00363098" w:rsidP="001173C1">
      <w:pPr>
        <w:numPr>
          <w:ilvl w:val="0"/>
          <w:numId w:val="15"/>
        </w:numPr>
        <w:spacing w:after="60"/>
        <w:ind w:left="1066" w:hanging="357"/>
        <w:jc w:val="both"/>
        <w:rPr>
          <w:rFonts w:eastAsia="Calibri"/>
          <w:szCs w:val="22"/>
          <w:lang w:eastAsia="en-US"/>
        </w:rPr>
      </w:pPr>
      <w:r w:rsidRPr="00363098">
        <w:rPr>
          <w:rFonts w:eastAsia="Calibri"/>
          <w:szCs w:val="22"/>
          <w:lang w:eastAsia="en-US"/>
        </w:rPr>
        <w:t>сохранение соотношения заработной платы к среднемесячному доходу от трудовой деятельности для врачей и среднего медицинского персонала (200 и 100% соответственно) в условиях положительного экономического роста;</w:t>
      </w:r>
    </w:p>
    <w:p w14:paraId="6535E541" w14:textId="77777777" w:rsidR="00363098" w:rsidRPr="00363098" w:rsidRDefault="00363098" w:rsidP="001173C1">
      <w:pPr>
        <w:numPr>
          <w:ilvl w:val="0"/>
          <w:numId w:val="15"/>
        </w:numPr>
        <w:spacing w:after="60"/>
        <w:ind w:left="1066" w:hanging="357"/>
        <w:jc w:val="both"/>
        <w:rPr>
          <w:rFonts w:eastAsia="Calibri"/>
          <w:szCs w:val="22"/>
          <w:lang w:eastAsia="en-US"/>
        </w:rPr>
      </w:pPr>
      <w:r w:rsidRPr="00363098">
        <w:rPr>
          <w:rFonts w:eastAsia="Calibri"/>
          <w:szCs w:val="22"/>
          <w:lang w:eastAsia="en-US"/>
        </w:rPr>
        <w:t>увеличение заработной платы младшего медицинского персонала и прочих расходов на индекс потребительских цен;</w:t>
      </w:r>
    </w:p>
    <w:p w14:paraId="5FA8E85F" w14:textId="77777777" w:rsidR="00363098" w:rsidRPr="00363098" w:rsidRDefault="00363098" w:rsidP="001173C1">
      <w:pPr>
        <w:numPr>
          <w:ilvl w:val="0"/>
          <w:numId w:val="15"/>
        </w:numPr>
        <w:spacing w:after="60"/>
        <w:ind w:left="1066" w:hanging="357"/>
        <w:jc w:val="both"/>
        <w:rPr>
          <w:rFonts w:eastAsia="Calibri"/>
          <w:szCs w:val="22"/>
          <w:lang w:eastAsia="en-US"/>
        </w:rPr>
      </w:pPr>
      <w:r w:rsidRPr="00363098">
        <w:rPr>
          <w:rFonts w:eastAsia="Calibri"/>
          <w:szCs w:val="22"/>
          <w:lang w:eastAsia="en-US"/>
        </w:rPr>
        <w:t>финансовое обеспечение оказания медицинской помощи при онкологических заболеваниях в соответствии с клиническими рекомендациями;</w:t>
      </w:r>
    </w:p>
    <w:p w14:paraId="6DE764B8" w14:textId="77777777" w:rsidR="00363098" w:rsidRPr="00363098" w:rsidRDefault="00363098" w:rsidP="001173C1">
      <w:pPr>
        <w:numPr>
          <w:ilvl w:val="0"/>
          <w:numId w:val="15"/>
        </w:numPr>
        <w:spacing w:after="60"/>
        <w:ind w:left="1066" w:hanging="357"/>
        <w:jc w:val="both"/>
        <w:rPr>
          <w:rFonts w:eastAsia="Calibri"/>
          <w:szCs w:val="22"/>
          <w:lang w:eastAsia="en-US"/>
        </w:rPr>
      </w:pPr>
      <w:r w:rsidRPr="00363098">
        <w:rPr>
          <w:rFonts w:eastAsia="Calibri"/>
          <w:szCs w:val="22"/>
          <w:lang w:eastAsia="en-US"/>
        </w:rPr>
        <w:t>включение в базовую программу ОМС методов конформной дистанционной лучевой терапии;</w:t>
      </w:r>
    </w:p>
    <w:p w14:paraId="610FC95F" w14:textId="77777777" w:rsidR="00363098" w:rsidRPr="00363098" w:rsidRDefault="00363098" w:rsidP="001173C1">
      <w:pPr>
        <w:numPr>
          <w:ilvl w:val="0"/>
          <w:numId w:val="15"/>
        </w:numPr>
        <w:spacing w:after="60"/>
        <w:ind w:left="1066" w:hanging="357"/>
        <w:jc w:val="both"/>
        <w:rPr>
          <w:rFonts w:eastAsia="Calibri"/>
          <w:szCs w:val="22"/>
          <w:lang w:eastAsia="en-US"/>
        </w:rPr>
      </w:pPr>
      <w:r w:rsidRPr="00363098">
        <w:rPr>
          <w:rFonts w:eastAsia="Calibri"/>
          <w:szCs w:val="22"/>
          <w:lang w:eastAsia="en-US"/>
        </w:rPr>
        <w:t>реализацию обновленных порядков проведения диспансеризации населения и профилактических медицинских осмотров;</w:t>
      </w:r>
    </w:p>
    <w:p w14:paraId="35AD3C52" w14:textId="7E0A6075" w:rsidR="00363098" w:rsidRDefault="00363098" w:rsidP="001173C1">
      <w:pPr>
        <w:numPr>
          <w:ilvl w:val="0"/>
          <w:numId w:val="15"/>
        </w:numPr>
        <w:spacing w:after="60"/>
        <w:ind w:left="1066" w:hanging="357"/>
        <w:jc w:val="both"/>
        <w:rPr>
          <w:rFonts w:eastAsia="Calibri"/>
          <w:szCs w:val="22"/>
          <w:lang w:eastAsia="en-US"/>
        </w:rPr>
      </w:pPr>
      <w:r w:rsidRPr="00363098">
        <w:rPr>
          <w:rFonts w:eastAsia="Calibri"/>
          <w:szCs w:val="22"/>
          <w:lang w:eastAsia="en-US"/>
        </w:rPr>
        <w:t>новую модель финансового обеспечения дорогостоящих диагностических и лабораторных исследований.</w:t>
      </w:r>
    </w:p>
    <w:p w14:paraId="6F237464" w14:textId="77777777" w:rsidR="00363098" w:rsidRDefault="00363098" w:rsidP="00363098">
      <w:pPr>
        <w:spacing w:after="60"/>
        <w:ind w:left="1066"/>
        <w:contextualSpacing/>
        <w:jc w:val="both"/>
        <w:rPr>
          <w:rFonts w:eastAsia="Calibri"/>
          <w:szCs w:val="22"/>
          <w:lang w:eastAsia="en-US"/>
        </w:rPr>
      </w:pPr>
    </w:p>
    <w:p w14:paraId="4A855C1C" w14:textId="11378209" w:rsidR="00363098" w:rsidRDefault="00363098" w:rsidP="00363098">
      <w:r>
        <w:rPr>
          <w:noProof/>
        </w:rPr>
        <w:drawing>
          <wp:inline distT="0" distB="0" distL="0" distR="0" wp14:anchorId="5F3D5D0C" wp14:editId="50278F7E">
            <wp:extent cx="5797550" cy="3683000"/>
            <wp:effectExtent l="0" t="0" r="6350" b="12700"/>
            <wp:docPr id="3" name="Диаграмма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5C208DA-8002-BF47-A903-27AF216ABF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EE5196">
        <w:rPr>
          <w:noProof/>
        </w:rPr>
        <w:t xml:space="preserve"> </w:t>
      </w:r>
    </w:p>
    <w:p w14:paraId="02EB18A7" w14:textId="77777777" w:rsidR="00C43C68" w:rsidRPr="00363098" w:rsidRDefault="00C43C68" w:rsidP="00C43C68">
      <w:pPr>
        <w:ind w:firstLine="708"/>
        <w:jc w:val="both"/>
        <w:rPr>
          <w:sz w:val="22"/>
        </w:rPr>
      </w:pPr>
      <w:r w:rsidRPr="00C43C68">
        <w:rPr>
          <w:i/>
          <w:sz w:val="22"/>
        </w:rPr>
        <w:t>Источник</w:t>
      </w:r>
      <w:r w:rsidRPr="00363098">
        <w:rPr>
          <w:sz w:val="22"/>
        </w:rPr>
        <w:t>: Федеральный закон от 28.11.2018 № 433-ФЗ «О бюджете Федерального фонда обязательного медицинского страхования на 2019 год и на плановый период 2020 и 2021 годов», проект федерального закона «О бюджете Федерального фонда обязательного медицинского страхования на 2020 год и на плановый период 2021 и 2022 годов».</w:t>
      </w:r>
    </w:p>
    <w:p w14:paraId="792B8678" w14:textId="5C24E1A0" w:rsidR="00363098" w:rsidRPr="00363098" w:rsidRDefault="00363098" w:rsidP="00C43C68">
      <w:pPr>
        <w:spacing w:before="120" w:after="120"/>
        <w:jc w:val="center"/>
        <w:rPr>
          <w:b/>
        </w:rPr>
      </w:pPr>
      <w:r w:rsidRPr="009963C0">
        <w:rPr>
          <w:b/>
          <w:i/>
        </w:rPr>
        <w:t>Рис</w:t>
      </w:r>
      <w:r w:rsidR="00C43C68" w:rsidRPr="009963C0">
        <w:rPr>
          <w:b/>
          <w:i/>
        </w:rPr>
        <w:t xml:space="preserve">. </w:t>
      </w:r>
      <w:r w:rsidRPr="009963C0">
        <w:rPr>
          <w:b/>
          <w:i/>
        </w:rPr>
        <w:t>2</w:t>
      </w:r>
      <w:r w:rsidR="00C43C68" w:rsidRPr="009963C0">
        <w:rPr>
          <w:b/>
          <w:i/>
        </w:rPr>
        <w:t>.</w:t>
      </w:r>
      <w:r w:rsidR="00C43C68">
        <w:rPr>
          <w:b/>
        </w:rPr>
        <w:t xml:space="preserve"> </w:t>
      </w:r>
      <w:r w:rsidRPr="00363098">
        <w:rPr>
          <w:b/>
        </w:rPr>
        <w:t>Динамика бюджета Федерального фонда ОМС в 20</w:t>
      </w:r>
      <w:r w:rsidR="00D04FBA">
        <w:rPr>
          <w:b/>
        </w:rPr>
        <w:t>20</w:t>
      </w:r>
      <w:r w:rsidRPr="00363098">
        <w:rPr>
          <w:b/>
        </w:rPr>
        <w:t>-2022 гг.</w:t>
      </w:r>
    </w:p>
    <w:p w14:paraId="79DB125B" w14:textId="77777777" w:rsidR="009963C0" w:rsidRDefault="009963C0" w:rsidP="00363098">
      <w:pPr>
        <w:spacing w:after="60"/>
        <w:ind w:firstLine="709"/>
        <w:jc w:val="both"/>
        <w:rPr>
          <w:sz w:val="22"/>
        </w:rPr>
      </w:pPr>
    </w:p>
    <w:p w14:paraId="34CD42AA" w14:textId="71BDF260" w:rsidR="00363098" w:rsidRDefault="00363098" w:rsidP="00363098">
      <w:pPr>
        <w:spacing w:after="60"/>
        <w:ind w:firstLine="709"/>
        <w:jc w:val="both"/>
      </w:pPr>
      <w:r>
        <w:t xml:space="preserve">Законопроект также предусматривает увеличение размера средств нормированного страхового запаса (в 2020 г. </w:t>
      </w:r>
      <w:r w:rsidR="00917697">
        <w:t>–</w:t>
      </w:r>
      <w:r>
        <w:t xml:space="preserve"> 21,1 млрд</w:t>
      </w:r>
      <w:r w:rsidR="00917697">
        <w:t xml:space="preserve"> </w:t>
      </w:r>
      <w:r>
        <w:t xml:space="preserve">руб., 2021 г. </w:t>
      </w:r>
      <w:r w:rsidR="00917697">
        <w:t>–</w:t>
      </w:r>
      <w:r>
        <w:t xml:space="preserve"> 29,7 млрд руб., 2022 г. </w:t>
      </w:r>
      <w:r w:rsidR="00917697">
        <w:t>–</w:t>
      </w:r>
      <w:r>
        <w:t xml:space="preserve"> 38,3 млрд руб.), отражающее изменившуюся роль данного инструмента. Кроме традиционных функций по дополнительному финансовому обеспечению реализации территориальных программ ОМС и оплате медицинской помощи, оказанной застрахованному населению на территории иных субъектов РФ, средства нормированного страхового запаса будут активно использоваться для финансирования мероприятий по повышению качества и доступности медицинской помощи в субъектах РФ:</w:t>
      </w:r>
    </w:p>
    <w:p w14:paraId="41834641" w14:textId="77777777" w:rsidR="00363098" w:rsidRDefault="00363098" w:rsidP="001173C1">
      <w:pPr>
        <w:pStyle w:val="afc"/>
        <w:numPr>
          <w:ilvl w:val="0"/>
          <w:numId w:val="15"/>
        </w:numPr>
        <w:spacing w:before="0" w:after="60"/>
        <w:ind w:left="1066" w:hanging="357"/>
      </w:pPr>
      <w:r>
        <w:t>организации дополнительного профессионального образования медицинских работников;</w:t>
      </w:r>
    </w:p>
    <w:p w14:paraId="642B04ED" w14:textId="77777777" w:rsidR="00363098" w:rsidRDefault="00363098" w:rsidP="001173C1">
      <w:pPr>
        <w:pStyle w:val="afc"/>
        <w:numPr>
          <w:ilvl w:val="0"/>
          <w:numId w:val="15"/>
        </w:numPr>
        <w:spacing w:before="0" w:after="60"/>
        <w:ind w:left="1066" w:hanging="357"/>
      </w:pPr>
      <w:r>
        <w:t>приобретению и проведению ремонта медицинского оборудования;</w:t>
      </w:r>
    </w:p>
    <w:p w14:paraId="6168E5B7" w14:textId="1F084D3B" w:rsidR="00363098" w:rsidRDefault="00917697" w:rsidP="001173C1">
      <w:pPr>
        <w:pStyle w:val="afc"/>
        <w:numPr>
          <w:ilvl w:val="0"/>
          <w:numId w:val="15"/>
        </w:numPr>
        <w:spacing w:before="0" w:after="60"/>
        <w:ind w:left="1066" w:hanging="357"/>
      </w:pPr>
      <w:r>
        <w:t xml:space="preserve">софинансированию </w:t>
      </w:r>
      <w:r w:rsidR="00363098">
        <w:t>расходов медицинских организаций на оплату труда врачей и среднего медицинского персонала.</w:t>
      </w:r>
    </w:p>
    <w:p w14:paraId="104193B8" w14:textId="77777777" w:rsidR="00363098" w:rsidRDefault="00363098" w:rsidP="00363098">
      <w:pPr>
        <w:spacing w:after="60"/>
        <w:ind w:firstLine="709"/>
        <w:jc w:val="both"/>
      </w:pPr>
      <w:r>
        <w:t>Средства нормированного страхового запаса Федерального фонда ОМС также будут направляться на осуществление стимулирующих выплат за выявление в ходе проведения диспансеризации и профилактических медицинских осмотров населения онкологических заболеваний.</w:t>
      </w:r>
    </w:p>
    <w:p w14:paraId="3ECCC572" w14:textId="1C8789C2" w:rsidR="00363098" w:rsidRDefault="00363098" w:rsidP="00363098">
      <w:pPr>
        <w:spacing w:after="60"/>
        <w:ind w:firstLine="709"/>
        <w:jc w:val="both"/>
      </w:pPr>
      <w:r>
        <w:t>Дефицит бюджета Фонда предлагается покрывать за счет переходящих остатков средств бюджета Фонда. Однако увеличение дефицита бюджета Фонда будет значительно опережать рост доходов, что может привести к трудностям при балансировке бюджета.</w:t>
      </w:r>
    </w:p>
    <w:p w14:paraId="59D852C4" w14:textId="77777777" w:rsidR="00FE78DC" w:rsidRPr="00FE78DC" w:rsidRDefault="00FE78DC" w:rsidP="00FE78DC">
      <w:pPr>
        <w:ind w:firstLine="567"/>
        <w:jc w:val="both"/>
      </w:pPr>
    </w:p>
    <w:p w14:paraId="708FF7FA" w14:textId="0AA8ACBC" w:rsidR="00995E45" w:rsidRPr="008E6B24" w:rsidRDefault="00995E45" w:rsidP="0035761E">
      <w:pPr>
        <w:keepNext/>
        <w:spacing w:before="60" w:after="60"/>
        <w:jc w:val="center"/>
        <w:outlineLvl w:val="2"/>
        <w:rPr>
          <w:b/>
          <w:szCs w:val="20"/>
        </w:rPr>
      </w:pPr>
      <w:bookmarkStart w:id="66" w:name="_Toc21436756"/>
      <w:r w:rsidRPr="00BE65E2">
        <w:rPr>
          <w:b/>
          <w:szCs w:val="20"/>
        </w:rPr>
        <w:t>Расходы на социальное обеспечение</w:t>
      </w:r>
      <w:bookmarkEnd w:id="65"/>
      <w:r w:rsidR="0024133A" w:rsidRPr="00BE65E2">
        <w:rPr>
          <w:b/>
          <w:szCs w:val="20"/>
        </w:rPr>
        <w:t xml:space="preserve"> и бюджет ФСС</w:t>
      </w:r>
      <w:bookmarkEnd w:id="66"/>
    </w:p>
    <w:p w14:paraId="530EE55B" w14:textId="77777777" w:rsidR="00F82847" w:rsidRPr="00C86838" w:rsidRDefault="00F82847" w:rsidP="00F82847">
      <w:pPr>
        <w:spacing w:after="60"/>
        <w:ind w:firstLine="709"/>
        <w:jc w:val="both"/>
        <w:rPr>
          <w:b/>
          <w:i/>
        </w:rPr>
      </w:pPr>
      <w:r w:rsidRPr="00C86838">
        <w:rPr>
          <w:b/>
          <w:i/>
        </w:rPr>
        <w:t>Федеральный бюджет</w:t>
      </w:r>
    </w:p>
    <w:p w14:paraId="4B67368F" w14:textId="034876E1" w:rsidR="00F37385" w:rsidRPr="00DA7388" w:rsidRDefault="00F82847" w:rsidP="00F37385">
      <w:pPr>
        <w:pStyle w:val="NormalANX"/>
        <w:spacing w:before="0" w:after="60" w:line="240" w:lineRule="auto"/>
        <w:ind w:firstLine="709"/>
        <w:rPr>
          <w:sz w:val="24"/>
          <w:szCs w:val="24"/>
        </w:rPr>
      </w:pPr>
      <w:r>
        <w:rPr>
          <w:rFonts w:eastAsia="Calibri"/>
          <w:sz w:val="24"/>
          <w:szCs w:val="24"/>
        </w:rPr>
        <w:t>Федеральный б</w:t>
      </w:r>
      <w:r w:rsidR="00F37385" w:rsidRPr="00125256">
        <w:rPr>
          <w:rFonts w:eastAsia="Calibri"/>
          <w:sz w:val="24"/>
          <w:szCs w:val="24"/>
        </w:rPr>
        <w:t xml:space="preserve">юджет в части расходов на социальную политику </w:t>
      </w:r>
      <w:r w:rsidR="00F37385" w:rsidRPr="00125256">
        <w:rPr>
          <w:sz w:val="24"/>
          <w:szCs w:val="24"/>
        </w:rPr>
        <w:t xml:space="preserve">сформирован с учетом реализации национальных целей и ключевых приоритетов на период до 2024 года, заданных </w:t>
      </w:r>
      <w:r w:rsidR="00F37385">
        <w:rPr>
          <w:sz w:val="24"/>
          <w:szCs w:val="24"/>
        </w:rPr>
        <w:t>майским У</w:t>
      </w:r>
      <w:r w:rsidR="00F37385" w:rsidRPr="00125256">
        <w:rPr>
          <w:sz w:val="24"/>
          <w:szCs w:val="24"/>
        </w:rPr>
        <w:t>казом Президента Р</w:t>
      </w:r>
      <w:r w:rsidR="00F37385">
        <w:rPr>
          <w:sz w:val="24"/>
          <w:szCs w:val="24"/>
        </w:rPr>
        <w:t xml:space="preserve">Ф, в котором были поставлены задачи снижения уровня бедности в два раза, </w:t>
      </w:r>
      <w:r w:rsidR="00F37385" w:rsidRPr="00125256">
        <w:rPr>
          <w:sz w:val="24"/>
          <w:szCs w:val="24"/>
        </w:rPr>
        <w:t>увеличени</w:t>
      </w:r>
      <w:r w:rsidR="00F37385">
        <w:rPr>
          <w:sz w:val="24"/>
          <w:szCs w:val="24"/>
        </w:rPr>
        <w:t>я</w:t>
      </w:r>
      <w:r w:rsidR="00F37385" w:rsidRPr="00125256">
        <w:rPr>
          <w:sz w:val="24"/>
          <w:szCs w:val="24"/>
        </w:rPr>
        <w:t xml:space="preserve"> суммарного </w:t>
      </w:r>
      <w:r w:rsidR="00F37385">
        <w:rPr>
          <w:sz w:val="24"/>
          <w:szCs w:val="24"/>
        </w:rPr>
        <w:t>коэффициента рождаемости до 1,7 и</w:t>
      </w:r>
      <w:r w:rsidR="00F37385" w:rsidRPr="00125256">
        <w:rPr>
          <w:sz w:val="24"/>
          <w:szCs w:val="24"/>
        </w:rPr>
        <w:t xml:space="preserve"> внедрени</w:t>
      </w:r>
      <w:r w:rsidR="00F37385">
        <w:rPr>
          <w:sz w:val="24"/>
          <w:szCs w:val="24"/>
        </w:rPr>
        <w:t>я</w:t>
      </w:r>
      <w:r w:rsidR="00F37385" w:rsidRPr="00125256">
        <w:rPr>
          <w:sz w:val="24"/>
          <w:szCs w:val="24"/>
        </w:rPr>
        <w:t xml:space="preserve"> механизма финансовой поддержки семей при рождении детей</w:t>
      </w:r>
      <w:r w:rsidR="00F37385">
        <w:rPr>
          <w:sz w:val="24"/>
          <w:szCs w:val="24"/>
        </w:rPr>
        <w:t>.</w:t>
      </w:r>
    </w:p>
    <w:p w14:paraId="51A4EEA1" w14:textId="77777777" w:rsidR="00F37385" w:rsidRPr="00DA7388" w:rsidRDefault="00F37385" w:rsidP="00F37385">
      <w:pPr>
        <w:pStyle w:val="NormalANX"/>
        <w:spacing w:before="0" w:after="60" w:line="240" w:lineRule="auto"/>
        <w:ind w:firstLine="709"/>
        <w:rPr>
          <w:sz w:val="24"/>
          <w:szCs w:val="24"/>
        </w:rPr>
      </w:pPr>
      <w:r w:rsidRPr="00DA7388">
        <w:rPr>
          <w:sz w:val="24"/>
          <w:szCs w:val="24"/>
        </w:rPr>
        <w:t xml:space="preserve">Доля расходов на социальную политику по отношению к объему ВВП существенно уменьшается (с </w:t>
      </w:r>
      <w:r>
        <w:rPr>
          <w:sz w:val="24"/>
          <w:szCs w:val="24"/>
        </w:rPr>
        <w:t>4</w:t>
      </w:r>
      <w:r w:rsidRPr="00DA7388">
        <w:rPr>
          <w:sz w:val="24"/>
          <w:szCs w:val="24"/>
        </w:rPr>
        <w:t>,</w:t>
      </w:r>
      <w:r>
        <w:rPr>
          <w:sz w:val="24"/>
          <w:szCs w:val="24"/>
        </w:rPr>
        <w:t>4</w:t>
      </w:r>
      <w:r w:rsidRPr="00DA7388">
        <w:rPr>
          <w:sz w:val="24"/>
          <w:szCs w:val="24"/>
        </w:rPr>
        <w:t>% в 201</w:t>
      </w:r>
      <w:r>
        <w:rPr>
          <w:sz w:val="24"/>
          <w:szCs w:val="24"/>
        </w:rPr>
        <w:t>8</w:t>
      </w:r>
      <w:r w:rsidRPr="00DA7388">
        <w:rPr>
          <w:sz w:val="24"/>
          <w:szCs w:val="24"/>
        </w:rPr>
        <w:t xml:space="preserve"> году до </w:t>
      </w:r>
      <w:r>
        <w:rPr>
          <w:sz w:val="24"/>
          <w:szCs w:val="24"/>
        </w:rPr>
        <w:t>3</w:t>
      </w:r>
      <w:r w:rsidRPr="00DA7388">
        <w:rPr>
          <w:sz w:val="24"/>
          <w:szCs w:val="24"/>
        </w:rPr>
        <w:t>,</w:t>
      </w:r>
      <w:r>
        <w:rPr>
          <w:sz w:val="24"/>
          <w:szCs w:val="24"/>
        </w:rPr>
        <w:t>7</w:t>
      </w:r>
      <w:r w:rsidRPr="00DA7388">
        <w:rPr>
          <w:sz w:val="24"/>
          <w:szCs w:val="24"/>
        </w:rPr>
        <w:t>% в 202</w:t>
      </w:r>
      <w:r>
        <w:rPr>
          <w:sz w:val="24"/>
          <w:szCs w:val="24"/>
        </w:rPr>
        <w:t>2</w:t>
      </w:r>
      <w:r w:rsidRPr="00DA7388">
        <w:rPr>
          <w:sz w:val="24"/>
          <w:szCs w:val="24"/>
        </w:rPr>
        <w:t xml:space="preserve"> году), как и доля в общем объеме расходов федерального бюджета (с 3</w:t>
      </w:r>
      <w:r>
        <w:rPr>
          <w:sz w:val="24"/>
          <w:szCs w:val="24"/>
        </w:rPr>
        <w:t>2</w:t>
      </w:r>
      <w:r w:rsidRPr="00DA7388">
        <w:rPr>
          <w:sz w:val="24"/>
          <w:szCs w:val="24"/>
        </w:rPr>
        <w:t>,</w:t>
      </w:r>
      <w:r>
        <w:rPr>
          <w:sz w:val="24"/>
          <w:szCs w:val="24"/>
        </w:rPr>
        <w:t>9</w:t>
      </w:r>
      <w:r w:rsidRPr="00DA7388">
        <w:rPr>
          <w:sz w:val="24"/>
          <w:szCs w:val="24"/>
        </w:rPr>
        <w:t>% в 201</w:t>
      </w:r>
      <w:r>
        <w:rPr>
          <w:sz w:val="24"/>
          <w:szCs w:val="24"/>
        </w:rPr>
        <w:t>8</w:t>
      </w:r>
      <w:r w:rsidRPr="00DA7388">
        <w:rPr>
          <w:sz w:val="24"/>
          <w:szCs w:val="24"/>
        </w:rPr>
        <w:t xml:space="preserve"> году до 2</w:t>
      </w:r>
      <w:r>
        <w:rPr>
          <w:sz w:val="24"/>
          <w:szCs w:val="24"/>
        </w:rPr>
        <w:t>7</w:t>
      </w:r>
      <w:r w:rsidRPr="00DA7388">
        <w:rPr>
          <w:sz w:val="24"/>
          <w:szCs w:val="24"/>
        </w:rPr>
        <w:t>,</w:t>
      </w:r>
      <w:r>
        <w:rPr>
          <w:sz w:val="24"/>
          <w:szCs w:val="24"/>
        </w:rPr>
        <w:t>9</w:t>
      </w:r>
      <w:r w:rsidRPr="00DA7388">
        <w:rPr>
          <w:sz w:val="24"/>
          <w:szCs w:val="24"/>
        </w:rPr>
        <w:t>% в 202</w:t>
      </w:r>
      <w:r>
        <w:rPr>
          <w:sz w:val="24"/>
          <w:szCs w:val="24"/>
        </w:rPr>
        <w:t>2 году), поэтому бюджет можно охарактеризовать как высокоэкономичный.</w:t>
      </w:r>
    </w:p>
    <w:p w14:paraId="3F6378CB" w14:textId="18CB9B79" w:rsidR="00F37385" w:rsidRDefault="00F37385" w:rsidP="00F37385">
      <w:pPr>
        <w:pStyle w:val="NormalANX"/>
        <w:spacing w:before="0" w:after="60" w:line="240" w:lineRule="auto"/>
        <w:ind w:firstLine="709"/>
        <w:rPr>
          <w:rFonts w:eastAsia="Calibri"/>
          <w:sz w:val="24"/>
          <w:szCs w:val="24"/>
        </w:rPr>
      </w:pPr>
      <w:r w:rsidRPr="00DA7388">
        <w:rPr>
          <w:sz w:val="24"/>
          <w:szCs w:val="24"/>
        </w:rPr>
        <w:t>Структура расходов, несмотря на некоторое уменьшение расходов на пенсионное обеспечение</w:t>
      </w:r>
      <w:r>
        <w:rPr>
          <w:sz w:val="24"/>
          <w:szCs w:val="24"/>
        </w:rPr>
        <w:t xml:space="preserve"> (с 69,1% в 2018 году до 61,7% в 2022 году)</w:t>
      </w:r>
      <w:r w:rsidRPr="00DA7388">
        <w:rPr>
          <w:sz w:val="24"/>
          <w:szCs w:val="24"/>
        </w:rPr>
        <w:t>, остается практически неизменной. П</w:t>
      </w:r>
      <w:r w:rsidRPr="00DA7388">
        <w:rPr>
          <w:spacing w:val="-4"/>
          <w:sz w:val="24"/>
          <w:szCs w:val="24"/>
        </w:rPr>
        <w:t>одавляющее место в ней занимают расходы на пенсионные выплаты (</w:t>
      </w:r>
      <w:r w:rsidR="009963C0" w:rsidRPr="009963C0">
        <w:rPr>
          <w:i/>
          <w:spacing w:val="-4"/>
          <w:sz w:val="24"/>
          <w:szCs w:val="24"/>
        </w:rPr>
        <w:t xml:space="preserve">таблица </w:t>
      </w:r>
      <w:r w:rsidR="008529A6" w:rsidRPr="008529A6">
        <w:rPr>
          <w:i/>
          <w:noProof/>
          <w:sz w:val="24"/>
          <w:szCs w:val="24"/>
        </w:rPr>
        <w:t>30</w:t>
      </w:r>
      <w:r w:rsidRPr="00DA7388">
        <w:rPr>
          <w:spacing w:val="-4"/>
          <w:sz w:val="24"/>
          <w:szCs w:val="24"/>
        </w:rPr>
        <w:t xml:space="preserve">). </w:t>
      </w:r>
      <w:r w:rsidRPr="00DA7388">
        <w:rPr>
          <w:rFonts w:eastAsia="Calibri"/>
          <w:sz w:val="24"/>
          <w:szCs w:val="24"/>
        </w:rPr>
        <w:t>Наблюдается некоторое увеличение расходов практически по всем разделам и в целом на социальную политику, однако его</w:t>
      </w:r>
      <w:r>
        <w:rPr>
          <w:rFonts w:eastAsia="Calibri"/>
          <w:sz w:val="24"/>
          <w:szCs w:val="24"/>
        </w:rPr>
        <w:t xml:space="preserve"> нельзя назвать</w:t>
      </w:r>
      <w:r w:rsidRPr="00FC1358">
        <w:rPr>
          <w:rFonts w:eastAsia="Calibri"/>
          <w:sz w:val="24"/>
          <w:szCs w:val="24"/>
        </w:rPr>
        <w:t xml:space="preserve"> </w:t>
      </w:r>
      <w:r>
        <w:rPr>
          <w:rFonts w:eastAsia="Calibri"/>
          <w:sz w:val="24"/>
          <w:szCs w:val="24"/>
        </w:rPr>
        <w:t>существенным.</w:t>
      </w:r>
    </w:p>
    <w:p w14:paraId="661DE992" w14:textId="77777777" w:rsidR="00F37385" w:rsidRPr="00001C97" w:rsidRDefault="00F37385" w:rsidP="00F37385">
      <w:pPr>
        <w:pStyle w:val="NormalANX"/>
        <w:spacing w:before="0" w:after="60" w:line="240" w:lineRule="auto"/>
        <w:ind w:firstLine="709"/>
        <w:rPr>
          <w:spacing w:val="-4"/>
          <w:sz w:val="24"/>
          <w:szCs w:val="24"/>
        </w:rPr>
      </w:pPr>
      <w:r>
        <w:rPr>
          <w:rFonts w:eastAsia="Calibri"/>
          <w:sz w:val="24"/>
          <w:szCs w:val="24"/>
        </w:rPr>
        <w:t>Исключением является раздел «</w:t>
      </w:r>
      <w:r w:rsidRPr="006C1F32">
        <w:rPr>
          <w:rFonts w:eastAsia="Calibri"/>
          <w:sz w:val="24"/>
          <w:szCs w:val="24"/>
        </w:rPr>
        <w:t>Другие вопросы в области социальной политики</w:t>
      </w:r>
      <w:r>
        <w:rPr>
          <w:rFonts w:eastAsia="Calibri"/>
          <w:sz w:val="24"/>
          <w:szCs w:val="24"/>
        </w:rPr>
        <w:t xml:space="preserve">», где наблюдается существенный рост расходов (с 10 млрд руб. в 2018 году до 23 млрд руб. в 2022 году). Это вызвано реализацией программы </w:t>
      </w:r>
      <w:r w:rsidRPr="006C1F32">
        <w:rPr>
          <w:rFonts w:eastAsia="Calibri"/>
          <w:sz w:val="24"/>
          <w:szCs w:val="24"/>
        </w:rPr>
        <w:t>совершенствовани</w:t>
      </w:r>
      <w:r>
        <w:rPr>
          <w:rFonts w:eastAsia="Calibri"/>
          <w:sz w:val="24"/>
          <w:szCs w:val="24"/>
        </w:rPr>
        <w:t>я</w:t>
      </w:r>
      <w:r w:rsidRPr="006C1F32">
        <w:rPr>
          <w:rFonts w:eastAsia="Calibri"/>
          <w:sz w:val="24"/>
          <w:szCs w:val="24"/>
        </w:rPr>
        <w:t xml:space="preserve"> механизма социального контракта</w:t>
      </w:r>
      <w:r>
        <w:rPr>
          <w:rFonts w:eastAsia="Calibri"/>
          <w:sz w:val="24"/>
          <w:szCs w:val="24"/>
        </w:rPr>
        <w:t>, на которую планируется выделять</w:t>
      </w:r>
      <w:r w:rsidRPr="006C1F32">
        <w:rPr>
          <w:rFonts w:eastAsia="Calibri"/>
          <w:sz w:val="24"/>
          <w:szCs w:val="24"/>
        </w:rPr>
        <w:t xml:space="preserve"> 7 </w:t>
      </w:r>
      <w:r>
        <w:rPr>
          <w:rFonts w:eastAsia="Calibri"/>
          <w:sz w:val="24"/>
          <w:szCs w:val="24"/>
        </w:rPr>
        <w:t>млрд</w:t>
      </w:r>
      <w:r w:rsidRPr="006C1F32">
        <w:rPr>
          <w:rFonts w:eastAsia="Calibri"/>
          <w:sz w:val="24"/>
          <w:szCs w:val="24"/>
        </w:rPr>
        <w:t xml:space="preserve"> руб</w:t>
      </w:r>
      <w:r>
        <w:rPr>
          <w:rFonts w:eastAsia="Calibri"/>
          <w:sz w:val="24"/>
          <w:szCs w:val="24"/>
        </w:rPr>
        <w:t>.</w:t>
      </w:r>
      <w:r w:rsidRPr="006C1F32">
        <w:rPr>
          <w:rFonts w:eastAsia="Calibri"/>
          <w:sz w:val="24"/>
          <w:szCs w:val="24"/>
        </w:rPr>
        <w:t xml:space="preserve"> ежегодно</w:t>
      </w:r>
      <w:r>
        <w:rPr>
          <w:rFonts w:eastAsia="Calibri"/>
          <w:sz w:val="24"/>
          <w:szCs w:val="24"/>
        </w:rPr>
        <w:t>.</w:t>
      </w:r>
    </w:p>
    <w:p w14:paraId="58B672CB" w14:textId="44D3D33F" w:rsidR="009963C0" w:rsidRPr="00600DF7" w:rsidRDefault="009963C0" w:rsidP="009963C0">
      <w:pPr>
        <w:spacing w:after="60"/>
        <w:jc w:val="right"/>
        <w:rPr>
          <w:i/>
        </w:rPr>
      </w:pPr>
      <w:bookmarkStart w:id="67" w:name="_Ref21213868"/>
      <w:r w:rsidRPr="00600DF7">
        <w:rPr>
          <w:i/>
        </w:rPr>
        <w:t>Таблица</w:t>
      </w:r>
      <w:r>
        <w:rPr>
          <w:i/>
        </w:rPr>
        <w:t xml:space="preserve"> </w:t>
      </w:r>
      <w:bookmarkStart w:id="68" w:name="_Ref21347760"/>
      <w:r w:rsidR="00C84D38">
        <w:rPr>
          <w:i/>
          <w:noProof/>
        </w:rPr>
        <w:t>30</w:t>
      </w:r>
      <w:bookmarkEnd w:id="68"/>
    </w:p>
    <w:bookmarkEnd w:id="67"/>
    <w:p w14:paraId="3CCB7427" w14:textId="77777777" w:rsidR="00F37385" w:rsidRPr="009968EA" w:rsidRDefault="00F37385" w:rsidP="00F37385">
      <w:pPr>
        <w:pStyle w:val="af7"/>
        <w:spacing w:before="0" w:after="60"/>
        <w:rPr>
          <w:i/>
          <w:szCs w:val="24"/>
        </w:rPr>
      </w:pPr>
      <w:r w:rsidRPr="009968EA">
        <w:rPr>
          <w:szCs w:val="24"/>
        </w:rPr>
        <w:t>Динамика расходов на «Социальную политику»</w:t>
      </w:r>
      <w:r>
        <w:rPr>
          <w:szCs w:val="24"/>
        </w:rPr>
        <w:t xml:space="preserve"> в 2018-2022 гг., млрд руб.</w:t>
      </w:r>
    </w:p>
    <w:tbl>
      <w:tblPr>
        <w:tblW w:w="8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855"/>
        <w:gridCol w:w="855"/>
        <w:gridCol w:w="887"/>
        <w:gridCol w:w="887"/>
        <w:gridCol w:w="887"/>
        <w:gridCol w:w="887"/>
        <w:gridCol w:w="887"/>
      </w:tblGrid>
      <w:tr w:rsidR="00F37385" w:rsidRPr="00496C8D" w14:paraId="2C90B869" w14:textId="77777777" w:rsidTr="009963C0">
        <w:trPr>
          <w:trHeight w:val="300"/>
          <w:tblHeader/>
        </w:trPr>
        <w:tc>
          <w:tcPr>
            <w:tcW w:w="2835" w:type="dxa"/>
            <w:vMerge w:val="restart"/>
            <w:shd w:val="clear" w:color="auto" w:fill="auto"/>
            <w:vAlign w:val="center"/>
            <w:hideMark/>
          </w:tcPr>
          <w:p w14:paraId="6433DFF8" w14:textId="77777777" w:rsidR="00F37385" w:rsidRPr="00DA7388" w:rsidRDefault="00F37385" w:rsidP="00F37385">
            <w:pPr>
              <w:spacing w:after="60"/>
              <w:rPr>
                <w:rFonts w:eastAsiaTheme="minorHAnsi"/>
                <w:b/>
                <w:sz w:val="20"/>
                <w:lang w:eastAsia="en-US"/>
              </w:rPr>
            </w:pPr>
          </w:p>
        </w:tc>
        <w:tc>
          <w:tcPr>
            <w:tcW w:w="855" w:type="dxa"/>
            <w:vMerge w:val="restart"/>
            <w:shd w:val="clear" w:color="auto" w:fill="auto"/>
            <w:noWrap/>
            <w:vAlign w:val="center"/>
            <w:hideMark/>
          </w:tcPr>
          <w:p w14:paraId="35242B33" w14:textId="049149F8" w:rsidR="00F37385" w:rsidRPr="00DA7388" w:rsidRDefault="00F37385" w:rsidP="00F37385">
            <w:pPr>
              <w:spacing w:after="60"/>
              <w:jc w:val="center"/>
              <w:rPr>
                <w:b/>
                <w:color w:val="000000"/>
                <w:sz w:val="20"/>
                <w:lang w:eastAsia="en-US"/>
              </w:rPr>
            </w:pPr>
            <w:r w:rsidRPr="00DA7388">
              <w:rPr>
                <w:b/>
                <w:color w:val="000000"/>
                <w:sz w:val="20"/>
                <w:lang w:eastAsia="en-US"/>
              </w:rPr>
              <w:t>201</w:t>
            </w:r>
            <w:r>
              <w:rPr>
                <w:b/>
                <w:color w:val="000000"/>
                <w:sz w:val="20"/>
                <w:lang w:eastAsia="en-US"/>
              </w:rPr>
              <w:t>8</w:t>
            </w:r>
            <w:r w:rsidRPr="00DA7388">
              <w:rPr>
                <w:b/>
                <w:color w:val="000000"/>
                <w:sz w:val="20"/>
                <w:lang w:eastAsia="en-US"/>
              </w:rPr>
              <w:t xml:space="preserve"> </w:t>
            </w:r>
            <w:r w:rsidR="009963C0">
              <w:rPr>
                <w:b/>
                <w:color w:val="000000"/>
                <w:sz w:val="20"/>
                <w:lang w:eastAsia="en-US"/>
              </w:rPr>
              <w:t xml:space="preserve">г. </w:t>
            </w:r>
            <w:r>
              <w:rPr>
                <w:b/>
                <w:color w:val="000000"/>
                <w:sz w:val="20"/>
                <w:lang w:eastAsia="en-US"/>
              </w:rPr>
              <w:t>факт</w:t>
            </w:r>
          </w:p>
        </w:tc>
        <w:tc>
          <w:tcPr>
            <w:tcW w:w="2629" w:type="dxa"/>
            <w:gridSpan w:val="3"/>
            <w:shd w:val="clear" w:color="auto" w:fill="auto"/>
            <w:noWrap/>
            <w:vAlign w:val="center"/>
            <w:hideMark/>
          </w:tcPr>
          <w:p w14:paraId="479A11E7" w14:textId="6053F5C8" w:rsidR="00F37385" w:rsidRPr="00DA7388" w:rsidRDefault="00F37385" w:rsidP="00F37385">
            <w:pPr>
              <w:spacing w:after="60"/>
              <w:jc w:val="center"/>
              <w:rPr>
                <w:b/>
                <w:color w:val="000000"/>
                <w:sz w:val="20"/>
                <w:lang w:eastAsia="en-US"/>
              </w:rPr>
            </w:pPr>
            <w:r w:rsidRPr="00DA7388">
              <w:rPr>
                <w:b/>
                <w:color w:val="000000"/>
                <w:sz w:val="20"/>
                <w:lang w:eastAsia="en-US"/>
              </w:rPr>
              <w:t>закон о бюджете на 201</w:t>
            </w:r>
            <w:r>
              <w:rPr>
                <w:b/>
                <w:color w:val="000000"/>
                <w:sz w:val="20"/>
                <w:lang w:eastAsia="en-US"/>
              </w:rPr>
              <w:t>9</w:t>
            </w:r>
            <w:r w:rsidR="009963C0">
              <w:rPr>
                <w:b/>
                <w:color w:val="000000"/>
                <w:sz w:val="20"/>
                <w:lang w:eastAsia="en-US"/>
              </w:rPr>
              <w:t xml:space="preserve"> г.</w:t>
            </w:r>
          </w:p>
        </w:tc>
        <w:tc>
          <w:tcPr>
            <w:tcW w:w="2661" w:type="dxa"/>
            <w:gridSpan w:val="3"/>
            <w:shd w:val="clear" w:color="auto" w:fill="auto"/>
            <w:noWrap/>
            <w:vAlign w:val="center"/>
            <w:hideMark/>
          </w:tcPr>
          <w:p w14:paraId="7CADA49B" w14:textId="77777777" w:rsidR="00F37385" w:rsidRPr="00DA7388" w:rsidRDefault="00F37385" w:rsidP="00F37385">
            <w:pPr>
              <w:spacing w:after="60"/>
              <w:jc w:val="center"/>
              <w:rPr>
                <w:b/>
                <w:color w:val="000000"/>
                <w:sz w:val="20"/>
                <w:lang w:eastAsia="en-US"/>
              </w:rPr>
            </w:pPr>
            <w:r w:rsidRPr="00DA7388">
              <w:rPr>
                <w:b/>
                <w:color w:val="000000"/>
                <w:sz w:val="20"/>
                <w:lang w:eastAsia="en-US"/>
              </w:rPr>
              <w:t>Закон</w:t>
            </w:r>
            <w:r>
              <w:rPr>
                <w:b/>
                <w:color w:val="000000"/>
                <w:sz w:val="20"/>
                <w:lang w:eastAsia="en-US"/>
              </w:rPr>
              <w:t>о</w:t>
            </w:r>
            <w:r w:rsidRPr="00DA7388">
              <w:rPr>
                <w:b/>
                <w:color w:val="000000"/>
                <w:sz w:val="20"/>
                <w:lang w:eastAsia="en-US"/>
              </w:rPr>
              <w:t>проект</w:t>
            </w:r>
          </w:p>
        </w:tc>
      </w:tr>
      <w:tr w:rsidR="00F37385" w:rsidRPr="008F037A" w14:paraId="0955A2AD" w14:textId="77777777" w:rsidTr="009963C0">
        <w:trPr>
          <w:trHeight w:val="300"/>
          <w:tblHeader/>
        </w:trPr>
        <w:tc>
          <w:tcPr>
            <w:tcW w:w="2835" w:type="dxa"/>
            <w:vMerge/>
            <w:shd w:val="clear" w:color="auto" w:fill="auto"/>
            <w:vAlign w:val="center"/>
            <w:hideMark/>
          </w:tcPr>
          <w:p w14:paraId="46FF4F6A" w14:textId="77777777" w:rsidR="00F37385" w:rsidRPr="008F037A" w:rsidRDefault="00F37385" w:rsidP="00F37385">
            <w:pPr>
              <w:spacing w:after="60"/>
              <w:rPr>
                <w:rFonts w:eastAsiaTheme="minorHAnsi"/>
                <w:sz w:val="20"/>
                <w:lang w:eastAsia="en-US"/>
              </w:rPr>
            </w:pPr>
          </w:p>
        </w:tc>
        <w:tc>
          <w:tcPr>
            <w:tcW w:w="855" w:type="dxa"/>
            <w:vMerge/>
            <w:shd w:val="clear" w:color="auto" w:fill="auto"/>
            <w:vAlign w:val="center"/>
            <w:hideMark/>
          </w:tcPr>
          <w:p w14:paraId="4B9662FC" w14:textId="77777777" w:rsidR="00F37385" w:rsidRPr="008F037A" w:rsidRDefault="00F37385" w:rsidP="00F37385">
            <w:pPr>
              <w:spacing w:after="60"/>
              <w:rPr>
                <w:color w:val="000000"/>
                <w:sz w:val="20"/>
                <w:lang w:eastAsia="en-US"/>
              </w:rPr>
            </w:pPr>
          </w:p>
        </w:tc>
        <w:tc>
          <w:tcPr>
            <w:tcW w:w="855" w:type="dxa"/>
            <w:shd w:val="clear" w:color="auto" w:fill="auto"/>
            <w:noWrap/>
            <w:vAlign w:val="center"/>
            <w:hideMark/>
          </w:tcPr>
          <w:p w14:paraId="63603057" w14:textId="2BC50E95" w:rsidR="00F37385" w:rsidRPr="00DA7388" w:rsidRDefault="00F37385" w:rsidP="00F37385">
            <w:pPr>
              <w:spacing w:after="60"/>
              <w:jc w:val="center"/>
              <w:rPr>
                <w:b/>
                <w:color w:val="000000"/>
                <w:sz w:val="20"/>
                <w:lang w:eastAsia="en-US"/>
              </w:rPr>
            </w:pPr>
            <w:r w:rsidRPr="00DA7388">
              <w:rPr>
                <w:b/>
                <w:color w:val="000000"/>
                <w:sz w:val="20"/>
                <w:lang w:eastAsia="en-US"/>
              </w:rPr>
              <w:t>201</w:t>
            </w:r>
            <w:r>
              <w:rPr>
                <w:b/>
                <w:color w:val="000000"/>
                <w:sz w:val="20"/>
                <w:lang w:eastAsia="en-US"/>
              </w:rPr>
              <w:t>9</w:t>
            </w:r>
            <w:r w:rsidR="009963C0">
              <w:rPr>
                <w:b/>
                <w:color w:val="000000"/>
                <w:sz w:val="20"/>
                <w:lang w:eastAsia="en-US"/>
              </w:rPr>
              <w:t xml:space="preserve"> г.</w:t>
            </w:r>
          </w:p>
        </w:tc>
        <w:tc>
          <w:tcPr>
            <w:tcW w:w="887" w:type="dxa"/>
            <w:shd w:val="clear" w:color="auto" w:fill="auto"/>
            <w:noWrap/>
            <w:vAlign w:val="center"/>
            <w:hideMark/>
          </w:tcPr>
          <w:p w14:paraId="7C2B6ECA" w14:textId="32751AF0" w:rsidR="00F37385" w:rsidRPr="00DA7388" w:rsidRDefault="00F37385" w:rsidP="00F37385">
            <w:pPr>
              <w:spacing w:after="60"/>
              <w:jc w:val="center"/>
              <w:rPr>
                <w:b/>
                <w:color w:val="000000"/>
                <w:sz w:val="20"/>
                <w:lang w:eastAsia="en-US"/>
              </w:rPr>
            </w:pPr>
            <w:r w:rsidRPr="00DA7388">
              <w:rPr>
                <w:b/>
                <w:color w:val="000000"/>
                <w:sz w:val="20"/>
                <w:lang w:eastAsia="en-US"/>
              </w:rPr>
              <w:t>20</w:t>
            </w:r>
            <w:r>
              <w:rPr>
                <w:b/>
                <w:color w:val="000000"/>
                <w:sz w:val="20"/>
                <w:lang w:eastAsia="en-US"/>
              </w:rPr>
              <w:t>20</w:t>
            </w:r>
            <w:r w:rsidR="009963C0">
              <w:rPr>
                <w:b/>
                <w:color w:val="000000"/>
                <w:sz w:val="20"/>
                <w:lang w:eastAsia="en-US"/>
              </w:rPr>
              <w:t xml:space="preserve"> г.</w:t>
            </w:r>
          </w:p>
        </w:tc>
        <w:tc>
          <w:tcPr>
            <w:tcW w:w="887" w:type="dxa"/>
            <w:shd w:val="clear" w:color="auto" w:fill="auto"/>
            <w:noWrap/>
            <w:vAlign w:val="center"/>
            <w:hideMark/>
          </w:tcPr>
          <w:p w14:paraId="29463EE2" w14:textId="05419631" w:rsidR="00F37385" w:rsidRPr="00DA7388" w:rsidRDefault="00F37385" w:rsidP="00F37385">
            <w:pPr>
              <w:spacing w:after="60"/>
              <w:jc w:val="center"/>
              <w:rPr>
                <w:b/>
                <w:color w:val="000000"/>
                <w:sz w:val="20"/>
                <w:lang w:eastAsia="en-US"/>
              </w:rPr>
            </w:pPr>
            <w:r w:rsidRPr="00DA7388">
              <w:rPr>
                <w:b/>
                <w:color w:val="000000"/>
                <w:sz w:val="20"/>
                <w:lang w:eastAsia="en-US"/>
              </w:rPr>
              <w:t>202</w:t>
            </w:r>
            <w:r>
              <w:rPr>
                <w:b/>
                <w:color w:val="000000"/>
                <w:sz w:val="20"/>
                <w:lang w:eastAsia="en-US"/>
              </w:rPr>
              <w:t>1</w:t>
            </w:r>
            <w:r w:rsidR="009963C0">
              <w:rPr>
                <w:b/>
                <w:color w:val="000000"/>
                <w:sz w:val="20"/>
                <w:lang w:eastAsia="en-US"/>
              </w:rPr>
              <w:t xml:space="preserve"> г.</w:t>
            </w:r>
          </w:p>
        </w:tc>
        <w:tc>
          <w:tcPr>
            <w:tcW w:w="887" w:type="dxa"/>
            <w:shd w:val="clear" w:color="auto" w:fill="auto"/>
            <w:noWrap/>
            <w:vAlign w:val="center"/>
            <w:hideMark/>
          </w:tcPr>
          <w:p w14:paraId="06E7358D" w14:textId="2B0CC1AE" w:rsidR="00F37385" w:rsidRPr="00DA7388" w:rsidRDefault="00F37385" w:rsidP="00F37385">
            <w:pPr>
              <w:spacing w:after="60"/>
              <w:ind w:right="10"/>
              <w:jc w:val="center"/>
              <w:rPr>
                <w:b/>
                <w:color w:val="000000"/>
                <w:sz w:val="20"/>
                <w:lang w:eastAsia="en-US"/>
              </w:rPr>
            </w:pPr>
            <w:r w:rsidRPr="00DA7388">
              <w:rPr>
                <w:b/>
                <w:color w:val="000000"/>
                <w:sz w:val="20"/>
                <w:lang w:eastAsia="en-US"/>
              </w:rPr>
              <w:t>20</w:t>
            </w:r>
            <w:r>
              <w:rPr>
                <w:b/>
                <w:color w:val="000000"/>
                <w:sz w:val="20"/>
                <w:lang w:eastAsia="en-US"/>
              </w:rPr>
              <w:t>20</w:t>
            </w:r>
            <w:r w:rsidR="009963C0">
              <w:rPr>
                <w:b/>
                <w:color w:val="000000"/>
                <w:sz w:val="20"/>
                <w:lang w:eastAsia="en-US"/>
              </w:rPr>
              <w:t xml:space="preserve"> г.</w:t>
            </w:r>
          </w:p>
        </w:tc>
        <w:tc>
          <w:tcPr>
            <w:tcW w:w="887" w:type="dxa"/>
            <w:shd w:val="clear" w:color="auto" w:fill="auto"/>
            <w:noWrap/>
            <w:vAlign w:val="center"/>
            <w:hideMark/>
          </w:tcPr>
          <w:p w14:paraId="6EFE26B4" w14:textId="2E549015" w:rsidR="00F37385" w:rsidRPr="00DA7388" w:rsidRDefault="00F37385" w:rsidP="00F37385">
            <w:pPr>
              <w:spacing w:after="60"/>
              <w:jc w:val="center"/>
              <w:rPr>
                <w:b/>
                <w:color w:val="000000"/>
                <w:sz w:val="20"/>
                <w:lang w:eastAsia="en-US"/>
              </w:rPr>
            </w:pPr>
            <w:r w:rsidRPr="00DA7388">
              <w:rPr>
                <w:b/>
                <w:color w:val="000000"/>
                <w:sz w:val="20"/>
                <w:lang w:eastAsia="en-US"/>
              </w:rPr>
              <w:t>202</w:t>
            </w:r>
            <w:r>
              <w:rPr>
                <w:b/>
                <w:color w:val="000000"/>
                <w:sz w:val="20"/>
                <w:lang w:eastAsia="en-US"/>
              </w:rPr>
              <w:t>1</w:t>
            </w:r>
            <w:r w:rsidR="009963C0">
              <w:rPr>
                <w:b/>
                <w:color w:val="000000"/>
                <w:sz w:val="20"/>
                <w:lang w:eastAsia="en-US"/>
              </w:rPr>
              <w:t xml:space="preserve"> г.</w:t>
            </w:r>
          </w:p>
        </w:tc>
        <w:tc>
          <w:tcPr>
            <w:tcW w:w="887" w:type="dxa"/>
            <w:shd w:val="clear" w:color="auto" w:fill="auto"/>
            <w:noWrap/>
            <w:vAlign w:val="center"/>
            <w:hideMark/>
          </w:tcPr>
          <w:p w14:paraId="271FC858" w14:textId="3EFBDBBD" w:rsidR="00F37385" w:rsidRPr="00DA7388" w:rsidRDefault="00F37385" w:rsidP="00F37385">
            <w:pPr>
              <w:spacing w:after="60"/>
              <w:jc w:val="center"/>
              <w:rPr>
                <w:b/>
                <w:color w:val="000000"/>
                <w:sz w:val="20"/>
                <w:lang w:eastAsia="en-US"/>
              </w:rPr>
            </w:pPr>
            <w:r w:rsidRPr="00DA7388">
              <w:rPr>
                <w:b/>
                <w:color w:val="000000"/>
                <w:sz w:val="20"/>
                <w:lang w:eastAsia="en-US"/>
              </w:rPr>
              <w:t>202</w:t>
            </w:r>
            <w:r>
              <w:rPr>
                <w:b/>
                <w:color w:val="000000"/>
                <w:sz w:val="20"/>
                <w:lang w:eastAsia="en-US"/>
              </w:rPr>
              <w:t>2</w:t>
            </w:r>
            <w:r w:rsidR="009963C0">
              <w:rPr>
                <w:b/>
                <w:color w:val="000000"/>
                <w:sz w:val="20"/>
                <w:lang w:eastAsia="en-US"/>
              </w:rPr>
              <w:t xml:space="preserve"> г.</w:t>
            </w:r>
          </w:p>
        </w:tc>
      </w:tr>
      <w:tr w:rsidR="00F37385" w:rsidRPr="008F037A" w14:paraId="69447675" w14:textId="77777777" w:rsidTr="009963C0">
        <w:trPr>
          <w:trHeight w:val="300"/>
        </w:trPr>
        <w:tc>
          <w:tcPr>
            <w:tcW w:w="2835" w:type="dxa"/>
            <w:shd w:val="clear" w:color="auto" w:fill="auto"/>
            <w:vAlign w:val="center"/>
            <w:hideMark/>
          </w:tcPr>
          <w:p w14:paraId="354E7DFF" w14:textId="77777777" w:rsidR="00F37385" w:rsidRPr="008F037A" w:rsidRDefault="00F37385" w:rsidP="00F37385">
            <w:pPr>
              <w:spacing w:after="60"/>
              <w:rPr>
                <w:color w:val="000000"/>
                <w:sz w:val="20"/>
                <w:lang w:eastAsia="en-US"/>
              </w:rPr>
            </w:pPr>
            <w:r>
              <w:rPr>
                <w:color w:val="000000"/>
                <w:sz w:val="20"/>
                <w:lang w:eastAsia="en-US"/>
              </w:rPr>
              <w:t>Социальная политика</w:t>
            </w:r>
          </w:p>
        </w:tc>
        <w:tc>
          <w:tcPr>
            <w:tcW w:w="855" w:type="dxa"/>
            <w:shd w:val="clear" w:color="auto" w:fill="auto"/>
            <w:noWrap/>
            <w:vAlign w:val="center"/>
            <w:hideMark/>
          </w:tcPr>
          <w:p w14:paraId="1F446D7D" w14:textId="77777777" w:rsidR="00F37385" w:rsidRPr="00C2163B" w:rsidRDefault="00F37385" w:rsidP="00F37385">
            <w:pPr>
              <w:spacing w:after="60"/>
              <w:jc w:val="right"/>
              <w:rPr>
                <w:color w:val="000000"/>
                <w:sz w:val="18"/>
                <w:szCs w:val="18"/>
                <w:highlight w:val="yellow"/>
                <w:lang w:eastAsia="en-US"/>
              </w:rPr>
            </w:pPr>
            <w:r w:rsidRPr="00EC0E5F">
              <w:rPr>
                <w:color w:val="000000"/>
                <w:sz w:val="18"/>
                <w:szCs w:val="18"/>
                <w:lang w:eastAsia="en-US"/>
              </w:rPr>
              <w:t>4</w:t>
            </w:r>
            <w:r w:rsidRPr="001C5CBA">
              <w:rPr>
                <w:color w:val="000000"/>
                <w:sz w:val="18"/>
                <w:szCs w:val="18"/>
                <w:lang w:eastAsia="en-US"/>
              </w:rPr>
              <w:t> </w:t>
            </w:r>
            <w:r w:rsidRPr="00EC0E5F">
              <w:rPr>
                <w:color w:val="000000"/>
                <w:sz w:val="18"/>
                <w:szCs w:val="18"/>
                <w:lang w:eastAsia="en-US"/>
              </w:rPr>
              <w:t>574</w:t>
            </w:r>
            <w:r>
              <w:rPr>
                <w:color w:val="000000"/>
                <w:sz w:val="18"/>
                <w:szCs w:val="18"/>
                <w:lang w:eastAsia="en-US"/>
              </w:rPr>
              <w:t>,</w:t>
            </w:r>
            <w:r w:rsidRPr="00EC0E5F">
              <w:rPr>
                <w:color w:val="000000"/>
                <w:sz w:val="18"/>
                <w:szCs w:val="18"/>
                <w:lang w:eastAsia="en-US"/>
              </w:rPr>
              <w:t>0</w:t>
            </w:r>
          </w:p>
        </w:tc>
        <w:tc>
          <w:tcPr>
            <w:tcW w:w="855" w:type="dxa"/>
            <w:noWrap/>
            <w:vAlign w:val="center"/>
          </w:tcPr>
          <w:p w14:paraId="1F2923B0" w14:textId="77777777" w:rsidR="00F37385" w:rsidRPr="001C5CBA" w:rsidRDefault="00F37385" w:rsidP="00F37385">
            <w:pPr>
              <w:spacing w:after="60"/>
              <w:jc w:val="right"/>
              <w:rPr>
                <w:color w:val="000000"/>
                <w:sz w:val="18"/>
                <w:szCs w:val="18"/>
                <w:lang w:eastAsia="en-US"/>
              </w:rPr>
            </w:pPr>
            <w:r w:rsidRPr="001C5CBA">
              <w:rPr>
                <w:color w:val="000000"/>
                <w:sz w:val="18"/>
                <w:szCs w:val="18"/>
                <w:lang w:eastAsia="en-US"/>
              </w:rPr>
              <w:t>4 872,8</w:t>
            </w:r>
          </w:p>
        </w:tc>
        <w:tc>
          <w:tcPr>
            <w:tcW w:w="887" w:type="dxa"/>
            <w:noWrap/>
            <w:vAlign w:val="center"/>
          </w:tcPr>
          <w:p w14:paraId="084AD129" w14:textId="77777777" w:rsidR="00F37385" w:rsidRPr="001C5CBA" w:rsidRDefault="00F37385" w:rsidP="00F37385">
            <w:pPr>
              <w:spacing w:after="60"/>
              <w:jc w:val="right"/>
              <w:rPr>
                <w:color w:val="000000"/>
                <w:sz w:val="18"/>
                <w:szCs w:val="18"/>
                <w:lang w:eastAsia="en-US"/>
              </w:rPr>
            </w:pPr>
            <w:r w:rsidRPr="001C5CBA">
              <w:rPr>
                <w:color w:val="000000"/>
                <w:sz w:val="18"/>
                <w:szCs w:val="18"/>
                <w:lang w:eastAsia="en-US"/>
              </w:rPr>
              <w:t>4 914,9</w:t>
            </w:r>
          </w:p>
        </w:tc>
        <w:tc>
          <w:tcPr>
            <w:tcW w:w="887" w:type="dxa"/>
            <w:noWrap/>
            <w:vAlign w:val="center"/>
          </w:tcPr>
          <w:p w14:paraId="3946CA8B" w14:textId="77777777" w:rsidR="00F37385" w:rsidRPr="001C5CBA" w:rsidRDefault="00F37385" w:rsidP="00F37385">
            <w:pPr>
              <w:spacing w:after="60"/>
              <w:jc w:val="right"/>
              <w:rPr>
                <w:color w:val="000000"/>
                <w:sz w:val="18"/>
                <w:szCs w:val="18"/>
                <w:lang w:eastAsia="en-US"/>
              </w:rPr>
            </w:pPr>
            <w:r w:rsidRPr="001C5CBA">
              <w:rPr>
                <w:color w:val="000000"/>
                <w:sz w:val="18"/>
                <w:szCs w:val="18"/>
                <w:lang w:eastAsia="en-US"/>
              </w:rPr>
              <w:t>4 748,6</w:t>
            </w:r>
          </w:p>
        </w:tc>
        <w:tc>
          <w:tcPr>
            <w:tcW w:w="887" w:type="dxa"/>
            <w:shd w:val="clear" w:color="auto" w:fill="auto"/>
            <w:noWrap/>
            <w:vAlign w:val="center"/>
          </w:tcPr>
          <w:p w14:paraId="6BD4F642" w14:textId="77777777" w:rsidR="00F37385" w:rsidRPr="001C5CBA" w:rsidRDefault="00F37385" w:rsidP="00F37385">
            <w:pPr>
              <w:spacing w:after="60"/>
              <w:jc w:val="right"/>
              <w:rPr>
                <w:color w:val="000000"/>
                <w:sz w:val="18"/>
                <w:szCs w:val="18"/>
                <w:lang w:eastAsia="en-US"/>
              </w:rPr>
            </w:pPr>
            <w:r w:rsidRPr="001C5CBA">
              <w:rPr>
                <w:color w:val="000000"/>
                <w:sz w:val="18"/>
                <w:szCs w:val="18"/>
                <w:lang w:eastAsia="en-US"/>
              </w:rPr>
              <w:t>4</w:t>
            </w:r>
            <w:r>
              <w:rPr>
                <w:color w:val="000000"/>
                <w:sz w:val="18"/>
                <w:szCs w:val="18"/>
                <w:lang w:eastAsia="en-US"/>
              </w:rPr>
              <w:t> </w:t>
            </w:r>
            <w:r w:rsidRPr="001C5CBA">
              <w:rPr>
                <w:color w:val="000000"/>
                <w:sz w:val="18"/>
                <w:szCs w:val="18"/>
                <w:lang w:eastAsia="en-US"/>
              </w:rPr>
              <w:t>999</w:t>
            </w:r>
            <w:r>
              <w:rPr>
                <w:color w:val="000000"/>
                <w:sz w:val="18"/>
                <w:szCs w:val="18"/>
                <w:lang w:eastAsia="en-US"/>
              </w:rPr>
              <w:t>,</w:t>
            </w:r>
            <w:r w:rsidRPr="001C5CBA">
              <w:rPr>
                <w:color w:val="000000"/>
                <w:sz w:val="18"/>
                <w:szCs w:val="18"/>
                <w:lang w:eastAsia="en-US"/>
              </w:rPr>
              <w:t>3</w:t>
            </w:r>
          </w:p>
        </w:tc>
        <w:tc>
          <w:tcPr>
            <w:tcW w:w="887" w:type="dxa"/>
            <w:shd w:val="clear" w:color="auto" w:fill="auto"/>
            <w:noWrap/>
            <w:vAlign w:val="center"/>
          </w:tcPr>
          <w:p w14:paraId="63F831EB" w14:textId="77777777" w:rsidR="00F37385" w:rsidRPr="001C5CBA" w:rsidRDefault="00F37385" w:rsidP="00F37385">
            <w:pPr>
              <w:spacing w:after="60"/>
              <w:jc w:val="right"/>
              <w:rPr>
                <w:color w:val="000000"/>
                <w:sz w:val="18"/>
                <w:szCs w:val="18"/>
                <w:lang w:eastAsia="en-US"/>
              </w:rPr>
            </w:pPr>
            <w:r w:rsidRPr="001C5CBA">
              <w:rPr>
                <w:color w:val="000000"/>
                <w:sz w:val="18"/>
                <w:szCs w:val="18"/>
                <w:lang w:eastAsia="en-US"/>
              </w:rPr>
              <w:t>5</w:t>
            </w:r>
            <w:r>
              <w:rPr>
                <w:color w:val="000000"/>
                <w:sz w:val="18"/>
                <w:szCs w:val="18"/>
                <w:lang w:eastAsia="en-US"/>
              </w:rPr>
              <w:t> </w:t>
            </w:r>
            <w:r w:rsidRPr="001C5CBA">
              <w:rPr>
                <w:color w:val="000000"/>
                <w:sz w:val="18"/>
                <w:szCs w:val="18"/>
                <w:lang w:eastAsia="en-US"/>
              </w:rPr>
              <w:t>033</w:t>
            </w:r>
            <w:r>
              <w:rPr>
                <w:color w:val="000000"/>
                <w:sz w:val="18"/>
                <w:szCs w:val="18"/>
                <w:lang w:eastAsia="en-US"/>
              </w:rPr>
              <w:t>,3</w:t>
            </w:r>
          </w:p>
        </w:tc>
        <w:tc>
          <w:tcPr>
            <w:tcW w:w="887" w:type="dxa"/>
            <w:shd w:val="clear" w:color="auto" w:fill="auto"/>
            <w:noWrap/>
            <w:vAlign w:val="center"/>
          </w:tcPr>
          <w:p w14:paraId="439FEC99" w14:textId="77777777" w:rsidR="00F37385" w:rsidRPr="001C5CBA" w:rsidRDefault="00F37385" w:rsidP="00F37385">
            <w:pPr>
              <w:spacing w:after="60"/>
              <w:jc w:val="right"/>
              <w:rPr>
                <w:color w:val="000000"/>
                <w:sz w:val="18"/>
                <w:szCs w:val="18"/>
                <w:lang w:eastAsia="en-US"/>
              </w:rPr>
            </w:pPr>
            <w:r w:rsidRPr="001C5CBA">
              <w:rPr>
                <w:color w:val="000000"/>
                <w:sz w:val="18"/>
                <w:szCs w:val="18"/>
                <w:lang w:eastAsia="en-US"/>
              </w:rPr>
              <w:t>4</w:t>
            </w:r>
            <w:r>
              <w:rPr>
                <w:color w:val="000000"/>
                <w:sz w:val="18"/>
                <w:szCs w:val="18"/>
                <w:lang w:eastAsia="en-US"/>
              </w:rPr>
              <w:t> </w:t>
            </w:r>
            <w:r w:rsidRPr="001C5CBA">
              <w:rPr>
                <w:color w:val="000000"/>
                <w:sz w:val="18"/>
                <w:szCs w:val="18"/>
                <w:lang w:eastAsia="en-US"/>
              </w:rPr>
              <w:t>813</w:t>
            </w:r>
            <w:r>
              <w:rPr>
                <w:color w:val="000000"/>
                <w:sz w:val="18"/>
                <w:szCs w:val="18"/>
                <w:lang w:eastAsia="en-US"/>
              </w:rPr>
              <w:t>,</w:t>
            </w:r>
            <w:r w:rsidRPr="001C5CBA">
              <w:rPr>
                <w:color w:val="000000"/>
                <w:sz w:val="18"/>
                <w:szCs w:val="18"/>
                <w:lang w:eastAsia="en-US"/>
              </w:rPr>
              <w:t>1</w:t>
            </w:r>
          </w:p>
        </w:tc>
      </w:tr>
      <w:tr w:rsidR="00F37385" w:rsidRPr="008F037A" w14:paraId="0A9E1856" w14:textId="77777777" w:rsidTr="009963C0">
        <w:trPr>
          <w:trHeight w:val="300"/>
        </w:trPr>
        <w:tc>
          <w:tcPr>
            <w:tcW w:w="2835" w:type="dxa"/>
            <w:shd w:val="clear" w:color="auto" w:fill="auto"/>
            <w:vAlign w:val="center"/>
            <w:hideMark/>
          </w:tcPr>
          <w:p w14:paraId="02814E49" w14:textId="77777777" w:rsidR="00F37385" w:rsidRPr="008F037A" w:rsidRDefault="00F37385" w:rsidP="00F37385">
            <w:pPr>
              <w:spacing w:after="60"/>
              <w:rPr>
                <w:color w:val="000000"/>
                <w:sz w:val="20"/>
                <w:lang w:eastAsia="en-US"/>
              </w:rPr>
            </w:pPr>
            <w:r>
              <w:rPr>
                <w:color w:val="000000"/>
                <w:sz w:val="20"/>
                <w:lang w:eastAsia="en-US"/>
              </w:rPr>
              <w:t>Пенсионное обеспечение</w:t>
            </w:r>
          </w:p>
        </w:tc>
        <w:tc>
          <w:tcPr>
            <w:tcW w:w="855" w:type="dxa"/>
            <w:shd w:val="clear" w:color="auto" w:fill="auto"/>
            <w:noWrap/>
            <w:vAlign w:val="center"/>
            <w:hideMark/>
          </w:tcPr>
          <w:p w14:paraId="35A4E996" w14:textId="77777777" w:rsidR="00F37385" w:rsidRPr="00C2163B" w:rsidRDefault="00F37385" w:rsidP="00F37385">
            <w:pPr>
              <w:spacing w:after="60"/>
              <w:jc w:val="right"/>
              <w:rPr>
                <w:color w:val="000000"/>
                <w:sz w:val="18"/>
                <w:szCs w:val="18"/>
                <w:highlight w:val="yellow"/>
                <w:lang w:eastAsia="en-US"/>
              </w:rPr>
            </w:pPr>
            <w:r w:rsidRPr="00EC0E5F">
              <w:rPr>
                <w:color w:val="000000"/>
                <w:sz w:val="18"/>
                <w:szCs w:val="18"/>
                <w:lang w:eastAsia="en-US"/>
              </w:rPr>
              <w:t>3</w:t>
            </w:r>
            <w:r>
              <w:rPr>
                <w:color w:val="000000"/>
                <w:sz w:val="18"/>
                <w:szCs w:val="18"/>
                <w:lang w:eastAsia="en-US"/>
              </w:rPr>
              <w:t> </w:t>
            </w:r>
            <w:r w:rsidRPr="00EC0E5F">
              <w:rPr>
                <w:color w:val="000000"/>
                <w:sz w:val="18"/>
                <w:szCs w:val="18"/>
                <w:lang w:eastAsia="en-US"/>
              </w:rPr>
              <w:t>158</w:t>
            </w:r>
            <w:r>
              <w:rPr>
                <w:color w:val="000000"/>
                <w:sz w:val="18"/>
                <w:szCs w:val="18"/>
                <w:lang w:eastAsia="en-US"/>
              </w:rPr>
              <w:t>,5</w:t>
            </w:r>
          </w:p>
        </w:tc>
        <w:tc>
          <w:tcPr>
            <w:tcW w:w="855" w:type="dxa"/>
            <w:noWrap/>
            <w:vAlign w:val="center"/>
          </w:tcPr>
          <w:p w14:paraId="12A1F9A3" w14:textId="77777777" w:rsidR="00F37385" w:rsidRPr="00BD26C4" w:rsidRDefault="00F37385" w:rsidP="00F37385">
            <w:pPr>
              <w:spacing w:after="60"/>
              <w:jc w:val="right"/>
              <w:rPr>
                <w:color w:val="000000"/>
                <w:sz w:val="18"/>
                <w:szCs w:val="18"/>
                <w:lang w:eastAsia="en-US"/>
              </w:rPr>
            </w:pPr>
            <w:r w:rsidRPr="00BD26C4">
              <w:rPr>
                <w:color w:val="000000"/>
                <w:sz w:val="18"/>
                <w:szCs w:val="18"/>
                <w:lang w:eastAsia="en-US"/>
              </w:rPr>
              <w:t>3</w:t>
            </w:r>
            <w:r>
              <w:rPr>
                <w:color w:val="000000"/>
                <w:sz w:val="18"/>
                <w:szCs w:val="18"/>
                <w:lang w:eastAsia="en-US"/>
              </w:rPr>
              <w:t> </w:t>
            </w:r>
            <w:r w:rsidRPr="00BD26C4">
              <w:rPr>
                <w:color w:val="000000"/>
                <w:sz w:val="18"/>
                <w:szCs w:val="18"/>
                <w:lang w:eastAsia="en-US"/>
              </w:rPr>
              <w:t>248</w:t>
            </w:r>
            <w:r>
              <w:rPr>
                <w:color w:val="000000"/>
                <w:sz w:val="18"/>
                <w:szCs w:val="18"/>
                <w:lang w:eastAsia="en-US"/>
              </w:rPr>
              <w:t>,5</w:t>
            </w:r>
          </w:p>
        </w:tc>
        <w:tc>
          <w:tcPr>
            <w:tcW w:w="887" w:type="dxa"/>
            <w:noWrap/>
            <w:vAlign w:val="center"/>
          </w:tcPr>
          <w:p w14:paraId="6AF29A09" w14:textId="77777777" w:rsidR="00F37385" w:rsidRPr="00BD26C4" w:rsidRDefault="00F37385" w:rsidP="00F37385">
            <w:pPr>
              <w:spacing w:after="60"/>
              <w:jc w:val="right"/>
              <w:rPr>
                <w:color w:val="000000"/>
                <w:sz w:val="18"/>
                <w:szCs w:val="18"/>
                <w:lang w:eastAsia="en-US"/>
              </w:rPr>
            </w:pPr>
            <w:r w:rsidRPr="00BD26C4">
              <w:rPr>
                <w:color w:val="000000"/>
                <w:sz w:val="18"/>
                <w:szCs w:val="18"/>
                <w:lang w:eastAsia="en-US"/>
              </w:rPr>
              <w:t>3</w:t>
            </w:r>
            <w:r>
              <w:rPr>
                <w:color w:val="000000"/>
                <w:sz w:val="18"/>
                <w:szCs w:val="18"/>
                <w:lang w:eastAsia="en-US"/>
              </w:rPr>
              <w:t> </w:t>
            </w:r>
            <w:r w:rsidRPr="00BD26C4">
              <w:rPr>
                <w:color w:val="000000"/>
                <w:sz w:val="18"/>
                <w:szCs w:val="18"/>
                <w:lang w:eastAsia="en-US"/>
              </w:rPr>
              <w:t>220</w:t>
            </w:r>
            <w:r>
              <w:rPr>
                <w:color w:val="000000"/>
                <w:sz w:val="18"/>
                <w:szCs w:val="18"/>
                <w:lang w:eastAsia="en-US"/>
              </w:rPr>
              <w:t>,</w:t>
            </w:r>
            <w:r w:rsidRPr="00BD26C4">
              <w:rPr>
                <w:color w:val="000000"/>
                <w:sz w:val="18"/>
                <w:szCs w:val="18"/>
                <w:lang w:eastAsia="en-US"/>
              </w:rPr>
              <w:t>2</w:t>
            </w:r>
          </w:p>
        </w:tc>
        <w:tc>
          <w:tcPr>
            <w:tcW w:w="887" w:type="dxa"/>
            <w:noWrap/>
            <w:vAlign w:val="center"/>
          </w:tcPr>
          <w:p w14:paraId="780C3178" w14:textId="77777777" w:rsidR="00F37385" w:rsidRPr="00BD26C4" w:rsidRDefault="00F37385" w:rsidP="00F37385">
            <w:pPr>
              <w:spacing w:after="60"/>
              <w:jc w:val="right"/>
              <w:rPr>
                <w:color w:val="000000"/>
                <w:sz w:val="18"/>
                <w:szCs w:val="18"/>
                <w:lang w:eastAsia="en-US"/>
              </w:rPr>
            </w:pPr>
            <w:r w:rsidRPr="00BD26C4">
              <w:rPr>
                <w:color w:val="000000"/>
                <w:sz w:val="18"/>
                <w:szCs w:val="18"/>
                <w:lang w:eastAsia="en-US"/>
              </w:rPr>
              <w:t>3</w:t>
            </w:r>
            <w:r>
              <w:rPr>
                <w:color w:val="000000"/>
                <w:sz w:val="18"/>
                <w:szCs w:val="18"/>
                <w:lang w:eastAsia="en-US"/>
              </w:rPr>
              <w:t> </w:t>
            </w:r>
            <w:r w:rsidRPr="00BD26C4">
              <w:rPr>
                <w:color w:val="000000"/>
                <w:sz w:val="18"/>
                <w:szCs w:val="18"/>
                <w:lang w:eastAsia="en-US"/>
              </w:rPr>
              <w:t>003</w:t>
            </w:r>
            <w:r>
              <w:rPr>
                <w:color w:val="000000"/>
                <w:sz w:val="18"/>
                <w:szCs w:val="18"/>
                <w:lang w:eastAsia="en-US"/>
              </w:rPr>
              <w:t>,5</w:t>
            </w:r>
          </w:p>
        </w:tc>
        <w:tc>
          <w:tcPr>
            <w:tcW w:w="887" w:type="dxa"/>
            <w:shd w:val="clear" w:color="auto" w:fill="auto"/>
            <w:noWrap/>
            <w:vAlign w:val="center"/>
          </w:tcPr>
          <w:p w14:paraId="06D2BF82" w14:textId="77777777" w:rsidR="00F37385" w:rsidRPr="004558F0" w:rsidRDefault="00F37385" w:rsidP="00F37385">
            <w:pPr>
              <w:spacing w:after="60"/>
              <w:jc w:val="right"/>
              <w:rPr>
                <w:color w:val="000000"/>
                <w:sz w:val="18"/>
                <w:szCs w:val="18"/>
                <w:lang w:eastAsia="en-US"/>
              </w:rPr>
            </w:pPr>
            <w:r w:rsidRPr="004558F0">
              <w:rPr>
                <w:color w:val="000000"/>
                <w:sz w:val="18"/>
                <w:szCs w:val="18"/>
                <w:lang w:eastAsia="en-US"/>
              </w:rPr>
              <w:t>3</w:t>
            </w:r>
            <w:r>
              <w:rPr>
                <w:color w:val="000000"/>
                <w:sz w:val="18"/>
                <w:szCs w:val="18"/>
                <w:lang w:eastAsia="en-US"/>
              </w:rPr>
              <w:t> </w:t>
            </w:r>
            <w:r w:rsidRPr="004558F0">
              <w:rPr>
                <w:color w:val="000000"/>
                <w:sz w:val="18"/>
                <w:szCs w:val="18"/>
                <w:lang w:eastAsia="en-US"/>
              </w:rPr>
              <w:t>256</w:t>
            </w:r>
            <w:r>
              <w:rPr>
                <w:color w:val="000000"/>
                <w:sz w:val="18"/>
                <w:szCs w:val="18"/>
                <w:lang w:eastAsia="en-US"/>
              </w:rPr>
              <w:t>,</w:t>
            </w:r>
            <w:r w:rsidRPr="004558F0">
              <w:rPr>
                <w:color w:val="000000"/>
                <w:sz w:val="18"/>
                <w:szCs w:val="18"/>
                <w:lang w:eastAsia="en-US"/>
              </w:rPr>
              <w:t>7</w:t>
            </w:r>
          </w:p>
        </w:tc>
        <w:tc>
          <w:tcPr>
            <w:tcW w:w="887" w:type="dxa"/>
            <w:shd w:val="clear" w:color="auto" w:fill="auto"/>
            <w:noWrap/>
            <w:vAlign w:val="center"/>
          </w:tcPr>
          <w:p w14:paraId="5E099BE4" w14:textId="77777777" w:rsidR="00F37385" w:rsidRPr="004558F0" w:rsidRDefault="00F37385" w:rsidP="00F37385">
            <w:pPr>
              <w:spacing w:after="60"/>
              <w:jc w:val="right"/>
              <w:rPr>
                <w:color w:val="000000"/>
                <w:sz w:val="18"/>
                <w:szCs w:val="18"/>
                <w:lang w:eastAsia="en-US"/>
              </w:rPr>
            </w:pPr>
            <w:r w:rsidRPr="004558F0">
              <w:rPr>
                <w:color w:val="000000"/>
                <w:sz w:val="18"/>
                <w:szCs w:val="18"/>
                <w:lang w:eastAsia="en-US"/>
              </w:rPr>
              <w:t>3</w:t>
            </w:r>
            <w:r>
              <w:rPr>
                <w:color w:val="000000"/>
                <w:sz w:val="18"/>
                <w:szCs w:val="18"/>
                <w:lang w:eastAsia="en-US"/>
              </w:rPr>
              <w:t> </w:t>
            </w:r>
            <w:r w:rsidRPr="004558F0">
              <w:rPr>
                <w:color w:val="000000"/>
                <w:sz w:val="18"/>
                <w:szCs w:val="18"/>
                <w:lang w:eastAsia="en-US"/>
              </w:rPr>
              <w:t>22</w:t>
            </w:r>
            <w:r>
              <w:rPr>
                <w:color w:val="000000"/>
                <w:sz w:val="18"/>
                <w:szCs w:val="18"/>
                <w:lang w:eastAsia="en-US"/>
              </w:rPr>
              <w:t>5,0</w:t>
            </w:r>
          </w:p>
        </w:tc>
        <w:tc>
          <w:tcPr>
            <w:tcW w:w="887" w:type="dxa"/>
            <w:shd w:val="clear" w:color="auto" w:fill="auto"/>
            <w:noWrap/>
            <w:vAlign w:val="center"/>
          </w:tcPr>
          <w:p w14:paraId="31AE667A" w14:textId="77777777" w:rsidR="00F37385" w:rsidRPr="004558F0" w:rsidRDefault="00F37385" w:rsidP="00F37385">
            <w:pPr>
              <w:spacing w:after="60"/>
              <w:jc w:val="right"/>
              <w:rPr>
                <w:color w:val="000000"/>
                <w:sz w:val="18"/>
                <w:szCs w:val="18"/>
                <w:lang w:eastAsia="en-US"/>
              </w:rPr>
            </w:pPr>
            <w:r w:rsidRPr="004558F0">
              <w:rPr>
                <w:color w:val="000000"/>
                <w:sz w:val="18"/>
                <w:szCs w:val="18"/>
                <w:lang w:eastAsia="en-US"/>
              </w:rPr>
              <w:t>2</w:t>
            </w:r>
            <w:r>
              <w:rPr>
                <w:color w:val="000000"/>
                <w:sz w:val="18"/>
                <w:szCs w:val="18"/>
                <w:lang w:eastAsia="en-US"/>
              </w:rPr>
              <w:t> </w:t>
            </w:r>
            <w:r w:rsidRPr="004558F0">
              <w:rPr>
                <w:color w:val="000000"/>
                <w:sz w:val="18"/>
                <w:szCs w:val="18"/>
                <w:lang w:eastAsia="en-US"/>
              </w:rPr>
              <w:t>968</w:t>
            </w:r>
            <w:r>
              <w:rPr>
                <w:color w:val="000000"/>
                <w:sz w:val="18"/>
                <w:szCs w:val="18"/>
                <w:lang w:eastAsia="en-US"/>
              </w:rPr>
              <w:t>,</w:t>
            </w:r>
            <w:r w:rsidRPr="004558F0">
              <w:rPr>
                <w:color w:val="000000"/>
                <w:sz w:val="18"/>
                <w:szCs w:val="18"/>
                <w:lang w:eastAsia="en-US"/>
              </w:rPr>
              <w:t>9</w:t>
            </w:r>
          </w:p>
        </w:tc>
      </w:tr>
      <w:tr w:rsidR="00F37385" w:rsidRPr="008F037A" w14:paraId="0D3D2DDC" w14:textId="77777777" w:rsidTr="009963C0">
        <w:trPr>
          <w:trHeight w:val="300"/>
        </w:trPr>
        <w:tc>
          <w:tcPr>
            <w:tcW w:w="2835" w:type="dxa"/>
            <w:shd w:val="clear" w:color="auto" w:fill="auto"/>
            <w:noWrap/>
            <w:vAlign w:val="bottom"/>
            <w:hideMark/>
          </w:tcPr>
          <w:p w14:paraId="6E184FB1" w14:textId="77777777" w:rsidR="00F37385" w:rsidRPr="008F037A" w:rsidRDefault="00F37385" w:rsidP="00F37385">
            <w:pPr>
              <w:spacing w:after="60"/>
              <w:rPr>
                <w:color w:val="000000"/>
                <w:sz w:val="20"/>
                <w:lang w:eastAsia="en-US"/>
              </w:rPr>
            </w:pPr>
            <w:r w:rsidRPr="008F037A">
              <w:rPr>
                <w:color w:val="000000"/>
                <w:sz w:val="20"/>
                <w:lang w:eastAsia="en-US"/>
              </w:rPr>
              <w:t>Со</w:t>
            </w:r>
            <w:r>
              <w:rPr>
                <w:color w:val="000000"/>
                <w:sz w:val="20"/>
                <w:lang w:eastAsia="en-US"/>
              </w:rPr>
              <w:t>циальное обслуживание населения</w:t>
            </w:r>
          </w:p>
        </w:tc>
        <w:tc>
          <w:tcPr>
            <w:tcW w:w="855" w:type="dxa"/>
            <w:shd w:val="clear" w:color="auto" w:fill="auto"/>
            <w:noWrap/>
            <w:vAlign w:val="center"/>
            <w:hideMark/>
          </w:tcPr>
          <w:p w14:paraId="35B618D6" w14:textId="77777777" w:rsidR="00F37385" w:rsidRPr="00C2163B" w:rsidRDefault="00F37385" w:rsidP="00F37385">
            <w:pPr>
              <w:spacing w:after="60"/>
              <w:jc w:val="right"/>
              <w:rPr>
                <w:color w:val="000000"/>
                <w:sz w:val="18"/>
                <w:szCs w:val="18"/>
                <w:highlight w:val="yellow"/>
                <w:lang w:eastAsia="en-US"/>
              </w:rPr>
            </w:pPr>
            <w:r w:rsidRPr="0031024A">
              <w:rPr>
                <w:color w:val="000000"/>
                <w:sz w:val="18"/>
                <w:szCs w:val="18"/>
                <w:lang w:eastAsia="en-US"/>
              </w:rPr>
              <w:t>17</w:t>
            </w:r>
            <w:r>
              <w:rPr>
                <w:color w:val="000000"/>
                <w:sz w:val="18"/>
                <w:szCs w:val="18"/>
                <w:lang w:eastAsia="en-US"/>
              </w:rPr>
              <w:t>,9</w:t>
            </w:r>
          </w:p>
        </w:tc>
        <w:tc>
          <w:tcPr>
            <w:tcW w:w="855" w:type="dxa"/>
            <w:noWrap/>
            <w:vAlign w:val="center"/>
          </w:tcPr>
          <w:p w14:paraId="25E393FF" w14:textId="77777777" w:rsidR="00F37385" w:rsidRPr="00E574DF" w:rsidRDefault="00F37385" w:rsidP="00F37385">
            <w:pPr>
              <w:spacing w:after="60"/>
              <w:jc w:val="right"/>
              <w:rPr>
                <w:color w:val="000000"/>
                <w:sz w:val="18"/>
                <w:szCs w:val="18"/>
                <w:lang w:eastAsia="en-US"/>
              </w:rPr>
            </w:pPr>
            <w:r w:rsidRPr="00E574DF">
              <w:rPr>
                <w:color w:val="000000"/>
                <w:sz w:val="18"/>
                <w:szCs w:val="18"/>
                <w:lang w:eastAsia="en-US"/>
              </w:rPr>
              <w:t>18</w:t>
            </w:r>
            <w:r>
              <w:rPr>
                <w:color w:val="000000"/>
                <w:sz w:val="18"/>
                <w:szCs w:val="18"/>
                <w:lang w:eastAsia="en-US"/>
              </w:rPr>
              <w:t>,3</w:t>
            </w:r>
          </w:p>
        </w:tc>
        <w:tc>
          <w:tcPr>
            <w:tcW w:w="887" w:type="dxa"/>
            <w:noWrap/>
            <w:vAlign w:val="center"/>
          </w:tcPr>
          <w:p w14:paraId="26B177B4" w14:textId="77777777" w:rsidR="00F37385" w:rsidRPr="00E574DF" w:rsidRDefault="00F37385" w:rsidP="00F37385">
            <w:pPr>
              <w:spacing w:after="60"/>
              <w:jc w:val="right"/>
              <w:rPr>
                <w:color w:val="000000"/>
                <w:sz w:val="18"/>
                <w:szCs w:val="18"/>
                <w:lang w:eastAsia="en-US"/>
              </w:rPr>
            </w:pPr>
            <w:r w:rsidRPr="00E574DF">
              <w:rPr>
                <w:color w:val="000000"/>
                <w:sz w:val="18"/>
                <w:szCs w:val="18"/>
                <w:lang w:eastAsia="en-US"/>
              </w:rPr>
              <w:t>19</w:t>
            </w:r>
            <w:r>
              <w:rPr>
                <w:color w:val="000000"/>
                <w:sz w:val="18"/>
                <w:szCs w:val="18"/>
                <w:lang w:eastAsia="en-US"/>
              </w:rPr>
              <w:t>,5</w:t>
            </w:r>
          </w:p>
        </w:tc>
        <w:tc>
          <w:tcPr>
            <w:tcW w:w="887" w:type="dxa"/>
            <w:noWrap/>
            <w:vAlign w:val="center"/>
          </w:tcPr>
          <w:p w14:paraId="0149F49C" w14:textId="77777777" w:rsidR="00F37385" w:rsidRPr="00E574DF" w:rsidRDefault="00F37385" w:rsidP="00F37385">
            <w:pPr>
              <w:spacing w:after="60"/>
              <w:jc w:val="right"/>
              <w:rPr>
                <w:color w:val="000000"/>
                <w:sz w:val="18"/>
                <w:szCs w:val="18"/>
                <w:lang w:eastAsia="en-US"/>
              </w:rPr>
            </w:pPr>
            <w:r>
              <w:rPr>
                <w:color w:val="000000"/>
                <w:sz w:val="18"/>
                <w:szCs w:val="18"/>
                <w:lang w:eastAsia="en-US"/>
              </w:rPr>
              <w:t>20,0</w:t>
            </w:r>
          </w:p>
        </w:tc>
        <w:tc>
          <w:tcPr>
            <w:tcW w:w="887" w:type="dxa"/>
            <w:shd w:val="clear" w:color="auto" w:fill="auto"/>
            <w:noWrap/>
            <w:vAlign w:val="center"/>
          </w:tcPr>
          <w:p w14:paraId="0D39AB57" w14:textId="77777777" w:rsidR="00F37385" w:rsidRPr="00E574DF" w:rsidRDefault="00F37385" w:rsidP="00F37385">
            <w:pPr>
              <w:spacing w:after="60"/>
              <w:jc w:val="right"/>
              <w:rPr>
                <w:color w:val="000000"/>
                <w:sz w:val="18"/>
                <w:szCs w:val="18"/>
                <w:lang w:eastAsia="en-US"/>
              </w:rPr>
            </w:pPr>
            <w:r w:rsidRPr="00E574DF">
              <w:rPr>
                <w:color w:val="000000"/>
                <w:sz w:val="18"/>
                <w:szCs w:val="18"/>
                <w:lang w:eastAsia="en-US"/>
              </w:rPr>
              <w:t>19</w:t>
            </w:r>
            <w:r>
              <w:rPr>
                <w:color w:val="000000"/>
                <w:sz w:val="18"/>
                <w:szCs w:val="18"/>
                <w:lang w:eastAsia="en-US"/>
              </w:rPr>
              <w:t>,</w:t>
            </w:r>
            <w:r w:rsidRPr="00E574DF">
              <w:rPr>
                <w:color w:val="000000"/>
                <w:sz w:val="18"/>
                <w:szCs w:val="18"/>
                <w:lang w:eastAsia="en-US"/>
              </w:rPr>
              <w:t>5</w:t>
            </w:r>
          </w:p>
        </w:tc>
        <w:tc>
          <w:tcPr>
            <w:tcW w:w="887" w:type="dxa"/>
            <w:shd w:val="clear" w:color="auto" w:fill="auto"/>
            <w:noWrap/>
            <w:vAlign w:val="center"/>
          </w:tcPr>
          <w:p w14:paraId="786ED197" w14:textId="77777777" w:rsidR="00F37385" w:rsidRPr="00E574DF" w:rsidRDefault="00F37385" w:rsidP="00F37385">
            <w:pPr>
              <w:spacing w:after="60"/>
              <w:jc w:val="right"/>
              <w:rPr>
                <w:color w:val="000000"/>
                <w:sz w:val="18"/>
                <w:szCs w:val="18"/>
                <w:lang w:eastAsia="en-US"/>
              </w:rPr>
            </w:pPr>
            <w:r w:rsidRPr="00E574DF">
              <w:rPr>
                <w:color w:val="000000"/>
                <w:sz w:val="18"/>
                <w:szCs w:val="18"/>
                <w:lang w:eastAsia="en-US"/>
              </w:rPr>
              <w:t>20</w:t>
            </w:r>
            <w:r>
              <w:rPr>
                <w:color w:val="000000"/>
                <w:sz w:val="18"/>
                <w:szCs w:val="18"/>
                <w:lang w:eastAsia="en-US"/>
              </w:rPr>
              <w:t>,</w:t>
            </w:r>
            <w:r w:rsidRPr="00E574DF">
              <w:rPr>
                <w:color w:val="000000"/>
                <w:sz w:val="18"/>
                <w:szCs w:val="18"/>
                <w:lang w:eastAsia="en-US"/>
              </w:rPr>
              <w:t>1</w:t>
            </w:r>
          </w:p>
        </w:tc>
        <w:tc>
          <w:tcPr>
            <w:tcW w:w="887" w:type="dxa"/>
            <w:shd w:val="clear" w:color="auto" w:fill="auto"/>
            <w:noWrap/>
            <w:vAlign w:val="center"/>
          </w:tcPr>
          <w:p w14:paraId="4E6B80E8" w14:textId="77777777" w:rsidR="00F37385" w:rsidRPr="00E574DF" w:rsidRDefault="00F37385" w:rsidP="00F37385">
            <w:pPr>
              <w:spacing w:after="60"/>
              <w:jc w:val="right"/>
              <w:rPr>
                <w:color w:val="000000"/>
                <w:sz w:val="18"/>
                <w:szCs w:val="18"/>
                <w:lang w:eastAsia="en-US"/>
              </w:rPr>
            </w:pPr>
            <w:r w:rsidRPr="00E574DF">
              <w:rPr>
                <w:color w:val="000000"/>
                <w:sz w:val="18"/>
                <w:szCs w:val="18"/>
                <w:lang w:eastAsia="en-US"/>
              </w:rPr>
              <w:t>21</w:t>
            </w:r>
            <w:r>
              <w:rPr>
                <w:color w:val="000000"/>
                <w:sz w:val="18"/>
                <w:szCs w:val="18"/>
                <w:lang w:eastAsia="en-US"/>
              </w:rPr>
              <w:t>,</w:t>
            </w:r>
            <w:r w:rsidRPr="00E574DF">
              <w:rPr>
                <w:color w:val="000000"/>
                <w:sz w:val="18"/>
                <w:szCs w:val="18"/>
                <w:lang w:eastAsia="en-US"/>
              </w:rPr>
              <w:t>5</w:t>
            </w:r>
          </w:p>
        </w:tc>
      </w:tr>
      <w:tr w:rsidR="00F37385" w:rsidRPr="008F037A" w14:paraId="1DD2CDC0" w14:textId="77777777" w:rsidTr="009963C0">
        <w:trPr>
          <w:trHeight w:val="300"/>
        </w:trPr>
        <w:tc>
          <w:tcPr>
            <w:tcW w:w="2835" w:type="dxa"/>
            <w:shd w:val="clear" w:color="auto" w:fill="auto"/>
            <w:noWrap/>
            <w:vAlign w:val="bottom"/>
            <w:hideMark/>
          </w:tcPr>
          <w:p w14:paraId="7F1501C6" w14:textId="77777777" w:rsidR="00F37385" w:rsidRPr="008F037A" w:rsidRDefault="00F37385" w:rsidP="00F37385">
            <w:pPr>
              <w:spacing w:after="60"/>
              <w:rPr>
                <w:color w:val="000000"/>
                <w:sz w:val="20"/>
                <w:lang w:eastAsia="en-US"/>
              </w:rPr>
            </w:pPr>
            <w:r w:rsidRPr="008F037A">
              <w:rPr>
                <w:color w:val="000000"/>
                <w:sz w:val="20"/>
                <w:lang w:eastAsia="en-US"/>
              </w:rPr>
              <w:t>Социальное обеспечение населения</w:t>
            </w:r>
          </w:p>
        </w:tc>
        <w:tc>
          <w:tcPr>
            <w:tcW w:w="855" w:type="dxa"/>
            <w:shd w:val="clear" w:color="auto" w:fill="auto"/>
            <w:noWrap/>
            <w:vAlign w:val="center"/>
            <w:hideMark/>
          </w:tcPr>
          <w:p w14:paraId="63F1F340" w14:textId="77777777" w:rsidR="00F37385" w:rsidRPr="00C2163B" w:rsidRDefault="00F37385" w:rsidP="00F37385">
            <w:pPr>
              <w:spacing w:after="60"/>
              <w:jc w:val="right"/>
              <w:rPr>
                <w:color w:val="000000"/>
                <w:sz w:val="18"/>
                <w:szCs w:val="18"/>
                <w:highlight w:val="yellow"/>
                <w:lang w:eastAsia="en-US"/>
              </w:rPr>
            </w:pPr>
            <w:r w:rsidRPr="0031024A">
              <w:rPr>
                <w:color w:val="000000"/>
                <w:sz w:val="18"/>
                <w:szCs w:val="18"/>
                <w:lang w:eastAsia="en-US"/>
              </w:rPr>
              <w:t>931</w:t>
            </w:r>
            <w:r>
              <w:rPr>
                <w:color w:val="000000"/>
                <w:sz w:val="18"/>
                <w:szCs w:val="18"/>
                <w:lang w:eastAsia="en-US"/>
              </w:rPr>
              <w:t>,5</w:t>
            </w:r>
          </w:p>
        </w:tc>
        <w:tc>
          <w:tcPr>
            <w:tcW w:w="855" w:type="dxa"/>
            <w:noWrap/>
            <w:vAlign w:val="center"/>
          </w:tcPr>
          <w:p w14:paraId="540DD4DC" w14:textId="77777777" w:rsidR="00F37385" w:rsidRPr="00E574DF" w:rsidRDefault="00F37385" w:rsidP="00F37385">
            <w:pPr>
              <w:spacing w:after="60"/>
              <w:jc w:val="right"/>
              <w:rPr>
                <w:color w:val="000000"/>
                <w:sz w:val="18"/>
                <w:szCs w:val="18"/>
                <w:lang w:eastAsia="en-US"/>
              </w:rPr>
            </w:pPr>
            <w:r w:rsidRPr="00E574DF">
              <w:rPr>
                <w:color w:val="000000"/>
                <w:sz w:val="18"/>
                <w:szCs w:val="18"/>
                <w:lang w:eastAsia="en-US"/>
              </w:rPr>
              <w:t>1</w:t>
            </w:r>
            <w:r>
              <w:rPr>
                <w:color w:val="000000"/>
                <w:sz w:val="18"/>
                <w:szCs w:val="18"/>
                <w:lang w:eastAsia="en-US"/>
              </w:rPr>
              <w:t> </w:t>
            </w:r>
            <w:r w:rsidRPr="00E574DF">
              <w:rPr>
                <w:color w:val="000000"/>
                <w:sz w:val="18"/>
                <w:szCs w:val="18"/>
                <w:lang w:eastAsia="en-US"/>
              </w:rPr>
              <w:t>059</w:t>
            </w:r>
            <w:r>
              <w:rPr>
                <w:color w:val="000000"/>
                <w:sz w:val="18"/>
                <w:szCs w:val="18"/>
                <w:lang w:eastAsia="en-US"/>
              </w:rPr>
              <w:t>,</w:t>
            </w:r>
            <w:r w:rsidRPr="00E574DF">
              <w:rPr>
                <w:color w:val="000000"/>
                <w:sz w:val="18"/>
                <w:szCs w:val="18"/>
                <w:lang w:eastAsia="en-US"/>
              </w:rPr>
              <w:t>7</w:t>
            </w:r>
          </w:p>
        </w:tc>
        <w:tc>
          <w:tcPr>
            <w:tcW w:w="887" w:type="dxa"/>
            <w:noWrap/>
            <w:vAlign w:val="center"/>
          </w:tcPr>
          <w:p w14:paraId="31ABEA5E" w14:textId="77777777" w:rsidR="00F37385" w:rsidRPr="00E574DF" w:rsidRDefault="00F37385" w:rsidP="00F37385">
            <w:pPr>
              <w:spacing w:after="60"/>
              <w:jc w:val="right"/>
              <w:rPr>
                <w:color w:val="000000"/>
                <w:sz w:val="18"/>
                <w:szCs w:val="18"/>
                <w:lang w:eastAsia="en-US"/>
              </w:rPr>
            </w:pPr>
            <w:r w:rsidRPr="00E574DF">
              <w:rPr>
                <w:color w:val="000000"/>
                <w:sz w:val="18"/>
                <w:szCs w:val="18"/>
                <w:lang w:eastAsia="en-US"/>
              </w:rPr>
              <w:t>1</w:t>
            </w:r>
            <w:r>
              <w:rPr>
                <w:color w:val="000000"/>
                <w:sz w:val="18"/>
                <w:szCs w:val="18"/>
                <w:lang w:eastAsia="en-US"/>
              </w:rPr>
              <w:t> </w:t>
            </w:r>
            <w:r w:rsidRPr="00E574DF">
              <w:rPr>
                <w:color w:val="000000"/>
                <w:sz w:val="18"/>
                <w:szCs w:val="18"/>
                <w:lang w:eastAsia="en-US"/>
              </w:rPr>
              <w:t>099</w:t>
            </w:r>
            <w:r>
              <w:rPr>
                <w:color w:val="000000"/>
                <w:sz w:val="18"/>
                <w:szCs w:val="18"/>
                <w:lang w:eastAsia="en-US"/>
              </w:rPr>
              <w:t>,6</w:t>
            </w:r>
          </w:p>
        </w:tc>
        <w:tc>
          <w:tcPr>
            <w:tcW w:w="887" w:type="dxa"/>
            <w:noWrap/>
            <w:vAlign w:val="center"/>
          </w:tcPr>
          <w:p w14:paraId="2B4AE7F3" w14:textId="77777777" w:rsidR="00F37385" w:rsidRPr="00E574DF" w:rsidRDefault="00F37385" w:rsidP="00F37385">
            <w:pPr>
              <w:spacing w:after="60"/>
              <w:jc w:val="right"/>
              <w:rPr>
                <w:color w:val="000000"/>
                <w:sz w:val="18"/>
                <w:szCs w:val="18"/>
                <w:lang w:eastAsia="en-US"/>
              </w:rPr>
            </w:pPr>
            <w:r w:rsidRPr="00E574DF">
              <w:rPr>
                <w:color w:val="000000"/>
                <w:sz w:val="18"/>
                <w:szCs w:val="18"/>
                <w:lang w:eastAsia="en-US"/>
              </w:rPr>
              <w:t>1</w:t>
            </w:r>
            <w:r>
              <w:rPr>
                <w:color w:val="000000"/>
                <w:sz w:val="18"/>
                <w:szCs w:val="18"/>
                <w:lang w:eastAsia="en-US"/>
              </w:rPr>
              <w:t> </w:t>
            </w:r>
            <w:r w:rsidRPr="00E574DF">
              <w:rPr>
                <w:color w:val="000000"/>
                <w:sz w:val="18"/>
                <w:szCs w:val="18"/>
                <w:lang w:eastAsia="en-US"/>
              </w:rPr>
              <w:t>131</w:t>
            </w:r>
            <w:r>
              <w:rPr>
                <w:color w:val="000000"/>
                <w:sz w:val="18"/>
                <w:szCs w:val="18"/>
                <w:lang w:eastAsia="en-US"/>
              </w:rPr>
              <w:t>,7</w:t>
            </w:r>
          </w:p>
        </w:tc>
        <w:tc>
          <w:tcPr>
            <w:tcW w:w="887" w:type="dxa"/>
            <w:shd w:val="clear" w:color="auto" w:fill="auto"/>
            <w:noWrap/>
            <w:vAlign w:val="center"/>
          </w:tcPr>
          <w:p w14:paraId="73B119E9" w14:textId="77777777" w:rsidR="00F37385" w:rsidRPr="00E574DF" w:rsidRDefault="00F37385" w:rsidP="00F37385">
            <w:pPr>
              <w:spacing w:after="60"/>
              <w:jc w:val="right"/>
              <w:rPr>
                <w:color w:val="000000"/>
                <w:sz w:val="18"/>
                <w:szCs w:val="18"/>
                <w:lang w:eastAsia="en-US"/>
              </w:rPr>
            </w:pPr>
            <w:r w:rsidRPr="00E574DF">
              <w:rPr>
                <w:color w:val="000000"/>
                <w:sz w:val="18"/>
                <w:szCs w:val="18"/>
                <w:lang w:eastAsia="en-US"/>
              </w:rPr>
              <w:t>1</w:t>
            </w:r>
            <w:r>
              <w:rPr>
                <w:color w:val="000000"/>
                <w:sz w:val="18"/>
                <w:szCs w:val="18"/>
                <w:lang w:eastAsia="en-US"/>
              </w:rPr>
              <w:t> </w:t>
            </w:r>
            <w:r w:rsidRPr="00E574DF">
              <w:rPr>
                <w:color w:val="000000"/>
                <w:sz w:val="18"/>
                <w:szCs w:val="18"/>
                <w:lang w:eastAsia="en-US"/>
              </w:rPr>
              <w:t>062</w:t>
            </w:r>
            <w:r>
              <w:rPr>
                <w:color w:val="000000"/>
                <w:sz w:val="18"/>
                <w:szCs w:val="18"/>
                <w:lang w:eastAsia="en-US"/>
              </w:rPr>
              <w:t>,9</w:t>
            </w:r>
          </w:p>
        </w:tc>
        <w:tc>
          <w:tcPr>
            <w:tcW w:w="887" w:type="dxa"/>
            <w:shd w:val="clear" w:color="auto" w:fill="auto"/>
            <w:noWrap/>
            <w:vAlign w:val="center"/>
          </w:tcPr>
          <w:p w14:paraId="6C3BE82B" w14:textId="77777777" w:rsidR="00F37385" w:rsidRPr="00E574DF" w:rsidRDefault="00F37385" w:rsidP="00F37385">
            <w:pPr>
              <w:spacing w:after="60"/>
              <w:jc w:val="right"/>
              <w:rPr>
                <w:color w:val="000000"/>
                <w:sz w:val="18"/>
                <w:szCs w:val="18"/>
                <w:lang w:eastAsia="en-US"/>
              </w:rPr>
            </w:pPr>
            <w:r w:rsidRPr="00E574DF">
              <w:rPr>
                <w:color w:val="000000"/>
                <w:sz w:val="18"/>
                <w:szCs w:val="18"/>
                <w:lang w:eastAsia="en-US"/>
              </w:rPr>
              <w:t>1</w:t>
            </w:r>
            <w:r>
              <w:rPr>
                <w:color w:val="000000"/>
                <w:sz w:val="18"/>
                <w:szCs w:val="18"/>
                <w:lang w:eastAsia="en-US"/>
              </w:rPr>
              <w:t> </w:t>
            </w:r>
            <w:r w:rsidRPr="00E574DF">
              <w:rPr>
                <w:color w:val="000000"/>
                <w:sz w:val="18"/>
                <w:szCs w:val="18"/>
                <w:lang w:eastAsia="en-US"/>
              </w:rPr>
              <w:t>102</w:t>
            </w:r>
            <w:r>
              <w:rPr>
                <w:color w:val="000000"/>
                <w:sz w:val="18"/>
                <w:szCs w:val="18"/>
                <w:lang w:eastAsia="en-US"/>
              </w:rPr>
              <w:t>,6</w:t>
            </w:r>
          </w:p>
        </w:tc>
        <w:tc>
          <w:tcPr>
            <w:tcW w:w="887" w:type="dxa"/>
            <w:shd w:val="clear" w:color="auto" w:fill="auto"/>
            <w:noWrap/>
            <w:vAlign w:val="center"/>
          </w:tcPr>
          <w:p w14:paraId="5146A272" w14:textId="77777777" w:rsidR="00F37385" w:rsidRPr="00E574DF" w:rsidRDefault="00F37385" w:rsidP="00F37385">
            <w:pPr>
              <w:spacing w:after="60"/>
              <w:jc w:val="right"/>
              <w:rPr>
                <w:color w:val="000000"/>
                <w:sz w:val="18"/>
                <w:szCs w:val="18"/>
                <w:lang w:eastAsia="en-US"/>
              </w:rPr>
            </w:pPr>
            <w:r w:rsidRPr="00E574DF">
              <w:rPr>
                <w:color w:val="000000"/>
                <w:sz w:val="18"/>
                <w:szCs w:val="18"/>
                <w:lang w:eastAsia="en-US"/>
              </w:rPr>
              <w:t>1</w:t>
            </w:r>
            <w:r>
              <w:rPr>
                <w:color w:val="000000"/>
                <w:sz w:val="18"/>
                <w:szCs w:val="18"/>
                <w:lang w:eastAsia="en-US"/>
              </w:rPr>
              <w:t> </w:t>
            </w:r>
            <w:r w:rsidRPr="00E574DF">
              <w:rPr>
                <w:color w:val="000000"/>
                <w:sz w:val="18"/>
                <w:szCs w:val="18"/>
                <w:lang w:eastAsia="en-US"/>
              </w:rPr>
              <w:t>148</w:t>
            </w:r>
            <w:r>
              <w:rPr>
                <w:color w:val="000000"/>
                <w:sz w:val="18"/>
                <w:szCs w:val="18"/>
                <w:lang w:eastAsia="en-US"/>
              </w:rPr>
              <w:t>,8</w:t>
            </w:r>
          </w:p>
        </w:tc>
      </w:tr>
      <w:tr w:rsidR="00F37385" w:rsidRPr="008F037A" w14:paraId="5C981E03" w14:textId="77777777" w:rsidTr="009963C0">
        <w:trPr>
          <w:trHeight w:val="300"/>
        </w:trPr>
        <w:tc>
          <w:tcPr>
            <w:tcW w:w="2835" w:type="dxa"/>
            <w:shd w:val="clear" w:color="auto" w:fill="auto"/>
            <w:noWrap/>
            <w:vAlign w:val="bottom"/>
            <w:hideMark/>
          </w:tcPr>
          <w:p w14:paraId="3B2C0C87" w14:textId="77777777" w:rsidR="00F37385" w:rsidRPr="008F037A" w:rsidRDefault="00F37385" w:rsidP="00F37385">
            <w:pPr>
              <w:spacing w:after="60"/>
              <w:rPr>
                <w:color w:val="000000"/>
                <w:sz w:val="20"/>
                <w:lang w:eastAsia="en-US"/>
              </w:rPr>
            </w:pPr>
            <w:r>
              <w:rPr>
                <w:color w:val="000000"/>
                <w:sz w:val="20"/>
                <w:lang w:eastAsia="en-US"/>
              </w:rPr>
              <w:t>Охрана семьи и детства</w:t>
            </w:r>
          </w:p>
        </w:tc>
        <w:tc>
          <w:tcPr>
            <w:tcW w:w="855" w:type="dxa"/>
            <w:shd w:val="clear" w:color="auto" w:fill="auto"/>
            <w:noWrap/>
            <w:vAlign w:val="center"/>
            <w:hideMark/>
          </w:tcPr>
          <w:p w14:paraId="23E95F5A" w14:textId="77777777" w:rsidR="00F37385" w:rsidRPr="00C2163B" w:rsidRDefault="00F37385" w:rsidP="00F37385">
            <w:pPr>
              <w:spacing w:after="60"/>
              <w:jc w:val="right"/>
              <w:rPr>
                <w:color w:val="000000"/>
                <w:sz w:val="18"/>
                <w:szCs w:val="18"/>
                <w:highlight w:val="yellow"/>
                <w:lang w:eastAsia="en-US"/>
              </w:rPr>
            </w:pPr>
            <w:r w:rsidRPr="00EC0E5F">
              <w:rPr>
                <w:color w:val="000000"/>
                <w:sz w:val="18"/>
                <w:szCs w:val="18"/>
                <w:lang w:eastAsia="en-US"/>
              </w:rPr>
              <w:t>455</w:t>
            </w:r>
            <w:r>
              <w:rPr>
                <w:color w:val="000000"/>
                <w:sz w:val="18"/>
                <w:szCs w:val="18"/>
                <w:lang w:eastAsia="en-US"/>
              </w:rPr>
              <w:t>,</w:t>
            </w:r>
            <w:r w:rsidRPr="00EC0E5F">
              <w:rPr>
                <w:color w:val="000000"/>
                <w:sz w:val="18"/>
                <w:szCs w:val="18"/>
                <w:lang w:eastAsia="en-US"/>
              </w:rPr>
              <w:t>9</w:t>
            </w:r>
          </w:p>
        </w:tc>
        <w:tc>
          <w:tcPr>
            <w:tcW w:w="855" w:type="dxa"/>
            <w:vAlign w:val="center"/>
          </w:tcPr>
          <w:p w14:paraId="4AFBBE09" w14:textId="77777777" w:rsidR="00F37385" w:rsidRPr="00E574DF" w:rsidRDefault="00F37385" w:rsidP="00F37385">
            <w:pPr>
              <w:spacing w:after="60"/>
              <w:jc w:val="right"/>
              <w:rPr>
                <w:color w:val="000000"/>
                <w:sz w:val="18"/>
                <w:szCs w:val="18"/>
                <w:lang w:eastAsia="en-US"/>
              </w:rPr>
            </w:pPr>
            <w:r w:rsidRPr="00E574DF">
              <w:rPr>
                <w:color w:val="000000"/>
                <w:sz w:val="18"/>
                <w:szCs w:val="18"/>
                <w:lang w:eastAsia="en-US"/>
              </w:rPr>
              <w:t>53</w:t>
            </w:r>
            <w:r>
              <w:rPr>
                <w:color w:val="000000"/>
                <w:sz w:val="18"/>
                <w:szCs w:val="18"/>
                <w:lang w:eastAsia="en-US"/>
              </w:rPr>
              <w:t>3,0</w:t>
            </w:r>
          </w:p>
        </w:tc>
        <w:tc>
          <w:tcPr>
            <w:tcW w:w="887" w:type="dxa"/>
            <w:vAlign w:val="center"/>
          </w:tcPr>
          <w:p w14:paraId="36B63DE8" w14:textId="77777777" w:rsidR="00F37385" w:rsidRPr="00E574DF" w:rsidRDefault="00F37385" w:rsidP="00F37385">
            <w:pPr>
              <w:spacing w:after="60"/>
              <w:jc w:val="right"/>
              <w:rPr>
                <w:color w:val="000000"/>
                <w:sz w:val="18"/>
                <w:szCs w:val="18"/>
                <w:lang w:eastAsia="en-US"/>
              </w:rPr>
            </w:pPr>
            <w:r w:rsidRPr="00E574DF">
              <w:rPr>
                <w:color w:val="000000"/>
                <w:sz w:val="18"/>
                <w:szCs w:val="18"/>
                <w:lang w:eastAsia="en-US"/>
              </w:rPr>
              <w:t>560</w:t>
            </w:r>
            <w:r>
              <w:rPr>
                <w:color w:val="000000"/>
                <w:sz w:val="18"/>
                <w:szCs w:val="18"/>
                <w:lang w:eastAsia="en-US"/>
              </w:rPr>
              <w:t>,5</w:t>
            </w:r>
          </w:p>
        </w:tc>
        <w:tc>
          <w:tcPr>
            <w:tcW w:w="887" w:type="dxa"/>
            <w:vAlign w:val="center"/>
          </w:tcPr>
          <w:p w14:paraId="0871B092" w14:textId="77777777" w:rsidR="00F37385" w:rsidRPr="00E574DF" w:rsidRDefault="00F37385" w:rsidP="00F37385">
            <w:pPr>
              <w:spacing w:after="60"/>
              <w:jc w:val="right"/>
              <w:rPr>
                <w:color w:val="000000"/>
                <w:sz w:val="18"/>
                <w:szCs w:val="18"/>
                <w:lang w:eastAsia="en-US"/>
              </w:rPr>
            </w:pPr>
            <w:r w:rsidRPr="00E574DF">
              <w:rPr>
                <w:color w:val="000000"/>
                <w:sz w:val="18"/>
                <w:szCs w:val="18"/>
                <w:lang w:eastAsia="en-US"/>
              </w:rPr>
              <w:t>578</w:t>
            </w:r>
            <w:r>
              <w:rPr>
                <w:color w:val="000000"/>
                <w:sz w:val="18"/>
                <w:szCs w:val="18"/>
                <w:lang w:eastAsia="en-US"/>
              </w:rPr>
              <w:t>,4</w:t>
            </w:r>
          </w:p>
        </w:tc>
        <w:tc>
          <w:tcPr>
            <w:tcW w:w="887" w:type="dxa"/>
            <w:shd w:val="clear" w:color="auto" w:fill="auto"/>
            <w:noWrap/>
            <w:vAlign w:val="center"/>
          </w:tcPr>
          <w:p w14:paraId="0C8F88DD" w14:textId="77777777" w:rsidR="00F37385" w:rsidRPr="00E574DF" w:rsidRDefault="00F37385" w:rsidP="00F37385">
            <w:pPr>
              <w:spacing w:after="60"/>
              <w:jc w:val="right"/>
              <w:rPr>
                <w:color w:val="000000"/>
                <w:sz w:val="18"/>
                <w:szCs w:val="18"/>
                <w:lang w:eastAsia="en-US"/>
              </w:rPr>
            </w:pPr>
            <w:r w:rsidRPr="00E574DF">
              <w:rPr>
                <w:color w:val="000000"/>
                <w:sz w:val="18"/>
                <w:szCs w:val="18"/>
                <w:lang w:eastAsia="en-US"/>
              </w:rPr>
              <w:t>635</w:t>
            </w:r>
            <w:r>
              <w:rPr>
                <w:color w:val="000000"/>
                <w:sz w:val="18"/>
                <w:szCs w:val="18"/>
                <w:lang w:eastAsia="en-US"/>
              </w:rPr>
              <w:t>,2</w:t>
            </w:r>
          </w:p>
        </w:tc>
        <w:tc>
          <w:tcPr>
            <w:tcW w:w="887" w:type="dxa"/>
            <w:shd w:val="clear" w:color="auto" w:fill="auto"/>
            <w:noWrap/>
            <w:vAlign w:val="center"/>
          </w:tcPr>
          <w:p w14:paraId="7982461F" w14:textId="77777777" w:rsidR="00F37385" w:rsidRPr="00E574DF" w:rsidRDefault="00F37385" w:rsidP="00F37385">
            <w:pPr>
              <w:spacing w:after="60"/>
              <w:jc w:val="right"/>
              <w:rPr>
                <w:color w:val="000000"/>
                <w:sz w:val="18"/>
                <w:szCs w:val="18"/>
                <w:lang w:eastAsia="en-US"/>
              </w:rPr>
            </w:pPr>
            <w:r w:rsidRPr="00E574DF">
              <w:rPr>
                <w:color w:val="000000"/>
                <w:sz w:val="18"/>
                <w:szCs w:val="18"/>
                <w:lang w:eastAsia="en-US"/>
              </w:rPr>
              <w:t>663</w:t>
            </w:r>
            <w:r>
              <w:rPr>
                <w:color w:val="000000"/>
                <w:sz w:val="18"/>
                <w:szCs w:val="18"/>
                <w:lang w:eastAsia="en-US"/>
              </w:rPr>
              <w:t>,0</w:t>
            </w:r>
          </w:p>
        </w:tc>
        <w:tc>
          <w:tcPr>
            <w:tcW w:w="887" w:type="dxa"/>
            <w:shd w:val="clear" w:color="auto" w:fill="auto"/>
            <w:noWrap/>
            <w:vAlign w:val="center"/>
          </w:tcPr>
          <w:p w14:paraId="15C90A2D" w14:textId="77777777" w:rsidR="00F37385" w:rsidRPr="00E574DF" w:rsidRDefault="00F37385" w:rsidP="00F37385">
            <w:pPr>
              <w:spacing w:after="60"/>
              <w:jc w:val="right"/>
              <w:rPr>
                <w:color w:val="000000"/>
                <w:sz w:val="18"/>
                <w:szCs w:val="18"/>
                <w:lang w:eastAsia="en-US"/>
              </w:rPr>
            </w:pPr>
            <w:r w:rsidRPr="00E574DF">
              <w:rPr>
                <w:color w:val="000000"/>
                <w:sz w:val="18"/>
                <w:szCs w:val="18"/>
                <w:lang w:eastAsia="en-US"/>
              </w:rPr>
              <w:t>650</w:t>
            </w:r>
            <w:r>
              <w:rPr>
                <w:color w:val="000000"/>
                <w:sz w:val="18"/>
                <w:szCs w:val="18"/>
                <w:lang w:eastAsia="en-US"/>
              </w:rPr>
              <w:t>,6</w:t>
            </w:r>
          </w:p>
        </w:tc>
      </w:tr>
      <w:tr w:rsidR="00F37385" w:rsidRPr="008F037A" w14:paraId="76DBC2BA" w14:textId="77777777" w:rsidTr="009963C0">
        <w:trPr>
          <w:trHeight w:val="300"/>
        </w:trPr>
        <w:tc>
          <w:tcPr>
            <w:tcW w:w="2835" w:type="dxa"/>
            <w:shd w:val="clear" w:color="auto" w:fill="auto"/>
            <w:noWrap/>
            <w:vAlign w:val="bottom"/>
            <w:hideMark/>
          </w:tcPr>
          <w:p w14:paraId="52C445BC" w14:textId="77777777" w:rsidR="00F37385" w:rsidRPr="008F037A" w:rsidRDefault="00F37385" w:rsidP="00F37385">
            <w:pPr>
              <w:spacing w:after="60"/>
              <w:rPr>
                <w:color w:val="000000"/>
                <w:sz w:val="20"/>
                <w:lang w:eastAsia="en-US"/>
              </w:rPr>
            </w:pPr>
            <w:r w:rsidRPr="008F037A">
              <w:rPr>
                <w:color w:val="000000"/>
                <w:sz w:val="20"/>
                <w:lang w:eastAsia="en-US"/>
              </w:rPr>
              <w:t>П</w:t>
            </w:r>
            <w:r>
              <w:rPr>
                <w:color w:val="000000"/>
                <w:sz w:val="20"/>
                <w:lang w:eastAsia="en-US"/>
              </w:rPr>
              <w:t>рикладные научные исследования</w:t>
            </w:r>
          </w:p>
        </w:tc>
        <w:tc>
          <w:tcPr>
            <w:tcW w:w="855" w:type="dxa"/>
            <w:tcBorders>
              <w:bottom w:val="single" w:sz="4" w:space="0" w:color="auto"/>
            </w:tcBorders>
            <w:shd w:val="clear" w:color="auto" w:fill="auto"/>
            <w:noWrap/>
            <w:vAlign w:val="center"/>
            <w:hideMark/>
          </w:tcPr>
          <w:p w14:paraId="4EB425AC" w14:textId="77777777" w:rsidR="00F37385" w:rsidRPr="00C2163B" w:rsidRDefault="00F37385" w:rsidP="00F37385">
            <w:pPr>
              <w:spacing w:after="60"/>
              <w:jc w:val="right"/>
              <w:rPr>
                <w:color w:val="000000"/>
                <w:sz w:val="18"/>
                <w:szCs w:val="18"/>
                <w:highlight w:val="yellow"/>
                <w:lang w:eastAsia="en-US"/>
              </w:rPr>
            </w:pPr>
            <w:r>
              <w:rPr>
                <w:color w:val="000000"/>
                <w:sz w:val="18"/>
                <w:szCs w:val="18"/>
                <w:lang w:eastAsia="en-US"/>
              </w:rPr>
              <w:t>0,</w:t>
            </w:r>
            <w:r w:rsidRPr="00EC0E5F">
              <w:rPr>
                <w:color w:val="000000"/>
                <w:sz w:val="18"/>
                <w:szCs w:val="18"/>
                <w:lang w:eastAsia="en-US"/>
              </w:rPr>
              <w:t>252</w:t>
            </w:r>
          </w:p>
        </w:tc>
        <w:tc>
          <w:tcPr>
            <w:tcW w:w="855" w:type="dxa"/>
            <w:noWrap/>
            <w:vAlign w:val="center"/>
          </w:tcPr>
          <w:p w14:paraId="7016124B" w14:textId="77777777" w:rsidR="00F37385" w:rsidRPr="00E574DF" w:rsidRDefault="00F37385" w:rsidP="00F37385">
            <w:pPr>
              <w:spacing w:after="60"/>
              <w:jc w:val="right"/>
              <w:rPr>
                <w:color w:val="000000"/>
                <w:sz w:val="18"/>
                <w:szCs w:val="18"/>
                <w:lang w:eastAsia="en-US"/>
              </w:rPr>
            </w:pPr>
            <w:r>
              <w:rPr>
                <w:color w:val="000000"/>
                <w:sz w:val="18"/>
                <w:szCs w:val="18"/>
                <w:lang w:eastAsia="en-US"/>
              </w:rPr>
              <w:t>0,</w:t>
            </w:r>
            <w:r w:rsidRPr="00E574DF">
              <w:rPr>
                <w:color w:val="000000"/>
                <w:sz w:val="18"/>
                <w:szCs w:val="18"/>
                <w:lang w:eastAsia="en-US"/>
              </w:rPr>
              <w:t>334</w:t>
            </w:r>
          </w:p>
        </w:tc>
        <w:tc>
          <w:tcPr>
            <w:tcW w:w="887" w:type="dxa"/>
            <w:noWrap/>
            <w:vAlign w:val="center"/>
          </w:tcPr>
          <w:p w14:paraId="19C8CD25" w14:textId="77777777" w:rsidR="00F37385" w:rsidRPr="00E574DF" w:rsidRDefault="00F37385" w:rsidP="00F37385">
            <w:pPr>
              <w:spacing w:after="60"/>
              <w:jc w:val="right"/>
              <w:rPr>
                <w:color w:val="000000"/>
                <w:sz w:val="18"/>
                <w:szCs w:val="18"/>
                <w:lang w:eastAsia="en-US"/>
              </w:rPr>
            </w:pPr>
            <w:r>
              <w:rPr>
                <w:color w:val="000000"/>
                <w:sz w:val="18"/>
                <w:szCs w:val="18"/>
                <w:lang w:eastAsia="en-US"/>
              </w:rPr>
              <w:t>0,</w:t>
            </w:r>
            <w:r w:rsidRPr="00E574DF">
              <w:rPr>
                <w:color w:val="000000"/>
                <w:sz w:val="18"/>
                <w:szCs w:val="18"/>
                <w:lang w:eastAsia="en-US"/>
              </w:rPr>
              <w:t>314</w:t>
            </w:r>
          </w:p>
        </w:tc>
        <w:tc>
          <w:tcPr>
            <w:tcW w:w="887" w:type="dxa"/>
            <w:noWrap/>
            <w:vAlign w:val="center"/>
          </w:tcPr>
          <w:p w14:paraId="4772CEB2" w14:textId="77777777" w:rsidR="00F37385" w:rsidRPr="00E574DF" w:rsidRDefault="00F37385" w:rsidP="00F37385">
            <w:pPr>
              <w:spacing w:after="60"/>
              <w:jc w:val="right"/>
              <w:rPr>
                <w:color w:val="000000"/>
                <w:sz w:val="18"/>
                <w:szCs w:val="18"/>
                <w:lang w:eastAsia="en-US"/>
              </w:rPr>
            </w:pPr>
            <w:r>
              <w:rPr>
                <w:color w:val="000000"/>
                <w:sz w:val="18"/>
                <w:szCs w:val="18"/>
                <w:lang w:eastAsia="en-US"/>
              </w:rPr>
              <w:t>0,</w:t>
            </w:r>
            <w:r w:rsidRPr="00E574DF">
              <w:rPr>
                <w:color w:val="000000"/>
                <w:sz w:val="18"/>
                <w:szCs w:val="18"/>
                <w:lang w:eastAsia="en-US"/>
              </w:rPr>
              <w:t>322</w:t>
            </w:r>
          </w:p>
        </w:tc>
        <w:tc>
          <w:tcPr>
            <w:tcW w:w="887" w:type="dxa"/>
            <w:shd w:val="clear" w:color="auto" w:fill="auto"/>
            <w:noWrap/>
            <w:vAlign w:val="center"/>
          </w:tcPr>
          <w:p w14:paraId="1A705CBB" w14:textId="77777777" w:rsidR="00F37385" w:rsidRPr="00E574DF" w:rsidRDefault="00F37385" w:rsidP="00F37385">
            <w:pPr>
              <w:spacing w:after="60"/>
              <w:jc w:val="right"/>
              <w:rPr>
                <w:color w:val="000000"/>
                <w:sz w:val="18"/>
                <w:szCs w:val="18"/>
                <w:lang w:eastAsia="en-US"/>
              </w:rPr>
            </w:pPr>
            <w:r>
              <w:rPr>
                <w:color w:val="000000"/>
                <w:sz w:val="18"/>
                <w:szCs w:val="18"/>
                <w:lang w:eastAsia="en-US"/>
              </w:rPr>
              <w:t>0,</w:t>
            </w:r>
            <w:r w:rsidRPr="00E574DF">
              <w:rPr>
                <w:color w:val="000000"/>
                <w:sz w:val="18"/>
                <w:szCs w:val="18"/>
                <w:lang w:eastAsia="en-US"/>
              </w:rPr>
              <w:t>319</w:t>
            </w:r>
          </w:p>
        </w:tc>
        <w:tc>
          <w:tcPr>
            <w:tcW w:w="887" w:type="dxa"/>
            <w:shd w:val="clear" w:color="auto" w:fill="auto"/>
            <w:noWrap/>
            <w:vAlign w:val="center"/>
          </w:tcPr>
          <w:p w14:paraId="63A23225" w14:textId="77777777" w:rsidR="00F37385" w:rsidRPr="00E574DF" w:rsidRDefault="00F37385" w:rsidP="00F37385">
            <w:pPr>
              <w:spacing w:after="60"/>
              <w:jc w:val="right"/>
              <w:rPr>
                <w:color w:val="000000"/>
                <w:sz w:val="18"/>
                <w:szCs w:val="18"/>
                <w:lang w:eastAsia="en-US"/>
              </w:rPr>
            </w:pPr>
            <w:r>
              <w:rPr>
                <w:color w:val="000000"/>
                <w:sz w:val="18"/>
                <w:szCs w:val="18"/>
                <w:lang w:eastAsia="en-US"/>
              </w:rPr>
              <w:t>0,</w:t>
            </w:r>
            <w:r w:rsidRPr="00E574DF">
              <w:rPr>
                <w:color w:val="000000"/>
                <w:sz w:val="18"/>
                <w:szCs w:val="18"/>
                <w:lang w:eastAsia="en-US"/>
              </w:rPr>
              <w:t>32</w:t>
            </w:r>
            <w:r>
              <w:rPr>
                <w:color w:val="000000"/>
                <w:sz w:val="18"/>
                <w:szCs w:val="18"/>
                <w:lang w:eastAsia="en-US"/>
              </w:rPr>
              <w:t>6</w:t>
            </w:r>
          </w:p>
        </w:tc>
        <w:tc>
          <w:tcPr>
            <w:tcW w:w="887" w:type="dxa"/>
            <w:shd w:val="clear" w:color="auto" w:fill="auto"/>
            <w:noWrap/>
            <w:vAlign w:val="center"/>
          </w:tcPr>
          <w:p w14:paraId="606AA8D4" w14:textId="77777777" w:rsidR="00F37385" w:rsidRPr="00E574DF" w:rsidRDefault="00F37385" w:rsidP="00F37385">
            <w:pPr>
              <w:spacing w:after="60"/>
              <w:jc w:val="right"/>
              <w:rPr>
                <w:color w:val="000000"/>
                <w:sz w:val="18"/>
                <w:szCs w:val="18"/>
                <w:lang w:eastAsia="en-US"/>
              </w:rPr>
            </w:pPr>
            <w:r>
              <w:rPr>
                <w:color w:val="000000"/>
                <w:sz w:val="18"/>
                <w:szCs w:val="18"/>
                <w:lang w:eastAsia="en-US"/>
              </w:rPr>
              <w:t>0,</w:t>
            </w:r>
            <w:r w:rsidRPr="00E574DF">
              <w:rPr>
                <w:color w:val="000000"/>
                <w:sz w:val="18"/>
                <w:szCs w:val="18"/>
                <w:lang w:eastAsia="en-US"/>
              </w:rPr>
              <w:t>322</w:t>
            </w:r>
          </w:p>
        </w:tc>
      </w:tr>
      <w:tr w:rsidR="00F37385" w:rsidRPr="008F037A" w14:paraId="54E4BA33" w14:textId="77777777" w:rsidTr="009963C0">
        <w:trPr>
          <w:trHeight w:val="300"/>
        </w:trPr>
        <w:tc>
          <w:tcPr>
            <w:tcW w:w="2835" w:type="dxa"/>
            <w:tcBorders>
              <w:right w:val="single" w:sz="4" w:space="0" w:color="auto"/>
            </w:tcBorders>
            <w:shd w:val="clear" w:color="auto" w:fill="auto"/>
            <w:noWrap/>
            <w:vAlign w:val="bottom"/>
            <w:hideMark/>
          </w:tcPr>
          <w:p w14:paraId="67CA411E" w14:textId="77777777" w:rsidR="00F37385" w:rsidRPr="008F037A" w:rsidRDefault="00F37385" w:rsidP="00F37385">
            <w:pPr>
              <w:spacing w:after="60"/>
              <w:rPr>
                <w:color w:val="000000"/>
                <w:sz w:val="20"/>
                <w:lang w:eastAsia="en-US"/>
              </w:rPr>
            </w:pPr>
            <w:r w:rsidRPr="008F037A">
              <w:rPr>
                <w:color w:val="000000"/>
                <w:sz w:val="20"/>
                <w:lang w:eastAsia="en-US"/>
              </w:rPr>
              <w:t>Другие вопросы в области социальной политики</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11D4C" w14:textId="77777777" w:rsidR="00F37385" w:rsidRPr="00C2163B" w:rsidRDefault="00F37385" w:rsidP="00F37385">
            <w:pPr>
              <w:spacing w:after="60"/>
              <w:jc w:val="right"/>
              <w:rPr>
                <w:color w:val="000000"/>
                <w:sz w:val="18"/>
                <w:szCs w:val="18"/>
                <w:highlight w:val="yellow"/>
                <w:lang w:eastAsia="en-US"/>
              </w:rPr>
            </w:pPr>
            <w:r w:rsidRPr="00EC0E5F">
              <w:rPr>
                <w:color w:val="000000"/>
                <w:sz w:val="18"/>
                <w:szCs w:val="18"/>
                <w:lang w:eastAsia="en-US"/>
              </w:rPr>
              <w:t>10</w:t>
            </w:r>
            <w:r>
              <w:rPr>
                <w:color w:val="000000"/>
                <w:sz w:val="18"/>
                <w:szCs w:val="18"/>
                <w:lang w:eastAsia="en-US"/>
              </w:rPr>
              <w:t>,</w:t>
            </w:r>
            <w:r w:rsidRPr="00EC0E5F">
              <w:rPr>
                <w:color w:val="000000"/>
                <w:sz w:val="18"/>
                <w:szCs w:val="18"/>
                <w:lang w:eastAsia="en-US"/>
              </w:rPr>
              <w:t>0</w:t>
            </w:r>
          </w:p>
        </w:tc>
        <w:tc>
          <w:tcPr>
            <w:tcW w:w="855" w:type="dxa"/>
            <w:vAlign w:val="center"/>
          </w:tcPr>
          <w:p w14:paraId="583DE10C" w14:textId="77777777" w:rsidR="00F37385" w:rsidRPr="00E574DF" w:rsidRDefault="00F37385" w:rsidP="00F37385">
            <w:pPr>
              <w:spacing w:after="60"/>
              <w:jc w:val="right"/>
              <w:rPr>
                <w:color w:val="000000"/>
                <w:sz w:val="18"/>
                <w:szCs w:val="18"/>
                <w:lang w:eastAsia="en-US"/>
              </w:rPr>
            </w:pPr>
            <w:r w:rsidRPr="00E574DF">
              <w:rPr>
                <w:color w:val="000000"/>
                <w:sz w:val="18"/>
                <w:szCs w:val="18"/>
                <w:lang w:eastAsia="en-US"/>
              </w:rPr>
              <w:t>12</w:t>
            </w:r>
            <w:r>
              <w:rPr>
                <w:color w:val="000000"/>
                <w:sz w:val="18"/>
                <w:szCs w:val="18"/>
                <w:lang w:eastAsia="en-US"/>
              </w:rPr>
              <w:t>,</w:t>
            </w:r>
            <w:r w:rsidRPr="00E574DF">
              <w:rPr>
                <w:color w:val="000000"/>
                <w:sz w:val="18"/>
                <w:szCs w:val="18"/>
                <w:lang w:eastAsia="en-US"/>
              </w:rPr>
              <w:t>9</w:t>
            </w:r>
          </w:p>
        </w:tc>
        <w:tc>
          <w:tcPr>
            <w:tcW w:w="887" w:type="dxa"/>
            <w:vAlign w:val="center"/>
          </w:tcPr>
          <w:p w14:paraId="58EF6D8A" w14:textId="77777777" w:rsidR="00F37385" w:rsidRPr="00E574DF" w:rsidRDefault="00F37385" w:rsidP="00F37385">
            <w:pPr>
              <w:spacing w:after="60"/>
              <w:jc w:val="right"/>
              <w:rPr>
                <w:color w:val="000000"/>
                <w:sz w:val="18"/>
                <w:szCs w:val="18"/>
                <w:lang w:eastAsia="en-US"/>
              </w:rPr>
            </w:pPr>
            <w:r w:rsidRPr="00E574DF">
              <w:rPr>
                <w:color w:val="000000"/>
                <w:sz w:val="18"/>
                <w:szCs w:val="18"/>
                <w:lang w:eastAsia="en-US"/>
              </w:rPr>
              <w:t>14</w:t>
            </w:r>
            <w:r>
              <w:rPr>
                <w:color w:val="000000"/>
                <w:sz w:val="18"/>
                <w:szCs w:val="18"/>
                <w:lang w:eastAsia="en-US"/>
              </w:rPr>
              <w:t>,9</w:t>
            </w:r>
          </w:p>
        </w:tc>
        <w:tc>
          <w:tcPr>
            <w:tcW w:w="887" w:type="dxa"/>
            <w:vAlign w:val="center"/>
          </w:tcPr>
          <w:p w14:paraId="744A1B59" w14:textId="77777777" w:rsidR="00F37385" w:rsidRPr="00E574DF" w:rsidRDefault="00F37385" w:rsidP="00F37385">
            <w:pPr>
              <w:spacing w:after="60"/>
              <w:jc w:val="right"/>
              <w:rPr>
                <w:color w:val="000000"/>
                <w:sz w:val="18"/>
                <w:szCs w:val="18"/>
                <w:lang w:eastAsia="en-US"/>
              </w:rPr>
            </w:pPr>
            <w:r w:rsidRPr="00E574DF">
              <w:rPr>
                <w:color w:val="000000"/>
                <w:sz w:val="18"/>
                <w:szCs w:val="18"/>
                <w:lang w:eastAsia="en-US"/>
              </w:rPr>
              <w:t>14</w:t>
            </w:r>
            <w:r>
              <w:rPr>
                <w:color w:val="000000"/>
                <w:sz w:val="18"/>
                <w:szCs w:val="18"/>
                <w:lang w:eastAsia="en-US"/>
              </w:rPr>
              <w:t>,7</w:t>
            </w:r>
          </w:p>
        </w:tc>
        <w:tc>
          <w:tcPr>
            <w:tcW w:w="887" w:type="dxa"/>
            <w:shd w:val="clear" w:color="auto" w:fill="auto"/>
            <w:noWrap/>
            <w:vAlign w:val="center"/>
          </w:tcPr>
          <w:p w14:paraId="5A082BD4" w14:textId="77777777" w:rsidR="00F37385" w:rsidRPr="00E574DF" w:rsidRDefault="00F37385" w:rsidP="00F37385">
            <w:pPr>
              <w:spacing w:after="60"/>
              <w:jc w:val="right"/>
              <w:rPr>
                <w:color w:val="000000"/>
                <w:sz w:val="18"/>
                <w:szCs w:val="18"/>
                <w:lang w:eastAsia="en-US"/>
              </w:rPr>
            </w:pPr>
            <w:r w:rsidRPr="00E574DF">
              <w:rPr>
                <w:color w:val="000000"/>
                <w:sz w:val="18"/>
                <w:szCs w:val="18"/>
                <w:lang w:eastAsia="en-US"/>
              </w:rPr>
              <w:t>24</w:t>
            </w:r>
            <w:r>
              <w:rPr>
                <w:color w:val="000000"/>
                <w:sz w:val="18"/>
                <w:szCs w:val="18"/>
                <w:lang w:eastAsia="en-US"/>
              </w:rPr>
              <w:t>,7</w:t>
            </w:r>
          </w:p>
        </w:tc>
        <w:tc>
          <w:tcPr>
            <w:tcW w:w="887" w:type="dxa"/>
            <w:shd w:val="clear" w:color="auto" w:fill="auto"/>
            <w:noWrap/>
            <w:vAlign w:val="center"/>
          </w:tcPr>
          <w:p w14:paraId="06863FA8" w14:textId="77777777" w:rsidR="00F37385" w:rsidRPr="00E574DF" w:rsidRDefault="00F37385" w:rsidP="00F37385">
            <w:pPr>
              <w:spacing w:after="60"/>
              <w:jc w:val="right"/>
              <w:rPr>
                <w:color w:val="000000"/>
                <w:sz w:val="18"/>
                <w:szCs w:val="18"/>
                <w:lang w:eastAsia="en-US"/>
              </w:rPr>
            </w:pPr>
            <w:r w:rsidRPr="00E574DF">
              <w:rPr>
                <w:color w:val="000000"/>
                <w:sz w:val="18"/>
                <w:szCs w:val="18"/>
                <w:lang w:eastAsia="en-US"/>
              </w:rPr>
              <w:t>22</w:t>
            </w:r>
            <w:r>
              <w:rPr>
                <w:color w:val="000000"/>
                <w:sz w:val="18"/>
                <w:szCs w:val="18"/>
                <w:lang w:eastAsia="en-US"/>
              </w:rPr>
              <w:t>,</w:t>
            </w:r>
            <w:r w:rsidRPr="00E574DF">
              <w:rPr>
                <w:color w:val="000000"/>
                <w:sz w:val="18"/>
                <w:szCs w:val="18"/>
                <w:lang w:eastAsia="en-US"/>
              </w:rPr>
              <w:t>2</w:t>
            </w:r>
          </w:p>
        </w:tc>
        <w:tc>
          <w:tcPr>
            <w:tcW w:w="887" w:type="dxa"/>
            <w:shd w:val="clear" w:color="auto" w:fill="auto"/>
            <w:noWrap/>
            <w:vAlign w:val="center"/>
          </w:tcPr>
          <w:p w14:paraId="6744C920" w14:textId="77777777" w:rsidR="00F37385" w:rsidRPr="00E574DF" w:rsidRDefault="00F37385" w:rsidP="00F37385">
            <w:pPr>
              <w:spacing w:after="60"/>
              <w:jc w:val="right"/>
              <w:rPr>
                <w:color w:val="000000"/>
                <w:sz w:val="18"/>
                <w:szCs w:val="18"/>
                <w:lang w:eastAsia="en-US"/>
              </w:rPr>
            </w:pPr>
            <w:r w:rsidRPr="00E574DF">
              <w:rPr>
                <w:color w:val="000000"/>
                <w:sz w:val="18"/>
                <w:szCs w:val="18"/>
                <w:lang w:eastAsia="en-US"/>
              </w:rPr>
              <w:t>2</w:t>
            </w:r>
            <w:r>
              <w:rPr>
                <w:color w:val="000000"/>
                <w:sz w:val="18"/>
                <w:szCs w:val="18"/>
                <w:lang w:eastAsia="en-US"/>
              </w:rPr>
              <w:t>3,0</w:t>
            </w:r>
          </w:p>
        </w:tc>
      </w:tr>
      <w:tr w:rsidR="00F37385" w:rsidRPr="00721B02" w14:paraId="0347CBFE" w14:textId="77777777" w:rsidTr="009963C0">
        <w:trPr>
          <w:trHeight w:val="300"/>
        </w:trPr>
        <w:tc>
          <w:tcPr>
            <w:tcW w:w="2835" w:type="dxa"/>
            <w:tcBorders>
              <w:right w:val="single" w:sz="4" w:space="0" w:color="auto"/>
            </w:tcBorders>
            <w:shd w:val="clear" w:color="auto" w:fill="auto"/>
            <w:noWrap/>
            <w:vAlign w:val="bottom"/>
            <w:hideMark/>
          </w:tcPr>
          <w:p w14:paraId="65C80DBE" w14:textId="77777777" w:rsidR="00F37385" w:rsidRPr="00DA7388" w:rsidRDefault="00F37385" w:rsidP="00F37385">
            <w:pPr>
              <w:spacing w:after="60"/>
              <w:rPr>
                <w:i/>
                <w:color w:val="000000"/>
                <w:sz w:val="20"/>
                <w:lang w:eastAsia="en-US"/>
              </w:rPr>
            </w:pPr>
            <w:r w:rsidRPr="00DA7388">
              <w:rPr>
                <w:i/>
                <w:color w:val="000000"/>
                <w:sz w:val="20"/>
                <w:lang w:eastAsia="en-US"/>
              </w:rPr>
              <w:t>Прогноз ВВП</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41C59" w14:textId="77777777" w:rsidR="00F37385" w:rsidRPr="00C2163B" w:rsidRDefault="00F37385" w:rsidP="00F37385">
            <w:pPr>
              <w:spacing w:after="60"/>
              <w:jc w:val="right"/>
              <w:rPr>
                <w:i/>
                <w:color w:val="000000"/>
                <w:sz w:val="18"/>
                <w:szCs w:val="18"/>
                <w:highlight w:val="yellow"/>
                <w:lang w:eastAsia="en-US"/>
              </w:rPr>
            </w:pPr>
            <w:r w:rsidRPr="00EA6214">
              <w:rPr>
                <w:i/>
                <w:color w:val="000000"/>
                <w:sz w:val="18"/>
                <w:szCs w:val="18"/>
                <w:lang w:eastAsia="en-US"/>
              </w:rPr>
              <w:t>103</w:t>
            </w:r>
            <w:r w:rsidRPr="007968BF">
              <w:rPr>
                <w:i/>
                <w:color w:val="000000"/>
                <w:sz w:val="18"/>
                <w:szCs w:val="18"/>
                <w:lang w:eastAsia="en-US"/>
              </w:rPr>
              <w:t xml:space="preserve"> </w:t>
            </w:r>
            <w:r w:rsidRPr="00EA6214">
              <w:rPr>
                <w:i/>
                <w:color w:val="000000"/>
                <w:sz w:val="18"/>
                <w:szCs w:val="18"/>
                <w:lang w:eastAsia="en-US"/>
              </w:rPr>
              <w:t>62</w:t>
            </w:r>
            <w:r>
              <w:rPr>
                <w:i/>
                <w:color w:val="000000"/>
                <w:sz w:val="18"/>
                <w:szCs w:val="18"/>
                <w:lang w:eastAsia="en-US"/>
              </w:rPr>
              <w:t>7</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05281" w14:textId="77777777" w:rsidR="00F37385" w:rsidRPr="00C2163B" w:rsidRDefault="00F37385" w:rsidP="00F37385">
            <w:pPr>
              <w:spacing w:after="60"/>
              <w:jc w:val="right"/>
              <w:rPr>
                <w:i/>
                <w:color w:val="000000"/>
                <w:sz w:val="18"/>
                <w:szCs w:val="18"/>
                <w:highlight w:val="yellow"/>
                <w:lang w:eastAsia="en-US"/>
              </w:rPr>
            </w:pPr>
            <w:r w:rsidRPr="007968BF">
              <w:rPr>
                <w:i/>
                <w:color w:val="000000"/>
                <w:sz w:val="18"/>
                <w:szCs w:val="18"/>
                <w:lang w:eastAsia="en-US"/>
              </w:rPr>
              <w:t>109 086</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A0658" w14:textId="77777777" w:rsidR="00F37385" w:rsidRPr="00C2163B" w:rsidRDefault="00F37385" w:rsidP="00F37385">
            <w:pPr>
              <w:spacing w:after="60"/>
              <w:jc w:val="right"/>
              <w:rPr>
                <w:i/>
                <w:color w:val="000000"/>
                <w:sz w:val="18"/>
                <w:szCs w:val="18"/>
                <w:highlight w:val="yellow"/>
                <w:lang w:eastAsia="en-US"/>
              </w:rPr>
            </w:pPr>
            <w:r w:rsidRPr="007968BF">
              <w:rPr>
                <w:i/>
                <w:color w:val="000000"/>
                <w:sz w:val="18"/>
                <w:szCs w:val="18"/>
                <w:lang w:eastAsia="en-US"/>
              </w:rPr>
              <w:t>110 732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20B99" w14:textId="77777777" w:rsidR="00F37385" w:rsidRPr="00C2163B" w:rsidRDefault="00F37385" w:rsidP="00F37385">
            <w:pPr>
              <w:spacing w:after="60"/>
              <w:jc w:val="right"/>
              <w:rPr>
                <w:i/>
                <w:color w:val="000000"/>
                <w:sz w:val="18"/>
                <w:szCs w:val="18"/>
                <w:highlight w:val="yellow"/>
                <w:lang w:eastAsia="en-US"/>
              </w:rPr>
            </w:pPr>
            <w:r w:rsidRPr="007968BF">
              <w:rPr>
                <w:i/>
                <w:color w:val="000000"/>
                <w:sz w:val="18"/>
                <w:szCs w:val="18"/>
                <w:lang w:eastAsia="en-US"/>
              </w:rPr>
              <w:t>118 409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3DE2D" w14:textId="77777777" w:rsidR="00F37385" w:rsidRPr="00C2163B" w:rsidRDefault="00F37385" w:rsidP="00F37385">
            <w:pPr>
              <w:spacing w:after="60"/>
              <w:ind w:right="10"/>
              <w:jc w:val="right"/>
              <w:rPr>
                <w:i/>
                <w:color w:val="000000"/>
                <w:sz w:val="18"/>
                <w:szCs w:val="18"/>
                <w:highlight w:val="yellow"/>
                <w:lang w:eastAsia="en-US"/>
              </w:rPr>
            </w:pPr>
            <w:r w:rsidRPr="007968BF">
              <w:rPr>
                <w:i/>
                <w:color w:val="000000"/>
                <w:sz w:val="18"/>
                <w:szCs w:val="18"/>
                <w:lang w:eastAsia="en-US"/>
              </w:rPr>
              <w:t>112 863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F25E9" w14:textId="77777777" w:rsidR="00F37385" w:rsidRPr="00C2163B" w:rsidRDefault="00F37385" w:rsidP="00F37385">
            <w:pPr>
              <w:spacing w:after="60"/>
              <w:jc w:val="right"/>
              <w:rPr>
                <w:i/>
                <w:color w:val="000000"/>
                <w:sz w:val="18"/>
                <w:szCs w:val="18"/>
                <w:highlight w:val="yellow"/>
                <w:lang w:eastAsia="en-US"/>
              </w:rPr>
            </w:pPr>
            <w:r w:rsidRPr="007968BF">
              <w:rPr>
                <w:i/>
                <w:color w:val="000000"/>
                <w:sz w:val="18"/>
                <w:szCs w:val="18"/>
                <w:lang w:eastAsia="en-US"/>
              </w:rPr>
              <w:t>120 364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E3302" w14:textId="77777777" w:rsidR="00F37385" w:rsidRPr="00C2163B" w:rsidRDefault="00F37385" w:rsidP="00F37385">
            <w:pPr>
              <w:spacing w:after="60"/>
              <w:ind w:left="-149"/>
              <w:jc w:val="right"/>
              <w:rPr>
                <w:i/>
                <w:color w:val="000000"/>
                <w:sz w:val="18"/>
                <w:szCs w:val="18"/>
                <w:highlight w:val="yellow"/>
                <w:lang w:eastAsia="en-US"/>
              </w:rPr>
            </w:pPr>
            <w:r w:rsidRPr="007968BF">
              <w:rPr>
                <w:i/>
                <w:color w:val="000000"/>
                <w:sz w:val="18"/>
                <w:szCs w:val="18"/>
                <w:lang w:eastAsia="en-US"/>
              </w:rPr>
              <w:t>128 508</w:t>
            </w:r>
          </w:p>
        </w:tc>
      </w:tr>
      <w:tr w:rsidR="00F37385" w:rsidRPr="00721B02" w14:paraId="4E118ADD" w14:textId="77777777" w:rsidTr="009963C0">
        <w:trPr>
          <w:trHeight w:val="300"/>
        </w:trPr>
        <w:tc>
          <w:tcPr>
            <w:tcW w:w="2835" w:type="dxa"/>
            <w:tcBorders>
              <w:right w:val="single" w:sz="4" w:space="0" w:color="auto"/>
            </w:tcBorders>
            <w:shd w:val="clear" w:color="auto" w:fill="auto"/>
            <w:noWrap/>
            <w:vAlign w:val="bottom"/>
            <w:hideMark/>
          </w:tcPr>
          <w:p w14:paraId="746970EA" w14:textId="77777777" w:rsidR="00F37385" w:rsidRPr="00DA7388" w:rsidRDefault="00F37385" w:rsidP="00F37385">
            <w:pPr>
              <w:spacing w:after="60"/>
              <w:rPr>
                <w:i/>
                <w:color w:val="000000"/>
                <w:sz w:val="20"/>
                <w:lang w:eastAsia="en-US"/>
              </w:rPr>
            </w:pPr>
            <w:r w:rsidRPr="00DA7388">
              <w:rPr>
                <w:i/>
                <w:color w:val="000000"/>
                <w:sz w:val="20"/>
                <w:lang w:eastAsia="en-US"/>
              </w:rPr>
              <w:t>Доля расходов федерального бюджета по разделу «Социальная политика</w:t>
            </w:r>
            <w:r>
              <w:rPr>
                <w:i/>
                <w:color w:val="000000"/>
                <w:sz w:val="20"/>
                <w:lang w:eastAsia="en-US"/>
              </w:rPr>
              <w:t>»</w:t>
            </w:r>
            <w:r w:rsidRPr="00DA7388">
              <w:rPr>
                <w:i/>
                <w:color w:val="000000"/>
                <w:sz w:val="20"/>
                <w:lang w:eastAsia="en-US"/>
              </w:rPr>
              <w:t xml:space="preserve"> в</w:t>
            </w:r>
            <w:r>
              <w:rPr>
                <w:i/>
                <w:color w:val="000000"/>
                <w:sz w:val="20"/>
                <w:lang w:eastAsia="en-US"/>
              </w:rPr>
              <w:t> </w:t>
            </w:r>
            <w:r w:rsidRPr="00DA7388">
              <w:rPr>
                <w:i/>
                <w:color w:val="000000"/>
                <w:sz w:val="20"/>
                <w:lang w:eastAsia="en-US"/>
              </w:rPr>
              <w:t xml:space="preserve">ВВП, </w:t>
            </w:r>
            <w:r w:rsidRPr="00DA7388">
              <w:rPr>
                <w:i/>
                <w:color w:val="000000"/>
                <w:sz w:val="18"/>
                <w:szCs w:val="18"/>
                <w:lang w:eastAsia="en-US"/>
              </w:rPr>
              <w: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DB035" w14:textId="77777777" w:rsidR="00F37385" w:rsidRPr="00C2163B" w:rsidRDefault="00F37385" w:rsidP="00F37385">
            <w:pPr>
              <w:spacing w:after="60"/>
              <w:jc w:val="right"/>
              <w:rPr>
                <w:i/>
                <w:color w:val="000000"/>
                <w:sz w:val="18"/>
                <w:szCs w:val="18"/>
                <w:highlight w:val="yellow"/>
                <w:lang w:eastAsia="en-US"/>
              </w:rPr>
            </w:pPr>
            <w:r w:rsidRPr="00EA6214">
              <w:rPr>
                <w:i/>
                <w:color w:val="000000"/>
                <w:sz w:val="18"/>
                <w:szCs w:val="18"/>
                <w:lang w:eastAsia="en-US"/>
              </w:rPr>
              <w:t>4,4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9FD9AB9" w14:textId="77777777" w:rsidR="00F37385" w:rsidRPr="00C2163B" w:rsidRDefault="00F37385" w:rsidP="00F37385">
            <w:pPr>
              <w:spacing w:after="60"/>
              <w:jc w:val="right"/>
              <w:rPr>
                <w:i/>
                <w:color w:val="000000"/>
                <w:sz w:val="18"/>
                <w:szCs w:val="18"/>
                <w:highlight w:val="yellow"/>
                <w:lang w:eastAsia="en-US"/>
              </w:rPr>
            </w:pPr>
            <w:r w:rsidRPr="007968BF">
              <w:rPr>
                <w:i/>
                <w:color w:val="000000"/>
                <w:sz w:val="18"/>
                <w:szCs w:val="18"/>
                <w:lang w:eastAsia="en-US"/>
              </w:rPr>
              <w:t>4,5</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41259142" w14:textId="77777777" w:rsidR="00F37385" w:rsidRPr="00C2163B" w:rsidRDefault="00F37385" w:rsidP="00F37385">
            <w:pPr>
              <w:spacing w:after="60"/>
              <w:jc w:val="right"/>
              <w:rPr>
                <w:i/>
                <w:color w:val="000000"/>
                <w:sz w:val="18"/>
                <w:szCs w:val="18"/>
                <w:highlight w:val="yellow"/>
                <w:lang w:eastAsia="en-US"/>
              </w:rPr>
            </w:pPr>
            <w:r w:rsidRPr="007968BF">
              <w:rPr>
                <w:i/>
                <w:color w:val="000000"/>
                <w:sz w:val="18"/>
                <w:szCs w:val="18"/>
                <w:lang w:eastAsia="en-US"/>
              </w:rPr>
              <w:t>4,4</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594279F3" w14:textId="77777777" w:rsidR="00F37385" w:rsidRPr="00C2163B" w:rsidRDefault="00F37385" w:rsidP="00F37385">
            <w:pPr>
              <w:spacing w:after="60"/>
              <w:jc w:val="right"/>
              <w:rPr>
                <w:i/>
                <w:color w:val="000000"/>
                <w:sz w:val="18"/>
                <w:szCs w:val="18"/>
                <w:highlight w:val="yellow"/>
                <w:lang w:eastAsia="en-US"/>
              </w:rPr>
            </w:pPr>
            <w:r w:rsidRPr="007968BF">
              <w:rPr>
                <w:i/>
                <w:color w:val="000000"/>
                <w:sz w:val="18"/>
                <w:szCs w:val="18"/>
                <w:lang w:eastAsia="en-US"/>
              </w:rPr>
              <w:t>4,0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D4B79" w14:textId="77777777" w:rsidR="00F37385" w:rsidRPr="00C2163B" w:rsidRDefault="00F37385" w:rsidP="00F37385">
            <w:pPr>
              <w:spacing w:after="60"/>
              <w:ind w:right="10"/>
              <w:jc w:val="right"/>
              <w:rPr>
                <w:i/>
                <w:color w:val="000000"/>
                <w:sz w:val="18"/>
                <w:szCs w:val="18"/>
                <w:highlight w:val="yellow"/>
                <w:lang w:eastAsia="en-US"/>
              </w:rPr>
            </w:pPr>
            <w:r w:rsidRPr="007968BF">
              <w:rPr>
                <w:i/>
                <w:color w:val="000000"/>
                <w:sz w:val="18"/>
                <w:szCs w:val="18"/>
                <w:lang w:eastAsia="en-US"/>
              </w:rPr>
              <w:t>4,4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545E3" w14:textId="77777777" w:rsidR="00F37385" w:rsidRPr="00C2163B" w:rsidRDefault="00F37385" w:rsidP="00F37385">
            <w:pPr>
              <w:spacing w:after="60"/>
              <w:jc w:val="right"/>
              <w:rPr>
                <w:i/>
                <w:color w:val="000000"/>
                <w:sz w:val="18"/>
                <w:szCs w:val="18"/>
                <w:highlight w:val="yellow"/>
                <w:lang w:eastAsia="en-US"/>
              </w:rPr>
            </w:pPr>
            <w:r w:rsidRPr="007968BF">
              <w:rPr>
                <w:i/>
                <w:color w:val="000000"/>
                <w:sz w:val="18"/>
                <w:szCs w:val="18"/>
                <w:lang w:eastAsia="en-US"/>
              </w:rPr>
              <w:t>4,2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6E2A4" w14:textId="77777777" w:rsidR="00F37385" w:rsidRPr="00C2163B" w:rsidRDefault="00F37385" w:rsidP="00F37385">
            <w:pPr>
              <w:spacing w:after="60"/>
              <w:ind w:left="-149"/>
              <w:jc w:val="right"/>
              <w:rPr>
                <w:i/>
                <w:color w:val="000000"/>
                <w:sz w:val="18"/>
                <w:szCs w:val="18"/>
                <w:highlight w:val="yellow"/>
                <w:lang w:eastAsia="en-US"/>
              </w:rPr>
            </w:pPr>
            <w:r w:rsidRPr="007968BF">
              <w:rPr>
                <w:i/>
                <w:color w:val="000000"/>
                <w:sz w:val="18"/>
                <w:szCs w:val="18"/>
                <w:lang w:eastAsia="en-US"/>
              </w:rPr>
              <w:t>3,7</w:t>
            </w:r>
          </w:p>
        </w:tc>
      </w:tr>
    </w:tbl>
    <w:p w14:paraId="12091F99" w14:textId="77777777" w:rsidR="00F37385" w:rsidRPr="0002614E" w:rsidRDefault="00F37385" w:rsidP="00F37385">
      <w:pPr>
        <w:pStyle w:val="af0"/>
        <w:spacing w:before="0" w:after="60"/>
        <w:ind w:firstLine="709"/>
        <w:rPr>
          <w:sz w:val="20"/>
          <w:szCs w:val="24"/>
        </w:rPr>
      </w:pPr>
      <w:r w:rsidRPr="00153EE8">
        <w:rPr>
          <w:i/>
          <w:sz w:val="20"/>
          <w:szCs w:val="24"/>
        </w:rPr>
        <w:t>Источник:</w:t>
      </w:r>
      <w:r>
        <w:rPr>
          <w:sz w:val="20"/>
          <w:szCs w:val="24"/>
        </w:rPr>
        <w:t xml:space="preserve"> </w:t>
      </w:r>
      <w:r w:rsidRPr="00153EE8">
        <w:rPr>
          <w:sz w:val="20"/>
          <w:szCs w:val="24"/>
        </w:rPr>
        <w:t>Приложение 13</w:t>
      </w:r>
      <w:r>
        <w:rPr>
          <w:sz w:val="20"/>
          <w:szCs w:val="24"/>
        </w:rPr>
        <w:t xml:space="preserve"> </w:t>
      </w:r>
      <w:r w:rsidRPr="00153EE8">
        <w:rPr>
          <w:sz w:val="20"/>
          <w:szCs w:val="24"/>
        </w:rPr>
        <w:t>к Федеральному закону</w:t>
      </w:r>
      <w:r>
        <w:rPr>
          <w:sz w:val="20"/>
          <w:szCs w:val="24"/>
        </w:rPr>
        <w:t xml:space="preserve"> «</w:t>
      </w:r>
      <w:r w:rsidRPr="00153EE8">
        <w:rPr>
          <w:sz w:val="20"/>
          <w:szCs w:val="24"/>
        </w:rPr>
        <w:t>О федеральном бюджете</w:t>
      </w:r>
      <w:r>
        <w:rPr>
          <w:sz w:val="20"/>
          <w:szCs w:val="24"/>
        </w:rPr>
        <w:t xml:space="preserve"> </w:t>
      </w:r>
      <w:r w:rsidRPr="00153EE8">
        <w:rPr>
          <w:sz w:val="20"/>
          <w:szCs w:val="24"/>
        </w:rPr>
        <w:t>на 2019 год и на плановый</w:t>
      </w:r>
      <w:r>
        <w:rPr>
          <w:sz w:val="20"/>
          <w:szCs w:val="24"/>
        </w:rPr>
        <w:t xml:space="preserve"> период 2020 и 2021 годов», статья 1 Федерального закона «</w:t>
      </w:r>
      <w:r w:rsidRPr="00153EE8">
        <w:rPr>
          <w:sz w:val="20"/>
          <w:szCs w:val="24"/>
        </w:rPr>
        <w:t>О федеральном бюджете</w:t>
      </w:r>
      <w:r>
        <w:rPr>
          <w:sz w:val="20"/>
          <w:szCs w:val="24"/>
        </w:rPr>
        <w:t xml:space="preserve"> </w:t>
      </w:r>
      <w:r w:rsidRPr="00153EE8">
        <w:rPr>
          <w:sz w:val="20"/>
          <w:szCs w:val="24"/>
        </w:rPr>
        <w:t>на 2019 год и на плановый</w:t>
      </w:r>
      <w:r>
        <w:rPr>
          <w:sz w:val="20"/>
          <w:szCs w:val="24"/>
        </w:rPr>
        <w:t xml:space="preserve"> период 2020 и 2021 годов», </w:t>
      </w:r>
      <w:r w:rsidRPr="00153EE8">
        <w:rPr>
          <w:sz w:val="20"/>
          <w:szCs w:val="24"/>
        </w:rPr>
        <w:t>Приложение 14</w:t>
      </w:r>
      <w:r>
        <w:rPr>
          <w:sz w:val="20"/>
          <w:szCs w:val="24"/>
        </w:rPr>
        <w:t xml:space="preserve"> </w:t>
      </w:r>
      <w:r w:rsidRPr="00153EE8">
        <w:rPr>
          <w:sz w:val="20"/>
          <w:szCs w:val="24"/>
        </w:rPr>
        <w:t>к Федеральному закону</w:t>
      </w:r>
      <w:r>
        <w:rPr>
          <w:sz w:val="20"/>
          <w:szCs w:val="24"/>
        </w:rPr>
        <w:t xml:space="preserve"> «</w:t>
      </w:r>
      <w:r w:rsidRPr="00153EE8">
        <w:rPr>
          <w:sz w:val="20"/>
          <w:szCs w:val="24"/>
        </w:rPr>
        <w:t>О федеральном бюджете на 2020 год</w:t>
      </w:r>
      <w:r>
        <w:rPr>
          <w:sz w:val="20"/>
          <w:szCs w:val="24"/>
        </w:rPr>
        <w:t xml:space="preserve"> </w:t>
      </w:r>
      <w:r w:rsidRPr="00153EE8">
        <w:rPr>
          <w:sz w:val="20"/>
          <w:szCs w:val="24"/>
        </w:rPr>
        <w:t>и на пл</w:t>
      </w:r>
      <w:r>
        <w:rPr>
          <w:sz w:val="20"/>
          <w:szCs w:val="24"/>
        </w:rPr>
        <w:t>ановый период 2021 и 2022 годов», статья 1 Федерального закона «</w:t>
      </w:r>
      <w:r w:rsidRPr="00153EE8">
        <w:rPr>
          <w:sz w:val="20"/>
          <w:szCs w:val="24"/>
        </w:rPr>
        <w:t>О федеральном бюджете на 2020 год</w:t>
      </w:r>
      <w:r>
        <w:rPr>
          <w:sz w:val="20"/>
          <w:szCs w:val="24"/>
        </w:rPr>
        <w:t xml:space="preserve"> </w:t>
      </w:r>
      <w:r w:rsidRPr="00153EE8">
        <w:rPr>
          <w:sz w:val="20"/>
          <w:szCs w:val="24"/>
        </w:rPr>
        <w:t>и на пл</w:t>
      </w:r>
      <w:r>
        <w:rPr>
          <w:sz w:val="20"/>
          <w:szCs w:val="24"/>
        </w:rPr>
        <w:t xml:space="preserve">ановый период 2021 и 2022 годов», отчет Федерального казначейства об исполнении федерального бюджета за 2018 год, Росстат, </w:t>
      </w:r>
      <w:r w:rsidRPr="0002614E">
        <w:rPr>
          <w:sz w:val="20"/>
          <w:szCs w:val="24"/>
        </w:rPr>
        <w:t>расчеты авторов.</w:t>
      </w:r>
    </w:p>
    <w:p w14:paraId="030DE5DC" w14:textId="2D07D5BF" w:rsidR="00F37385" w:rsidRDefault="00F37385" w:rsidP="00F37385">
      <w:pPr>
        <w:pStyle w:val="af0"/>
        <w:spacing w:before="0" w:after="60"/>
        <w:ind w:firstLine="709"/>
        <w:rPr>
          <w:rFonts w:eastAsia="Calibri"/>
          <w:sz w:val="24"/>
          <w:szCs w:val="24"/>
        </w:rPr>
      </w:pPr>
      <w:r>
        <w:rPr>
          <w:sz w:val="24"/>
          <w:szCs w:val="24"/>
        </w:rPr>
        <w:t xml:space="preserve">В структуре </w:t>
      </w:r>
      <w:r w:rsidRPr="00FC1358">
        <w:rPr>
          <w:sz w:val="24"/>
          <w:szCs w:val="24"/>
        </w:rPr>
        <w:t xml:space="preserve">расходов федерального бюджета на реализацию </w:t>
      </w:r>
      <w:r>
        <w:rPr>
          <w:sz w:val="24"/>
          <w:szCs w:val="24"/>
        </w:rPr>
        <w:t xml:space="preserve">подпрограмм </w:t>
      </w:r>
      <w:r w:rsidRPr="00FC1358">
        <w:rPr>
          <w:sz w:val="24"/>
          <w:szCs w:val="24"/>
        </w:rPr>
        <w:t xml:space="preserve">государственной программы </w:t>
      </w:r>
      <w:r>
        <w:rPr>
          <w:sz w:val="24"/>
          <w:szCs w:val="24"/>
        </w:rPr>
        <w:t>«</w:t>
      </w:r>
      <w:r w:rsidRPr="00FC1358">
        <w:rPr>
          <w:sz w:val="24"/>
          <w:szCs w:val="24"/>
        </w:rPr>
        <w:t>Социальная поддержка граждан</w:t>
      </w:r>
      <w:r>
        <w:rPr>
          <w:sz w:val="24"/>
          <w:szCs w:val="24"/>
        </w:rPr>
        <w:t xml:space="preserve">» существенный рост (на 47%) в 2020 году по сравнению с бюджетом 2019 года </w:t>
      </w:r>
      <w:r w:rsidRPr="00CD026C">
        <w:rPr>
          <w:rFonts w:eastAsia="Calibri"/>
          <w:sz w:val="24"/>
          <w:szCs w:val="24"/>
        </w:rPr>
        <w:t>(</w:t>
      </w:r>
      <w:r>
        <w:rPr>
          <w:rFonts w:eastAsia="Calibri"/>
          <w:sz w:val="24"/>
          <w:szCs w:val="24"/>
        </w:rPr>
        <w:t>в соответствии с показателями</w:t>
      </w:r>
      <w:r w:rsidRPr="00915D6D">
        <w:rPr>
          <w:rFonts w:eastAsia="Calibri"/>
          <w:sz w:val="24"/>
          <w:szCs w:val="24"/>
        </w:rPr>
        <w:t xml:space="preserve"> сводной бюджетной росписи по состоянию на 1 сентября 2019 г</w:t>
      </w:r>
      <w:r>
        <w:rPr>
          <w:rFonts w:eastAsia="Calibri"/>
          <w:sz w:val="24"/>
          <w:szCs w:val="24"/>
        </w:rPr>
        <w:t xml:space="preserve">ода, </w:t>
      </w:r>
      <w:r w:rsidRPr="00CD026C">
        <w:rPr>
          <w:rFonts w:eastAsia="Calibri"/>
          <w:sz w:val="24"/>
          <w:szCs w:val="24"/>
        </w:rPr>
        <w:t>см. табл. 4.2.6 в Пояснительной записке)</w:t>
      </w:r>
      <w:r>
        <w:rPr>
          <w:sz w:val="24"/>
          <w:szCs w:val="24"/>
        </w:rPr>
        <w:t xml:space="preserve"> наблюдается только по одной подпрограмме: «</w:t>
      </w:r>
      <w:r w:rsidRPr="00CD026C">
        <w:rPr>
          <w:sz w:val="24"/>
          <w:szCs w:val="24"/>
        </w:rPr>
        <w:t>Старшее поколение</w:t>
      </w:r>
      <w:r>
        <w:rPr>
          <w:sz w:val="24"/>
          <w:szCs w:val="24"/>
        </w:rPr>
        <w:t>»</w:t>
      </w:r>
      <w:r w:rsidRPr="00CD026C">
        <w:rPr>
          <w:rFonts w:eastAsia="Calibri"/>
          <w:sz w:val="24"/>
          <w:szCs w:val="24"/>
        </w:rPr>
        <w:t xml:space="preserve"> </w:t>
      </w:r>
      <w:r>
        <w:rPr>
          <w:rFonts w:eastAsia="Calibri"/>
          <w:sz w:val="24"/>
          <w:szCs w:val="24"/>
        </w:rPr>
        <w:t>(</w:t>
      </w:r>
      <w:r w:rsidRPr="004F2D48">
        <w:rPr>
          <w:rFonts w:eastAsia="Calibri"/>
          <w:sz w:val="24"/>
          <w:szCs w:val="24"/>
        </w:rPr>
        <w:t xml:space="preserve">Федеральный проект </w:t>
      </w:r>
      <w:r>
        <w:rPr>
          <w:rFonts w:eastAsia="Calibri"/>
          <w:sz w:val="24"/>
          <w:szCs w:val="24"/>
        </w:rPr>
        <w:t>«</w:t>
      </w:r>
      <w:r w:rsidRPr="004F2D48">
        <w:rPr>
          <w:rFonts w:eastAsia="Calibri"/>
          <w:sz w:val="24"/>
          <w:szCs w:val="24"/>
        </w:rPr>
        <w:t>Старшее поколение</w:t>
      </w:r>
      <w:r>
        <w:rPr>
          <w:rFonts w:eastAsia="Calibri"/>
          <w:sz w:val="24"/>
          <w:szCs w:val="24"/>
        </w:rPr>
        <w:t>»). При этом по подпрограмме «</w:t>
      </w:r>
      <w:r w:rsidRPr="00CD026C">
        <w:rPr>
          <w:rFonts w:eastAsia="Calibri"/>
          <w:sz w:val="24"/>
          <w:szCs w:val="24"/>
        </w:rPr>
        <w:t xml:space="preserve">Модернизация и развитие социального </w:t>
      </w:r>
      <w:r w:rsidRPr="004F2D48">
        <w:rPr>
          <w:rFonts w:eastAsia="Calibri"/>
          <w:sz w:val="24"/>
          <w:szCs w:val="24"/>
        </w:rPr>
        <w:t>обслуживания населения</w:t>
      </w:r>
      <w:r>
        <w:rPr>
          <w:rFonts w:eastAsia="Calibri"/>
          <w:sz w:val="24"/>
          <w:szCs w:val="24"/>
        </w:rPr>
        <w:t>»</w:t>
      </w:r>
      <w:r w:rsidRPr="004F2D48">
        <w:t xml:space="preserve"> </w:t>
      </w:r>
      <w:r>
        <w:t>(</w:t>
      </w:r>
      <w:r w:rsidRPr="004F2D48">
        <w:rPr>
          <w:rFonts w:eastAsia="Calibri"/>
          <w:sz w:val="24"/>
          <w:szCs w:val="24"/>
        </w:rPr>
        <w:t xml:space="preserve">Федеральный проект </w:t>
      </w:r>
      <w:r>
        <w:rPr>
          <w:rFonts w:eastAsia="Calibri"/>
          <w:sz w:val="24"/>
          <w:szCs w:val="24"/>
        </w:rPr>
        <w:t>«</w:t>
      </w:r>
      <w:r w:rsidRPr="004F2D48">
        <w:rPr>
          <w:rFonts w:eastAsia="Calibri"/>
          <w:sz w:val="24"/>
          <w:szCs w:val="24"/>
        </w:rPr>
        <w:t>Старшее поколение</w:t>
      </w:r>
      <w:r>
        <w:rPr>
          <w:rFonts w:eastAsia="Calibri"/>
          <w:sz w:val="24"/>
          <w:szCs w:val="24"/>
        </w:rPr>
        <w:t xml:space="preserve">»), по которой в прошлые годы наблюдался резкий рост, сейчас, напротив, </w:t>
      </w:r>
      <w:r w:rsidR="009963C0">
        <w:rPr>
          <w:rFonts w:eastAsia="Calibri"/>
          <w:sz w:val="24"/>
          <w:szCs w:val="24"/>
        </w:rPr>
        <w:sym w:font="Symbol" w:char="F02D"/>
      </w:r>
      <w:r w:rsidR="009963C0">
        <w:rPr>
          <w:rFonts w:eastAsia="Calibri"/>
          <w:sz w:val="24"/>
          <w:szCs w:val="24"/>
        </w:rPr>
        <w:t xml:space="preserve"> </w:t>
      </w:r>
      <w:r>
        <w:rPr>
          <w:rFonts w:eastAsia="Calibri"/>
          <w:sz w:val="24"/>
          <w:szCs w:val="24"/>
        </w:rPr>
        <w:t>сокращение расходов (на 15%).</w:t>
      </w:r>
    </w:p>
    <w:p w14:paraId="4737E204" w14:textId="0D97A8C4" w:rsidR="00F37385" w:rsidRPr="004220DC" w:rsidRDefault="00F37385" w:rsidP="00F37385">
      <w:pPr>
        <w:pStyle w:val="af0"/>
        <w:spacing w:before="0" w:after="60"/>
        <w:ind w:firstLine="709"/>
        <w:rPr>
          <w:sz w:val="24"/>
          <w:szCs w:val="24"/>
        </w:rPr>
      </w:pPr>
      <w:r w:rsidRPr="004F2D48">
        <w:rPr>
          <w:rFonts w:eastAsia="Calibri"/>
          <w:sz w:val="24"/>
          <w:szCs w:val="24"/>
        </w:rPr>
        <w:t xml:space="preserve">Из </w:t>
      </w:r>
      <w:r>
        <w:rPr>
          <w:rFonts w:eastAsia="Calibri"/>
          <w:sz w:val="24"/>
          <w:szCs w:val="24"/>
        </w:rPr>
        <w:t>этого</w:t>
      </w:r>
      <w:r w:rsidRPr="004F2D48">
        <w:rPr>
          <w:rFonts w:eastAsia="Calibri"/>
          <w:sz w:val="24"/>
          <w:szCs w:val="24"/>
        </w:rPr>
        <w:t xml:space="preserve"> можно </w:t>
      </w:r>
      <w:r>
        <w:rPr>
          <w:rFonts w:eastAsia="Calibri"/>
          <w:sz w:val="24"/>
          <w:szCs w:val="24"/>
        </w:rPr>
        <w:t>сделать вывод</w:t>
      </w:r>
      <w:r w:rsidRPr="004F2D48">
        <w:rPr>
          <w:rFonts w:eastAsia="Calibri"/>
          <w:sz w:val="24"/>
          <w:szCs w:val="24"/>
        </w:rPr>
        <w:t xml:space="preserve">, что бюджет </w:t>
      </w:r>
      <w:r w:rsidR="009963C0">
        <w:rPr>
          <w:rFonts w:eastAsia="Calibri"/>
          <w:sz w:val="24"/>
          <w:szCs w:val="24"/>
        </w:rPr>
        <w:t xml:space="preserve">в </w:t>
      </w:r>
      <w:r>
        <w:rPr>
          <w:rFonts w:eastAsia="Calibri"/>
          <w:sz w:val="24"/>
          <w:szCs w:val="24"/>
        </w:rPr>
        <w:t xml:space="preserve">2020-2022 годы продолжает </w:t>
      </w:r>
      <w:r w:rsidRPr="004220DC">
        <w:rPr>
          <w:rFonts w:eastAsia="Calibri"/>
          <w:sz w:val="24"/>
          <w:szCs w:val="24"/>
        </w:rPr>
        <w:t>переориентирование на предоставление услуг различным категориям населения и, в первую очередь, пожилым, однако состав этой поддержки модернизируется.</w:t>
      </w:r>
    </w:p>
    <w:p w14:paraId="45E69D08" w14:textId="7D6280DB" w:rsidR="00F37385" w:rsidRPr="004220DC" w:rsidRDefault="00C86838" w:rsidP="00F37385">
      <w:pPr>
        <w:spacing w:after="60"/>
        <w:ind w:firstLine="709"/>
        <w:jc w:val="both"/>
      </w:pPr>
      <w:r>
        <w:rPr>
          <w:rFonts w:eastAsia="Calibri"/>
        </w:rPr>
        <w:t>Отдельно отметим, что пр</w:t>
      </w:r>
      <w:r w:rsidR="00F37385" w:rsidRPr="004220DC">
        <w:rPr>
          <w:rFonts w:eastAsia="Calibri"/>
        </w:rPr>
        <w:t xml:space="preserve">едоставление межбюджетных трансфертов бюджетам субъектов Российской Федерации (субвенций на осуществление переданных полномочий Российской Федерации, субсидий и иных межбюджетных трансфертов) в 2020-2022 годах будет продолжено. </w:t>
      </w:r>
      <w:r w:rsidR="00F37385" w:rsidRPr="004220DC">
        <w:t>В части субвенций увеличение объемов бюджетных ассигнований обусловлено общими подходами к формированию законопроекта: в связи с индексацией в 2020 году некоторых публичных нормативных обязательств на уровень инфляции предшествующего года.</w:t>
      </w:r>
    </w:p>
    <w:p w14:paraId="3B2303C3" w14:textId="06919B1D" w:rsidR="00F37385" w:rsidRPr="004220DC" w:rsidRDefault="00F37385" w:rsidP="00F37385">
      <w:pPr>
        <w:spacing w:after="60"/>
        <w:ind w:firstLine="709"/>
        <w:contextualSpacing/>
        <w:jc w:val="both"/>
      </w:pPr>
      <w:r w:rsidRPr="004220DC">
        <w:t>В составе расходов федерального бюджета на 2020-2022 годы также предусмотрены межбюджетные трансферты на выплату федеральной и региональной доплаты к пенсии до прожиточного минимума пенсионера. По сравнению с 2019 г. объем расходов в 2020 г. на социальную доплату резко сократится на 44% (</w:t>
      </w:r>
      <w:r w:rsidR="009963C0" w:rsidRPr="009963C0">
        <w:rPr>
          <w:i/>
        </w:rPr>
        <w:t xml:space="preserve">таблица </w:t>
      </w:r>
      <w:r w:rsidR="008529A6" w:rsidRPr="008529A6">
        <w:rPr>
          <w:i/>
          <w:noProof/>
        </w:rPr>
        <w:t>31</w:t>
      </w:r>
      <w:r w:rsidRPr="009963C0">
        <w:t xml:space="preserve">). </w:t>
      </w:r>
    </w:p>
    <w:p w14:paraId="49543119" w14:textId="0E67E6CC" w:rsidR="00F37385" w:rsidRPr="004220DC" w:rsidRDefault="00F37385" w:rsidP="00F37385">
      <w:pPr>
        <w:pStyle w:val="aff8"/>
        <w:rPr>
          <w:i w:val="0"/>
        </w:rPr>
      </w:pPr>
      <w:r w:rsidRPr="004220DC">
        <w:t xml:space="preserve">Таблица </w:t>
      </w:r>
      <w:bookmarkStart w:id="69" w:name="_Ref21347953"/>
      <w:bookmarkStart w:id="70" w:name="_Ref526599779"/>
      <w:r w:rsidR="008529A6">
        <w:rPr>
          <w:noProof/>
        </w:rPr>
        <w:t>31</w:t>
      </w:r>
      <w:bookmarkEnd w:id="69"/>
      <w:bookmarkEnd w:id="70"/>
    </w:p>
    <w:p w14:paraId="3DEC5D14" w14:textId="77777777" w:rsidR="00F37385" w:rsidRPr="004220DC" w:rsidRDefault="00F37385" w:rsidP="00F37385">
      <w:pPr>
        <w:spacing w:before="60" w:after="120"/>
        <w:contextualSpacing/>
        <w:jc w:val="center"/>
        <w:rPr>
          <w:rFonts w:eastAsia="Calibri"/>
          <w:b/>
        </w:rPr>
      </w:pPr>
      <w:r w:rsidRPr="004220DC">
        <w:rPr>
          <w:b/>
        </w:rPr>
        <w:t>Динамика расходов федерального бюджета на социальную доплату к пенсии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830"/>
        <w:gridCol w:w="830"/>
        <w:gridCol w:w="830"/>
        <w:gridCol w:w="831"/>
        <w:gridCol w:w="830"/>
        <w:gridCol w:w="830"/>
        <w:gridCol w:w="831"/>
      </w:tblGrid>
      <w:tr w:rsidR="00F37385" w:rsidRPr="004220DC" w14:paraId="1DE3F8D0" w14:textId="77777777" w:rsidTr="00F37385">
        <w:trPr>
          <w:trHeight w:val="313"/>
        </w:trPr>
        <w:tc>
          <w:tcPr>
            <w:tcW w:w="3397" w:type="dxa"/>
            <w:shd w:val="clear" w:color="auto" w:fill="auto"/>
          </w:tcPr>
          <w:p w14:paraId="2FBBAFAB" w14:textId="77777777" w:rsidR="00F37385" w:rsidRPr="004220DC" w:rsidRDefault="00F37385" w:rsidP="00F37385">
            <w:pPr>
              <w:jc w:val="right"/>
              <w:rPr>
                <w:b/>
                <w:sz w:val="20"/>
              </w:rPr>
            </w:pPr>
          </w:p>
        </w:tc>
        <w:tc>
          <w:tcPr>
            <w:tcW w:w="830" w:type="dxa"/>
            <w:shd w:val="clear" w:color="auto" w:fill="auto"/>
            <w:vAlign w:val="center"/>
            <w:hideMark/>
          </w:tcPr>
          <w:p w14:paraId="4E4F0012" w14:textId="77777777" w:rsidR="00F37385" w:rsidRPr="004220DC" w:rsidRDefault="00F37385" w:rsidP="00F37385">
            <w:pPr>
              <w:jc w:val="center"/>
              <w:rPr>
                <w:b/>
                <w:sz w:val="20"/>
              </w:rPr>
            </w:pPr>
            <w:r w:rsidRPr="004220DC">
              <w:rPr>
                <w:b/>
                <w:sz w:val="20"/>
              </w:rPr>
              <w:t>2016 г.</w:t>
            </w:r>
          </w:p>
        </w:tc>
        <w:tc>
          <w:tcPr>
            <w:tcW w:w="830" w:type="dxa"/>
            <w:shd w:val="clear" w:color="auto" w:fill="auto"/>
            <w:vAlign w:val="center"/>
            <w:hideMark/>
          </w:tcPr>
          <w:p w14:paraId="47C2A148" w14:textId="77777777" w:rsidR="00F37385" w:rsidRPr="004220DC" w:rsidRDefault="00F37385" w:rsidP="00F37385">
            <w:pPr>
              <w:jc w:val="center"/>
              <w:rPr>
                <w:b/>
                <w:sz w:val="20"/>
              </w:rPr>
            </w:pPr>
            <w:r w:rsidRPr="004220DC">
              <w:rPr>
                <w:b/>
                <w:sz w:val="20"/>
              </w:rPr>
              <w:t>2017 г.</w:t>
            </w:r>
          </w:p>
        </w:tc>
        <w:tc>
          <w:tcPr>
            <w:tcW w:w="830" w:type="dxa"/>
            <w:shd w:val="clear" w:color="auto" w:fill="auto"/>
            <w:vAlign w:val="center"/>
            <w:hideMark/>
          </w:tcPr>
          <w:p w14:paraId="10B232D5" w14:textId="77777777" w:rsidR="00F37385" w:rsidRPr="004220DC" w:rsidRDefault="00F37385" w:rsidP="00F37385">
            <w:pPr>
              <w:jc w:val="center"/>
              <w:rPr>
                <w:b/>
                <w:sz w:val="20"/>
              </w:rPr>
            </w:pPr>
            <w:r w:rsidRPr="004220DC">
              <w:rPr>
                <w:b/>
                <w:sz w:val="20"/>
              </w:rPr>
              <w:t>2018 г.</w:t>
            </w:r>
          </w:p>
        </w:tc>
        <w:tc>
          <w:tcPr>
            <w:tcW w:w="831" w:type="dxa"/>
            <w:shd w:val="clear" w:color="auto" w:fill="auto"/>
            <w:vAlign w:val="center"/>
            <w:hideMark/>
          </w:tcPr>
          <w:p w14:paraId="1F54C988" w14:textId="77777777" w:rsidR="00F37385" w:rsidRPr="004220DC" w:rsidRDefault="00F37385" w:rsidP="00F37385">
            <w:pPr>
              <w:jc w:val="center"/>
              <w:rPr>
                <w:b/>
                <w:sz w:val="20"/>
              </w:rPr>
            </w:pPr>
            <w:r w:rsidRPr="004220DC">
              <w:rPr>
                <w:b/>
                <w:sz w:val="20"/>
              </w:rPr>
              <w:t>2019 г.</w:t>
            </w:r>
          </w:p>
        </w:tc>
        <w:tc>
          <w:tcPr>
            <w:tcW w:w="830" w:type="dxa"/>
            <w:shd w:val="clear" w:color="auto" w:fill="auto"/>
            <w:vAlign w:val="center"/>
            <w:hideMark/>
          </w:tcPr>
          <w:p w14:paraId="12C42A12" w14:textId="77777777" w:rsidR="00F37385" w:rsidRPr="004220DC" w:rsidRDefault="00F37385" w:rsidP="00F37385">
            <w:pPr>
              <w:jc w:val="center"/>
              <w:rPr>
                <w:b/>
                <w:sz w:val="20"/>
              </w:rPr>
            </w:pPr>
            <w:r w:rsidRPr="004220DC">
              <w:rPr>
                <w:b/>
                <w:sz w:val="20"/>
              </w:rPr>
              <w:t>2020 г.</w:t>
            </w:r>
          </w:p>
        </w:tc>
        <w:tc>
          <w:tcPr>
            <w:tcW w:w="830" w:type="dxa"/>
            <w:shd w:val="clear" w:color="auto" w:fill="auto"/>
            <w:vAlign w:val="center"/>
            <w:hideMark/>
          </w:tcPr>
          <w:p w14:paraId="0A8EA8D8" w14:textId="77777777" w:rsidR="00F37385" w:rsidRPr="004220DC" w:rsidRDefault="00F37385" w:rsidP="00F37385">
            <w:pPr>
              <w:jc w:val="center"/>
              <w:rPr>
                <w:b/>
                <w:sz w:val="20"/>
              </w:rPr>
            </w:pPr>
            <w:r w:rsidRPr="004220DC">
              <w:rPr>
                <w:b/>
                <w:sz w:val="20"/>
              </w:rPr>
              <w:t>2021 г.</w:t>
            </w:r>
          </w:p>
        </w:tc>
        <w:tc>
          <w:tcPr>
            <w:tcW w:w="831" w:type="dxa"/>
            <w:vAlign w:val="center"/>
          </w:tcPr>
          <w:p w14:paraId="1DF011B4" w14:textId="77777777" w:rsidR="00F37385" w:rsidRPr="004220DC" w:rsidRDefault="00F37385" w:rsidP="00F37385">
            <w:pPr>
              <w:jc w:val="center"/>
              <w:rPr>
                <w:b/>
                <w:sz w:val="20"/>
              </w:rPr>
            </w:pPr>
            <w:r w:rsidRPr="004220DC">
              <w:rPr>
                <w:b/>
                <w:sz w:val="20"/>
                <w:lang w:val="en-US"/>
              </w:rPr>
              <w:t>2022 г.</w:t>
            </w:r>
          </w:p>
        </w:tc>
      </w:tr>
      <w:tr w:rsidR="00F37385" w:rsidRPr="004220DC" w14:paraId="1A5E666C" w14:textId="77777777" w:rsidTr="00F37385">
        <w:trPr>
          <w:trHeight w:val="313"/>
        </w:trPr>
        <w:tc>
          <w:tcPr>
            <w:tcW w:w="3397" w:type="dxa"/>
            <w:shd w:val="clear" w:color="auto" w:fill="auto"/>
          </w:tcPr>
          <w:p w14:paraId="4DCD15E8" w14:textId="77777777" w:rsidR="00F37385" w:rsidRPr="004220DC" w:rsidRDefault="00F37385" w:rsidP="00F37385">
            <w:pPr>
              <w:autoSpaceDE w:val="0"/>
              <w:autoSpaceDN w:val="0"/>
              <w:adjustRightInd w:val="0"/>
              <w:jc w:val="both"/>
              <w:rPr>
                <w:sz w:val="20"/>
              </w:rPr>
            </w:pPr>
            <w:r w:rsidRPr="004220DC">
              <w:rPr>
                <w:rFonts w:eastAsiaTheme="minorHAnsi"/>
                <w:sz w:val="20"/>
                <w:lang w:eastAsia="en-US"/>
              </w:rPr>
              <w:t>Выплата федеральной социальной доплаты к пенсии (межбюджетные трансферты)</w:t>
            </w:r>
            <w:r w:rsidRPr="004220DC">
              <w:rPr>
                <w:sz w:val="20"/>
              </w:rPr>
              <w:t>, млрд руб.</w:t>
            </w:r>
          </w:p>
        </w:tc>
        <w:tc>
          <w:tcPr>
            <w:tcW w:w="830" w:type="dxa"/>
            <w:shd w:val="clear" w:color="auto" w:fill="auto"/>
            <w:vAlign w:val="center"/>
            <w:hideMark/>
          </w:tcPr>
          <w:p w14:paraId="4FCE5706" w14:textId="77777777" w:rsidR="00F37385" w:rsidRPr="004220DC" w:rsidRDefault="00F37385" w:rsidP="00F37385">
            <w:pPr>
              <w:jc w:val="center"/>
              <w:rPr>
                <w:sz w:val="20"/>
              </w:rPr>
            </w:pPr>
            <w:r w:rsidRPr="004220DC">
              <w:rPr>
                <w:sz w:val="20"/>
              </w:rPr>
              <w:t>99,4</w:t>
            </w:r>
          </w:p>
        </w:tc>
        <w:tc>
          <w:tcPr>
            <w:tcW w:w="830" w:type="dxa"/>
            <w:shd w:val="clear" w:color="auto" w:fill="auto"/>
            <w:vAlign w:val="center"/>
            <w:hideMark/>
          </w:tcPr>
          <w:p w14:paraId="39ED50AE" w14:textId="77777777" w:rsidR="00F37385" w:rsidRPr="004220DC" w:rsidRDefault="00F37385" w:rsidP="00F37385">
            <w:pPr>
              <w:jc w:val="center"/>
              <w:rPr>
                <w:sz w:val="20"/>
              </w:rPr>
            </w:pPr>
            <w:r w:rsidRPr="004220DC">
              <w:rPr>
                <w:sz w:val="20"/>
              </w:rPr>
              <w:t>117,0</w:t>
            </w:r>
          </w:p>
        </w:tc>
        <w:tc>
          <w:tcPr>
            <w:tcW w:w="830" w:type="dxa"/>
            <w:shd w:val="clear" w:color="auto" w:fill="auto"/>
            <w:vAlign w:val="center"/>
            <w:hideMark/>
          </w:tcPr>
          <w:p w14:paraId="603CF255" w14:textId="77777777" w:rsidR="00F37385" w:rsidRPr="004220DC" w:rsidRDefault="00F37385" w:rsidP="00F37385">
            <w:pPr>
              <w:jc w:val="center"/>
              <w:rPr>
                <w:sz w:val="20"/>
              </w:rPr>
            </w:pPr>
            <w:r w:rsidRPr="004220DC">
              <w:rPr>
                <w:sz w:val="20"/>
              </w:rPr>
              <w:t>89,7</w:t>
            </w:r>
          </w:p>
        </w:tc>
        <w:tc>
          <w:tcPr>
            <w:tcW w:w="831" w:type="dxa"/>
            <w:shd w:val="clear" w:color="auto" w:fill="auto"/>
            <w:vAlign w:val="center"/>
            <w:hideMark/>
          </w:tcPr>
          <w:p w14:paraId="1D299FE4" w14:textId="77777777" w:rsidR="00F37385" w:rsidRPr="004220DC" w:rsidRDefault="00F37385" w:rsidP="00F37385">
            <w:pPr>
              <w:jc w:val="center"/>
              <w:rPr>
                <w:sz w:val="20"/>
              </w:rPr>
            </w:pPr>
            <w:r w:rsidRPr="004220DC">
              <w:rPr>
                <w:sz w:val="20"/>
              </w:rPr>
              <w:t>86,0</w:t>
            </w:r>
          </w:p>
        </w:tc>
        <w:tc>
          <w:tcPr>
            <w:tcW w:w="830" w:type="dxa"/>
            <w:shd w:val="clear" w:color="auto" w:fill="auto"/>
            <w:vAlign w:val="center"/>
            <w:hideMark/>
          </w:tcPr>
          <w:p w14:paraId="60E7AEB7" w14:textId="77777777" w:rsidR="00F37385" w:rsidRPr="004220DC" w:rsidRDefault="00F37385" w:rsidP="00F37385">
            <w:pPr>
              <w:jc w:val="center"/>
              <w:rPr>
                <w:sz w:val="20"/>
              </w:rPr>
            </w:pPr>
            <w:r w:rsidRPr="004220DC">
              <w:rPr>
                <w:sz w:val="20"/>
              </w:rPr>
              <w:t>47,9</w:t>
            </w:r>
          </w:p>
        </w:tc>
        <w:tc>
          <w:tcPr>
            <w:tcW w:w="830" w:type="dxa"/>
            <w:shd w:val="clear" w:color="auto" w:fill="auto"/>
            <w:vAlign w:val="center"/>
            <w:hideMark/>
          </w:tcPr>
          <w:p w14:paraId="332687DC" w14:textId="77777777" w:rsidR="00F37385" w:rsidRPr="004220DC" w:rsidRDefault="00F37385" w:rsidP="00F37385">
            <w:pPr>
              <w:jc w:val="center"/>
              <w:rPr>
                <w:sz w:val="20"/>
              </w:rPr>
            </w:pPr>
            <w:r w:rsidRPr="004220DC">
              <w:rPr>
                <w:sz w:val="20"/>
              </w:rPr>
              <w:t>44,4</w:t>
            </w:r>
          </w:p>
        </w:tc>
        <w:tc>
          <w:tcPr>
            <w:tcW w:w="831" w:type="dxa"/>
            <w:shd w:val="clear" w:color="auto" w:fill="auto"/>
            <w:vAlign w:val="center"/>
          </w:tcPr>
          <w:p w14:paraId="6836D38B" w14:textId="77777777" w:rsidR="00F37385" w:rsidRPr="004220DC" w:rsidRDefault="00F37385" w:rsidP="00F37385">
            <w:pPr>
              <w:jc w:val="center"/>
              <w:rPr>
                <w:sz w:val="20"/>
              </w:rPr>
            </w:pPr>
            <w:r w:rsidRPr="004220DC">
              <w:rPr>
                <w:sz w:val="20"/>
              </w:rPr>
              <w:t>56,0</w:t>
            </w:r>
          </w:p>
        </w:tc>
      </w:tr>
      <w:tr w:rsidR="00F37385" w:rsidRPr="004220DC" w14:paraId="51CD2C23" w14:textId="77777777" w:rsidTr="00F37385">
        <w:trPr>
          <w:trHeight w:val="313"/>
        </w:trPr>
        <w:tc>
          <w:tcPr>
            <w:tcW w:w="3397" w:type="dxa"/>
            <w:shd w:val="clear" w:color="auto" w:fill="auto"/>
          </w:tcPr>
          <w:p w14:paraId="328BF86E" w14:textId="77777777" w:rsidR="00F37385" w:rsidRPr="004220DC" w:rsidRDefault="00F37385" w:rsidP="00F37385">
            <w:pPr>
              <w:rPr>
                <w:i/>
                <w:color w:val="000000"/>
                <w:sz w:val="20"/>
              </w:rPr>
            </w:pPr>
            <w:r w:rsidRPr="004220DC">
              <w:rPr>
                <w:i/>
                <w:color w:val="000000"/>
                <w:sz w:val="20"/>
              </w:rPr>
              <w:t>Динамика расходов федерального бюджета на выплату социальных доплат к пенсии, % к 2016 году</w:t>
            </w:r>
          </w:p>
        </w:tc>
        <w:tc>
          <w:tcPr>
            <w:tcW w:w="830" w:type="dxa"/>
            <w:shd w:val="clear" w:color="auto" w:fill="auto"/>
            <w:noWrap/>
            <w:vAlign w:val="center"/>
            <w:hideMark/>
          </w:tcPr>
          <w:p w14:paraId="3EC65A78" w14:textId="77777777" w:rsidR="00F37385" w:rsidRPr="004220DC" w:rsidRDefault="00F37385" w:rsidP="00F37385">
            <w:pPr>
              <w:jc w:val="center"/>
              <w:rPr>
                <w:i/>
                <w:color w:val="000000"/>
                <w:sz w:val="20"/>
              </w:rPr>
            </w:pPr>
            <w:r w:rsidRPr="004220DC">
              <w:rPr>
                <w:i/>
                <w:color w:val="000000"/>
                <w:sz w:val="20"/>
              </w:rPr>
              <w:t>100</w:t>
            </w:r>
          </w:p>
        </w:tc>
        <w:tc>
          <w:tcPr>
            <w:tcW w:w="830" w:type="dxa"/>
            <w:tcBorders>
              <w:bottom w:val="single" w:sz="4" w:space="0" w:color="auto"/>
            </w:tcBorders>
            <w:shd w:val="clear" w:color="auto" w:fill="auto"/>
            <w:noWrap/>
            <w:vAlign w:val="center"/>
            <w:hideMark/>
          </w:tcPr>
          <w:p w14:paraId="5A898482" w14:textId="77777777" w:rsidR="00F37385" w:rsidRPr="004220DC" w:rsidRDefault="00F37385" w:rsidP="00F37385">
            <w:pPr>
              <w:jc w:val="center"/>
              <w:rPr>
                <w:i/>
                <w:color w:val="000000"/>
                <w:sz w:val="20"/>
              </w:rPr>
            </w:pPr>
            <w:r w:rsidRPr="004220DC">
              <w:rPr>
                <w:i/>
                <w:color w:val="000000"/>
                <w:sz w:val="20"/>
              </w:rPr>
              <w:t>118</w:t>
            </w:r>
          </w:p>
        </w:tc>
        <w:tc>
          <w:tcPr>
            <w:tcW w:w="830" w:type="dxa"/>
            <w:tcBorders>
              <w:bottom w:val="single" w:sz="4" w:space="0" w:color="auto"/>
            </w:tcBorders>
            <w:shd w:val="clear" w:color="auto" w:fill="auto"/>
            <w:noWrap/>
            <w:vAlign w:val="center"/>
            <w:hideMark/>
          </w:tcPr>
          <w:p w14:paraId="68AD640A" w14:textId="77777777" w:rsidR="00F37385" w:rsidRPr="004220DC" w:rsidRDefault="00F37385" w:rsidP="00F37385">
            <w:pPr>
              <w:jc w:val="center"/>
              <w:rPr>
                <w:i/>
                <w:color w:val="000000"/>
                <w:sz w:val="20"/>
              </w:rPr>
            </w:pPr>
            <w:r w:rsidRPr="004220DC">
              <w:rPr>
                <w:i/>
                <w:color w:val="000000"/>
                <w:sz w:val="20"/>
                <w:lang w:val="en-US"/>
              </w:rPr>
              <w:t>9</w:t>
            </w:r>
            <w:r w:rsidRPr="004220DC">
              <w:rPr>
                <w:i/>
                <w:color w:val="000000"/>
                <w:sz w:val="20"/>
              </w:rPr>
              <w:t>0</w:t>
            </w:r>
          </w:p>
        </w:tc>
        <w:tc>
          <w:tcPr>
            <w:tcW w:w="831" w:type="dxa"/>
            <w:tcBorders>
              <w:bottom w:val="single" w:sz="4" w:space="0" w:color="auto"/>
            </w:tcBorders>
            <w:shd w:val="clear" w:color="auto" w:fill="auto"/>
            <w:noWrap/>
            <w:vAlign w:val="center"/>
            <w:hideMark/>
          </w:tcPr>
          <w:p w14:paraId="5EE3B44A" w14:textId="77777777" w:rsidR="00F37385" w:rsidRPr="004220DC" w:rsidRDefault="00F37385" w:rsidP="00F37385">
            <w:pPr>
              <w:jc w:val="center"/>
              <w:rPr>
                <w:i/>
                <w:color w:val="000000"/>
                <w:sz w:val="20"/>
                <w:lang w:val="en-US"/>
              </w:rPr>
            </w:pPr>
            <w:r w:rsidRPr="004220DC">
              <w:rPr>
                <w:i/>
                <w:color w:val="000000"/>
                <w:sz w:val="20"/>
              </w:rPr>
              <w:t>8</w:t>
            </w:r>
            <w:r w:rsidRPr="004220DC">
              <w:rPr>
                <w:i/>
                <w:color w:val="000000"/>
                <w:sz w:val="20"/>
                <w:lang w:val="en-US"/>
              </w:rPr>
              <w:t>7</w:t>
            </w:r>
          </w:p>
        </w:tc>
        <w:tc>
          <w:tcPr>
            <w:tcW w:w="830" w:type="dxa"/>
            <w:tcBorders>
              <w:bottom w:val="single" w:sz="4" w:space="0" w:color="auto"/>
            </w:tcBorders>
            <w:shd w:val="clear" w:color="auto" w:fill="auto"/>
            <w:noWrap/>
            <w:vAlign w:val="center"/>
            <w:hideMark/>
          </w:tcPr>
          <w:p w14:paraId="608860DC" w14:textId="77777777" w:rsidR="00F37385" w:rsidRPr="004220DC" w:rsidRDefault="00F37385" w:rsidP="00F37385">
            <w:pPr>
              <w:jc w:val="center"/>
              <w:rPr>
                <w:i/>
                <w:color w:val="000000"/>
                <w:sz w:val="20"/>
                <w:lang w:val="en-US"/>
              </w:rPr>
            </w:pPr>
            <w:r w:rsidRPr="004220DC">
              <w:rPr>
                <w:i/>
                <w:color w:val="000000"/>
                <w:sz w:val="20"/>
                <w:lang w:val="en-US"/>
              </w:rPr>
              <w:t>48</w:t>
            </w:r>
          </w:p>
        </w:tc>
        <w:tc>
          <w:tcPr>
            <w:tcW w:w="830" w:type="dxa"/>
            <w:tcBorders>
              <w:bottom w:val="single" w:sz="4" w:space="0" w:color="auto"/>
            </w:tcBorders>
            <w:shd w:val="clear" w:color="auto" w:fill="auto"/>
            <w:noWrap/>
            <w:vAlign w:val="center"/>
            <w:hideMark/>
          </w:tcPr>
          <w:p w14:paraId="6AF8B9ED" w14:textId="77777777" w:rsidR="00F37385" w:rsidRPr="004220DC" w:rsidRDefault="00F37385" w:rsidP="00F37385">
            <w:pPr>
              <w:jc w:val="center"/>
              <w:rPr>
                <w:i/>
                <w:color w:val="000000"/>
                <w:sz w:val="20"/>
                <w:lang w:val="en-US"/>
              </w:rPr>
            </w:pPr>
            <w:r w:rsidRPr="004220DC">
              <w:rPr>
                <w:i/>
                <w:color w:val="000000"/>
                <w:sz w:val="20"/>
                <w:lang w:val="en-US"/>
              </w:rPr>
              <w:t>45</w:t>
            </w:r>
          </w:p>
        </w:tc>
        <w:tc>
          <w:tcPr>
            <w:tcW w:w="831" w:type="dxa"/>
            <w:tcBorders>
              <w:bottom w:val="single" w:sz="4" w:space="0" w:color="auto"/>
            </w:tcBorders>
            <w:vAlign w:val="center"/>
          </w:tcPr>
          <w:p w14:paraId="6301A96A" w14:textId="77777777" w:rsidR="00F37385" w:rsidRPr="004220DC" w:rsidRDefault="00F37385" w:rsidP="00F37385">
            <w:pPr>
              <w:jc w:val="center"/>
              <w:rPr>
                <w:i/>
                <w:color w:val="000000"/>
                <w:sz w:val="20"/>
                <w:lang w:val="en-US"/>
              </w:rPr>
            </w:pPr>
            <w:r w:rsidRPr="004220DC">
              <w:rPr>
                <w:i/>
                <w:color w:val="000000"/>
                <w:sz w:val="20"/>
                <w:lang w:val="en-US"/>
              </w:rPr>
              <w:t>56</w:t>
            </w:r>
          </w:p>
        </w:tc>
      </w:tr>
    </w:tbl>
    <w:p w14:paraId="1927843A" w14:textId="77777777" w:rsidR="00F37385" w:rsidRPr="004220DC" w:rsidRDefault="00F37385" w:rsidP="00F37385">
      <w:pPr>
        <w:spacing w:after="60"/>
        <w:ind w:firstLine="709"/>
        <w:jc w:val="both"/>
        <w:rPr>
          <w:sz w:val="20"/>
        </w:rPr>
      </w:pPr>
      <w:r w:rsidRPr="004220DC">
        <w:rPr>
          <w:i/>
          <w:sz w:val="20"/>
        </w:rPr>
        <w:t>Источники:</w:t>
      </w:r>
      <w:r w:rsidRPr="004220DC">
        <w:rPr>
          <w:sz w:val="20"/>
        </w:rPr>
        <w:t xml:space="preserve"> законы об исполнении федерального бюджета за 2016, 2017 и 2018 гг., Закон о федеральном бюджете на 2019-2021 гг., законопроект.</w:t>
      </w:r>
    </w:p>
    <w:p w14:paraId="1C086DE7" w14:textId="4E02CE68" w:rsidR="00F37385" w:rsidRPr="00EE5399" w:rsidRDefault="00F37385" w:rsidP="00F37385">
      <w:pPr>
        <w:spacing w:after="60"/>
        <w:ind w:firstLine="709"/>
        <w:jc w:val="both"/>
      </w:pPr>
      <w:r w:rsidRPr="004220DC">
        <w:t>Это связано с изменением механизма определения уровня прожиточного минимума пенсионера в регионах в связи с утверждением Постановления Правительства РФ от 30.07.2019 № 975 «Об утверждении Правил определения величины прожиточного минимума пенсионера в субъектах Российской Федерации в целях установления социальной доплаты к пенсии» и увеличением числа регионов, предоставляющих региональную социальную доплату к пенсии, с 13 до 28.</w:t>
      </w:r>
    </w:p>
    <w:p w14:paraId="50E7F035" w14:textId="0D2977E4" w:rsidR="0024133A" w:rsidRPr="00F37385" w:rsidRDefault="0024133A" w:rsidP="0002614E">
      <w:pPr>
        <w:ind w:firstLine="709"/>
        <w:jc w:val="both"/>
      </w:pPr>
    </w:p>
    <w:p w14:paraId="6CF70AE6" w14:textId="253A05A4" w:rsidR="008742A2" w:rsidRPr="00C86838" w:rsidRDefault="00463AE7" w:rsidP="0002614E">
      <w:pPr>
        <w:spacing w:after="60"/>
        <w:ind w:firstLine="709"/>
        <w:jc w:val="both"/>
        <w:rPr>
          <w:b/>
          <w:i/>
        </w:rPr>
      </w:pPr>
      <w:r w:rsidRPr="00C86838">
        <w:rPr>
          <w:b/>
          <w:i/>
        </w:rPr>
        <w:t>Фонд социального страхования</w:t>
      </w:r>
    </w:p>
    <w:p w14:paraId="4D87CA45" w14:textId="77777777" w:rsidR="00817B95" w:rsidRDefault="00817B95" w:rsidP="00817B95">
      <w:pPr>
        <w:spacing w:after="60"/>
        <w:ind w:firstLine="709"/>
        <w:jc w:val="both"/>
      </w:pPr>
      <w:bookmarkStart w:id="71" w:name="_Toc465959030"/>
      <w:r w:rsidRPr="000E1A1F">
        <w:t xml:space="preserve">Как отмечается в пояснительной записке к проекту Федерального закона </w:t>
      </w:r>
      <w:r>
        <w:t>«</w:t>
      </w:r>
      <w:r w:rsidRPr="000E1A1F">
        <w:t>О бюджете Фонда социального страхования Российской Федерации на 20</w:t>
      </w:r>
      <w:r>
        <w:t>20</w:t>
      </w:r>
      <w:r w:rsidRPr="000E1A1F">
        <w:t xml:space="preserve"> г. и на плановый период 202</w:t>
      </w:r>
      <w:r>
        <w:t>1</w:t>
      </w:r>
      <w:r w:rsidRPr="000E1A1F">
        <w:t xml:space="preserve"> и 202</w:t>
      </w:r>
      <w:r>
        <w:t>2</w:t>
      </w:r>
      <w:r w:rsidRPr="000E1A1F">
        <w:t xml:space="preserve"> годов», при его подготовке использованы следующие показатели:</w:t>
      </w:r>
    </w:p>
    <w:p w14:paraId="6D67A9AE" w14:textId="6B057359" w:rsidR="00817B95" w:rsidRDefault="00817B95" w:rsidP="00817B95">
      <w:pPr>
        <w:spacing w:after="60"/>
        <w:ind w:left="709"/>
        <w:jc w:val="both"/>
      </w:pPr>
      <w:r w:rsidRPr="000E1A1F">
        <w:t xml:space="preserve">– </w:t>
      </w:r>
      <w:r>
        <w:t xml:space="preserve">фонд заработной платы на 2018 год </w:t>
      </w:r>
      <w:r w:rsidR="009963C0">
        <w:t>–</w:t>
      </w:r>
      <w:r>
        <w:t xml:space="preserve"> 23 165 млрд рублей, на 2019 год </w:t>
      </w:r>
      <w:r w:rsidR="009963C0">
        <w:t>–</w:t>
      </w:r>
      <w:r>
        <w:t xml:space="preserve"> 24 569 млрд рублей, на 2020 год </w:t>
      </w:r>
      <w:r w:rsidR="009963C0">
        <w:t>–</w:t>
      </w:r>
      <w:r>
        <w:t xml:space="preserve"> 25 909 млрд рублей, на 2021 год </w:t>
      </w:r>
      <w:r w:rsidR="009963C0">
        <w:t>–</w:t>
      </w:r>
      <w:r>
        <w:t xml:space="preserve"> 27 591 млрд рублей и на 2022 год </w:t>
      </w:r>
      <w:r w:rsidR="009963C0">
        <w:t>–</w:t>
      </w:r>
      <w:r>
        <w:t xml:space="preserve"> 29 545 млрд рублей;</w:t>
      </w:r>
    </w:p>
    <w:p w14:paraId="3CE578A3" w14:textId="5EA80A32" w:rsidR="00817B95" w:rsidRDefault="00817B95" w:rsidP="00817B95">
      <w:pPr>
        <w:spacing w:after="60"/>
        <w:ind w:left="709"/>
        <w:jc w:val="both"/>
      </w:pPr>
      <w:r w:rsidRPr="000E1A1F">
        <w:t xml:space="preserve">– </w:t>
      </w:r>
      <w:r>
        <w:t xml:space="preserve">индекс потребительских цен на 2018 год </w:t>
      </w:r>
      <w:r w:rsidR="009963C0">
        <w:t>–</w:t>
      </w:r>
      <w:r>
        <w:t xml:space="preserve"> 104,3%, на 2019 год </w:t>
      </w:r>
      <w:r w:rsidR="009963C0">
        <w:t>–</w:t>
      </w:r>
      <w:r>
        <w:t xml:space="preserve"> 103,8%, на 2020 год </w:t>
      </w:r>
      <w:r w:rsidR="00875694">
        <w:t xml:space="preserve">– </w:t>
      </w:r>
      <w:r>
        <w:t xml:space="preserve">103,0%, на 2021 год </w:t>
      </w:r>
      <w:r w:rsidR="00875694">
        <w:t>–</w:t>
      </w:r>
      <w:r>
        <w:t xml:space="preserve"> 104,0% и на 2022 год </w:t>
      </w:r>
      <w:r w:rsidR="009963C0">
        <w:t>–</w:t>
      </w:r>
      <w:r>
        <w:t xml:space="preserve"> 104,0%;</w:t>
      </w:r>
    </w:p>
    <w:p w14:paraId="4A51EBF1" w14:textId="34642C48" w:rsidR="00817B95" w:rsidRDefault="00817B95" w:rsidP="00817B95">
      <w:pPr>
        <w:spacing w:after="60"/>
        <w:ind w:left="709"/>
        <w:jc w:val="both"/>
      </w:pPr>
      <w:r w:rsidRPr="000E1A1F">
        <w:t xml:space="preserve">– </w:t>
      </w:r>
      <w:r>
        <w:t xml:space="preserve">номинальная начисленная среднемесячная заработная плата на одного работника в 2018 году </w:t>
      </w:r>
      <w:r w:rsidR="009963C0">
        <w:t>–</w:t>
      </w:r>
      <w:r>
        <w:t xml:space="preserve"> 43 724 рубля, в 2019 году </w:t>
      </w:r>
      <w:r w:rsidR="009963C0">
        <w:t>–</w:t>
      </w:r>
      <w:r>
        <w:t xml:space="preserve"> 46 432 рубля, в 2020 году </w:t>
      </w:r>
      <w:r w:rsidR="009963C0">
        <w:t>–</w:t>
      </w:r>
      <w:r>
        <w:t xml:space="preserve"> 48 942 рубля, в 2021 году </w:t>
      </w:r>
      <w:r w:rsidR="009963C0">
        <w:t>–</w:t>
      </w:r>
      <w:r>
        <w:t xml:space="preserve"> 51 904 рубля, в 2022 году </w:t>
      </w:r>
      <w:r w:rsidR="009963C0">
        <w:t>–</w:t>
      </w:r>
      <w:r>
        <w:t xml:space="preserve"> 55 295 рублей;</w:t>
      </w:r>
    </w:p>
    <w:p w14:paraId="43D55784" w14:textId="07F6AB58" w:rsidR="00817B95" w:rsidRPr="000E1A1F" w:rsidRDefault="00817B95" w:rsidP="00817B95">
      <w:pPr>
        <w:spacing w:after="60"/>
        <w:ind w:left="709"/>
        <w:jc w:val="both"/>
      </w:pPr>
      <w:r w:rsidRPr="000E1A1F">
        <w:t xml:space="preserve">– </w:t>
      </w:r>
      <w:r>
        <w:t xml:space="preserve">численность родившихся: на 2020 год </w:t>
      </w:r>
      <w:r w:rsidR="009963C0">
        <w:t>–</w:t>
      </w:r>
      <w:r>
        <w:t xml:space="preserve"> 1 587,6 тыс. человек, на 2021 год </w:t>
      </w:r>
      <w:r w:rsidR="009963C0">
        <w:t>–</w:t>
      </w:r>
      <w:r>
        <w:t xml:space="preserve"> 1 587,5 тыс. человек, на 2022 год </w:t>
      </w:r>
      <w:r w:rsidR="009963C0">
        <w:t xml:space="preserve">– </w:t>
      </w:r>
      <w:r>
        <w:t>1 584,4 тыс. человек.</w:t>
      </w:r>
    </w:p>
    <w:p w14:paraId="6A8B2A0F" w14:textId="60039291" w:rsidR="00817B95" w:rsidRPr="00D3467C" w:rsidRDefault="00817B95" w:rsidP="00817B95">
      <w:pPr>
        <w:spacing w:after="60"/>
        <w:ind w:firstLine="709"/>
        <w:jc w:val="both"/>
      </w:pPr>
      <w:r w:rsidRPr="005C36A5">
        <w:t>В соответствии с проектом</w:t>
      </w:r>
      <w:r w:rsidR="001D0E83">
        <w:t>,</w:t>
      </w:r>
      <w:r w:rsidRPr="005C36A5">
        <w:t xml:space="preserve"> доходы бюджета Фонда социального страхования (далее – ФСС) в 2020 г. увеличатся на 7,8% при росте расходов на 6,4%, что приведет к профициту бюджета равному 23,5 млрд руб</w:t>
      </w:r>
      <w:r w:rsidRPr="005C36A5">
        <w:rPr>
          <w:color w:val="000000"/>
        </w:rPr>
        <w:t xml:space="preserve">. </w:t>
      </w:r>
      <w:r w:rsidRPr="005C36A5">
        <w:t>Однако уже в 2021 г. рост расходов ФСС несколько превысит динамику доходов, и дефицит составит 10,3 млрд руб. В 2022 г. ожидается рост доходов ФСС</w:t>
      </w:r>
      <w:r>
        <w:t xml:space="preserve"> на 14,1% при росте расходов всего лишь на 5,1%, что приведёт к профициту в 62,5 млрд руб.</w:t>
      </w:r>
      <w:r w:rsidRPr="002E1E3A">
        <w:t xml:space="preserve"> </w:t>
      </w:r>
      <w:r w:rsidRPr="000F48C1">
        <w:t>(</w:t>
      </w:r>
      <w:r w:rsidR="001D0E83">
        <w:rPr>
          <w:i/>
        </w:rPr>
        <w:t xml:space="preserve">таблица </w:t>
      </w:r>
      <w:r w:rsidR="008529A6" w:rsidRPr="008529A6">
        <w:rPr>
          <w:i/>
          <w:noProof/>
        </w:rPr>
        <w:t>32</w:t>
      </w:r>
      <w:r w:rsidRPr="000F48C1">
        <w:t>).</w:t>
      </w:r>
    </w:p>
    <w:p w14:paraId="77D969BF" w14:textId="63639BEC" w:rsidR="00817B95" w:rsidRPr="002E1E3A" w:rsidRDefault="00817B95" w:rsidP="00817B95">
      <w:pPr>
        <w:pStyle w:val="aff8"/>
        <w:rPr>
          <w:szCs w:val="24"/>
        </w:rPr>
      </w:pPr>
      <w:r>
        <w:t xml:space="preserve">Таблица </w:t>
      </w:r>
      <w:bookmarkStart w:id="72" w:name="_Ref526599807"/>
      <w:r w:rsidR="008529A6">
        <w:rPr>
          <w:noProof/>
        </w:rPr>
        <w:t>32</w:t>
      </w:r>
      <w:bookmarkEnd w:id="72"/>
    </w:p>
    <w:p w14:paraId="6ABABE98" w14:textId="77777777" w:rsidR="00817B95" w:rsidRPr="002E1E3A" w:rsidRDefault="00817B95" w:rsidP="00817B95">
      <w:pPr>
        <w:pStyle w:val="af7"/>
        <w:rPr>
          <w:szCs w:val="24"/>
        </w:rPr>
      </w:pPr>
      <w:r w:rsidRPr="002E1E3A">
        <w:rPr>
          <w:szCs w:val="24"/>
        </w:rPr>
        <w:t>Основные характеристики бюджета ФСС в 201</w:t>
      </w:r>
      <w:r w:rsidRPr="00FA0B38">
        <w:rPr>
          <w:szCs w:val="24"/>
        </w:rPr>
        <w:t>8</w:t>
      </w:r>
      <w:r w:rsidRPr="002E1E3A">
        <w:rPr>
          <w:szCs w:val="24"/>
        </w:rPr>
        <w:t>-202</w:t>
      </w:r>
      <w:r w:rsidRPr="00FA0B38">
        <w:rPr>
          <w:szCs w:val="24"/>
        </w:rPr>
        <w:t>2</w:t>
      </w:r>
      <w:r w:rsidRPr="002E1E3A">
        <w:rPr>
          <w:szCs w:val="24"/>
        </w:rPr>
        <w:t xml:space="preserve"> гг., </w:t>
      </w:r>
      <w:r>
        <w:rPr>
          <w:szCs w:val="24"/>
        </w:rPr>
        <w:t>млрд</w:t>
      </w:r>
      <w:r w:rsidRPr="002E1E3A">
        <w:rPr>
          <w:szCs w:val="24"/>
        </w:rPr>
        <w:t xml:space="preserve">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6"/>
        <w:gridCol w:w="735"/>
        <w:gridCol w:w="735"/>
        <w:gridCol w:w="735"/>
        <w:gridCol w:w="736"/>
        <w:gridCol w:w="736"/>
        <w:gridCol w:w="812"/>
        <w:gridCol w:w="812"/>
        <w:gridCol w:w="814"/>
        <w:gridCol w:w="812"/>
        <w:gridCol w:w="814"/>
      </w:tblGrid>
      <w:tr w:rsidR="00817B95" w:rsidRPr="00C60260" w14:paraId="72E6AC7C" w14:textId="77777777" w:rsidTr="00817B95">
        <w:trPr>
          <w:trHeight w:val="300"/>
        </w:trPr>
        <w:tc>
          <w:tcPr>
            <w:tcW w:w="833" w:type="pct"/>
            <w:vMerge w:val="restart"/>
            <w:shd w:val="clear" w:color="auto" w:fill="auto"/>
            <w:noWrap/>
            <w:tcMar>
              <w:top w:w="0" w:type="dxa"/>
              <w:left w:w="108" w:type="dxa"/>
              <w:bottom w:w="0" w:type="dxa"/>
              <w:right w:w="108" w:type="dxa"/>
            </w:tcMar>
            <w:hideMark/>
          </w:tcPr>
          <w:p w14:paraId="192EB0F3" w14:textId="77777777" w:rsidR="00817B95" w:rsidRPr="00C60260" w:rsidRDefault="00817B95" w:rsidP="009963C0">
            <w:pPr>
              <w:rPr>
                <w:color w:val="000000" w:themeColor="text1"/>
              </w:rPr>
            </w:pPr>
          </w:p>
        </w:tc>
        <w:tc>
          <w:tcPr>
            <w:tcW w:w="396" w:type="pct"/>
            <w:vMerge w:val="restart"/>
            <w:shd w:val="clear" w:color="auto" w:fill="auto"/>
            <w:noWrap/>
            <w:vAlign w:val="center"/>
            <w:hideMark/>
          </w:tcPr>
          <w:p w14:paraId="2F472B0D" w14:textId="77777777" w:rsidR="00817B95" w:rsidRPr="00C60260" w:rsidRDefault="00817B95" w:rsidP="009963C0">
            <w:pPr>
              <w:pStyle w:val="af4"/>
              <w:spacing w:line="252" w:lineRule="auto"/>
              <w:rPr>
                <w:color w:val="000000" w:themeColor="text1"/>
                <w:lang w:eastAsia="en-US"/>
              </w:rPr>
            </w:pPr>
            <w:r w:rsidRPr="00C60260">
              <w:rPr>
                <w:color w:val="000000" w:themeColor="text1"/>
                <w:lang w:eastAsia="en-US"/>
              </w:rPr>
              <w:t xml:space="preserve">2018 г., </w:t>
            </w:r>
            <w:r>
              <w:rPr>
                <w:color w:val="000000" w:themeColor="text1"/>
                <w:lang w:eastAsia="en-US"/>
              </w:rPr>
              <w:t>факт</w:t>
            </w:r>
          </w:p>
        </w:tc>
        <w:tc>
          <w:tcPr>
            <w:tcW w:w="396" w:type="pct"/>
            <w:vMerge w:val="restart"/>
            <w:shd w:val="clear" w:color="auto" w:fill="auto"/>
            <w:noWrap/>
            <w:vAlign w:val="center"/>
            <w:hideMark/>
          </w:tcPr>
          <w:p w14:paraId="584B6438" w14:textId="77777777" w:rsidR="00817B95" w:rsidRPr="00C60260" w:rsidRDefault="00817B95" w:rsidP="009963C0">
            <w:pPr>
              <w:pStyle w:val="af4"/>
              <w:spacing w:line="252" w:lineRule="auto"/>
              <w:rPr>
                <w:color w:val="000000" w:themeColor="text1"/>
                <w:lang w:eastAsia="en-US"/>
              </w:rPr>
            </w:pPr>
            <w:r w:rsidRPr="00C60260">
              <w:rPr>
                <w:color w:val="000000" w:themeColor="text1"/>
                <w:lang w:eastAsia="en-US"/>
              </w:rPr>
              <w:t xml:space="preserve">2019 г., </w:t>
            </w:r>
            <w:r>
              <w:rPr>
                <w:color w:val="000000" w:themeColor="text1"/>
                <w:lang w:eastAsia="en-US"/>
              </w:rPr>
              <w:t>план</w:t>
            </w:r>
          </w:p>
        </w:tc>
        <w:tc>
          <w:tcPr>
            <w:tcW w:w="396" w:type="pct"/>
            <w:vMerge w:val="restart"/>
            <w:shd w:val="clear" w:color="auto" w:fill="auto"/>
            <w:noWrap/>
            <w:vAlign w:val="center"/>
            <w:hideMark/>
          </w:tcPr>
          <w:p w14:paraId="5F5091A8" w14:textId="77777777" w:rsidR="00817B95" w:rsidRPr="00C60260" w:rsidRDefault="00817B95" w:rsidP="009963C0">
            <w:pPr>
              <w:pStyle w:val="af4"/>
              <w:spacing w:line="252" w:lineRule="auto"/>
              <w:rPr>
                <w:color w:val="000000" w:themeColor="text1"/>
                <w:lang w:eastAsia="en-US"/>
              </w:rPr>
            </w:pPr>
            <w:r w:rsidRPr="00C60260">
              <w:rPr>
                <w:color w:val="000000" w:themeColor="text1"/>
                <w:lang w:eastAsia="en-US"/>
              </w:rPr>
              <w:t>2020 г., план</w:t>
            </w:r>
          </w:p>
        </w:tc>
        <w:tc>
          <w:tcPr>
            <w:tcW w:w="396" w:type="pct"/>
            <w:vMerge w:val="restart"/>
            <w:vAlign w:val="center"/>
          </w:tcPr>
          <w:p w14:paraId="30F0C7A7" w14:textId="77777777" w:rsidR="00817B95" w:rsidRPr="00C60260" w:rsidRDefault="00817B95" w:rsidP="009963C0">
            <w:pPr>
              <w:pStyle w:val="af4"/>
              <w:spacing w:line="252" w:lineRule="auto"/>
              <w:rPr>
                <w:color w:val="000000" w:themeColor="text1"/>
                <w:lang w:eastAsia="en-US"/>
              </w:rPr>
            </w:pPr>
            <w:r>
              <w:rPr>
                <w:color w:val="000000" w:themeColor="text1"/>
                <w:lang w:eastAsia="en-US"/>
              </w:rPr>
              <w:t>2021 г., план</w:t>
            </w:r>
          </w:p>
        </w:tc>
        <w:tc>
          <w:tcPr>
            <w:tcW w:w="396" w:type="pct"/>
            <w:vMerge w:val="restart"/>
            <w:shd w:val="clear" w:color="auto" w:fill="auto"/>
            <w:tcMar>
              <w:top w:w="0" w:type="dxa"/>
              <w:left w:w="0" w:type="dxa"/>
              <w:bottom w:w="0" w:type="dxa"/>
              <w:right w:w="0" w:type="dxa"/>
            </w:tcMar>
            <w:vAlign w:val="center"/>
          </w:tcPr>
          <w:p w14:paraId="2028218B" w14:textId="77777777" w:rsidR="00817B95" w:rsidRPr="00C60260" w:rsidRDefault="00817B95" w:rsidP="009963C0">
            <w:pPr>
              <w:pStyle w:val="af4"/>
              <w:spacing w:line="252" w:lineRule="auto"/>
              <w:rPr>
                <w:color w:val="000000" w:themeColor="text1"/>
                <w:lang w:eastAsia="en-US"/>
              </w:rPr>
            </w:pPr>
            <w:r w:rsidRPr="00C60260">
              <w:rPr>
                <w:color w:val="000000" w:themeColor="text1"/>
                <w:lang w:eastAsia="en-US"/>
              </w:rPr>
              <w:t>202</w:t>
            </w:r>
            <w:r>
              <w:rPr>
                <w:color w:val="000000" w:themeColor="text1"/>
                <w:lang w:eastAsia="en-US"/>
              </w:rPr>
              <w:t>2</w:t>
            </w:r>
            <w:r w:rsidRPr="00C60260">
              <w:rPr>
                <w:color w:val="000000" w:themeColor="text1"/>
                <w:lang w:eastAsia="en-US"/>
              </w:rPr>
              <w:t xml:space="preserve"> г., план</w:t>
            </w:r>
          </w:p>
        </w:tc>
        <w:tc>
          <w:tcPr>
            <w:tcW w:w="2186" w:type="pct"/>
            <w:gridSpan w:val="5"/>
            <w:shd w:val="clear" w:color="auto" w:fill="auto"/>
            <w:noWrap/>
            <w:tcMar>
              <w:top w:w="0" w:type="dxa"/>
              <w:left w:w="108" w:type="dxa"/>
              <w:bottom w:w="0" w:type="dxa"/>
              <w:right w:w="108" w:type="dxa"/>
            </w:tcMar>
            <w:vAlign w:val="center"/>
            <w:hideMark/>
          </w:tcPr>
          <w:p w14:paraId="3E9B9D19" w14:textId="77777777" w:rsidR="00817B95" w:rsidRPr="00C60260" w:rsidRDefault="00817B95" w:rsidP="009963C0">
            <w:pPr>
              <w:pStyle w:val="af4"/>
              <w:spacing w:line="252" w:lineRule="auto"/>
              <w:rPr>
                <w:color w:val="000000" w:themeColor="text1"/>
                <w:lang w:eastAsia="en-US"/>
              </w:rPr>
            </w:pPr>
            <w:r w:rsidRPr="00C60260">
              <w:rPr>
                <w:color w:val="000000" w:themeColor="text1"/>
                <w:lang w:eastAsia="en-US"/>
              </w:rPr>
              <w:t>в % к предыдущему году</w:t>
            </w:r>
          </w:p>
        </w:tc>
      </w:tr>
      <w:tr w:rsidR="00817B95" w:rsidRPr="00C60260" w14:paraId="7EB5A363" w14:textId="77777777" w:rsidTr="00817B95">
        <w:trPr>
          <w:trHeight w:val="300"/>
        </w:trPr>
        <w:tc>
          <w:tcPr>
            <w:tcW w:w="833" w:type="pct"/>
            <w:vMerge/>
            <w:shd w:val="clear" w:color="auto" w:fill="D9D9D9" w:themeFill="background1" w:themeFillShade="D9"/>
            <w:vAlign w:val="center"/>
            <w:hideMark/>
          </w:tcPr>
          <w:p w14:paraId="1673FA2D" w14:textId="77777777" w:rsidR="00817B95" w:rsidRPr="00C60260" w:rsidRDefault="00817B95" w:rsidP="009963C0">
            <w:pPr>
              <w:rPr>
                <w:color w:val="000000" w:themeColor="text1"/>
              </w:rPr>
            </w:pPr>
          </w:p>
        </w:tc>
        <w:tc>
          <w:tcPr>
            <w:tcW w:w="396" w:type="pct"/>
            <w:vMerge/>
            <w:shd w:val="clear" w:color="auto" w:fill="D9D9D9" w:themeFill="background1" w:themeFillShade="D9"/>
            <w:vAlign w:val="center"/>
            <w:hideMark/>
          </w:tcPr>
          <w:p w14:paraId="7A513DD3" w14:textId="77777777" w:rsidR="00817B95" w:rsidRPr="00C60260" w:rsidRDefault="00817B95" w:rsidP="009963C0">
            <w:pPr>
              <w:rPr>
                <w:b/>
                <w:bCs/>
                <w:color w:val="000000" w:themeColor="text1"/>
                <w:sz w:val="20"/>
              </w:rPr>
            </w:pPr>
          </w:p>
        </w:tc>
        <w:tc>
          <w:tcPr>
            <w:tcW w:w="396" w:type="pct"/>
            <w:vMerge/>
            <w:shd w:val="clear" w:color="auto" w:fill="D9D9D9" w:themeFill="background1" w:themeFillShade="D9"/>
            <w:vAlign w:val="center"/>
            <w:hideMark/>
          </w:tcPr>
          <w:p w14:paraId="19BDD1AC" w14:textId="77777777" w:rsidR="00817B95" w:rsidRPr="00C60260" w:rsidRDefault="00817B95" w:rsidP="009963C0">
            <w:pPr>
              <w:rPr>
                <w:b/>
                <w:bCs/>
                <w:color w:val="000000" w:themeColor="text1"/>
                <w:sz w:val="20"/>
              </w:rPr>
            </w:pPr>
          </w:p>
        </w:tc>
        <w:tc>
          <w:tcPr>
            <w:tcW w:w="396" w:type="pct"/>
            <w:vMerge/>
            <w:shd w:val="clear" w:color="auto" w:fill="D9D9D9" w:themeFill="background1" w:themeFillShade="D9"/>
            <w:vAlign w:val="center"/>
            <w:hideMark/>
          </w:tcPr>
          <w:p w14:paraId="22217D71" w14:textId="77777777" w:rsidR="00817B95" w:rsidRPr="00C60260" w:rsidRDefault="00817B95" w:rsidP="009963C0">
            <w:pPr>
              <w:rPr>
                <w:b/>
                <w:bCs/>
                <w:color w:val="000000" w:themeColor="text1"/>
                <w:sz w:val="20"/>
              </w:rPr>
            </w:pPr>
          </w:p>
        </w:tc>
        <w:tc>
          <w:tcPr>
            <w:tcW w:w="396" w:type="pct"/>
            <w:vMerge/>
            <w:shd w:val="clear" w:color="auto" w:fill="D9D9D9" w:themeFill="background1" w:themeFillShade="D9"/>
            <w:vAlign w:val="center"/>
          </w:tcPr>
          <w:p w14:paraId="79D6163D" w14:textId="77777777" w:rsidR="00817B95" w:rsidRPr="00C60260" w:rsidRDefault="00817B95" w:rsidP="009963C0">
            <w:pPr>
              <w:jc w:val="center"/>
              <w:rPr>
                <w:b/>
                <w:bCs/>
                <w:color w:val="000000" w:themeColor="text1"/>
                <w:sz w:val="20"/>
              </w:rPr>
            </w:pPr>
          </w:p>
        </w:tc>
        <w:tc>
          <w:tcPr>
            <w:tcW w:w="396" w:type="pct"/>
            <w:vMerge/>
            <w:shd w:val="clear" w:color="auto" w:fill="D9D9D9" w:themeFill="background1" w:themeFillShade="D9"/>
            <w:vAlign w:val="center"/>
            <w:hideMark/>
          </w:tcPr>
          <w:p w14:paraId="25201939" w14:textId="77777777" w:rsidR="00817B95" w:rsidRPr="00C60260" w:rsidRDefault="00817B95" w:rsidP="009963C0">
            <w:pPr>
              <w:rPr>
                <w:b/>
                <w:bCs/>
                <w:color w:val="000000" w:themeColor="text1"/>
                <w:sz w:val="20"/>
              </w:rPr>
            </w:pPr>
          </w:p>
        </w:tc>
        <w:tc>
          <w:tcPr>
            <w:tcW w:w="437" w:type="pct"/>
            <w:tcBorders>
              <w:bottom w:val="single" w:sz="4" w:space="0" w:color="auto"/>
            </w:tcBorders>
            <w:shd w:val="clear" w:color="auto" w:fill="auto"/>
            <w:noWrap/>
            <w:vAlign w:val="center"/>
            <w:hideMark/>
          </w:tcPr>
          <w:p w14:paraId="5B746B4F" w14:textId="77777777" w:rsidR="00817B95" w:rsidRPr="00C60260" w:rsidRDefault="00817B95" w:rsidP="009963C0">
            <w:pPr>
              <w:pStyle w:val="af4"/>
              <w:spacing w:line="252" w:lineRule="auto"/>
              <w:rPr>
                <w:color w:val="000000" w:themeColor="text1"/>
                <w:lang w:eastAsia="en-US"/>
              </w:rPr>
            </w:pPr>
            <w:r w:rsidRPr="00C60260">
              <w:rPr>
                <w:color w:val="000000" w:themeColor="text1"/>
                <w:lang w:eastAsia="en-US"/>
              </w:rPr>
              <w:t>2018</w:t>
            </w:r>
            <w:r>
              <w:rPr>
                <w:color w:val="000000" w:themeColor="text1"/>
                <w:lang w:eastAsia="en-US"/>
              </w:rPr>
              <w:t xml:space="preserve"> </w:t>
            </w:r>
            <w:r w:rsidRPr="00C60260">
              <w:rPr>
                <w:color w:val="000000" w:themeColor="text1"/>
                <w:lang w:eastAsia="en-US"/>
              </w:rPr>
              <w:t>г.</w:t>
            </w:r>
          </w:p>
        </w:tc>
        <w:tc>
          <w:tcPr>
            <w:tcW w:w="437" w:type="pct"/>
            <w:tcBorders>
              <w:bottom w:val="single" w:sz="4" w:space="0" w:color="auto"/>
            </w:tcBorders>
            <w:shd w:val="clear" w:color="auto" w:fill="auto"/>
            <w:noWrap/>
            <w:vAlign w:val="center"/>
            <w:hideMark/>
          </w:tcPr>
          <w:p w14:paraId="1C459A1B" w14:textId="77777777" w:rsidR="00817B95" w:rsidRPr="00C60260" w:rsidRDefault="00817B95" w:rsidP="009963C0">
            <w:pPr>
              <w:pStyle w:val="af4"/>
              <w:spacing w:line="252" w:lineRule="auto"/>
              <w:rPr>
                <w:color w:val="000000" w:themeColor="text1"/>
                <w:lang w:eastAsia="en-US"/>
              </w:rPr>
            </w:pPr>
            <w:r w:rsidRPr="00C60260">
              <w:rPr>
                <w:color w:val="000000" w:themeColor="text1"/>
                <w:lang w:eastAsia="en-US"/>
              </w:rPr>
              <w:t>2019 г.</w:t>
            </w:r>
          </w:p>
        </w:tc>
        <w:tc>
          <w:tcPr>
            <w:tcW w:w="438" w:type="pct"/>
            <w:tcBorders>
              <w:bottom w:val="single" w:sz="4" w:space="0" w:color="auto"/>
            </w:tcBorders>
            <w:shd w:val="clear" w:color="auto" w:fill="auto"/>
            <w:noWrap/>
            <w:vAlign w:val="center"/>
            <w:hideMark/>
          </w:tcPr>
          <w:p w14:paraId="3535C092" w14:textId="77777777" w:rsidR="00817B95" w:rsidRPr="00C60260" w:rsidRDefault="00817B95" w:rsidP="009963C0">
            <w:pPr>
              <w:pStyle w:val="af4"/>
              <w:spacing w:line="252" w:lineRule="auto"/>
              <w:rPr>
                <w:color w:val="000000" w:themeColor="text1"/>
                <w:lang w:eastAsia="en-US"/>
              </w:rPr>
            </w:pPr>
            <w:r w:rsidRPr="00C60260">
              <w:rPr>
                <w:color w:val="000000" w:themeColor="text1"/>
                <w:lang w:eastAsia="en-US"/>
              </w:rPr>
              <w:t>2020 г.</w:t>
            </w:r>
          </w:p>
        </w:tc>
        <w:tc>
          <w:tcPr>
            <w:tcW w:w="437" w:type="pct"/>
            <w:tcBorders>
              <w:bottom w:val="single" w:sz="4" w:space="0" w:color="auto"/>
            </w:tcBorders>
            <w:shd w:val="clear" w:color="auto" w:fill="auto"/>
            <w:vAlign w:val="center"/>
          </w:tcPr>
          <w:p w14:paraId="6A2974CF" w14:textId="77777777" w:rsidR="00817B95" w:rsidRPr="00C60260" w:rsidRDefault="00817B95" w:rsidP="009963C0">
            <w:pPr>
              <w:pStyle w:val="af4"/>
              <w:spacing w:line="252" w:lineRule="auto"/>
              <w:rPr>
                <w:color w:val="000000" w:themeColor="text1"/>
                <w:lang w:eastAsia="en-US"/>
              </w:rPr>
            </w:pPr>
            <w:r w:rsidRPr="00C60260">
              <w:rPr>
                <w:color w:val="000000" w:themeColor="text1"/>
                <w:lang w:eastAsia="en-US"/>
              </w:rPr>
              <w:t>2021 г.</w:t>
            </w:r>
          </w:p>
        </w:tc>
        <w:tc>
          <w:tcPr>
            <w:tcW w:w="438" w:type="pct"/>
            <w:tcBorders>
              <w:bottom w:val="single" w:sz="4" w:space="0" w:color="auto"/>
            </w:tcBorders>
            <w:vAlign w:val="center"/>
          </w:tcPr>
          <w:p w14:paraId="537305E2" w14:textId="77777777" w:rsidR="00817B95" w:rsidRPr="00C60260" w:rsidRDefault="00817B95" w:rsidP="009963C0">
            <w:pPr>
              <w:pStyle w:val="af4"/>
              <w:spacing w:line="252" w:lineRule="auto"/>
              <w:rPr>
                <w:color w:val="000000" w:themeColor="text1"/>
                <w:lang w:eastAsia="en-US"/>
              </w:rPr>
            </w:pPr>
            <w:r>
              <w:rPr>
                <w:color w:val="000000" w:themeColor="text1"/>
                <w:lang w:eastAsia="en-US"/>
              </w:rPr>
              <w:t>2022 г.</w:t>
            </w:r>
          </w:p>
        </w:tc>
      </w:tr>
      <w:tr w:rsidR="00817B95" w:rsidRPr="00C60260" w14:paraId="1A260415" w14:textId="77777777" w:rsidTr="00817B95">
        <w:trPr>
          <w:trHeight w:val="300"/>
        </w:trPr>
        <w:tc>
          <w:tcPr>
            <w:tcW w:w="833" w:type="pct"/>
            <w:noWrap/>
            <w:tcMar>
              <w:top w:w="0" w:type="dxa"/>
              <w:left w:w="108" w:type="dxa"/>
              <w:bottom w:w="0" w:type="dxa"/>
              <w:right w:w="108" w:type="dxa"/>
            </w:tcMar>
            <w:vAlign w:val="center"/>
            <w:hideMark/>
          </w:tcPr>
          <w:p w14:paraId="194A0993" w14:textId="77777777" w:rsidR="00817B95" w:rsidRPr="00C60260" w:rsidRDefault="00817B95" w:rsidP="009963C0">
            <w:pPr>
              <w:pStyle w:val="af2"/>
              <w:spacing w:line="252" w:lineRule="auto"/>
              <w:rPr>
                <w:color w:val="000000" w:themeColor="text1"/>
                <w:lang w:eastAsia="en-US"/>
              </w:rPr>
            </w:pPr>
            <w:r w:rsidRPr="00C60260">
              <w:rPr>
                <w:color w:val="000000" w:themeColor="text1"/>
                <w:lang w:eastAsia="en-US"/>
              </w:rPr>
              <w:t>Доходы</w:t>
            </w:r>
            <w:r>
              <w:rPr>
                <w:color w:val="000000" w:themeColor="text1"/>
                <w:lang w:eastAsia="en-US"/>
              </w:rPr>
              <w:t xml:space="preserve"> </w:t>
            </w:r>
            <w:r w:rsidRPr="00C60260">
              <w:rPr>
                <w:color w:val="000000" w:themeColor="text1"/>
                <w:lang w:eastAsia="en-US"/>
              </w:rPr>
              <w:t>-</w:t>
            </w:r>
            <w:r>
              <w:rPr>
                <w:color w:val="000000" w:themeColor="text1"/>
                <w:lang w:eastAsia="en-US"/>
              </w:rPr>
              <w:t xml:space="preserve"> </w:t>
            </w:r>
            <w:r w:rsidRPr="00C60260">
              <w:rPr>
                <w:color w:val="000000" w:themeColor="text1"/>
                <w:lang w:eastAsia="en-US"/>
              </w:rPr>
              <w:t>всего</w:t>
            </w:r>
          </w:p>
        </w:tc>
        <w:tc>
          <w:tcPr>
            <w:tcW w:w="396" w:type="pct"/>
            <w:noWrap/>
            <w:tcMar>
              <w:top w:w="0" w:type="dxa"/>
              <w:left w:w="108" w:type="dxa"/>
              <w:bottom w:w="0" w:type="dxa"/>
              <w:right w:w="108" w:type="dxa"/>
            </w:tcMar>
            <w:vAlign w:val="center"/>
            <w:hideMark/>
          </w:tcPr>
          <w:p w14:paraId="485E0293" w14:textId="77777777" w:rsidR="00817B95" w:rsidRPr="00D74A42" w:rsidRDefault="00817B95" w:rsidP="009963C0">
            <w:pPr>
              <w:pStyle w:val="af3"/>
              <w:spacing w:line="252" w:lineRule="auto"/>
              <w:rPr>
                <w:color w:val="000000" w:themeColor="text1"/>
                <w:highlight w:val="yellow"/>
                <w:lang w:eastAsia="en-US"/>
              </w:rPr>
            </w:pPr>
            <w:r w:rsidRPr="00642262">
              <w:rPr>
                <w:color w:val="000000" w:themeColor="text1"/>
                <w:lang w:eastAsia="en-US"/>
              </w:rPr>
              <w:t>735</w:t>
            </w:r>
            <w:r>
              <w:rPr>
                <w:color w:val="000000" w:themeColor="text1"/>
                <w:lang w:eastAsia="en-US"/>
              </w:rPr>
              <w:t>,</w:t>
            </w:r>
            <w:r w:rsidRPr="00642262">
              <w:rPr>
                <w:color w:val="000000" w:themeColor="text1"/>
                <w:lang w:eastAsia="en-US"/>
              </w:rPr>
              <w:t>2</w:t>
            </w:r>
          </w:p>
        </w:tc>
        <w:tc>
          <w:tcPr>
            <w:tcW w:w="396" w:type="pct"/>
            <w:noWrap/>
            <w:tcMar>
              <w:top w:w="0" w:type="dxa"/>
              <w:left w:w="108" w:type="dxa"/>
              <w:bottom w:w="0" w:type="dxa"/>
              <w:right w:w="108" w:type="dxa"/>
            </w:tcMar>
            <w:vAlign w:val="center"/>
            <w:hideMark/>
          </w:tcPr>
          <w:p w14:paraId="5995A7C1" w14:textId="77777777" w:rsidR="00817B95" w:rsidRPr="00B34871" w:rsidRDefault="00817B95" w:rsidP="009963C0">
            <w:pPr>
              <w:pStyle w:val="af3"/>
              <w:spacing w:line="252" w:lineRule="auto"/>
              <w:rPr>
                <w:color w:val="000000" w:themeColor="text1"/>
                <w:lang w:eastAsia="en-US"/>
              </w:rPr>
            </w:pPr>
            <w:r w:rsidRPr="00B34871">
              <w:rPr>
                <w:color w:val="000000" w:themeColor="text1"/>
                <w:lang w:eastAsia="en-US"/>
              </w:rPr>
              <w:t>753,0</w:t>
            </w:r>
          </w:p>
        </w:tc>
        <w:tc>
          <w:tcPr>
            <w:tcW w:w="396" w:type="pct"/>
            <w:noWrap/>
            <w:tcMar>
              <w:top w:w="0" w:type="dxa"/>
              <w:left w:w="108" w:type="dxa"/>
              <w:bottom w:w="0" w:type="dxa"/>
              <w:right w:w="108" w:type="dxa"/>
            </w:tcMar>
            <w:vAlign w:val="center"/>
            <w:hideMark/>
          </w:tcPr>
          <w:p w14:paraId="5D517599" w14:textId="77777777" w:rsidR="00817B95" w:rsidRPr="00B3209B" w:rsidRDefault="00817B95" w:rsidP="009963C0">
            <w:pPr>
              <w:pStyle w:val="af3"/>
              <w:spacing w:line="252" w:lineRule="auto"/>
              <w:rPr>
                <w:color w:val="000000" w:themeColor="text1"/>
                <w:lang w:eastAsia="en-US"/>
              </w:rPr>
            </w:pPr>
            <w:r w:rsidRPr="00B3209B">
              <w:rPr>
                <w:color w:val="000000" w:themeColor="text1"/>
                <w:lang w:eastAsia="en-US"/>
              </w:rPr>
              <w:t>811</w:t>
            </w:r>
            <w:r>
              <w:rPr>
                <w:color w:val="000000" w:themeColor="text1"/>
                <w:lang w:eastAsia="en-US"/>
              </w:rPr>
              <w:t>,6</w:t>
            </w:r>
          </w:p>
        </w:tc>
        <w:tc>
          <w:tcPr>
            <w:tcW w:w="396" w:type="pct"/>
            <w:vAlign w:val="center"/>
          </w:tcPr>
          <w:p w14:paraId="19194A4C" w14:textId="77777777" w:rsidR="00817B95" w:rsidRPr="00B3209B" w:rsidRDefault="00817B95" w:rsidP="009963C0">
            <w:pPr>
              <w:pStyle w:val="af3"/>
              <w:spacing w:line="252" w:lineRule="auto"/>
              <w:rPr>
                <w:color w:val="000000" w:themeColor="text1"/>
                <w:lang w:eastAsia="en-US"/>
              </w:rPr>
            </w:pPr>
            <w:r w:rsidRPr="00B3209B">
              <w:rPr>
                <w:color w:val="000000" w:themeColor="text1"/>
                <w:lang w:eastAsia="en-US"/>
              </w:rPr>
              <w:t>821</w:t>
            </w:r>
            <w:r>
              <w:rPr>
                <w:color w:val="000000" w:themeColor="text1"/>
                <w:lang w:eastAsia="en-US"/>
              </w:rPr>
              <w:t>,1</w:t>
            </w:r>
          </w:p>
        </w:tc>
        <w:tc>
          <w:tcPr>
            <w:tcW w:w="396" w:type="pct"/>
            <w:tcMar>
              <w:top w:w="0" w:type="dxa"/>
              <w:left w:w="108" w:type="dxa"/>
              <w:bottom w:w="0" w:type="dxa"/>
              <w:right w:w="108" w:type="dxa"/>
            </w:tcMar>
            <w:vAlign w:val="center"/>
          </w:tcPr>
          <w:p w14:paraId="7A4405AB" w14:textId="77777777" w:rsidR="00817B95" w:rsidRPr="00B3209B" w:rsidRDefault="00817B95" w:rsidP="009963C0">
            <w:pPr>
              <w:pStyle w:val="af3"/>
              <w:spacing w:line="252" w:lineRule="auto"/>
              <w:rPr>
                <w:color w:val="000000" w:themeColor="text1"/>
                <w:lang w:eastAsia="en-US"/>
              </w:rPr>
            </w:pPr>
            <w:r w:rsidRPr="00B3209B">
              <w:rPr>
                <w:color w:val="000000" w:themeColor="text1"/>
                <w:lang w:eastAsia="en-US"/>
              </w:rPr>
              <w:t>936</w:t>
            </w:r>
            <w:r>
              <w:rPr>
                <w:color w:val="000000" w:themeColor="text1"/>
                <w:lang w:eastAsia="en-US"/>
              </w:rPr>
              <w:t>,5</w:t>
            </w:r>
          </w:p>
        </w:tc>
        <w:tc>
          <w:tcPr>
            <w:tcW w:w="437" w:type="pct"/>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E9A7CF1" w14:textId="77777777" w:rsidR="00817B95" w:rsidRPr="005C36A5" w:rsidRDefault="00817B95" w:rsidP="009963C0">
            <w:pPr>
              <w:pStyle w:val="af3"/>
              <w:spacing w:line="252" w:lineRule="auto"/>
              <w:rPr>
                <w:color w:val="000000" w:themeColor="text1"/>
                <w:lang w:eastAsia="en-US"/>
              </w:rPr>
            </w:pPr>
            <w:r>
              <w:rPr>
                <w:color w:val="000000" w:themeColor="text1"/>
                <w:lang w:eastAsia="en-US"/>
              </w:rPr>
              <w:t>106,3</w:t>
            </w:r>
          </w:p>
        </w:tc>
        <w:tc>
          <w:tcPr>
            <w:tcW w:w="43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7B7DAEE" w14:textId="77777777" w:rsidR="00817B95" w:rsidRPr="005C36A5" w:rsidRDefault="00817B95" w:rsidP="009963C0">
            <w:pPr>
              <w:pStyle w:val="af3"/>
              <w:spacing w:line="252" w:lineRule="auto"/>
              <w:rPr>
                <w:color w:val="000000" w:themeColor="text1"/>
                <w:lang w:eastAsia="en-US"/>
              </w:rPr>
            </w:pPr>
            <w:r>
              <w:rPr>
                <w:color w:val="000000" w:themeColor="text1"/>
                <w:lang w:eastAsia="en-US"/>
              </w:rPr>
              <w:t>102,4</w:t>
            </w:r>
          </w:p>
        </w:tc>
        <w:tc>
          <w:tcPr>
            <w:tcW w:w="438"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356AAD6" w14:textId="77777777" w:rsidR="00817B95" w:rsidRPr="005C36A5" w:rsidRDefault="00817B95" w:rsidP="009963C0">
            <w:pPr>
              <w:pStyle w:val="af3"/>
              <w:spacing w:line="252" w:lineRule="auto"/>
              <w:rPr>
                <w:color w:val="000000" w:themeColor="text1"/>
                <w:lang w:eastAsia="en-US"/>
              </w:rPr>
            </w:pPr>
            <w:r>
              <w:rPr>
                <w:color w:val="000000" w:themeColor="text1"/>
                <w:lang w:eastAsia="en-US"/>
              </w:rPr>
              <w:t>107,8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EE4AD6F" w14:textId="77777777" w:rsidR="00817B95" w:rsidRPr="005C36A5" w:rsidRDefault="00817B95" w:rsidP="009963C0">
            <w:pPr>
              <w:pStyle w:val="af3"/>
              <w:spacing w:line="252" w:lineRule="auto"/>
              <w:rPr>
                <w:color w:val="000000" w:themeColor="text1"/>
                <w:lang w:eastAsia="en-US"/>
              </w:rPr>
            </w:pPr>
            <w:r>
              <w:rPr>
                <w:color w:val="000000" w:themeColor="text1"/>
                <w:lang w:eastAsia="en-US"/>
              </w:rPr>
              <w:t>101,2</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5DE3F0F" w14:textId="77777777" w:rsidR="00817B95" w:rsidRPr="005C36A5" w:rsidRDefault="00817B95" w:rsidP="009963C0">
            <w:pPr>
              <w:pStyle w:val="af3"/>
              <w:spacing w:line="252" w:lineRule="auto"/>
              <w:rPr>
                <w:color w:val="000000" w:themeColor="text1"/>
                <w:lang w:eastAsia="en-US"/>
              </w:rPr>
            </w:pPr>
            <w:r>
              <w:rPr>
                <w:color w:val="000000" w:themeColor="text1"/>
                <w:lang w:eastAsia="en-US"/>
              </w:rPr>
              <w:t>114,1</w:t>
            </w:r>
          </w:p>
        </w:tc>
      </w:tr>
      <w:tr w:rsidR="00817B95" w:rsidRPr="00C60260" w14:paraId="2D471621" w14:textId="77777777" w:rsidTr="00817B95">
        <w:trPr>
          <w:trHeight w:val="300"/>
        </w:trPr>
        <w:tc>
          <w:tcPr>
            <w:tcW w:w="833" w:type="pct"/>
            <w:noWrap/>
            <w:tcMar>
              <w:top w:w="0" w:type="dxa"/>
              <w:left w:w="108" w:type="dxa"/>
              <w:bottom w:w="0" w:type="dxa"/>
              <w:right w:w="108" w:type="dxa"/>
            </w:tcMar>
            <w:vAlign w:val="center"/>
            <w:hideMark/>
          </w:tcPr>
          <w:p w14:paraId="3F77671B" w14:textId="77777777" w:rsidR="00817B95" w:rsidRPr="00C60260" w:rsidRDefault="00817B95" w:rsidP="009963C0">
            <w:pPr>
              <w:pStyle w:val="af2"/>
              <w:spacing w:line="252" w:lineRule="auto"/>
              <w:rPr>
                <w:color w:val="000000" w:themeColor="text1"/>
                <w:lang w:eastAsia="en-US"/>
              </w:rPr>
            </w:pPr>
            <w:r w:rsidRPr="00C60260">
              <w:rPr>
                <w:color w:val="000000" w:themeColor="text1"/>
                <w:lang w:eastAsia="en-US"/>
              </w:rPr>
              <w:t xml:space="preserve">Расходы - всего </w:t>
            </w:r>
          </w:p>
        </w:tc>
        <w:tc>
          <w:tcPr>
            <w:tcW w:w="396" w:type="pct"/>
            <w:noWrap/>
            <w:tcMar>
              <w:top w:w="0" w:type="dxa"/>
              <w:left w:w="108" w:type="dxa"/>
              <w:bottom w:w="0" w:type="dxa"/>
              <w:right w:w="108" w:type="dxa"/>
            </w:tcMar>
            <w:vAlign w:val="center"/>
            <w:hideMark/>
          </w:tcPr>
          <w:p w14:paraId="62BB499A" w14:textId="77777777" w:rsidR="00817B95" w:rsidRPr="00D74A42" w:rsidRDefault="00817B95" w:rsidP="009963C0">
            <w:pPr>
              <w:pStyle w:val="af3"/>
              <w:spacing w:line="252" w:lineRule="auto"/>
              <w:rPr>
                <w:color w:val="000000" w:themeColor="text1"/>
                <w:highlight w:val="yellow"/>
                <w:lang w:eastAsia="en-US"/>
              </w:rPr>
            </w:pPr>
            <w:r w:rsidRPr="00642262">
              <w:rPr>
                <w:color w:val="000000" w:themeColor="text1"/>
                <w:lang w:eastAsia="en-US"/>
              </w:rPr>
              <w:t>702</w:t>
            </w:r>
            <w:r>
              <w:rPr>
                <w:color w:val="000000" w:themeColor="text1"/>
                <w:lang w:eastAsia="en-US"/>
              </w:rPr>
              <w:t>,</w:t>
            </w:r>
            <w:r w:rsidRPr="00642262">
              <w:rPr>
                <w:color w:val="000000" w:themeColor="text1"/>
                <w:lang w:eastAsia="en-US"/>
              </w:rPr>
              <w:t>2</w:t>
            </w:r>
          </w:p>
        </w:tc>
        <w:tc>
          <w:tcPr>
            <w:tcW w:w="396" w:type="pct"/>
            <w:noWrap/>
            <w:tcMar>
              <w:top w:w="0" w:type="dxa"/>
              <w:left w:w="108" w:type="dxa"/>
              <w:bottom w:w="0" w:type="dxa"/>
              <w:right w:w="108" w:type="dxa"/>
            </w:tcMar>
            <w:vAlign w:val="center"/>
            <w:hideMark/>
          </w:tcPr>
          <w:p w14:paraId="46038E22" w14:textId="77777777" w:rsidR="00817B95" w:rsidRPr="00B34871" w:rsidRDefault="00817B95" w:rsidP="009963C0">
            <w:pPr>
              <w:pStyle w:val="af3"/>
              <w:spacing w:line="252" w:lineRule="auto"/>
              <w:rPr>
                <w:color w:val="000000" w:themeColor="text1"/>
                <w:lang w:eastAsia="en-US"/>
              </w:rPr>
            </w:pPr>
            <w:r w:rsidRPr="00B34871">
              <w:rPr>
                <w:color w:val="000000" w:themeColor="text1"/>
                <w:lang w:eastAsia="en-US"/>
              </w:rPr>
              <w:t>741,0</w:t>
            </w:r>
          </w:p>
        </w:tc>
        <w:tc>
          <w:tcPr>
            <w:tcW w:w="396" w:type="pct"/>
            <w:noWrap/>
            <w:tcMar>
              <w:top w:w="0" w:type="dxa"/>
              <w:left w:w="108" w:type="dxa"/>
              <w:bottom w:w="0" w:type="dxa"/>
              <w:right w:w="108" w:type="dxa"/>
            </w:tcMar>
            <w:vAlign w:val="center"/>
            <w:hideMark/>
          </w:tcPr>
          <w:p w14:paraId="11708B7E" w14:textId="77777777" w:rsidR="00817B95" w:rsidRPr="00B3209B" w:rsidRDefault="00817B95" w:rsidP="009963C0">
            <w:pPr>
              <w:pStyle w:val="af3"/>
              <w:spacing w:line="252" w:lineRule="auto"/>
              <w:rPr>
                <w:color w:val="000000" w:themeColor="text1"/>
                <w:lang w:eastAsia="en-US"/>
              </w:rPr>
            </w:pPr>
            <w:r w:rsidRPr="00B3209B">
              <w:rPr>
                <w:color w:val="000000" w:themeColor="text1"/>
                <w:lang w:eastAsia="en-US"/>
              </w:rPr>
              <w:t>788</w:t>
            </w:r>
            <w:r>
              <w:rPr>
                <w:color w:val="000000" w:themeColor="text1"/>
                <w:lang w:eastAsia="en-US"/>
              </w:rPr>
              <w:t>,1</w:t>
            </w:r>
          </w:p>
        </w:tc>
        <w:tc>
          <w:tcPr>
            <w:tcW w:w="396" w:type="pct"/>
            <w:vAlign w:val="center"/>
          </w:tcPr>
          <w:p w14:paraId="25A40BC9" w14:textId="77777777" w:rsidR="00817B95" w:rsidRPr="00B3209B" w:rsidRDefault="00817B95" w:rsidP="009963C0">
            <w:pPr>
              <w:pStyle w:val="af3"/>
              <w:spacing w:line="252" w:lineRule="auto"/>
              <w:rPr>
                <w:color w:val="000000" w:themeColor="text1"/>
                <w:lang w:eastAsia="en-US"/>
              </w:rPr>
            </w:pPr>
            <w:r w:rsidRPr="00B3209B">
              <w:rPr>
                <w:color w:val="000000" w:themeColor="text1"/>
                <w:lang w:eastAsia="en-US"/>
              </w:rPr>
              <w:t>831</w:t>
            </w:r>
            <w:r>
              <w:rPr>
                <w:color w:val="000000" w:themeColor="text1"/>
                <w:lang w:eastAsia="en-US"/>
              </w:rPr>
              <w:t>,4</w:t>
            </w:r>
          </w:p>
        </w:tc>
        <w:tc>
          <w:tcPr>
            <w:tcW w:w="396" w:type="pct"/>
            <w:tcMar>
              <w:top w:w="0" w:type="dxa"/>
              <w:left w:w="108" w:type="dxa"/>
              <w:bottom w:w="0" w:type="dxa"/>
              <w:right w:w="108" w:type="dxa"/>
            </w:tcMar>
            <w:vAlign w:val="center"/>
          </w:tcPr>
          <w:p w14:paraId="2164DB8A" w14:textId="77777777" w:rsidR="00817B95" w:rsidRPr="00B3209B" w:rsidRDefault="00817B95" w:rsidP="009963C0">
            <w:pPr>
              <w:pStyle w:val="af3"/>
              <w:spacing w:line="252" w:lineRule="auto"/>
              <w:rPr>
                <w:color w:val="000000" w:themeColor="text1"/>
                <w:lang w:eastAsia="en-US"/>
              </w:rPr>
            </w:pPr>
            <w:r w:rsidRPr="00B3209B">
              <w:rPr>
                <w:color w:val="000000" w:themeColor="text1"/>
                <w:lang w:eastAsia="en-US"/>
              </w:rPr>
              <w:t>87</w:t>
            </w:r>
            <w:r>
              <w:rPr>
                <w:color w:val="000000" w:themeColor="text1"/>
                <w:lang w:eastAsia="en-US"/>
              </w:rPr>
              <w:t>4,0</w:t>
            </w:r>
          </w:p>
        </w:tc>
        <w:tc>
          <w:tcPr>
            <w:tcW w:w="437" w:type="pct"/>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546F57B" w14:textId="77777777" w:rsidR="00817B95" w:rsidRPr="005C36A5" w:rsidRDefault="00817B95" w:rsidP="009963C0">
            <w:pPr>
              <w:pStyle w:val="af3"/>
              <w:spacing w:line="252" w:lineRule="auto"/>
              <w:rPr>
                <w:color w:val="000000" w:themeColor="text1"/>
                <w:lang w:eastAsia="en-US"/>
              </w:rPr>
            </w:pPr>
            <w:r>
              <w:rPr>
                <w:color w:val="000000" w:themeColor="text1"/>
                <w:lang w:eastAsia="en-US"/>
              </w:rPr>
              <w:t>104,7</w:t>
            </w:r>
          </w:p>
        </w:tc>
        <w:tc>
          <w:tcPr>
            <w:tcW w:w="43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E4439EF" w14:textId="77777777" w:rsidR="00817B95" w:rsidRPr="005C36A5" w:rsidRDefault="00817B95" w:rsidP="009963C0">
            <w:pPr>
              <w:pStyle w:val="af3"/>
              <w:spacing w:line="252" w:lineRule="auto"/>
              <w:rPr>
                <w:color w:val="000000" w:themeColor="text1"/>
                <w:lang w:eastAsia="en-US"/>
              </w:rPr>
            </w:pPr>
            <w:r>
              <w:rPr>
                <w:color w:val="000000" w:themeColor="text1"/>
                <w:lang w:eastAsia="en-US"/>
              </w:rPr>
              <w:t>105,5</w:t>
            </w:r>
          </w:p>
        </w:tc>
        <w:tc>
          <w:tcPr>
            <w:tcW w:w="438"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A6F8641" w14:textId="77777777" w:rsidR="00817B95" w:rsidRPr="005C36A5" w:rsidRDefault="00817B95" w:rsidP="009963C0">
            <w:pPr>
              <w:pStyle w:val="af3"/>
              <w:spacing w:line="252" w:lineRule="auto"/>
              <w:rPr>
                <w:color w:val="000000" w:themeColor="text1"/>
                <w:lang w:eastAsia="en-US"/>
              </w:rPr>
            </w:pPr>
            <w:r>
              <w:rPr>
                <w:color w:val="000000" w:themeColor="text1"/>
                <w:lang w:eastAsia="en-US"/>
              </w:rPr>
              <w:t>106,4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37E2BFA" w14:textId="77777777" w:rsidR="00817B95" w:rsidRPr="005C36A5" w:rsidRDefault="00817B95" w:rsidP="009963C0">
            <w:pPr>
              <w:pStyle w:val="af3"/>
              <w:spacing w:line="252" w:lineRule="auto"/>
              <w:rPr>
                <w:color w:val="000000" w:themeColor="text1"/>
                <w:lang w:eastAsia="en-US"/>
              </w:rPr>
            </w:pPr>
            <w:r w:rsidRPr="005C36A5">
              <w:rPr>
                <w:color w:val="000000" w:themeColor="text1"/>
                <w:lang w:eastAsia="en-US"/>
              </w:rPr>
              <w:t>105,5%</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A69F0C8" w14:textId="77777777" w:rsidR="00817B95" w:rsidRPr="005C36A5" w:rsidRDefault="00817B95" w:rsidP="009963C0">
            <w:pPr>
              <w:pStyle w:val="af3"/>
              <w:spacing w:line="252" w:lineRule="auto"/>
              <w:rPr>
                <w:color w:val="000000" w:themeColor="text1"/>
                <w:lang w:eastAsia="en-US"/>
              </w:rPr>
            </w:pPr>
            <w:r>
              <w:rPr>
                <w:color w:val="000000" w:themeColor="text1"/>
                <w:lang w:eastAsia="en-US"/>
              </w:rPr>
              <w:t>105,1</w:t>
            </w:r>
          </w:p>
        </w:tc>
      </w:tr>
      <w:tr w:rsidR="00817B95" w:rsidRPr="00C60260" w14:paraId="7EECB5E0" w14:textId="77777777" w:rsidTr="00817B95">
        <w:trPr>
          <w:trHeight w:val="300"/>
        </w:trPr>
        <w:tc>
          <w:tcPr>
            <w:tcW w:w="833" w:type="pct"/>
            <w:noWrap/>
            <w:tcMar>
              <w:top w:w="0" w:type="dxa"/>
              <w:left w:w="108" w:type="dxa"/>
              <w:bottom w:w="0" w:type="dxa"/>
              <w:right w:w="108" w:type="dxa"/>
            </w:tcMar>
            <w:vAlign w:val="center"/>
            <w:hideMark/>
          </w:tcPr>
          <w:p w14:paraId="1B28B1EE" w14:textId="77777777" w:rsidR="00817B95" w:rsidRPr="00C60260" w:rsidRDefault="00817B95" w:rsidP="009963C0">
            <w:pPr>
              <w:pStyle w:val="af2"/>
              <w:spacing w:line="252" w:lineRule="auto"/>
              <w:rPr>
                <w:color w:val="000000" w:themeColor="text1"/>
                <w:lang w:eastAsia="en-US"/>
              </w:rPr>
            </w:pPr>
            <w:r w:rsidRPr="00C60260">
              <w:rPr>
                <w:color w:val="000000" w:themeColor="text1"/>
                <w:lang w:eastAsia="en-US"/>
              </w:rPr>
              <w:t>Профицит (+)</w:t>
            </w:r>
            <w:r>
              <w:rPr>
                <w:color w:val="000000" w:themeColor="text1"/>
                <w:lang w:eastAsia="en-US"/>
              </w:rPr>
              <w:t xml:space="preserve"> </w:t>
            </w:r>
            <w:r w:rsidRPr="00C60260">
              <w:rPr>
                <w:color w:val="000000" w:themeColor="text1"/>
                <w:lang w:eastAsia="en-US"/>
              </w:rPr>
              <w:t>/</w:t>
            </w:r>
            <w:r>
              <w:rPr>
                <w:color w:val="000000" w:themeColor="text1"/>
                <w:lang w:eastAsia="en-US"/>
              </w:rPr>
              <w:t xml:space="preserve"> </w:t>
            </w:r>
            <w:r w:rsidRPr="00C60260">
              <w:rPr>
                <w:color w:val="000000" w:themeColor="text1"/>
                <w:lang w:eastAsia="en-US"/>
              </w:rPr>
              <w:t>дефицит (-)</w:t>
            </w:r>
          </w:p>
        </w:tc>
        <w:tc>
          <w:tcPr>
            <w:tcW w:w="396" w:type="pct"/>
            <w:noWrap/>
            <w:tcMar>
              <w:top w:w="0" w:type="dxa"/>
              <w:left w:w="108" w:type="dxa"/>
              <w:bottom w:w="0" w:type="dxa"/>
              <w:right w:w="108" w:type="dxa"/>
            </w:tcMar>
            <w:vAlign w:val="center"/>
            <w:hideMark/>
          </w:tcPr>
          <w:p w14:paraId="033EA4F2" w14:textId="77777777" w:rsidR="00817B95" w:rsidRPr="00D74A42" w:rsidRDefault="00817B95" w:rsidP="009963C0">
            <w:pPr>
              <w:pStyle w:val="af3"/>
              <w:spacing w:line="252" w:lineRule="auto"/>
              <w:rPr>
                <w:color w:val="000000" w:themeColor="text1"/>
                <w:highlight w:val="yellow"/>
                <w:lang w:eastAsia="en-US"/>
              </w:rPr>
            </w:pPr>
            <w:r>
              <w:rPr>
                <w:color w:val="000000" w:themeColor="text1"/>
                <w:lang w:eastAsia="en-US"/>
              </w:rPr>
              <w:t>+</w:t>
            </w:r>
            <w:r w:rsidRPr="0069283B">
              <w:rPr>
                <w:color w:val="000000" w:themeColor="text1"/>
                <w:lang w:eastAsia="en-US"/>
              </w:rPr>
              <w:t>3</w:t>
            </w:r>
            <w:r>
              <w:rPr>
                <w:color w:val="000000" w:themeColor="text1"/>
                <w:lang w:eastAsia="en-US"/>
              </w:rPr>
              <w:t>3,0</w:t>
            </w:r>
          </w:p>
        </w:tc>
        <w:tc>
          <w:tcPr>
            <w:tcW w:w="396" w:type="pct"/>
            <w:noWrap/>
            <w:tcMar>
              <w:top w:w="0" w:type="dxa"/>
              <w:left w:w="108" w:type="dxa"/>
              <w:bottom w:w="0" w:type="dxa"/>
              <w:right w:w="108" w:type="dxa"/>
            </w:tcMar>
            <w:vAlign w:val="center"/>
            <w:hideMark/>
          </w:tcPr>
          <w:p w14:paraId="154A9535" w14:textId="77777777" w:rsidR="00817B95" w:rsidRPr="00B34871" w:rsidRDefault="00817B95" w:rsidP="009963C0">
            <w:pPr>
              <w:pStyle w:val="af3"/>
              <w:spacing w:line="252" w:lineRule="auto"/>
              <w:rPr>
                <w:color w:val="000000" w:themeColor="text1"/>
                <w:lang w:eastAsia="en-US"/>
              </w:rPr>
            </w:pPr>
            <w:r w:rsidRPr="00B34871">
              <w:rPr>
                <w:color w:val="000000" w:themeColor="text1"/>
                <w:lang w:eastAsia="en-US"/>
              </w:rPr>
              <w:t>+11,9</w:t>
            </w:r>
          </w:p>
        </w:tc>
        <w:tc>
          <w:tcPr>
            <w:tcW w:w="396" w:type="pct"/>
            <w:noWrap/>
            <w:tcMar>
              <w:top w:w="0" w:type="dxa"/>
              <w:left w:w="108" w:type="dxa"/>
              <w:bottom w:w="0" w:type="dxa"/>
              <w:right w:w="108" w:type="dxa"/>
            </w:tcMar>
            <w:vAlign w:val="center"/>
            <w:hideMark/>
          </w:tcPr>
          <w:p w14:paraId="694ADC0F" w14:textId="77777777" w:rsidR="00817B95" w:rsidRPr="00B3209B" w:rsidRDefault="00817B95" w:rsidP="009963C0">
            <w:pPr>
              <w:pStyle w:val="af3"/>
              <w:spacing w:line="252" w:lineRule="auto"/>
              <w:rPr>
                <w:color w:val="000000" w:themeColor="text1"/>
                <w:lang w:eastAsia="en-US"/>
              </w:rPr>
            </w:pPr>
            <w:r>
              <w:rPr>
                <w:color w:val="000000" w:themeColor="text1"/>
                <w:lang w:eastAsia="en-US"/>
              </w:rPr>
              <w:t>+</w:t>
            </w:r>
            <w:r w:rsidRPr="00B3209B">
              <w:rPr>
                <w:color w:val="000000" w:themeColor="text1"/>
                <w:lang w:eastAsia="en-US"/>
              </w:rPr>
              <w:t>23,5</w:t>
            </w:r>
          </w:p>
        </w:tc>
        <w:tc>
          <w:tcPr>
            <w:tcW w:w="396" w:type="pct"/>
            <w:vAlign w:val="center"/>
          </w:tcPr>
          <w:p w14:paraId="77E91911" w14:textId="77777777" w:rsidR="00817B95" w:rsidRPr="00B3209B" w:rsidRDefault="00817B95" w:rsidP="009963C0">
            <w:pPr>
              <w:pStyle w:val="af3"/>
              <w:spacing w:line="252" w:lineRule="auto"/>
              <w:rPr>
                <w:color w:val="000000" w:themeColor="text1"/>
                <w:lang w:eastAsia="en-US"/>
              </w:rPr>
            </w:pPr>
            <w:r w:rsidRPr="00B3209B">
              <w:rPr>
                <w:color w:val="000000" w:themeColor="text1"/>
                <w:lang w:eastAsia="en-US"/>
              </w:rPr>
              <w:t>-10,</w:t>
            </w:r>
            <w:r>
              <w:rPr>
                <w:color w:val="000000" w:themeColor="text1"/>
                <w:lang w:eastAsia="en-US"/>
              </w:rPr>
              <w:t>3</w:t>
            </w:r>
          </w:p>
        </w:tc>
        <w:tc>
          <w:tcPr>
            <w:tcW w:w="396" w:type="pct"/>
            <w:tcMar>
              <w:top w:w="0" w:type="dxa"/>
              <w:left w:w="108" w:type="dxa"/>
              <w:bottom w:w="0" w:type="dxa"/>
              <w:right w:w="108" w:type="dxa"/>
            </w:tcMar>
            <w:vAlign w:val="center"/>
          </w:tcPr>
          <w:p w14:paraId="4473976A" w14:textId="77777777" w:rsidR="00817B95" w:rsidRPr="00B3209B" w:rsidRDefault="00817B95" w:rsidP="009963C0">
            <w:pPr>
              <w:pStyle w:val="af3"/>
              <w:spacing w:line="252" w:lineRule="auto"/>
              <w:rPr>
                <w:color w:val="000000" w:themeColor="text1"/>
                <w:lang w:eastAsia="en-US"/>
              </w:rPr>
            </w:pPr>
            <w:r>
              <w:rPr>
                <w:color w:val="000000" w:themeColor="text1"/>
                <w:lang w:eastAsia="en-US"/>
              </w:rPr>
              <w:t>+</w:t>
            </w:r>
            <w:r w:rsidRPr="00B3209B">
              <w:rPr>
                <w:color w:val="000000" w:themeColor="text1"/>
                <w:lang w:eastAsia="en-US"/>
              </w:rPr>
              <w:t>62</w:t>
            </w:r>
            <w:r>
              <w:rPr>
                <w:color w:val="000000" w:themeColor="text1"/>
                <w:lang w:eastAsia="en-US"/>
              </w:rPr>
              <w:t>,</w:t>
            </w:r>
            <w:r w:rsidRPr="00B3209B">
              <w:rPr>
                <w:color w:val="000000" w:themeColor="text1"/>
                <w:lang w:eastAsia="en-US"/>
              </w:rPr>
              <w:t>5</w:t>
            </w:r>
          </w:p>
        </w:tc>
        <w:tc>
          <w:tcPr>
            <w:tcW w:w="437" w:type="pct"/>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1848943" w14:textId="77777777" w:rsidR="00817B95" w:rsidRPr="005C36A5" w:rsidRDefault="00817B95" w:rsidP="009963C0">
            <w:pPr>
              <w:pStyle w:val="af3"/>
              <w:spacing w:line="252" w:lineRule="auto"/>
              <w:rPr>
                <w:color w:val="000000" w:themeColor="text1"/>
                <w:lang w:eastAsia="en-US"/>
              </w:rPr>
            </w:pPr>
            <w:r>
              <w:rPr>
                <w:color w:val="000000" w:themeColor="text1"/>
                <w:lang w:eastAsia="en-US"/>
              </w:rPr>
              <w:t>157,1</w:t>
            </w:r>
          </w:p>
        </w:tc>
        <w:tc>
          <w:tcPr>
            <w:tcW w:w="43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4929B50" w14:textId="77777777" w:rsidR="00817B95" w:rsidRPr="005C36A5" w:rsidRDefault="00817B95" w:rsidP="009963C0">
            <w:pPr>
              <w:pStyle w:val="af3"/>
              <w:spacing w:line="252" w:lineRule="auto"/>
              <w:rPr>
                <w:color w:val="000000" w:themeColor="text1"/>
                <w:lang w:eastAsia="en-US"/>
              </w:rPr>
            </w:pPr>
            <w:r>
              <w:rPr>
                <w:color w:val="000000" w:themeColor="text1"/>
                <w:lang w:eastAsia="en-US"/>
              </w:rPr>
              <w:t>36,1</w:t>
            </w:r>
          </w:p>
        </w:tc>
        <w:tc>
          <w:tcPr>
            <w:tcW w:w="438"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75D534F" w14:textId="77777777" w:rsidR="00817B95" w:rsidRPr="005C36A5" w:rsidRDefault="00817B95" w:rsidP="009963C0">
            <w:pPr>
              <w:pStyle w:val="af3"/>
              <w:spacing w:line="252" w:lineRule="auto"/>
              <w:rPr>
                <w:color w:val="000000" w:themeColor="text1"/>
                <w:lang w:eastAsia="en-US"/>
              </w:rPr>
            </w:pPr>
            <w:r>
              <w:rPr>
                <w:color w:val="000000" w:themeColor="text1"/>
                <w:lang w:eastAsia="en-US"/>
              </w:rPr>
              <w:t>197,5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1251D24C" w14:textId="77777777" w:rsidR="00817B95" w:rsidRPr="005C36A5" w:rsidRDefault="00817B95" w:rsidP="009963C0">
            <w:pPr>
              <w:pStyle w:val="af3"/>
              <w:spacing w:line="252" w:lineRule="auto"/>
              <w:rPr>
                <w:color w:val="000000" w:themeColor="text1"/>
                <w:lang w:eastAsia="en-US"/>
              </w:rPr>
            </w:pPr>
            <w:r>
              <w:rPr>
                <w:color w:val="000000" w:themeColor="text1"/>
                <w:lang w:eastAsia="en-US"/>
              </w:rPr>
              <w:t>-</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7FD63DB" w14:textId="77777777" w:rsidR="00817B95" w:rsidRPr="005C36A5" w:rsidRDefault="00817B95" w:rsidP="009963C0">
            <w:pPr>
              <w:pStyle w:val="af3"/>
              <w:spacing w:line="252" w:lineRule="auto"/>
              <w:rPr>
                <w:color w:val="000000" w:themeColor="text1"/>
                <w:lang w:eastAsia="en-US"/>
              </w:rPr>
            </w:pPr>
            <w:r>
              <w:rPr>
                <w:color w:val="000000" w:themeColor="text1"/>
                <w:lang w:eastAsia="en-US"/>
              </w:rPr>
              <w:t>-</w:t>
            </w:r>
          </w:p>
        </w:tc>
      </w:tr>
    </w:tbl>
    <w:p w14:paraId="5A0A531A" w14:textId="77777777" w:rsidR="00817B95" w:rsidRPr="0002614E" w:rsidRDefault="00817B95" w:rsidP="00817B95">
      <w:pPr>
        <w:pStyle w:val="af0"/>
        <w:ind w:firstLine="709"/>
        <w:rPr>
          <w:rFonts w:eastAsia="Calibri"/>
          <w:sz w:val="20"/>
          <w:szCs w:val="24"/>
          <w:lang w:eastAsia="en-US"/>
        </w:rPr>
      </w:pPr>
      <w:r w:rsidRPr="0002614E">
        <w:rPr>
          <w:i/>
          <w:sz w:val="20"/>
          <w:szCs w:val="24"/>
        </w:rPr>
        <w:t>Источник:</w:t>
      </w:r>
      <w:r w:rsidRPr="0002614E">
        <w:rPr>
          <w:sz w:val="20"/>
          <w:szCs w:val="24"/>
        </w:rPr>
        <w:t xml:space="preserve"> </w:t>
      </w:r>
      <w:r>
        <w:rPr>
          <w:sz w:val="20"/>
          <w:szCs w:val="24"/>
        </w:rPr>
        <w:t>Пояснительная записка к п</w:t>
      </w:r>
      <w:r w:rsidRPr="0002614E">
        <w:rPr>
          <w:sz w:val="20"/>
          <w:szCs w:val="24"/>
        </w:rPr>
        <w:t>роект</w:t>
      </w:r>
      <w:r>
        <w:rPr>
          <w:sz w:val="20"/>
          <w:szCs w:val="24"/>
        </w:rPr>
        <w:t>у</w:t>
      </w:r>
      <w:r w:rsidRPr="0002614E">
        <w:rPr>
          <w:sz w:val="20"/>
          <w:szCs w:val="24"/>
        </w:rPr>
        <w:t xml:space="preserve"> федерального закона «О бюджете ФСС </w:t>
      </w:r>
      <w:r w:rsidRPr="00935B9B">
        <w:rPr>
          <w:sz w:val="20"/>
          <w:szCs w:val="24"/>
        </w:rPr>
        <w:t>на 2020 год и на плановый период 2021 и 2022 годов»</w:t>
      </w:r>
      <w:r>
        <w:rPr>
          <w:sz w:val="20"/>
          <w:szCs w:val="24"/>
        </w:rPr>
        <w:t xml:space="preserve">, федеральный закон </w:t>
      </w:r>
      <w:r w:rsidRPr="0002614E">
        <w:rPr>
          <w:sz w:val="20"/>
          <w:szCs w:val="24"/>
        </w:rPr>
        <w:t xml:space="preserve">«О бюджете ФСС </w:t>
      </w:r>
      <w:r w:rsidRPr="00935B9B">
        <w:rPr>
          <w:sz w:val="20"/>
          <w:szCs w:val="24"/>
        </w:rPr>
        <w:t>на 20</w:t>
      </w:r>
      <w:r>
        <w:rPr>
          <w:sz w:val="20"/>
          <w:szCs w:val="24"/>
        </w:rPr>
        <w:t>19</w:t>
      </w:r>
      <w:r w:rsidRPr="00935B9B">
        <w:rPr>
          <w:sz w:val="20"/>
          <w:szCs w:val="24"/>
        </w:rPr>
        <w:t xml:space="preserve"> год и на плановый период 202</w:t>
      </w:r>
      <w:r>
        <w:rPr>
          <w:sz w:val="20"/>
          <w:szCs w:val="24"/>
        </w:rPr>
        <w:t>0</w:t>
      </w:r>
      <w:r w:rsidRPr="00935B9B">
        <w:rPr>
          <w:sz w:val="20"/>
          <w:szCs w:val="24"/>
        </w:rPr>
        <w:t xml:space="preserve"> и 202</w:t>
      </w:r>
      <w:r>
        <w:rPr>
          <w:sz w:val="20"/>
          <w:szCs w:val="24"/>
        </w:rPr>
        <w:t>1</w:t>
      </w:r>
      <w:r w:rsidRPr="00935B9B">
        <w:rPr>
          <w:sz w:val="20"/>
          <w:szCs w:val="24"/>
        </w:rPr>
        <w:t xml:space="preserve"> годов»</w:t>
      </w:r>
      <w:r>
        <w:rPr>
          <w:sz w:val="20"/>
          <w:szCs w:val="24"/>
        </w:rPr>
        <w:t>, отчеты Федерального казначейства об исполнении федеральных бюджетов за 2017 и 2018 гг.</w:t>
      </w:r>
      <w:r w:rsidRPr="0002614E">
        <w:rPr>
          <w:sz w:val="20"/>
          <w:szCs w:val="24"/>
        </w:rPr>
        <w:t>, расчеты авторов.</w:t>
      </w:r>
    </w:p>
    <w:p w14:paraId="5922E8AE" w14:textId="17DE2CC7" w:rsidR="00817B95" w:rsidRPr="00D3467C" w:rsidRDefault="00817B95" w:rsidP="00817B95">
      <w:pPr>
        <w:spacing w:after="60"/>
        <w:ind w:firstLine="709"/>
        <w:jc w:val="both"/>
      </w:pPr>
      <w:r w:rsidRPr="00CE7CB6">
        <w:t>Про</w:t>
      </w:r>
      <w:r>
        <w:t>фицит бюджета обеспечивается за счёт финансовых результатов</w:t>
      </w:r>
      <w:r w:rsidRPr="00CE7CB6">
        <w:rPr>
          <w:lang w:eastAsia="en-US"/>
        </w:rPr>
        <w:t xml:space="preserve"> </w:t>
      </w:r>
      <w:r w:rsidRPr="00CB44FF">
        <w:rPr>
          <w:lang w:eastAsia="en-US"/>
        </w:rPr>
        <w:t>по обязательному социальному страхованию от несчастных случаев на производстве и профессиональных заболеваний</w:t>
      </w:r>
      <w:r>
        <w:rPr>
          <w:lang w:eastAsia="en-US"/>
        </w:rPr>
        <w:t xml:space="preserve">, в то время как в части </w:t>
      </w:r>
      <w:r w:rsidRPr="00C60260">
        <w:rPr>
          <w:color w:val="000000" w:themeColor="text1"/>
          <w:lang w:eastAsia="en-US"/>
        </w:rPr>
        <w:t>обязательно</w:t>
      </w:r>
      <w:r>
        <w:rPr>
          <w:color w:val="000000" w:themeColor="text1"/>
          <w:lang w:eastAsia="en-US"/>
        </w:rPr>
        <w:t>го социального страхования</w:t>
      </w:r>
      <w:r w:rsidRPr="00C60260">
        <w:rPr>
          <w:color w:val="000000" w:themeColor="text1"/>
          <w:lang w:eastAsia="en-US"/>
        </w:rPr>
        <w:t xml:space="preserve"> на случай временной нетрудоспособности и в связи с материнством</w:t>
      </w:r>
      <w:r>
        <w:rPr>
          <w:color w:val="000000" w:themeColor="text1"/>
          <w:lang w:eastAsia="en-US"/>
        </w:rPr>
        <w:t xml:space="preserve"> наблюдается дефицит</w:t>
      </w:r>
      <w:r w:rsidRPr="000F48C1">
        <w:t xml:space="preserve"> (</w:t>
      </w:r>
      <w:r w:rsidR="001D0E83">
        <w:rPr>
          <w:i/>
        </w:rPr>
        <w:t>таблица</w:t>
      </w:r>
      <w:r w:rsidRPr="000F48C1">
        <w:rPr>
          <w:i/>
        </w:rPr>
        <w:t xml:space="preserve"> </w:t>
      </w:r>
      <w:r w:rsidR="008529A6" w:rsidRPr="008529A6">
        <w:rPr>
          <w:i/>
          <w:noProof/>
        </w:rPr>
        <w:t>33</w:t>
      </w:r>
      <w:r w:rsidRPr="000F48C1">
        <w:rPr>
          <w:i/>
        </w:rPr>
        <w:t>).</w:t>
      </w:r>
    </w:p>
    <w:p w14:paraId="2B454C0E" w14:textId="4AB32521" w:rsidR="00817B95" w:rsidRPr="00CB44FF" w:rsidRDefault="00817B95" w:rsidP="00817B95">
      <w:pPr>
        <w:pStyle w:val="aff8"/>
        <w:keepNext/>
        <w:rPr>
          <w:szCs w:val="24"/>
        </w:rPr>
      </w:pPr>
      <w:r>
        <w:t xml:space="preserve">Таблица </w:t>
      </w:r>
      <w:bookmarkStart w:id="73" w:name="_Ref526599887"/>
      <w:r w:rsidR="008529A6">
        <w:rPr>
          <w:noProof/>
        </w:rPr>
        <w:t>33</w:t>
      </w:r>
      <w:bookmarkEnd w:id="73"/>
    </w:p>
    <w:p w14:paraId="1C837DB2" w14:textId="0F4712DC" w:rsidR="00817B95" w:rsidRPr="00CB44FF" w:rsidRDefault="00817B95" w:rsidP="00817B95">
      <w:pPr>
        <w:pStyle w:val="af7"/>
        <w:keepNext/>
        <w:rPr>
          <w:szCs w:val="24"/>
        </w:rPr>
      </w:pPr>
      <w:r w:rsidRPr="00CB44FF">
        <w:rPr>
          <w:szCs w:val="24"/>
        </w:rPr>
        <w:t>Финансовый результат бюджета ФСС в 201</w:t>
      </w:r>
      <w:r w:rsidR="00C86838">
        <w:rPr>
          <w:szCs w:val="24"/>
        </w:rPr>
        <w:t>8</w:t>
      </w:r>
      <w:r w:rsidRPr="00CB44FF">
        <w:rPr>
          <w:szCs w:val="24"/>
        </w:rPr>
        <w:t>-202</w:t>
      </w:r>
      <w:r>
        <w:rPr>
          <w:szCs w:val="24"/>
        </w:rPr>
        <w:t>2</w:t>
      </w:r>
      <w:r w:rsidRPr="00CB44FF">
        <w:rPr>
          <w:szCs w:val="24"/>
        </w:rPr>
        <w:t xml:space="preserve"> гг., </w:t>
      </w:r>
      <w:r>
        <w:rPr>
          <w:szCs w:val="24"/>
        </w:rPr>
        <w:t>млрд</w:t>
      </w:r>
      <w:r w:rsidRPr="00CB44FF">
        <w:rPr>
          <w:szCs w:val="24"/>
        </w:rPr>
        <w:t xml:space="preserve">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97"/>
        <w:gridCol w:w="898"/>
        <w:gridCol w:w="898"/>
        <w:gridCol w:w="898"/>
        <w:gridCol w:w="898"/>
        <w:gridCol w:w="895"/>
      </w:tblGrid>
      <w:tr w:rsidR="00C86838" w:rsidRPr="00C60260" w14:paraId="190E316A" w14:textId="77777777" w:rsidTr="00C86838">
        <w:trPr>
          <w:trHeight w:val="300"/>
        </w:trPr>
        <w:tc>
          <w:tcPr>
            <w:tcW w:w="2557" w:type="pct"/>
            <w:shd w:val="clear" w:color="auto" w:fill="auto"/>
            <w:noWrap/>
            <w:tcMar>
              <w:top w:w="0" w:type="dxa"/>
              <w:left w:w="108" w:type="dxa"/>
              <w:bottom w:w="0" w:type="dxa"/>
              <w:right w:w="108" w:type="dxa"/>
            </w:tcMar>
            <w:hideMark/>
          </w:tcPr>
          <w:p w14:paraId="7B79C983" w14:textId="77777777" w:rsidR="00C86838" w:rsidRPr="00C60260" w:rsidRDefault="00C86838" w:rsidP="009963C0">
            <w:pPr>
              <w:keepNext/>
              <w:rPr>
                <w:color w:val="000000" w:themeColor="text1"/>
              </w:rPr>
            </w:pPr>
          </w:p>
        </w:tc>
        <w:tc>
          <w:tcPr>
            <w:tcW w:w="489" w:type="pct"/>
            <w:shd w:val="clear" w:color="auto" w:fill="auto"/>
            <w:noWrap/>
            <w:tcMar>
              <w:top w:w="0" w:type="dxa"/>
              <w:left w:w="108" w:type="dxa"/>
              <w:bottom w:w="0" w:type="dxa"/>
              <w:right w:w="108" w:type="dxa"/>
            </w:tcMar>
            <w:vAlign w:val="center"/>
            <w:hideMark/>
          </w:tcPr>
          <w:p w14:paraId="1F2F1FAC" w14:textId="77777777" w:rsidR="00C86838" w:rsidRPr="00D569BF" w:rsidRDefault="00C86838" w:rsidP="009963C0">
            <w:pPr>
              <w:pStyle w:val="af4"/>
              <w:keepNext/>
              <w:spacing w:line="252" w:lineRule="auto"/>
              <w:rPr>
                <w:color w:val="000000" w:themeColor="text1"/>
                <w:lang w:eastAsia="en-US"/>
              </w:rPr>
            </w:pPr>
            <w:r w:rsidRPr="00D569BF">
              <w:rPr>
                <w:color w:val="000000" w:themeColor="text1"/>
                <w:lang w:eastAsia="en-US"/>
              </w:rPr>
              <w:t xml:space="preserve">2018 </w:t>
            </w:r>
            <w:r w:rsidRPr="00D569BF">
              <w:rPr>
                <w:bCs/>
                <w:color w:val="000000"/>
                <w:szCs w:val="18"/>
              </w:rPr>
              <w:t>г.</w:t>
            </w:r>
            <w:r w:rsidRPr="00D569BF">
              <w:rPr>
                <w:color w:val="000000" w:themeColor="text1"/>
                <w:lang w:eastAsia="en-US"/>
              </w:rPr>
              <w:t>, факт</w:t>
            </w:r>
          </w:p>
        </w:tc>
        <w:tc>
          <w:tcPr>
            <w:tcW w:w="489" w:type="pct"/>
            <w:shd w:val="clear" w:color="auto" w:fill="auto"/>
            <w:noWrap/>
            <w:tcMar>
              <w:top w:w="0" w:type="dxa"/>
              <w:left w:w="108" w:type="dxa"/>
              <w:bottom w:w="0" w:type="dxa"/>
              <w:right w:w="108" w:type="dxa"/>
            </w:tcMar>
            <w:vAlign w:val="center"/>
            <w:hideMark/>
          </w:tcPr>
          <w:p w14:paraId="6DDEBA2F" w14:textId="77777777" w:rsidR="00C86838" w:rsidRPr="005C36A5" w:rsidRDefault="00C86838" w:rsidP="009963C0">
            <w:pPr>
              <w:pStyle w:val="af4"/>
              <w:keepNext/>
              <w:spacing w:line="252" w:lineRule="auto"/>
              <w:rPr>
                <w:color w:val="000000" w:themeColor="text1"/>
                <w:highlight w:val="yellow"/>
                <w:lang w:eastAsia="en-US"/>
              </w:rPr>
            </w:pPr>
            <w:r w:rsidRPr="00B34871">
              <w:rPr>
                <w:color w:val="000000" w:themeColor="text1"/>
                <w:lang w:eastAsia="en-US"/>
              </w:rPr>
              <w:t xml:space="preserve">2019 г., </w:t>
            </w:r>
            <w:r>
              <w:rPr>
                <w:color w:val="000000" w:themeColor="text1"/>
                <w:lang w:eastAsia="en-US"/>
              </w:rPr>
              <w:t>план</w:t>
            </w:r>
          </w:p>
        </w:tc>
        <w:tc>
          <w:tcPr>
            <w:tcW w:w="489" w:type="pct"/>
            <w:shd w:val="clear" w:color="auto" w:fill="auto"/>
            <w:noWrap/>
            <w:tcMar>
              <w:top w:w="0" w:type="dxa"/>
              <w:left w:w="108" w:type="dxa"/>
              <w:bottom w:w="0" w:type="dxa"/>
              <w:right w:w="108" w:type="dxa"/>
            </w:tcMar>
            <w:vAlign w:val="center"/>
            <w:hideMark/>
          </w:tcPr>
          <w:p w14:paraId="14999FD4" w14:textId="77777777" w:rsidR="00C86838" w:rsidRPr="00935B9B" w:rsidRDefault="00C86838" w:rsidP="009963C0">
            <w:pPr>
              <w:pStyle w:val="af4"/>
              <w:keepNext/>
              <w:spacing w:line="252" w:lineRule="auto"/>
              <w:rPr>
                <w:color w:val="000000" w:themeColor="text1"/>
                <w:lang w:eastAsia="en-US"/>
              </w:rPr>
            </w:pPr>
            <w:r w:rsidRPr="00935B9B">
              <w:rPr>
                <w:color w:val="000000" w:themeColor="text1"/>
                <w:lang w:eastAsia="en-US"/>
              </w:rPr>
              <w:t>2020 г., план</w:t>
            </w:r>
          </w:p>
        </w:tc>
        <w:tc>
          <w:tcPr>
            <w:tcW w:w="489" w:type="pct"/>
            <w:shd w:val="clear" w:color="auto" w:fill="auto"/>
          </w:tcPr>
          <w:p w14:paraId="64953A24" w14:textId="77777777" w:rsidR="00C86838" w:rsidRPr="00935B9B" w:rsidRDefault="00C86838" w:rsidP="009963C0">
            <w:pPr>
              <w:pStyle w:val="af4"/>
              <w:keepNext/>
              <w:spacing w:line="252" w:lineRule="auto"/>
              <w:rPr>
                <w:color w:val="000000" w:themeColor="text1"/>
                <w:lang w:eastAsia="en-US"/>
              </w:rPr>
            </w:pPr>
            <w:r w:rsidRPr="00935B9B">
              <w:rPr>
                <w:color w:val="000000" w:themeColor="text1"/>
                <w:lang w:eastAsia="en-US"/>
              </w:rPr>
              <w:t xml:space="preserve">2021 г., </w:t>
            </w:r>
          </w:p>
          <w:p w14:paraId="4BE464C6" w14:textId="77777777" w:rsidR="00C86838" w:rsidRPr="00935B9B" w:rsidRDefault="00C86838" w:rsidP="009963C0">
            <w:pPr>
              <w:pStyle w:val="af4"/>
              <w:keepNext/>
              <w:spacing w:line="252" w:lineRule="auto"/>
              <w:rPr>
                <w:color w:val="000000" w:themeColor="text1"/>
                <w:lang w:eastAsia="en-US"/>
              </w:rPr>
            </w:pPr>
            <w:r w:rsidRPr="00935B9B">
              <w:rPr>
                <w:color w:val="000000" w:themeColor="text1"/>
                <w:lang w:eastAsia="en-US"/>
              </w:rPr>
              <w:t>план</w:t>
            </w:r>
          </w:p>
        </w:tc>
        <w:tc>
          <w:tcPr>
            <w:tcW w:w="487" w:type="pct"/>
          </w:tcPr>
          <w:p w14:paraId="13FAD6C6" w14:textId="77777777" w:rsidR="00C86838" w:rsidRPr="00935B9B" w:rsidRDefault="00C86838" w:rsidP="009963C0">
            <w:pPr>
              <w:pStyle w:val="af4"/>
              <w:keepNext/>
              <w:spacing w:line="252" w:lineRule="auto"/>
              <w:rPr>
                <w:color w:val="000000" w:themeColor="text1"/>
                <w:lang w:eastAsia="en-US"/>
              </w:rPr>
            </w:pPr>
            <w:r w:rsidRPr="00935B9B">
              <w:rPr>
                <w:color w:val="000000" w:themeColor="text1"/>
                <w:lang w:eastAsia="en-US"/>
              </w:rPr>
              <w:t>2022 г., план</w:t>
            </w:r>
          </w:p>
        </w:tc>
      </w:tr>
      <w:tr w:rsidR="00C86838" w:rsidRPr="00721B02" w14:paraId="52C6AEDA" w14:textId="77777777" w:rsidTr="00C86838">
        <w:trPr>
          <w:trHeight w:val="367"/>
        </w:trPr>
        <w:tc>
          <w:tcPr>
            <w:tcW w:w="2557" w:type="pct"/>
            <w:tcMar>
              <w:top w:w="0" w:type="dxa"/>
              <w:left w:w="108" w:type="dxa"/>
              <w:bottom w:w="0" w:type="dxa"/>
              <w:right w:w="108" w:type="dxa"/>
            </w:tcMar>
            <w:hideMark/>
          </w:tcPr>
          <w:p w14:paraId="508A6DEC" w14:textId="77777777" w:rsidR="00C86838" w:rsidRPr="00AD095C" w:rsidRDefault="00C86838" w:rsidP="009963C0">
            <w:pPr>
              <w:pStyle w:val="af2"/>
              <w:keepNext/>
              <w:spacing w:line="252" w:lineRule="auto"/>
              <w:rPr>
                <w:b/>
                <w:color w:val="000000" w:themeColor="text1"/>
                <w:lang w:eastAsia="en-US"/>
              </w:rPr>
            </w:pPr>
            <w:r w:rsidRPr="00AD095C">
              <w:rPr>
                <w:b/>
                <w:color w:val="000000" w:themeColor="text1"/>
                <w:lang w:eastAsia="en-US"/>
              </w:rPr>
              <w:t>Финансовый результат</w:t>
            </w:r>
            <w:r>
              <w:rPr>
                <w:b/>
                <w:color w:val="000000" w:themeColor="text1"/>
                <w:lang w:eastAsia="en-US"/>
              </w:rPr>
              <w:br/>
            </w:r>
            <w:r w:rsidRPr="00AD095C">
              <w:rPr>
                <w:b/>
                <w:color w:val="000000" w:themeColor="text1"/>
                <w:lang w:eastAsia="en-US"/>
              </w:rPr>
              <w:t>профицит (+)</w:t>
            </w:r>
            <w:r>
              <w:rPr>
                <w:b/>
                <w:color w:val="000000" w:themeColor="text1"/>
                <w:lang w:eastAsia="en-US"/>
              </w:rPr>
              <w:t xml:space="preserve"> </w:t>
            </w:r>
            <w:r w:rsidRPr="00AD095C">
              <w:rPr>
                <w:b/>
                <w:color w:val="000000" w:themeColor="text1"/>
                <w:lang w:eastAsia="en-US"/>
              </w:rPr>
              <w:t>/</w:t>
            </w:r>
            <w:r>
              <w:rPr>
                <w:b/>
                <w:color w:val="000000" w:themeColor="text1"/>
                <w:lang w:eastAsia="en-US"/>
              </w:rPr>
              <w:t xml:space="preserve"> </w:t>
            </w:r>
            <w:r w:rsidRPr="00AD095C">
              <w:rPr>
                <w:b/>
                <w:color w:val="000000" w:themeColor="text1"/>
                <w:lang w:eastAsia="en-US"/>
              </w:rPr>
              <w:t>дефицит (-)</w:t>
            </w:r>
          </w:p>
        </w:tc>
        <w:tc>
          <w:tcPr>
            <w:tcW w:w="489" w:type="pct"/>
            <w:noWrap/>
            <w:tcMar>
              <w:top w:w="0" w:type="dxa"/>
              <w:left w:w="108" w:type="dxa"/>
              <w:bottom w:w="0" w:type="dxa"/>
              <w:right w:w="108" w:type="dxa"/>
            </w:tcMar>
            <w:vAlign w:val="center"/>
            <w:hideMark/>
          </w:tcPr>
          <w:p w14:paraId="67BCB4C5" w14:textId="77777777" w:rsidR="00C86838" w:rsidRPr="00D569BF" w:rsidRDefault="00C86838" w:rsidP="009963C0">
            <w:pPr>
              <w:pStyle w:val="af3"/>
              <w:keepNext/>
              <w:spacing w:line="252" w:lineRule="auto"/>
              <w:rPr>
                <w:b/>
                <w:color w:val="000000" w:themeColor="text1"/>
                <w:lang w:eastAsia="en-US"/>
              </w:rPr>
            </w:pPr>
            <w:r w:rsidRPr="00D569BF">
              <w:rPr>
                <w:b/>
                <w:color w:val="000000" w:themeColor="text1"/>
                <w:lang w:eastAsia="en-US"/>
              </w:rPr>
              <w:t>+33,0</w:t>
            </w:r>
          </w:p>
        </w:tc>
        <w:tc>
          <w:tcPr>
            <w:tcW w:w="489" w:type="pct"/>
            <w:noWrap/>
            <w:tcMar>
              <w:top w:w="0" w:type="dxa"/>
              <w:left w:w="108" w:type="dxa"/>
              <w:bottom w:w="0" w:type="dxa"/>
              <w:right w:w="108" w:type="dxa"/>
            </w:tcMar>
            <w:vAlign w:val="center"/>
            <w:hideMark/>
          </w:tcPr>
          <w:p w14:paraId="4D6FC820" w14:textId="77777777" w:rsidR="00C86838" w:rsidRPr="00B34871" w:rsidRDefault="00C86838" w:rsidP="009963C0">
            <w:pPr>
              <w:pStyle w:val="af3"/>
              <w:keepNext/>
              <w:spacing w:line="252" w:lineRule="auto"/>
              <w:rPr>
                <w:b/>
                <w:color w:val="000000" w:themeColor="text1"/>
                <w:lang w:eastAsia="en-US"/>
              </w:rPr>
            </w:pPr>
            <w:r w:rsidRPr="00B34871">
              <w:rPr>
                <w:b/>
                <w:color w:val="000000" w:themeColor="text1"/>
                <w:lang w:eastAsia="en-US"/>
              </w:rPr>
              <w:t>+11,9</w:t>
            </w:r>
          </w:p>
        </w:tc>
        <w:tc>
          <w:tcPr>
            <w:tcW w:w="489" w:type="pct"/>
            <w:noWrap/>
            <w:tcMar>
              <w:top w:w="0" w:type="dxa"/>
              <w:left w:w="108" w:type="dxa"/>
              <w:bottom w:w="0" w:type="dxa"/>
              <w:right w:w="108" w:type="dxa"/>
            </w:tcMar>
            <w:vAlign w:val="center"/>
            <w:hideMark/>
          </w:tcPr>
          <w:p w14:paraId="545D564E" w14:textId="77777777" w:rsidR="00C86838" w:rsidRPr="00D74A42" w:rsidRDefault="00C86838" w:rsidP="009963C0">
            <w:pPr>
              <w:pStyle w:val="af3"/>
              <w:keepNext/>
              <w:spacing w:line="252" w:lineRule="auto"/>
              <w:rPr>
                <w:b/>
                <w:color w:val="000000" w:themeColor="text1"/>
                <w:highlight w:val="yellow"/>
                <w:lang w:eastAsia="en-US"/>
              </w:rPr>
            </w:pPr>
            <w:r>
              <w:rPr>
                <w:b/>
                <w:color w:val="000000" w:themeColor="text1"/>
                <w:lang w:eastAsia="en-US"/>
              </w:rPr>
              <w:t>+23,5</w:t>
            </w:r>
          </w:p>
        </w:tc>
        <w:tc>
          <w:tcPr>
            <w:tcW w:w="489" w:type="pct"/>
            <w:vAlign w:val="center"/>
          </w:tcPr>
          <w:p w14:paraId="1BC4D0A5" w14:textId="77777777" w:rsidR="00C86838" w:rsidRPr="00D74A42" w:rsidRDefault="00C86838" w:rsidP="009963C0">
            <w:pPr>
              <w:pStyle w:val="af3"/>
              <w:keepNext/>
              <w:spacing w:line="252" w:lineRule="auto"/>
              <w:rPr>
                <w:b/>
                <w:color w:val="000000" w:themeColor="text1"/>
                <w:highlight w:val="yellow"/>
                <w:lang w:eastAsia="en-US"/>
              </w:rPr>
            </w:pPr>
            <w:r w:rsidRPr="00935B9B">
              <w:rPr>
                <w:b/>
                <w:color w:val="000000" w:themeColor="text1"/>
                <w:lang w:eastAsia="en-US"/>
              </w:rPr>
              <w:t>-10,3</w:t>
            </w:r>
          </w:p>
        </w:tc>
        <w:tc>
          <w:tcPr>
            <w:tcW w:w="487" w:type="pct"/>
            <w:vAlign w:val="center"/>
          </w:tcPr>
          <w:p w14:paraId="68850967" w14:textId="77777777" w:rsidR="00C86838" w:rsidRPr="00935B9B" w:rsidRDefault="00C86838" w:rsidP="009963C0">
            <w:pPr>
              <w:pStyle w:val="af3"/>
              <w:keepNext/>
              <w:spacing w:line="252" w:lineRule="auto"/>
              <w:rPr>
                <w:color w:val="000000" w:themeColor="text1"/>
                <w:lang w:eastAsia="en-US"/>
              </w:rPr>
            </w:pPr>
            <w:r w:rsidRPr="00935B9B">
              <w:rPr>
                <w:b/>
                <w:color w:val="000000" w:themeColor="text1"/>
                <w:lang w:eastAsia="en-US"/>
              </w:rPr>
              <w:t>+62,5</w:t>
            </w:r>
          </w:p>
        </w:tc>
      </w:tr>
      <w:tr w:rsidR="00C86838" w:rsidRPr="00721B02" w14:paraId="4C04CFE1" w14:textId="77777777" w:rsidTr="00C86838">
        <w:trPr>
          <w:trHeight w:val="300"/>
        </w:trPr>
        <w:tc>
          <w:tcPr>
            <w:tcW w:w="2557" w:type="pct"/>
            <w:tcMar>
              <w:top w:w="0" w:type="dxa"/>
              <w:left w:w="108" w:type="dxa"/>
              <w:bottom w:w="0" w:type="dxa"/>
              <w:right w:w="108" w:type="dxa"/>
            </w:tcMar>
            <w:hideMark/>
          </w:tcPr>
          <w:p w14:paraId="2B2EB365" w14:textId="77777777" w:rsidR="00C86838" w:rsidRPr="00D74A42" w:rsidRDefault="00C86838" w:rsidP="009963C0">
            <w:pPr>
              <w:pStyle w:val="af2"/>
              <w:keepNext/>
              <w:spacing w:line="252" w:lineRule="auto"/>
              <w:rPr>
                <w:i/>
                <w:color w:val="000000" w:themeColor="text1"/>
                <w:lang w:eastAsia="en-US"/>
              </w:rPr>
            </w:pPr>
            <w:r w:rsidRPr="00D74A42">
              <w:rPr>
                <w:i/>
                <w:color w:val="000000" w:themeColor="text1"/>
                <w:lang w:eastAsia="en-US"/>
              </w:rPr>
              <w:t>из них</w:t>
            </w:r>
          </w:p>
        </w:tc>
        <w:tc>
          <w:tcPr>
            <w:tcW w:w="489" w:type="pct"/>
            <w:noWrap/>
            <w:tcMar>
              <w:top w:w="0" w:type="dxa"/>
              <w:left w:w="108" w:type="dxa"/>
              <w:bottom w:w="0" w:type="dxa"/>
              <w:right w:w="108" w:type="dxa"/>
            </w:tcMar>
            <w:vAlign w:val="center"/>
            <w:hideMark/>
          </w:tcPr>
          <w:p w14:paraId="0643DB19" w14:textId="77777777" w:rsidR="00C86838" w:rsidRPr="00D74A42" w:rsidRDefault="00C86838" w:rsidP="009963C0">
            <w:pPr>
              <w:keepNext/>
              <w:rPr>
                <w:i/>
                <w:color w:val="000000" w:themeColor="text1"/>
                <w:sz w:val="20"/>
              </w:rPr>
            </w:pPr>
          </w:p>
        </w:tc>
        <w:tc>
          <w:tcPr>
            <w:tcW w:w="489" w:type="pct"/>
            <w:noWrap/>
            <w:tcMar>
              <w:top w:w="0" w:type="dxa"/>
              <w:left w:w="108" w:type="dxa"/>
              <w:bottom w:w="0" w:type="dxa"/>
              <w:right w:w="108" w:type="dxa"/>
            </w:tcMar>
            <w:vAlign w:val="center"/>
            <w:hideMark/>
          </w:tcPr>
          <w:p w14:paraId="7438F617" w14:textId="77777777" w:rsidR="00C86838" w:rsidRPr="00B34871" w:rsidRDefault="00C86838" w:rsidP="009963C0">
            <w:pPr>
              <w:keepNext/>
              <w:rPr>
                <w:i/>
                <w:color w:val="000000" w:themeColor="text1"/>
                <w:sz w:val="20"/>
              </w:rPr>
            </w:pPr>
          </w:p>
        </w:tc>
        <w:tc>
          <w:tcPr>
            <w:tcW w:w="489" w:type="pct"/>
            <w:noWrap/>
            <w:tcMar>
              <w:top w:w="0" w:type="dxa"/>
              <w:left w:w="108" w:type="dxa"/>
              <w:bottom w:w="0" w:type="dxa"/>
              <w:right w:w="108" w:type="dxa"/>
            </w:tcMar>
            <w:vAlign w:val="center"/>
            <w:hideMark/>
          </w:tcPr>
          <w:p w14:paraId="4845D068" w14:textId="77777777" w:rsidR="00C86838" w:rsidRPr="00D74A42" w:rsidRDefault="00C86838" w:rsidP="009963C0">
            <w:pPr>
              <w:keepNext/>
              <w:rPr>
                <w:i/>
                <w:color w:val="000000" w:themeColor="text1"/>
                <w:sz w:val="20"/>
              </w:rPr>
            </w:pPr>
          </w:p>
        </w:tc>
        <w:tc>
          <w:tcPr>
            <w:tcW w:w="489" w:type="pct"/>
          </w:tcPr>
          <w:p w14:paraId="39590FF5" w14:textId="77777777" w:rsidR="00C86838" w:rsidRPr="00D74A42" w:rsidRDefault="00C86838" w:rsidP="009963C0">
            <w:pPr>
              <w:keepNext/>
              <w:rPr>
                <w:i/>
                <w:color w:val="000000" w:themeColor="text1"/>
                <w:sz w:val="20"/>
              </w:rPr>
            </w:pPr>
          </w:p>
        </w:tc>
        <w:tc>
          <w:tcPr>
            <w:tcW w:w="487" w:type="pct"/>
            <w:vAlign w:val="center"/>
          </w:tcPr>
          <w:p w14:paraId="28C5EC3E" w14:textId="77777777" w:rsidR="00C86838" w:rsidRPr="00935B9B" w:rsidRDefault="00C86838" w:rsidP="009963C0">
            <w:pPr>
              <w:pStyle w:val="af3"/>
              <w:keepNext/>
              <w:spacing w:line="252" w:lineRule="auto"/>
              <w:rPr>
                <w:color w:val="000000" w:themeColor="text1"/>
                <w:lang w:eastAsia="en-US"/>
              </w:rPr>
            </w:pPr>
          </w:p>
        </w:tc>
      </w:tr>
      <w:tr w:rsidR="00C86838" w:rsidRPr="00C60260" w14:paraId="76501E5E" w14:textId="77777777" w:rsidTr="00C86838">
        <w:trPr>
          <w:trHeight w:val="698"/>
        </w:trPr>
        <w:tc>
          <w:tcPr>
            <w:tcW w:w="2557" w:type="pct"/>
            <w:tcMar>
              <w:top w:w="0" w:type="dxa"/>
              <w:left w:w="108" w:type="dxa"/>
              <w:bottom w:w="0" w:type="dxa"/>
              <w:right w:w="108" w:type="dxa"/>
            </w:tcMar>
            <w:hideMark/>
          </w:tcPr>
          <w:p w14:paraId="6FA7BDE8" w14:textId="77777777" w:rsidR="00C86838" w:rsidRPr="00C60260" w:rsidRDefault="00C86838" w:rsidP="001D0E83">
            <w:pPr>
              <w:pStyle w:val="af2"/>
              <w:keepNext/>
              <w:spacing w:line="252" w:lineRule="auto"/>
              <w:jc w:val="right"/>
              <w:rPr>
                <w:color w:val="000000" w:themeColor="text1"/>
                <w:lang w:eastAsia="en-US"/>
              </w:rPr>
            </w:pPr>
            <w:r w:rsidRPr="00C60260">
              <w:rPr>
                <w:color w:val="000000" w:themeColor="text1"/>
                <w:lang w:eastAsia="en-US"/>
              </w:rPr>
              <w:t>по обязательному социальному страхованию на случай временной нетрудоспособности и в связи с материнством</w:t>
            </w:r>
          </w:p>
        </w:tc>
        <w:tc>
          <w:tcPr>
            <w:tcW w:w="489" w:type="pct"/>
            <w:noWrap/>
            <w:tcMar>
              <w:top w:w="0" w:type="dxa"/>
              <w:left w:w="108" w:type="dxa"/>
              <w:bottom w:w="0" w:type="dxa"/>
              <w:right w:w="108" w:type="dxa"/>
            </w:tcMar>
            <w:vAlign w:val="center"/>
            <w:hideMark/>
          </w:tcPr>
          <w:p w14:paraId="14A058E3" w14:textId="77777777" w:rsidR="00C86838" w:rsidRPr="000E0165" w:rsidRDefault="00C86838" w:rsidP="009963C0">
            <w:pPr>
              <w:pStyle w:val="af3"/>
              <w:keepNext/>
              <w:spacing w:line="252" w:lineRule="auto"/>
              <w:rPr>
                <w:color w:val="000000" w:themeColor="text1"/>
                <w:lang w:eastAsia="en-US"/>
              </w:rPr>
            </w:pPr>
            <w:r>
              <w:rPr>
                <w:color w:val="000000" w:themeColor="text1"/>
                <w:lang w:eastAsia="en-US"/>
              </w:rPr>
              <w:t>+</w:t>
            </w:r>
            <w:r w:rsidRPr="000E0165">
              <w:rPr>
                <w:color w:val="000000" w:themeColor="text1"/>
                <w:lang w:eastAsia="en-US"/>
              </w:rPr>
              <w:t>1,9</w:t>
            </w:r>
          </w:p>
        </w:tc>
        <w:tc>
          <w:tcPr>
            <w:tcW w:w="489" w:type="pct"/>
            <w:noWrap/>
            <w:tcMar>
              <w:top w:w="0" w:type="dxa"/>
              <w:left w:w="108" w:type="dxa"/>
              <w:bottom w:w="0" w:type="dxa"/>
              <w:right w:w="108" w:type="dxa"/>
            </w:tcMar>
            <w:vAlign w:val="center"/>
            <w:hideMark/>
          </w:tcPr>
          <w:p w14:paraId="667EB050" w14:textId="77777777" w:rsidR="00C86838" w:rsidRPr="00B34871" w:rsidRDefault="00C86838" w:rsidP="009963C0">
            <w:pPr>
              <w:pStyle w:val="af3"/>
              <w:keepNext/>
              <w:spacing w:line="252" w:lineRule="auto"/>
              <w:rPr>
                <w:color w:val="000000" w:themeColor="text1"/>
                <w:lang w:eastAsia="en-US"/>
              </w:rPr>
            </w:pPr>
            <w:r w:rsidRPr="00B34871">
              <w:rPr>
                <w:color w:val="000000" w:themeColor="text1"/>
                <w:lang w:eastAsia="en-US"/>
              </w:rPr>
              <w:t>-10,5</w:t>
            </w:r>
          </w:p>
        </w:tc>
        <w:tc>
          <w:tcPr>
            <w:tcW w:w="489" w:type="pct"/>
            <w:noWrap/>
            <w:tcMar>
              <w:top w:w="0" w:type="dxa"/>
              <w:left w:w="108" w:type="dxa"/>
              <w:bottom w:w="0" w:type="dxa"/>
              <w:right w:w="108" w:type="dxa"/>
            </w:tcMar>
            <w:vAlign w:val="center"/>
            <w:hideMark/>
          </w:tcPr>
          <w:p w14:paraId="253EE194" w14:textId="77777777" w:rsidR="00C86838" w:rsidRPr="00D74A42" w:rsidRDefault="00C86838" w:rsidP="009963C0">
            <w:pPr>
              <w:pStyle w:val="af3"/>
              <w:keepNext/>
              <w:spacing w:line="252" w:lineRule="auto"/>
              <w:rPr>
                <w:color w:val="000000" w:themeColor="text1"/>
                <w:highlight w:val="yellow"/>
                <w:lang w:eastAsia="en-US"/>
              </w:rPr>
            </w:pPr>
            <w:r>
              <w:rPr>
                <w:color w:val="000000" w:themeColor="text1"/>
                <w:lang w:eastAsia="en-US"/>
              </w:rPr>
              <w:t>-</w:t>
            </w:r>
            <w:r w:rsidRPr="00935B9B">
              <w:rPr>
                <w:color w:val="000000" w:themeColor="text1"/>
                <w:lang w:eastAsia="en-US"/>
              </w:rPr>
              <w:t>14</w:t>
            </w:r>
            <w:r>
              <w:rPr>
                <w:color w:val="000000" w:themeColor="text1"/>
                <w:lang w:eastAsia="en-US"/>
              </w:rPr>
              <w:t>,4</w:t>
            </w:r>
          </w:p>
        </w:tc>
        <w:tc>
          <w:tcPr>
            <w:tcW w:w="489" w:type="pct"/>
            <w:vAlign w:val="center"/>
          </w:tcPr>
          <w:p w14:paraId="7860AF8C" w14:textId="77777777" w:rsidR="00C86838" w:rsidRPr="00D74A42" w:rsidRDefault="00C86838" w:rsidP="009963C0">
            <w:pPr>
              <w:pStyle w:val="af3"/>
              <w:keepNext/>
              <w:spacing w:line="252" w:lineRule="auto"/>
              <w:rPr>
                <w:color w:val="000000" w:themeColor="text1"/>
                <w:highlight w:val="yellow"/>
                <w:lang w:eastAsia="en-US"/>
              </w:rPr>
            </w:pPr>
            <w:r>
              <w:rPr>
                <w:color w:val="000000" w:themeColor="text1"/>
                <w:lang w:eastAsia="en-US"/>
              </w:rPr>
              <w:t>-</w:t>
            </w:r>
            <w:r w:rsidRPr="00FD1F12">
              <w:t>52</w:t>
            </w:r>
            <w:r>
              <w:t>,</w:t>
            </w:r>
            <w:r w:rsidRPr="00FD1F12">
              <w:t>8</w:t>
            </w:r>
          </w:p>
        </w:tc>
        <w:tc>
          <w:tcPr>
            <w:tcW w:w="487" w:type="pct"/>
            <w:vAlign w:val="center"/>
          </w:tcPr>
          <w:p w14:paraId="303B8453" w14:textId="77777777" w:rsidR="00C86838" w:rsidRPr="00935B9B" w:rsidRDefault="00C86838" w:rsidP="009963C0">
            <w:pPr>
              <w:pStyle w:val="af3"/>
              <w:keepNext/>
              <w:spacing w:line="252" w:lineRule="auto"/>
              <w:rPr>
                <w:color w:val="000000" w:themeColor="text1"/>
                <w:lang w:eastAsia="en-US"/>
              </w:rPr>
            </w:pPr>
            <w:r>
              <w:rPr>
                <w:color w:val="000000" w:themeColor="text1"/>
                <w:lang w:eastAsia="en-US"/>
              </w:rPr>
              <w:t>+11,6</w:t>
            </w:r>
          </w:p>
        </w:tc>
      </w:tr>
      <w:tr w:rsidR="00C86838" w:rsidRPr="00CB44FF" w14:paraId="79618563" w14:textId="77777777" w:rsidTr="00C86838">
        <w:trPr>
          <w:trHeight w:val="70"/>
        </w:trPr>
        <w:tc>
          <w:tcPr>
            <w:tcW w:w="2557" w:type="pct"/>
            <w:tcMar>
              <w:top w:w="0" w:type="dxa"/>
              <w:left w:w="108" w:type="dxa"/>
              <w:bottom w:w="0" w:type="dxa"/>
              <w:right w:w="108" w:type="dxa"/>
            </w:tcMar>
            <w:hideMark/>
          </w:tcPr>
          <w:p w14:paraId="7AAA0184" w14:textId="77777777" w:rsidR="00C86838" w:rsidRPr="00CB44FF" w:rsidRDefault="00C86838" w:rsidP="001D0E83">
            <w:pPr>
              <w:pStyle w:val="af2"/>
              <w:keepNext/>
              <w:spacing w:line="252" w:lineRule="auto"/>
              <w:jc w:val="right"/>
              <w:rPr>
                <w:lang w:eastAsia="en-US"/>
              </w:rPr>
            </w:pPr>
            <w:r w:rsidRPr="00CB44FF">
              <w:rPr>
                <w:lang w:eastAsia="en-US"/>
              </w:rPr>
              <w:t>по обязательному социальному страхованию от несчастных случаев на производстве и профессиональных заболеваний</w:t>
            </w:r>
          </w:p>
        </w:tc>
        <w:tc>
          <w:tcPr>
            <w:tcW w:w="489" w:type="pct"/>
            <w:noWrap/>
            <w:tcMar>
              <w:top w:w="0" w:type="dxa"/>
              <w:left w:w="108" w:type="dxa"/>
              <w:bottom w:w="0" w:type="dxa"/>
              <w:right w:w="108" w:type="dxa"/>
            </w:tcMar>
            <w:vAlign w:val="center"/>
            <w:hideMark/>
          </w:tcPr>
          <w:p w14:paraId="66BAAC11" w14:textId="77777777" w:rsidR="00C86838" w:rsidRPr="000E0165" w:rsidRDefault="00C86838" w:rsidP="009963C0">
            <w:pPr>
              <w:pStyle w:val="af3"/>
              <w:keepNext/>
              <w:spacing w:line="252" w:lineRule="auto"/>
              <w:rPr>
                <w:lang w:eastAsia="en-US"/>
              </w:rPr>
            </w:pPr>
            <w:r>
              <w:rPr>
                <w:lang w:eastAsia="en-US"/>
              </w:rPr>
              <w:t>+</w:t>
            </w:r>
            <w:r w:rsidRPr="000E0165">
              <w:rPr>
                <w:lang w:eastAsia="en-US"/>
              </w:rPr>
              <w:t>32,5</w:t>
            </w:r>
          </w:p>
        </w:tc>
        <w:tc>
          <w:tcPr>
            <w:tcW w:w="489" w:type="pct"/>
            <w:noWrap/>
            <w:tcMar>
              <w:top w:w="0" w:type="dxa"/>
              <w:left w:w="108" w:type="dxa"/>
              <w:bottom w:w="0" w:type="dxa"/>
              <w:right w:w="108" w:type="dxa"/>
            </w:tcMar>
            <w:vAlign w:val="center"/>
            <w:hideMark/>
          </w:tcPr>
          <w:p w14:paraId="2267F739" w14:textId="77777777" w:rsidR="00C86838" w:rsidRPr="00B34871" w:rsidRDefault="00C86838" w:rsidP="009963C0">
            <w:pPr>
              <w:pStyle w:val="af3"/>
              <w:keepNext/>
              <w:spacing w:line="252" w:lineRule="auto"/>
              <w:rPr>
                <w:lang w:eastAsia="en-US"/>
              </w:rPr>
            </w:pPr>
            <w:r>
              <w:rPr>
                <w:lang w:eastAsia="en-US"/>
              </w:rPr>
              <w:t>+</w:t>
            </w:r>
            <w:r w:rsidRPr="00B34871">
              <w:rPr>
                <w:lang w:eastAsia="en-US"/>
              </w:rPr>
              <w:t>22,4</w:t>
            </w:r>
          </w:p>
        </w:tc>
        <w:tc>
          <w:tcPr>
            <w:tcW w:w="489" w:type="pct"/>
            <w:noWrap/>
            <w:tcMar>
              <w:top w:w="0" w:type="dxa"/>
              <w:left w:w="108" w:type="dxa"/>
              <w:bottom w:w="0" w:type="dxa"/>
              <w:right w:w="108" w:type="dxa"/>
            </w:tcMar>
            <w:vAlign w:val="center"/>
            <w:hideMark/>
          </w:tcPr>
          <w:p w14:paraId="09840088" w14:textId="77777777" w:rsidR="00C86838" w:rsidRPr="00935B9B" w:rsidRDefault="00C86838" w:rsidP="009963C0">
            <w:pPr>
              <w:pStyle w:val="af3"/>
              <w:keepNext/>
              <w:spacing w:line="252" w:lineRule="auto"/>
              <w:rPr>
                <w:lang w:eastAsia="en-US"/>
              </w:rPr>
            </w:pPr>
            <w:r w:rsidRPr="00935B9B">
              <w:rPr>
                <w:lang w:eastAsia="en-US"/>
              </w:rPr>
              <w:t>+37,9</w:t>
            </w:r>
          </w:p>
        </w:tc>
        <w:tc>
          <w:tcPr>
            <w:tcW w:w="489" w:type="pct"/>
            <w:vAlign w:val="center"/>
          </w:tcPr>
          <w:p w14:paraId="28150513" w14:textId="77777777" w:rsidR="00C86838" w:rsidRPr="00935B9B" w:rsidRDefault="00C86838" w:rsidP="009963C0">
            <w:pPr>
              <w:pStyle w:val="af3"/>
              <w:keepNext/>
              <w:spacing w:line="252" w:lineRule="auto"/>
              <w:rPr>
                <w:lang w:eastAsia="en-US"/>
              </w:rPr>
            </w:pPr>
            <w:r w:rsidRPr="00935B9B">
              <w:rPr>
                <w:lang w:eastAsia="en-US"/>
              </w:rPr>
              <w:t>+42,5</w:t>
            </w:r>
          </w:p>
        </w:tc>
        <w:tc>
          <w:tcPr>
            <w:tcW w:w="487" w:type="pct"/>
            <w:vAlign w:val="center"/>
          </w:tcPr>
          <w:p w14:paraId="49706F10" w14:textId="77777777" w:rsidR="00C86838" w:rsidRPr="00935B9B" w:rsidRDefault="00C86838" w:rsidP="009963C0">
            <w:pPr>
              <w:pStyle w:val="af3"/>
              <w:keepNext/>
              <w:spacing w:line="252" w:lineRule="auto"/>
              <w:rPr>
                <w:color w:val="000000" w:themeColor="text1"/>
                <w:lang w:eastAsia="en-US"/>
              </w:rPr>
            </w:pPr>
            <w:r>
              <w:rPr>
                <w:color w:val="000000" w:themeColor="text1"/>
                <w:lang w:eastAsia="en-US"/>
              </w:rPr>
              <w:t>+50,9</w:t>
            </w:r>
          </w:p>
        </w:tc>
      </w:tr>
    </w:tbl>
    <w:p w14:paraId="2D47193B" w14:textId="77777777" w:rsidR="00817B95" w:rsidRPr="0002614E" w:rsidRDefault="00817B95" w:rsidP="00817B95">
      <w:pPr>
        <w:pStyle w:val="af0"/>
        <w:ind w:firstLine="709"/>
        <w:rPr>
          <w:sz w:val="14"/>
        </w:rPr>
      </w:pPr>
      <w:r w:rsidRPr="0002614E">
        <w:rPr>
          <w:i/>
          <w:sz w:val="20"/>
          <w:szCs w:val="24"/>
        </w:rPr>
        <w:t>Источник:</w:t>
      </w:r>
      <w:r w:rsidRPr="0002614E">
        <w:rPr>
          <w:sz w:val="20"/>
          <w:szCs w:val="24"/>
        </w:rPr>
        <w:t xml:space="preserve"> </w:t>
      </w:r>
      <w:r>
        <w:rPr>
          <w:sz w:val="20"/>
          <w:szCs w:val="24"/>
        </w:rPr>
        <w:t>Пояснительная записка к п</w:t>
      </w:r>
      <w:r w:rsidRPr="0002614E">
        <w:rPr>
          <w:sz w:val="20"/>
          <w:szCs w:val="24"/>
        </w:rPr>
        <w:t>роект</w:t>
      </w:r>
      <w:r>
        <w:rPr>
          <w:sz w:val="20"/>
          <w:szCs w:val="24"/>
        </w:rPr>
        <w:t>у</w:t>
      </w:r>
      <w:r w:rsidRPr="0002614E">
        <w:rPr>
          <w:sz w:val="20"/>
          <w:szCs w:val="24"/>
        </w:rPr>
        <w:t xml:space="preserve"> федерального закона «О бюджете </w:t>
      </w:r>
      <w:r w:rsidRPr="00B34871">
        <w:rPr>
          <w:sz w:val="20"/>
          <w:szCs w:val="24"/>
        </w:rPr>
        <w:t>Фонда социального страхования</w:t>
      </w:r>
      <w:r w:rsidRPr="00935B9B">
        <w:rPr>
          <w:sz w:val="20"/>
          <w:szCs w:val="24"/>
        </w:rPr>
        <w:t xml:space="preserve"> на 2020 год и на плановый период 2021 и 2022 годов»</w:t>
      </w:r>
      <w:r>
        <w:rPr>
          <w:sz w:val="20"/>
          <w:szCs w:val="24"/>
        </w:rPr>
        <w:t xml:space="preserve">, федеральный закон </w:t>
      </w:r>
      <w:r w:rsidRPr="0002614E">
        <w:rPr>
          <w:sz w:val="20"/>
          <w:szCs w:val="24"/>
        </w:rPr>
        <w:t xml:space="preserve">«О бюджете </w:t>
      </w:r>
      <w:r w:rsidRPr="00B34871">
        <w:rPr>
          <w:sz w:val="20"/>
          <w:szCs w:val="24"/>
        </w:rPr>
        <w:t>Фонда социального страхования</w:t>
      </w:r>
      <w:r w:rsidRPr="00935B9B">
        <w:rPr>
          <w:sz w:val="20"/>
          <w:szCs w:val="24"/>
        </w:rPr>
        <w:t xml:space="preserve"> на 20</w:t>
      </w:r>
      <w:r>
        <w:rPr>
          <w:sz w:val="20"/>
          <w:szCs w:val="24"/>
        </w:rPr>
        <w:t>19</w:t>
      </w:r>
      <w:r w:rsidRPr="00935B9B">
        <w:rPr>
          <w:sz w:val="20"/>
          <w:szCs w:val="24"/>
        </w:rPr>
        <w:t xml:space="preserve"> год и на плановый период 202</w:t>
      </w:r>
      <w:r>
        <w:rPr>
          <w:sz w:val="20"/>
          <w:szCs w:val="24"/>
        </w:rPr>
        <w:t>0</w:t>
      </w:r>
      <w:r w:rsidRPr="00935B9B">
        <w:rPr>
          <w:sz w:val="20"/>
          <w:szCs w:val="24"/>
        </w:rPr>
        <w:t xml:space="preserve"> и 202</w:t>
      </w:r>
      <w:r>
        <w:rPr>
          <w:sz w:val="20"/>
          <w:szCs w:val="24"/>
        </w:rPr>
        <w:t>1</w:t>
      </w:r>
      <w:r w:rsidRPr="00935B9B">
        <w:rPr>
          <w:sz w:val="20"/>
          <w:szCs w:val="24"/>
        </w:rPr>
        <w:t xml:space="preserve"> годов»</w:t>
      </w:r>
      <w:r>
        <w:rPr>
          <w:sz w:val="20"/>
          <w:szCs w:val="24"/>
        </w:rPr>
        <w:t>, федеральный закон «О</w:t>
      </w:r>
      <w:r w:rsidRPr="00B34871">
        <w:rPr>
          <w:sz w:val="20"/>
          <w:szCs w:val="24"/>
        </w:rPr>
        <w:t>б исполнении бюджета Фонда социального страхования Российской Федерации за 2018 год</w:t>
      </w:r>
      <w:r>
        <w:rPr>
          <w:sz w:val="20"/>
          <w:szCs w:val="24"/>
        </w:rPr>
        <w:t>», законопроект «О</w:t>
      </w:r>
      <w:r w:rsidRPr="00B34871">
        <w:rPr>
          <w:sz w:val="20"/>
          <w:szCs w:val="24"/>
        </w:rPr>
        <w:t>б исполнении бюджета Фонда социального страхования Российской Федерации за 2018 год</w:t>
      </w:r>
      <w:r>
        <w:rPr>
          <w:sz w:val="20"/>
          <w:szCs w:val="24"/>
        </w:rPr>
        <w:t>».</w:t>
      </w:r>
    </w:p>
    <w:p w14:paraId="111AF970" w14:textId="2CB9E1D3" w:rsidR="009D6C12" w:rsidRDefault="00817B95" w:rsidP="009D6C12">
      <w:pPr>
        <w:spacing w:after="60"/>
        <w:ind w:firstLine="709"/>
        <w:jc w:val="both"/>
      </w:pPr>
      <w:r w:rsidRPr="00625FB3">
        <w:t>Доходы бюджета ФСС, как и в предшествующие годы, будут в основном формироваться за счет доходов по обязательному социальному страхованию на случай временной нетрудоспособности и в связи с материнством.</w:t>
      </w:r>
      <w:r>
        <w:t xml:space="preserve"> Тем не менее, наблюдается тенденция к снижению доли этих доходов. Так, в 2021 году планируется снизить </w:t>
      </w:r>
      <w:r w:rsidR="001D0E83">
        <w:t xml:space="preserve">указанную </w:t>
      </w:r>
      <w:r>
        <w:t>долю до 73,7% против 76,5% в 2019 году. Хотя затем, в 2022 году, доля вновь вырастет до 75,5%, что всё ещё меньше, чем в 2019 году, но близко к показател</w:t>
      </w:r>
      <w:r w:rsidR="00B4496E">
        <w:t>ю</w:t>
      </w:r>
      <w:r>
        <w:t xml:space="preserve"> 201</w:t>
      </w:r>
      <w:r w:rsidR="00B4496E">
        <w:t>8</w:t>
      </w:r>
      <w:r>
        <w:t xml:space="preserve"> года (</w:t>
      </w:r>
      <w:r w:rsidR="001D0E83" w:rsidRPr="001D0E83">
        <w:rPr>
          <w:i/>
        </w:rPr>
        <w:t>таблица</w:t>
      </w:r>
      <w:r w:rsidR="001D0E83">
        <w:t xml:space="preserve"> </w:t>
      </w:r>
      <w:r w:rsidR="008529A6">
        <w:t>34</w:t>
      </w:r>
      <w:r>
        <w:t>).</w:t>
      </w:r>
      <w:bookmarkStart w:id="74" w:name="_Ref21255688"/>
    </w:p>
    <w:p w14:paraId="5B8BFCD7" w14:textId="7C7F88DC" w:rsidR="00817B95" w:rsidRDefault="00817B95" w:rsidP="009D6C12">
      <w:pPr>
        <w:spacing w:after="60"/>
        <w:ind w:firstLine="709"/>
        <w:jc w:val="right"/>
        <w:rPr>
          <w:i/>
          <w:noProof/>
        </w:rPr>
      </w:pPr>
      <w:r w:rsidRPr="009D6C12">
        <w:rPr>
          <w:i/>
        </w:rPr>
        <w:t xml:space="preserve">Таблица </w:t>
      </w:r>
      <w:r w:rsidR="008529A6" w:rsidRPr="009D6C12">
        <w:rPr>
          <w:i/>
          <w:noProof/>
        </w:rPr>
        <w:t>34</w:t>
      </w:r>
      <w:bookmarkEnd w:id="74"/>
    </w:p>
    <w:p w14:paraId="51C175AF" w14:textId="2E344D73" w:rsidR="009D6C12" w:rsidRDefault="009D6C12" w:rsidP="009D6C12">
      <w:pPr>
        <w:spacing w:after="60"/>
        <w:jc w:val="center"/>
        <w:rPr>
          <w:b/>
        </w:rPr>
      </w:pPr>
      <w:r w:rsidRPr="009D6C12">
        <w:rPr>
          <w:b/>
        </w:rPr>
        <w:t>Динамика доходов и расходов бюджета ФСС в 201</w:t>
      </w:r>
      <w:r w:rsidR="00B4496E">
        <w:rPr>
          <w:b/>
        </w:rPr>
        <w:t>8</w:t>
      </w:r>
      <w:r w:rsidRPr="009D6C12">
        <w:rPr>
          <w:b/>
        </w:rPr>
        <w:t>-2022 гг., млрд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97"/>
        <w:gridCol w:w="898"/>
        <w:gridCol w:w="898"/>
        <w:gridCol w:w="898"/>
        <w:gridCol w:w="898"/>
        <w:gridCol w:w="895"/>
      </w:tblGrid>
      <w:tr w:rsidR="00B4496E" w:rsidRPr="00C60260" w14:paraId="1B22B54C" w14:textId="77777777" w:rsidTr="00B4496E">
        <w:trPr>
          <w:trHeight w:val="300"/>
        </w:trPr>
        <w:tc>
          <w:tcPr>
            <w:tcW w:w="2557" w:type="pct"/>
            <w:shd w:val="clear" w:color="auto" w:fill="auto"/>
            <w:noWrap/>
            <w:tcMar>
              <w:top w:w="0" w:type="dxa"/>
              <w:left w:w="108" w:type="dxa"/>
              <w:bottom w:w="0" w:type="dxa"/>
              <w:right w:w="108" w:type="dxa"/>
            </w:tcMar>
            <w:hideMark/>
          </w:tcPr>
          <w:p w14:paraId="423D189B" w14:textId="77777777" w:rsidR="00B4496E" w:rsidRPr="00C60260" w:rsidRDefault="00B4496E" w:rsidP="001644A4">
            <w:pPr>
              <w:keepNext/>
              <w:rPr>
                <w:color w:val="000000" w:themeColor="text1"/>
              </w:rPr>
            </w:pPr>
          </w:p>
        </w:tc>
        <w:tc>
          <w:tcPr>
            <w:tcW w:w="489" w:type="pct"/>
            <w:shd w:val="clear" w:color="auto" w:fill="auto"/>
            <w:noWrap/>
            <w:tcMar>
              <w:top w:w="0" w:type="dxa"/>
              <w:left w:w="108" w:type="dxa"/>
              <w:bottom w:w="0" w:type="dxa"/>
              <w:right w:w="108" w:type="dxa"/>
            </w:tcMar>
            <w:vAlign w:val="center"/>
            <w:hideMark/>
          </w:tcPr>
          <w:p w14:paraId="582E8FF5" w14:textId="77777777" w:rsidR="00B4496E" w:rsidRPr="00D569BF" w:rsidRDefault="00B4496E" w:rsidP="001644A4">
            <w:pPr>
              <w:pStyle w:val="af4"/>
              <w:keepNext/>
              <w:spacing w:line="252" w:lineRule="auto"/>
              <w:rPr>
                <w:color w:val="000000" w:themeColor="text1"/>
                <w:lang w:eastAsia="en-US"/>
              </w:rPr>
            </w:pPr>
            <w:r w:rsidRPr="00D569BF">
              <w:rPr>
                <w:color w:val="000000" w:themeColor="text1"/>
                <w:lang w:eastAsia="en-US"/>
              </w:rPr>
              <w:t xml:space="preserve">2018 </w:t>
            </w:r>
            <w:r w:rsidRPr="00D569BF">
              <w:rPr>
                <w:bCs/>
                <w:color w:val="000000"/>
                <w:szCs w:val="18"/>
              </w:rPr>
              <w:t>г.</w:t>
            </w:r>
            <w:r w:rsidRPr="00D569BF">
              <w:rPr>
                <w:color w:val="000000" w:themeColor="text1"/>
                <w:lang w:eastAsia="en-US"/>
              </w:rPr>
              <w:t>, факт</w:t>
            </w:r>
          </w:p>
        </w:tc>
        <w:tc>
          <w:tcPr>
            <w:tcW w:w="489" w:type="pct"/>
            <w:shd w:val="clear" w:color="auto" w:fill="auto"/>
            <w:noWrap/>
            <w:tcMar>
              <w:top w:w="0" w:type="dxa"/>
              <w:left w:w="108" w:type="dxa"/>
              <w:bottom w:w="0" w:type="dxa"/>
              <w:right w:w="108" w:type="dxa"/>
            </w:tcMar>
            <w:vAlign w:val="center"/>
            <w:hideMark/>
          </w:tcPr>
          <w:p w14:paraId="0D558798" w14:textId="77777777" w:rsidR="00B4496E" w:rsidRPr="005C36A5" w:rsidRDefault="00B4496E" w:rsidP="001644A4">
            <w:pPr>
              <w:pStyle w:val="af4"/>
              <w:keepNext/>
              <w:spacing w:line="252" w:lineRule="auto"/>
              <w:rPr>
                <w:color w:val="000000" w:themeColor="text1"/>
                <w:highlight w:val="yellow"/>
                <w:lang w:eastAsia="en-US"/>
              </w:rPr>
            </w:pPr>
            <w:r w:rsidRPr="00B34871">
              <w:rPr>
                <w:color w:val="000000" w:themeColor="text1"/>
                <w:lang w:eastAsia="en-US"/>
              </w:rPr>
              <w:t xml:space="preserve">2019 г., </w:t>
            </w:r>
            <w:r>
              <w:rPr>
                <w:color w:val="000000" w:themeColor="text1"/>
                <w:lang w:eastAsia="en-US"/>
              </w:rPr>
              <w:t>план</w:t>
            </w:r>
          </w:p>
        </w:tc>
        <w:tc>
          <w:tcPr>
            <w:tcW w:w="489" w:type="pct"/>
            <w:shd w:val="clear" w:color="auto" w:fill="auto"/>
            <w:noWrap/>
            <w:tcMar>
              <w:top w:w="0" w:type="dxa"/>
              <w:left w:w="108" w:type="dxa"/>
              <w:bottom w:w="0" w:type="dxa"/>
              <w:right w:w="108" w:type="dxa"/>
            </w:tcMar>
            <w:vAlign w:val="center"/>
            <w:hideMark/>
          </w:tcPr>
          <w:p w14:paraId="253F80AD" w14:textId="77777777" w:rsidR="00B4496E" w:rsidRPr="00935B9B" w:rsidRDefault="00B4496E" w:rsidP="001644A4">
            <w:pPr>
              <w:pStyle w:val="af4"/>
              <w:keepNext/>
              <w:spacing w:line="252" w:lineRule="auto"/>
              <w:rPr>
                <w:color w:val="000000" w:themeColor="text1"/>
                <w:lang w:eastAsia="en-US"/>
              </w:rPr>
            </w:pPr>
            <w:r w:rsidRPr="00935B9B">
              <w:rPr>
                <w:color w:val="000000" w:themeColor="text1"/>
                <w:lang w:eastAsia="en-US"/>
              </w:rPr>
              <w:t>2020 г., план</w:t>
            </w:r>
          </w:p>
        </w:tc>
        <w:tc>
          <w:tcPr>
            <w:tcW w:w="489" w:type="pct"/>
            <w:shd w:val="clear" w:color="auto" w:fill="auto"/>
          </w:tcPr>
          <w:p w14:paraId="10383801" w14:textId="77777777" w:rsidR="00B4496E" w:rsidRPr="00935B9B" w:rsidRDefault="00B4496E" w:rsidP="001644A4">
            <w:pPr>
              <w:pStyle w:val="af4"/>
              <w:keepNext/>
              <w:spacing w:line="252" w:lineRule="auto"/>
              <w:rPr>
                <w:color w:val="000000" w:themeColor="text1"/>
                <w:lang w:eastAsia="en-US"/>
              </w:rPr>
            </w:pPr>
            <w:r w:rsidRPr="00935B9B">
              <w:rPr>
                <w:color w:val="000000" w:themeColor="text1"/>
                <w:lang w:eastAsia="en-US"/>
              </w:rPr>
              <w:t xml:space="preserve">2021 г., </w:t>
            </w:r>
          </w:p>
          <w:p w14:paraId="57C938F5" w14:textId="77777777" w:rsidR="00B4496E" w:rsidRPr="00935B9B" w:rsidRDefault="00B4496E" w:rsidP="001644A4">
            <w:pPr>
              <w:pStyle w:val="af4"/>
              <w:keepNext/>
              <w:spacing w:line="252" w:lineRule="auto"/>
              <w:rPr>
                <w:color w:val="000000" w:themeColor="text1"/>
                <w:lang w:eastAsia="en-US"/>
              </w:rPr>
            </w:pPr>
            <w:r w:rsidRPr="00935B9B">
              <w:rPr>
                <w:color w:val="000000" w:themeColor="text1"/>
                <w:lang w:eastAsia="en-US"/>
              </w:rPr>
              <w:t>план</w:t>
            </w:r>
          </w:p>
        </w:tc>
        <w:tc>
          <w:tcPr>
            <w:tcW w:w="487" w:type="pct"/>
          </w:tcPr>
          <w:p w14:paraId="5D9AEA7D" w14:textId="77777777" w:rsidR="00B4496E" w:rsidRPr="00935B9B" w:rsidRDefault="00B4496E" w:rsidP="001644A4">
            <w:pPr>
              <w:pStyle w:val="af4"/>
              <w:keepNext/>
              <w:spacing w:line="252" w:lineRule="auto"/>
              <w:rPr>
                <w:color w:val="000000" w:themeColor="text1"/>
                <w:lang w:eastAsia="en-US"/>
              </w:rPr>
            </w:pPr>
            <w:r w:rsidRPr="00935B9B">
              <w:rPr>
                <w:color w:val="000000" w:themeColor="text1"/>
                <w:lang w:eastAsia="en-US"/>
              </w:rPr>
              <w:t>2022 г., план</w:t>
            </w:r>
          </w:p>
        </w:tc>
      </w:tr>
      <w:tr w:rsidR="00B4496E" w:rsidRPr="00721B02" w14:paraId="21B206DB" w14:textId="77777777" w:rsidTr="00B4496E">
        <w:trPr>
          <w:trHeight w:val="367"/>
        </w:trPr>
        <w:tc>
          <w:tcPr>
            <w:tcW w:w="2557" w:type="pct"/>
            <w:tcMar>
              <w:top w:w="0" w:type="dxa"/>
              <w:left w:w="108" w:type="dxa"/>
              <w:bottom w:w="0" w:type="dxa"/>
              <w:right w:w="108" w:type="dxa"/>
            </w:tcMar>
            <w:hideMark/>
          </w:tcPr>
          <w:p w14:paraId="1D91F011" w14:textId="77777777" w:rsidR="00B4496E" w:rsidRPr="00AD095C" w:rsidRDefault="00B4496E" w:rsidP="001644A4">
            <w:pPr>
              <w:pStyle w:val="af2"/>
              <w:keepNext/>
              <w:spacing w:line="252" w:lineRule="auto"/>
              <w:rPr>
                <w:b/>
                <w:color w:val="000000" w:themeColor="text1"/>
                <w:lang w:eastAsia="en-US"/>
              </w:rPr>
            </w:pPr>
            <w:r>
              <w:rPr>
                <w:b/>
                <w:color w:val="000000" w:themeColor="text1"/>
                <w:lang w:eastAsia="en-US"/>
              </w:rPr>
              <w:t>Доходы</w:t>
            </w:r>
          </w:p>
        </w:tc>
        <w:tc>
          <w:tcPr>
            <w:tcW w:w="489" w:type="pct"/>
            <w:noWrap/>
            <w:tcMar>
              <w:top w:w="0" w:type="dxa"/>
              <w:left w:w="108" w:type="dxa"/>
              <w:bottom w:w="0" w:type="dxa"/>
              <w:right w:w="108" w:type="dxa"/>
            </w:tcMar>
            <w:vAlign w:val="center"/>
          </w:tcPr>
          <w:p w14:paraId="384DD129" w14:textId="77777777" w:rsidR="00B4496E" w:rsidRPr="00D569BF" w:rsidRDefault="00B4496E" w:rsidP="001644A4">
            <w:pPr>
              <w:pStyle w:val="af3"/>
              <w:keepNext/>
              <w:spacing w:line="252" w:lineRule="auto"/>
              <w:rPr>
                <w:b/>
                <w:color w:val="000000" w:themeColor="text1"/>
                <w:lang w:eastAsia="en-US"/>
              </w:rPr>
            </w:pPr>
            <w:r>
              <w:rPr>
                <w:b/>
                <w:color w:val="000000" w:themeColor="text1"/>
                <w:lang w:eastAsia="en-US"/>
              </w:rPr>
              <w:t>735,2</w:t>
            </w:r>
          </w:p>
        </w:tc>
        <w:tc>
          <w:tcPr>
            <w:tcW w:w="489" w:type="pct"/>
            <w:noWrap/>
            <w:tcMar>
              <w:top w:w="0" w:type="dxa"/>
              <w:left w:w="108" w:type="dxa"/>
              <w:bottom w:w="0" w:type="dxa"/>
              <w:right w:w="108" w:type="dxa"/>
            </w:tcMar>
            <w:vAlign w:val="center"/>
          </w:tcPr>
          <w:p w14:paraId="1C5DE4EC" w14:textId="77777777" w:rsidR="00B4496E" w:rsidRPr="00B34871" w:rsidRDefault="00B4496E" w:rsidP="001644A4">
            <w:pPr>
              <w:pStyle w:val="af3"/>
              <w:keepNext/>
              <w:spacing w:line="252" w:lineRule="auto"/>
              <w:rPr>
                <w:b/>
                <w:color w:val="000000" w:themeColor="text1"/>
                <w:lang w:eastAsia="en-US"/>
              </w:rPr>
            </w:pPr>
            <w:r>
              <w:rPr>
                <w:b/>
                <w:color w:val="000000" w:themeColor="text1"/>
                <w:lang w:eastAsia="en-US"/>
              </w:rPr>
              <w:t>753,0</w:t>
            </w:r>
          </w:p>
        </w:tc>
        <w:tc>
          <w:tcPr>
            <w:tcW w:w="489" w:type="pct"/>
            <w:noWrap/>
            <w:tcMar>
              <w:top w:w="0" w:type="dxa"/>
              <w:left w:w="108" w:type="dxa"/>
              <w:bottom w:w="0" w:type="dxa"/>
              <w:right w:w="108" w:type="dxa"/>
            </w:tcMar>
            <w:vAlign w:val="center"/>
          </w:tcPr>
          <w:p w14:paraId="5923DFBD" w14:textId="77777777" w:rsidR="00B4496E" w:rsidRPr="00625FB3" w:rsidRDefault="00B4496E" w:rsidP="001644A4">
            <w:pPr>
              <w:pStyle w:val="af3"/>
              <w:keepNext/>
              <w:spacing w:line="252" w:lineRule="auto"/>
              <w:rPr>
                <w:b/>
                <w:color w:val="000000" w:themeColor="text1"/>
                <w:lang w:eastAsia="en-US"/>
              </w:rPr>
            </w:pPr>
            <w:r w:rsidRPr="00625FB3">
              <w:rPr>
                <w:b/>
                <w:color w:val="000000" w:themeColor="text1"/>
                <w:lang w:eastAsia="en-US"/>
              </w:rPr>
              <w:t>811,6</w:t>
            </w:r>
          </w:p>
        </w:tc>
        <w:tc>
          <w:tcPr>
            <w:tcW w:w="489" w:type="pct"/>
            <w:vAlign w:val="center"/>
          </w:tcPr>
          <w:p w14:paraId="504B43BB" w14:textId="77777777" w:rsidR="00B4496E" w:rsidRPr="00625FB3" w:rsidRDefault="00B4496E" w:rsidP="001644A4">
            <w:pPr>
              <w:pStyle w:val="af3"/>
              <w:keepNext/>
              <w:spacing w:line="252" w:lineRule="auto"/>
              <w:rPr>
                <w:b/>
                <w:color w:val="000000" w:themeColor="text1"/>
                <w:lang w:eastAsia="en-US"/>
              </w:rPr>
            </w:pPr>
            <w:r>
              <w:rPr>
                <w:b/>
                <w:color w:val="000000" w:themeColor="text1"/>
                <w:lang w:eastAsia="en-US"/>
              </w:rPr>
              <w:t>821,1</w:t>
            </w:r>
          </w:p>
        </w:tc>
        <w:tc>
          <w:tcPr>
            <w:tcW w:w="487" w:type="pct"/>
            <w:vAlign w:val="center"/>
          </w:tcPr>
          <w:p w14:paraId="72723040" w14:textId="77777777" w:rsidR="00B4496E" w:rsidRPr="00625FB3" w:rsidRDefault="00B4496E" w:rsidP="001644A4">
            <w:pPr>
              <w:pStyle w:val="af3"/>
              <w:keepNext/>
              <w:spacing w:line="252" w:lineRule="auto"/>
              <w:rPr>
                <w:b/>
                <w:color w:val="000000" w:themeColor="text1"/>
                <w:lang w:eastAsia="en-US"/>
              </w:rPr>
            </w:pPr>
            <w:r w:rsidRPr="00625FB3">
              <w:rPr>
                <w:b/>
                <w:color w:val="000000" w:themeColor="text1"/>
                <w:lang w:eastAsia="en-US"/>
              </w:rPr>
              <w:t>936,5</w:t>
            </w:r>
          </w:p>
        </w:tc>
      </w:tr>
      <w:tr w:rsidR="00B4496E" w:rsidRPr="00721B02" w14:paraId="00C7D2EC" w14:textId="77777777" w:rsidTr="00B4496E">
        <w:trPr>
          <w:trHeight w:val="300"/>
        </w:trPr>
        <w:tc>
          <w:tcPr>
            <w:tcW w:w="2557" w:type="pct"/>
            <w:tcMar>
              <w:top w:w="0" w:type="dxa"/>
              <w:left w:w="108" w:type="dxa"/>
              <w:bottom w:w="0" w:type="dxa"/>
              <w:right w:w="108" w:type="dxa"/>
            </w:tcMar>
            <w:hideMark/>
          </w:tcPr>
          <w:p w14:paraId="45BDBFEC" w14:textId="77777777" w:rsidR="00B4496E" w:rsidRPr="00D74A42" w:rsidRDefault="00B4496E" w:rsidP="001644A4">
            <w:pPr>
              <w:pStyle w:val="af2"/>
              <w:keepNext/>
              <w:spacing w:line="252" w:lineRule="auto"/>
              <w:rPr>
                <w:i/>
                <w:color w:val="000000" w:themeColor="text1"/>
                <w:lang w:eastAsia="en-US"/>
              </w:rPr>
            </w:pPr>
            <w:r>
              <w:rPr>
                <w:i/>
                <w:color w:val="000000" w:themeColor="text1"/>
                <w:lang w:eastAsia="en-US"/>
              </w:rPr>
              <w:t>из них</w:t>
            </w:r>
          </w:p>
        </w:tc>
        <w:tc>
          <w:tcPr>
            <w:tcW w:w="489" w:type="pct"/>
            <w:tcBorders>
              <w:bottom w:val="single" w:sz="4" w:space="0" w:color="auto"/>
            </w:tcBorders>
            <w:noWrap/>
            <w:tcMar>
              <w:top w:w="0" w:type="dxa"/>
              <w:left w:w="108" w:type="dxa"/>
              <w:bottom w:w="0" w:type="dxa"/>
              <w:right w:w="108" w:type="dxa"/>
            </w:tcMar>
            <w:vAlign w:val="center"/>
          </w:tcPr>
          <w:p w14:paraId="7CF9E922" w14:textId="77777777" w:rsidR="00B4496E" w:rsidRPr="00D74A42" w:rsidRDefault="00B4496E" w:rsidP="001644A4">
            <w:pPr>
              <w:keepNext/>
              <w:rPr>
                <w:i/>
                <w:color w:val="000000" w:themeColor="text1"/>
                <w:sz w:val="20"/>
              </w:rPr>
            </w:pPr>
          </w:p>
        </w:tc>
        <w:tc>
          <w:tcPr>
            <w:tcW w:w="489" w:type="pct"/>
            <w:tcBorders>
              <w:bottom w:val="single" w:sz="4" w:space="0" w:color="auto"/>
            </w:tcBorders>
            <w:noWrap/>
            <w:tcMar>
              <w:top w:w="0" w:type="dxa"/>
              <w:left w:w="108" w:type="dxa"/>
              <w:bottom w:w="0" w:type="dxa"/>
              <w:right w:w="108" w:type="dxa"/>
            </w:tcMar>
            <w:vAlign w:val="center"/>
          </w:tcPr>
          <w:p w14:paraId="1A71A5A8" w14:textId="77777777" w:rsidR="00B4496E" w:rsidRPr="00B34871" w:rsidRDefault="00B4496E" w:rsidP="001644A4">
            <w:pPr>
              <w:keepNext/>
              <w:rPr>
                <w:i/>
                <w:color w:val="000000" w:themeColor="text1"/>
                <w:sz w:val="20"/>
              </w:rPr>
            </w:pPr>
          </w:p>
        </w:tc>
        <w:tc>
          <w:tcPr>
            <w:tcW w:w="489" w:type="pct"/>
            <w:tcBorders>
              <w:bottom w:val="single" w:sz="4" w:space="0" w:color="auto"/>
            </w:tcBorders>
            <w:noWrap/>
            <w:tcMar>
              <w:top w:w="0" w:type="dxa"/>
              <w:left w:w="108" w:type="dxa"/>
              <w:bottom w:w="0" w:type="dxa"/>
              <w:right w:w="108" w:type="dxa"/>
            </w:tcMar>
            <w:vAlign w:val="center"/>
          </w:tcPr>
          <w:p w14:paraId="14ECCB84" w14:textId="77777777" w:rsidR="00B4496E" w:rsidRPr="00625FB3" w:rsidRDefault="00B4496E" w:rsidP="001644A4">
            <w:pPr>
              <w:keepNext/>
              <w:rPr>
                <w:i/>
                <w:color w:val="000000" w:themeColor="text1"/>
                <w:sz w:val="20"/>
              </w:rPr>
            </w:pPr>
          </w:p>
        </w:tc>
        <w:tc>
          <w:tcPr>
            <w:tcW w:w="489" w:type="pct"/>
            <w:tcBorders>
              <w:bottom w:val="single" w:sz="4" w:space="0" w:color="auto"/>
            </w:tcBorders>
          </w:tcPr>
          <w:p w14:paraId="5B48443E" w14:textId="77777777" w:rsidR="00B4496E" w:rsidRPr="00625FB3" w:rsidRDefault="00B4496E" w:rsidP="001644A4">
            <w:pPr>
              <w:keepNext/>
              <w:rPr>
                <w:i/>
                <w:color w:val="000000" w:themeColor="text1"/>
                <w:sz w:val="20"/>
              </w:rPr>
            </w:pPr>
          </w:p>
        </w:tc>
        <w:tc>
          <w:tcPr>
            <w:tcW w:w="487" w:type="pct"/>
            <w:tcBorders>
              <w:bottom w:val="single" w:sz="4" w:space="0" w:color="auto"/>
            </w:tcBorders>
            <w:vAlign w:val="center"/>
          </w:tcPr>
          <w:p w14:paraId="7E6EEEB0" w14:textId="77777777" w:rsidR="00B4496E" w:rsidRPr="00625FB3" w:rsidRDefault="00B4496E" w:rsidP="001644A4">
            <w:pPr>
              <w:pStyle w:val="af3"/>
              <w:keepNext/>
              <w:spacing w:line="252" w:lineRule="auto"/>
              <w:rPr>
                <w:color w:val="000000" w:themeColor="text1"/>
                <w:lang w:eastAsia="en-US"/>
              </w:rPr>
            </w:pPr>
          </w:p>
        </w:tc>
      </w:tr>
      <w:tr w:rsidR="00B4496E" w:rsidRPr="00C60260" w14:paraId="329578D2" w14:textId="77777777" w:rsidTr="00B4496E">
        <w:trPr>
          <w:trHeight w:val="698"/>
        </w:trPr>
        <w:tc>
          <w:tcPr>
            <w:tcW w:w="2557" w:type="pct"/>
            <w:tcMar>
              <w:top w:w="0" w:type="dxa"/>
              <w:left w:w="108" w:type="dxa"/>
              <w:bottom w:w="0" w:type="dxa"/>
              <w:right w:w="108" w:type="dxa"/>
            </w:tcMar>
            <w:hideMark/>
          </w:tcPr>
          <w:p w14:paraId="0CF35A50" w14:textId="77777777" w:rsidR="00B4496E" w:rsidRPr="00C60260" w:rsidRDefault="00B4496E" w:rsidP="001644A4">
            <w:pPr>
              <w:pStyle w:val="af2"/>
              <w:keepNext/>
              <w:spacing w:line="252" w:lineRule="auto"/>
              <w:jc w:val="right"/>
              <w:rPr>
                <w:color w:val="000000" w:themeColor="text1"/>
                <w:lang w:eastAsia="en-US"/>
              </w:rPr>
            </w:pPr>
            <w:r w:rsidRPr="00C60260">
              <w:rPr>
                <w:color w:val="000000" w:themeColor="text1"/>
                <w:lang w:eastAsia="en-US"/>
              </w:rPr>
              <w:t>по обязательному социальному страхованию на случай временной нетрудоспособности и в связи с материнством</w:t>
            </w:r>
            <w:r>
              <w:rPr>
                <w:color w:val="000000" w:themeColor="text1"/>
                <w:lang w:eastAsia="en-US"/>
              </w:rPr>
              <w:t>, %</w:t>
            </w:r>
          </w:p>
        </w:tc>
        <w:tc>
          <w:tcPr>
            <w:tcW w:w="489"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B3B1D17" w14:textId="7C85C3EF" w:rsidR="00B4496E" w:rsidRPr="00625FB3" w:rsidRDefault="00B4496E" w:rsidP="001644A4">
            <w:pPr>
              <w:pStyle w:val="af3"/>
              <w:keepNext/>
              <w:spacing w:line="252" w:lineRule="auto"/>
              <w:rPr>
                <w:color w:val="000000" w:themeColor="text1"/>
                <w:lang w:eastAsia="en-US"/>
              </w:rPr>
            </w:pPr>
            <w:r w:rsidRPr="00625FB3">
              <w:rPr>
                <w:color w:val="000000" w:themeColor="text1"/>
                <w:lang w:eastAsia="en-US"/>
              </w:rPr>
              <w:t>75,9</w:t>
            </w:r>
          </w:p>
        </w:tc>
        <w:tc>
          <w:tcPr>
            <w:tcW w:w="489"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5D7AD7C" w14:textId="32BA931F" w:rsidR="00B4496E" w:rsidRPr="00625FB3" w:rsidRDefault="00B4496E" w:rsidP="001644A4">
            <w:pPr>
              <w:pStyle w:val="af3"/>
              <w:keepNext/>
              <w:spacing w:line="252" w:lineRule="auto"/>
              <w:rPr>
                <w:color w:val="000000" w:themeColor="text1"/>
                <w:lang w:eastAsia="en-US"/>
              </w:rPr>
            </w:pPr>
            <w:r w:rsidRPr="00625FB3">
              <w:rPr>
                <w:color w:val="000000" w:themeColor="text1"/>
                <w:lang w:eastAsia="en-US"/>
              </w:rPr>
              <w:t>76,5</w:t>
            </w:r>
          </w:p>
        </w:tc>
        <w:tc>
          <w:tcPr>
            <w:tcW w:w="489"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E273560" w14:textId="3AAAEA4C" w:rsidR="00B4496E" w:rsidRPr="00625FB3" w:rsidRDefault="00B4496E" w:rsidP="001644A4">
            <w:pPr>
              <w:pStyle w:val="af3"/>
              <w:keepNext/>
              <w:spacing w:line="252" w:lineRule="auto"/>
              <w:rPr>
                <w:color w:val="000000" w:themeColor="text1"/>
                <w:lang w:eastAsia="en-US"/>
              </w:rPr>
            </w:pPr>
            <w:r w:rsidRPr="00625FB3">
              <w:rPr>
                <w:color w:val="000000" w:themeColor="text1"/>
                <w:lang w:eastAsia="en-US"/>
              </w:rPr>
              <w:t>74,5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4137A115" w14:textId="49EB3DE0" w:rsidR="00B4496E" w:rsidRPr="00625FB3" w:rsidRDefault="00B4496E" w:rsidP="001644A4">
            <w:pPr>
              <w:pStyle w:val="af3"/>
              <w:keepNext/>
              <w:spacing w:line="252" w:lineRule="auto"/>
              <w:rPr>
                <w:color w:val="000000" w:themeColor="text1"/>
                <w:lang w:eastAsia="en-US"/>
              </w:rPr>
            </w:pPr>
            <w:r w:rsidRPr="00625FB3">
              <w:rPr>
                <w:color w:val="000000" w:themeColor="text1"/>
                <w:lang w:eastAsia="en-US"/>
              </w:rPr>
              <w:t>73,7</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0E2B6A30" w14:textId="60B1932A" w:rsidR="00B4496E" w:rsidRPr="00625FB3" w:rsidRDefault="00B4496E" w:rsidP="001644A4">
            <w:pPr>
              <w:pStyle w:val="af3"/>
              <w:keepNext/>
              <w:spacing w:line="252" w:lineRule="auto"/>
              <w:rPr>
                <w:color w:val="000000" w:themeColor="text1"/>
                <w:lang w:eastAsia="en-US"/>
              </w:rPr>
            </w:pPr>
            <w:r w:rsidRPr="00625FB3">
              <w:rPr>
                <w:color w:val="000000" w:themeColor="text1"/>
                <w:lang w:eastAsia="en-US"/>
              </w:rPr>
              <w:t>75,5</w:t>
            </w:r>
          </w:p>
        </w:tc>
      </w:tr>
      <w:tr w:rsidR="008E78DD" w:rsidRPr="00CB44FF" w14:paraId="2EEB81B9" w14:textId="77777777" w:rsidTr="008E78DD">
        <w:trPr>
          <w:trHeight w:val="70"/>
        </w:trPr>
        <w:tc>
          <w:tcPr>
            <w:tcW w:w="2557" w:type="pct"/>
            <w:tcMar>
              <w:top w:w="0" w:type="dxa"/>
              <w:left w:w="108" w:type="dxa"/>
              <w:bottom w:w="0" w:type="dxa"/>
              <w:right w:w="108" w:type="dxa"/>
            </w:tcMar>
            <w:hideMark/>
          </w:tcPr>
          <w:p w14:paraId="3C0B8D99" w14:textId="77777777" w:rsidR="008E78DD" w:rsidRPr="00CB44FF" w:rsidRDefault="008E78DD" w:rsidP="001D0E83">
            <w:pPr>
              <w:pStyle w:val="af2"/>
              <w:keepNext/>
              <w:spacing w:line="252" w:lineRule="auto"/>
              <w:jc w:val="right"/>
              <w:rPr>
                <w:lang w:eastAsia="en-US"/>
              </w:rPr>
            </w:pPr>
            <w:r w:rsidRPr="00CB44FF">
              <w:rPr>
                <w:lang w:eastAsia="en-US"/>
              </w:rPr>
              <w:t>по обязательному социальному страхованию от несчастных случаев на производстве и профессиональных заболеваний</w:t>
            </w:r>
            <w:r>
              <w:rPr>
                <w:lang w:eastAsia="en-US"/>
              </w:rPr>
              <w:t>, %</w:t>
            </w:r>
          </w:p>
        </w:tc>
        <w:tc>
          <w:tcPr>
            <w:tcW w:w="489"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491EF43" w14:textId="7BDDBC96" w:rsidR="008E78DD" w:rsidRPr="00625FB3" w:rsidRDefault="008E78DD" w:rsidP="009963C0">
            <w:pPr>
              <w:pStyle w:val="af3"/>
              <w:keepNext/>
              <w:spacing w:line="252" w:lineRule="auto"/>
              <w:rPr>
                <w:color w:val="000000" w:themeColor="text1"/>
                <w:lang w:eastAsia="en-US"/>
              </w:rPr>
            </w:pPr>
            <w:r w:rsidRPr="00625FB3">
              <w:rPr>
                <w:color w:val="000000" w:themeColor="text1"/>
                <w:lang w:eastAsia="en-US"/>
              </w:rPr>
              <w:t>17,2</w:t>
            </w:r>
          </w:p>
        </w:tc>
        <w:tc>
          <w:tcPr>
            <w:tcW w:w="489"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D94B3CF" w14:textId="0498B5D7" w:rsidR="008E78DD" w:rsidRPr="00625FB3" w:rsidRDefault="008E78DD" w:rsidP="009963C0">
            <w:pPr>
              <w:pStyle w:val="af3"/>
              <w:keepNext/>
              <w:spacing w:line="252" w:lineRule="auto"/>
              <w:rPr>
                <w:color w:val="000000" w:themeColor="text1"/>
                <w:lang w:eastAsia="en-US"/>
              </w:rPr>
            </w:pPr>
            <w:r w:rsidRPr="00625FB3">
              <w:rPr>
                <w:color w:val="000000" w:themeColor="text1"/>
                <w:lang w:eastAsia="en-US"/>
              </w:rPr>
              <w:t>17,0</w:t>
            </w:r>
          </w:p>
        </w:tc>
        <w:tc>
          <w:tcPr>
            <w:tcW w:w="489"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CC2D734" w14:textId="7184A995" w:rsidR="008E78DD" w:rsidRPr="00625FB3" w:rsidRDefault="008E78DD" w:rsidP="009963C0">
            <w:pPr>
              <w:pStyle w:val="af3"/>
              <w:keepNext/>
              <w:spacing w:line="252" w:lineRule="auto"/>
              <w:rPr>
                <w:color w:val="000000" w:themeColor="text1"/>
                <w:lang w:eastAsia="en-US"/>
              </w:rPr>
            </w:pPr>
            <w:r w:rsidRPr="00625FB3">
              <w:rPr>
                <w:color w:val="000000" w:themeColor="text1"/>
                <w:lang w:eastAsia="en-US"/>
              </w:rPr>
              <w:t>18,1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79C6B8E8" w14:textId="096AA6FA" w:rsidR="008E78DD" w:rsidRPr="00625FB3" w:rsidRDefault="008E78DD" w:rsidP="009963C0">
            <w:pPr>
              <w:pStyle w:val="af3"/>
              <w:keepNext/>
              <w:spacing w:line="252" w:lineRule="auto"/>
              <w:rPr>
                <w:color w:val="000000" w:themeColor="text1"/>
                <w:lang w:eastAsia="en-US"/>
              </w:rPr>
            </w:pPr>
            <w:r w:rsidRPr="00625FB3">
              <w:rPr>
                <w:color w:val="000000" w:themeColor="text1"/>
                <w:lang w:eastAsia="en-US"/>
              </w:rPr>
              <w:t>18,9</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7B0A65F" w14:textId="5B948362" w:rsidR="008E78DD" w:rsidRPr="00625FB3" w:rsidRDefault="008E78DD" w:rsidP="009963C0">
            <w:pPr>
              <w:pStyle w:val="af3"/>
              <w:keepNext/>
              <w:spacing w:line="252" w:lineRule="auto"/>
              <w:rPr>
                <w:color w:val="000000" w:themeColor="text1"/>
                <w:lang w:eastAsia="en-US"/>
              </w:rPr>
            </w:pPr>
            <w:r w:rsidRPr="00625FB3">
              <w:rPr>
                <w:color w:val="000000" w:themeColor="text1"/>
                <w:lang w:eastAsia="en-US"/>
              </w:rPr>
              <w:t>17,9</w:t>
            </w:r>
          </w:p>
        </w:tc>
      </w:tr>
    </w:tbl>
    <w:p w14:paraId="1BDC6FAD" w14:textId="77777777" w:rsidR="00817B95" w:rsidRPr="0002614E" w:rsidRDefault="00817B95" w:rsidP="00817B95">
      <w:pPr>
        <w:pStyle w:val="af0"/>
        <w:ind w:firstLine="709"/>
        <w:rPr>
          <w:sz w:val="14"/>
        </w:rPr>
      </w:pPr>
      <w:r w:rsidRPr="0002614E">
        <w:rPr>
          <w:i/>
          <w:sz w:val="20"/>
          <w:szCs w:val="24"/>
        </w:rPr>
        <w:t>Источник:</w:t>
      </w:r>
      <w:r w:rsidRPr="0002614E">
        <w:rPr>
          <w:sz w:val="20"/>
          <w:szCs w:val="24"/>
        </w:rPr>
        <w:t xml:space="preserve"> </w:t>
      </w:r>
      <w:r>
        <w:rPr>
          <w:sz w:val="20"/>
          <w:szCs w:val="24"/>
        </w:rPr>
        <w:t>Пояснительная записка к п</w:t>
      </w:r>
      <w:r w:rsidRPr="0002614E">
        <w:rPr>
          <w:sz w:val="20"/>
          <w:szCs w:val="24"/>
        </w:rPr>
        <w:t>роект</w:t>
      </w:r>
      <w:r>
        <w:rPr>
          <w:sz w:val="20"/>
          <w:szCs w:val="24"/>
        </w:rPr>
        <w:t>у</w:t>
      </w:r>
      <w:r w:rsidRPr="0002614E">
        <w:rPr>
          <w:sz w:val="20"/>
          <w:szCs w:val="24"/>
        </w:rPr>
        <w:t xml:space="preserve"> федерального закона «О бюджете </w:t>
      </w:r>
      <w:r w:rsidRPr="00B34871">
        <w:rPr>
          <w:sz w:val="20"/>
          <w:szCs w:val="24"/>
        </w:rPr>
        <w:t>Фонда социального страхования</w:t>
      </w:r>
      <w:r w:rsidRPr="00935B9B">
        <w:rPr>
          <w:sz w:val="20"/>
          <w:szCs w:val="24"/>
        </w:rPr>
        <w:t xml:space="preserve"> на 2020 год и на плановый период 2021 и 2022 годов»</w:t>
      </w:r>
      <w:r>
        <w:rPr>
          <w:sz w:val="20"/>
          <w:szCs w:val="24"/>
        </w:rPr>
        <w:t xml:space="preserve">, федеральный закон </w:t>
      </w:r>
      <w:r w:rsidRPr="0002614E">
        <w:rPr>
          <w:sz w:val="20"/>
          <w:szCs w:val="24"/>
        </w:rPr>
        <w:t xml:space="preserve">«О бюджете </w:t>
      </w:r>
      <w:r w:rsidRPr="00B34871">
        <w:rPr>
          <w:sz w:val="20"/>
          <w:szCs w:val="24"/>
        </w:rPr>
        <w:t>Фонда социального страхования</w:t>
      </w:r>
      <w:r w:rsidRPr="00935B9B">
        <w:rPr>
          <w:sz w:val="20"/>
          <w:szCs w:val="24"/>
        </w:rPr>
        <w:t xml:space="preserve"> на 20</w:t>
      </w:r>
      <w:r>
        <w:rPr>
          <w:sz w:val="20"/>
          <w:szCs w:val="24"/>
        </w:rPr>
        <w:t>19</w:t>
      </w:r>
      <w:r w:rsidRPr="00935B9B">
        <w:rPr>
          <w:sz w:val="20"/>
          <w:szCs w:val="24"/>
        </w:rPr>
        <w:t xml:space="preserve"> год и на плановый период 202</w:t>
      </w:r>
      <w:r>
        <w:rPr>
          <w:sz w:val="20"/>
          <w:szCs w:val="24"/>
        </w:rPr>
        <w:t>0</w:t>
      </w:r>
      <w:r w:rsidRPr="00935B9B">
        <w:rPr>
          <w:sz w:val="20"/>
          <w:szCs w:val="24"/>
        </w:rPr>
        <w:t xml:space="preserve"> и 202</w:t>
      </w:r>
      <w:r>
        <w:rPr>
          <w:sz w:val="20"/>
          <w:szCs w:val="24"/>
        </w:rPr>
        <w:t>1</w:t>
      </w:r>
      <w:r w:rsidRPr="00935B9B">
        <w:rPr>
          <w:sz w:val="20"/>
          <w:szCs w:val="24"/>
        </w:rPr>
        <w:t xml:space="preserve"> годов»</w:t>
      </w:r>
      <w:r>
        <w:rPr>
          <w:sz w:val="20"/>
          <w:szCs w:val="24"/>
        </w:rPr>
        <w:t>, федеральный закон «О</w:t>
      </w:r>
      <w:r w:rsidRPr="00B34871">
        <w:rPr>
          <w:sz w:val="20"/>
          <w:szCs w:val="24"/>
        </w:rPr>
        <w:t>б исполнении бюджета Фонда социального страхования Российской Федерации за 2018 год</w:t>
      </w:r>
      <w:r>
        <w:rPr>
          <w:sz w:val="20"/>
          <w:szCs w:val="24"/>
        </w:rPr>
        <w:t>», законопроект «О</w:t>
      </w:r>
      <w:r w:rsidRPr="00B34871">
        <w:rPr>
          <w:sz w:val="20"/>
          <w:szCs w:val="24"/>
        </w:rPr>
        <w:t>б исполнении бюджета Фонда социального страхования Российской Федерации за 2018 год</w:t>
      </w:r>
      <w:r>
        <w:rPr>
          <w:sz w:val="20"/>
          <w:szCs w:val="24"/>
        </w:rPr>
        <w:t>».</w:t>
      </w:r>
    </w:p>
    <w:p w14:paraId="5A039AD8" w14:textId="3FCA003F" w:rsidR="00402B75" w:rsidRPr="00817B95" w:rsidRDefault="00402B75" w:rsidP="00130D58">
      <w:pPr>
        <w:rPr>
          <w:szCs w:val="20"/>
        </w:rPr>
      </w:pPr>
    </w:p>
    <w:p w14:paraId="79EEE7CE" w14:textId="7C47653C" w:rsidR="00995E45" w:rsidRPr="008E6B24" w:rsidRDefault="00995E45" w:rsidP="0035761E">
      <w:pPr>
        <w:keepNext/>
        <w:spacing w:before="60" w:after="60"/>
        <w:jc w:val="center"/>
        <w:outlineLvl w:val="2"/>
        <w:rPr>
          <w:b/>
          <w:szCs w:val="20"/>
        </w:rPr>
      </w:pPr>
      <w:bookmarkStart w:id="75" w:name="_Toc21436757"/>
      <w:r w:rsidRPr="00BE65E2">
        <w:rPr>
          <w:b/>
          <w:szCs w:val="20"/>
        </w:rPr>
        <w:t>Расходы на пенсионное обеспечение</w:t>
      </w:r>
      <w:bookmarkEnd w:id="71"/>
      <w:r w:rsidR="0024133A" w:rsidRPr="00BE65E2">
        <w:rPr>
          <w:b/>
          <w:szCs w:val="20"/>
        </w:rPr>
        <w:t xml:space="preserve"> и бюджет ПФР</w:t>
      </w:r>
      <w:bookmarkEnd w:id="75"/>
    </w:p>
    <w:p w14:paraId="6F381DE0" w14:textId="03919010" w:rsidR="00C4504E" w:rsidRPr="00E760FB" w:rsidRDefault="00C4504E" w:rsidP="00C4504E">
      <w:pPr>
        <w:spacing w:after="60"/>
        <w:ind w:firstLine="709"/>
        <w:jc w:val="both"/>
        <w:rPr>
          <w:snapToGrid w:val="0"/>
        </w:rPr>
      </w:pPr>
      <w:r w:rsidRPr="00E760FB">
        <w:rPr>
          <w:snapToGrid w:val="0"/>
        </w:rPr>
        <w:t>В соответствии с законопроектом</w:t>
      </w:r>
      <w:r>
        <w:rPr>
          <w:snapToGrid w:val="0"/>
        </w:rPr>
        <w:t>,</w:t>
      </w:r>
      <w:r w:rsidRPr="00E760FB">
        <w:rPr>
          <w:snapToGrid w:val="0"/>
        </w:rPr>
        <w:t xml:space="preserve"> расходы федерального бюджета по разделу «Пенсионное обеспечение» в 2020-2022 гг. составят </w:t>
      </w:r>
      <w:r w:rsidRPr="00E760FB">
        <w:rPr>
          <w:snapToGrid w:val="0"/>
          <w:szCs w:val="18"/>
        </w:rPr>
        <w:t>3</w:t>
      </w:r>
      <w:r>
        <w:rPr>
          <w:snapToGrid w:val="0"/>
          <w:szCs w:val="18"/>
        </w:rPr>
        <w:t xml:space="preserve"> </w:t>
      </w:r>
      <w:r w:rsidRPr="00E760FB">
        <w:rPr>
          <w:snapToGrid w:val="0"/>
          <w:szCs w:val="18"/>
        </w:rPr>
        <w:t>256,7</w:t>
      </w:r>
      <w:r w:rsidRPr="00E760FB">
        <w:rPr>
          <w:snapToGrid w:val="0"/>
        </w:rPr>
        <w:t xml:space="preserve"> млрд руб., </w:t>
      </w:r>
      <w:r w:rsidRPr="00E760FB">
        <w:rPr>
          <w:snapToGrid w:val="0"/>
          <w:szCs w:val="18"/>
        </w:rPr>
        <w:t>3</w:t>
      </w:r>
      <w:r>
        <w:rPr>
          <w:snapToGrid w:val="0"/>
          <w:szCs w:val="18"/>
        </w:rPr>
        <w:t xml:space="preserve"> </w:t>
      </w:r>
      <w:r w:rsidRPr="00E760FB">
        <w:rPr>
          <w:snapToGrid w:val="0"/>
          <w:szCs w:val="18"/>
        </w:rPr>
        <w:t>225,0</w:t>
      </w:r>
      <w:r w:rsidRPr="00E760FB">
        <w:rPr>
          <w:snapToGrid w:val="0"/>
        </w:rPr>
        <w:t xml:space="preserve"> млрд руб. и </w:t>
      </w:r>
      <w:r w:rsidRPr="00E760FB">
        <w:rPr>
          <w:snapToGrid w:val="0"/>
          <w:szCs w:val="18"/>
        </w:rPr>
        <w:t>2</w:t>
      </w:r>
      <w:r>
        <w:rPr>
          <w:snapToGrid w:val="0"/>
          <w:szCs w:val="18"/>
        </w:rPr>
        <w:t xml:space="preserve"> </w:t>
      </w:r>
      <w:r w:rsidRPr="00E760FB">
        <w:rPr>
          <w:snapToGrid w:val="0"/>
          <w:szCs w:val="18"/>
        </w:rPr>
        <w:t>968,9</w:t>
      </w:r>
      <w:r>
        <w:rPr>
          <w:snapToGrid w:val="0"/>
          <w:szCs w:val="18"/>
        </w:rPr>
        <w:t xml:space="preserve"> </w:t>
      </w:r>
      <w:r w:rsidRPr="00E760FB">
        <w:rPr>
          <w:snapToGrid w:val="0"/>
        </w:rPr>
        <w:t xml:space="preserve">млрд руб. соответственно. В долях ВВП расходы будут сокращаться в указанный период с </w:t>
      </w:r>
      <w:r w:rsidRPr="00E760FB">
        <w:rPr>
          <w:snapToGrid w:val="0"/>
          <w:szCs w:val="18"/>
        </w:rPr>
        <w:t>2,89</w:t>
      </w:r>
      <w:r w:rsidRPr="00E760FB">
        <w:rPr>
          <w:snapToGrid w:val="0"/>
        </w:rPr>
        <w:t xml:space="preserve">% ВВП до </w:t>
      </w:r>
      <w:r w:rsidRPr="00E760FB">
        <w:rPr>
          <w:snapToGrid w:val="0"/>
          <w:szCs w:val="18"/>
        </w:rPr>
        <w:t>2,31</w:t>
      </w:r>
      <w:r w:rsidRPr="00E760FB">
        <w:rPr>
          <w:snapToGrid w:val="0"/>
        </w:rPr>
        <w:t>% ВВП</w:t>
      </w:r>
      <w:r w:rsidRPr="00C4504E">
        <w:rPr>
          <w:i/>
          <w:snapToGrid w:val="0"/>
        </w:rPr>
        <w:t>.</w:t>
      </w:r>
      <w:r w:rsidRPr="00E760FB">
        <w:rPr>
          <w:snapToGrid w:val="0"/>
        </w:rPr>
        <w:t xml:space="preserve"> Также в реальном выражении в 2020-2022 гг. будут снижаться расходы бюджета Пенсионного фонда РФ (далее – ПФР</w:t>
      </w:r>
      <w:r w:rsidRPr="001C0B40">
        <w:rPr>
          <w:snapToGrid w:val="0"/>
        </w:rPr>
        <w:t xml:space="preserve">) с 8,01 % ВВП до 7,55% ВВП в соответствии </w:t>
      </w:r>
      <w:r w:rsidRPr="00E760FB">
        <w:rPr>
          <w:snapToGrid w:val="0"/>
        </w:rPr>
        <w:t>с проектом Федерального закона «О бюджете Пенсионного фонда Российской Федерации на 2020 год и на плановый период 2021 и 2022 годов» (далее – Проект бюджета ПФР).</w:t>
      </w:r>
    </w:p>
    <w:p w14:paraId="56DF0AB1" w14:textId="131A8115" w:rsidR="00C4504E" w:rsidRDefault="00C4504E" w:rsidP="00C4504E">
      <w:pPr>
        <w:spacing w:after="60"/>
        <w:ind w:firstLine="709"/>
        <w:jc w:val="both"/>
        <w:rPr>
          <w:snapToGrid w:val="0"/>
        </w:rPr>
      </w:pPr>
      <w:r w:rsidRPr="001C0B40">
        <w:rPr>
          <w:snapToGrid w:val="0"/>
        </w:rPr>
        <w:t xml:space="preserve">В реальном выражении с учетом индекса потребительских цен расходы федерального бюджета по разделу «Пенсионное обеспечение» сократятся в 2020-2022 гг. на 2,7-11,5% относительно уровня предыдущего года. Снижение расходов ожидается по большинству подразделов раздела «Пенсионное обеспечение» и обусловлено, в том числе, снижением численности лиц, получающих </w:t>
      </w:r>
      <w:r>
        <w:rPr>
          <w:snapToGrid w:val="0"/>
        </w:rPr>
        <w:t xml:space="preserve">страховую </w:t>
      </w:r>
      <w:r w:rsidRPr="001C0B40">
        <w:rPr>
          <w:snapToGrid w:val="0"/>
        </w:rPr>
        <w:t>пенсию, в силу поэтапного повышения пенсионного возраста.</w:t>
      </w:r>
    </w:p>
    <w:p w14:paraId="45AA0CEE" w14:textId="7550B511" w:rsidR="00C4504E" w:rsidRDefault="00C4504E" w:rsidP="00C4504E">
      <w:pPr>
        <w:spacing w:after="60"/>
        <w:ind w:firstLine="709"/>
        <w:jc w:val="both"/>
        <w:rPr>
          <w:snapToGrid w:val="0"/>
        </w:rPr>
      </w:pPr>
      <w:r w:rsidRPr="006A28EF">
        <w:rPr>
          <w:snapToGrid w:val="0"/>
        </w:rPr>
        <w:t>Объем трансфертов из федерального бюджета по разделу «Пенсионное обеспечение» снизится с 2,08% ВВП в 2020 г. до 1,75% ВВП 2022 г. (</w:t>
      </w:r>
      <w:r w:rsidR="003660E4" w:rsidRPr="00C4504E">
        <w:rPr>
          <w:i/>
          <w:snapToGrid w:val="0"/>
        </w:rPr>
        <w:t xml:space="preserve">таблица </w:t>
      </w:r>
      <w:r w:rsidR="008529A6" w:rsidRPr="008529A6">
        <w:rPr>
          <w:i/>
          <w:noProof/>
        </w:rPr>
        <w:t>35</w:t>
      </w:r>
      <w:r w:rsidRPr="006A28EF">
        <w:rPr>
          <w:snapToGrid w:val="0"/>
        </w:rPr>
        <w:t xml:space="preserve">). </w:t>
      </w:r>
      <w:r w:rsidRPr="005C4D7C">
        <w:rPr>
          <w:snapToGrid w:val="0"/>
        </w:rPr>
        <w:t>В том числе снизится относительно ВВП объем отдельных трансфертов, связанных с выплатой страховых пенсий (на валоризацию величины расчетного пенсионного капитала и на обязательное пенсионное страхование) с 1,47% ВВП в 2020 г. до 1</w:t>
      </w:r>
      <w:r>
        <w:rPr>
          <w:snapToGrid w:val="0"/>
        </w:rPr>
        <w:t>,</w:t>
      </w:r>
      <w:r w:rsidRPr="005C4D7C">
        <w:rPr>
          <w:snapToGrid w:val="0"/>
        </w:rPr>
        <w:t xml:space="preserve">15% ВВП 2022 г.  </w:t>
      </w:r>
      <w:r>
        <w:rPr>
          <w:snapToGrid w:val="0"/>
        </w:rPr>
        <w:t>При этом несколько увеличится относительно ВВП объем трансферта на в</w:t>
      </w:r>
      <w:r w:rsidRPr="005C4D7C">
        <w:rPr>
          <w:snapToGrid w:val="0"/>
        </w:rPr>
        <w:t>озмещение расходов по выплате страховых пенсий в связи с зачетом в страховой стаж нестраховых периодов</w:t>
      </w:r>
      <w:r>
        <w:rPr>
          <w:snapToGrid w:val="0"/>
        </w:rPr>
        <w:t xml:space="preserve"> (периодов ухода </w:t>
      </w:r>
      <w:r w:rsidR="00675915">
        <w:rPr>
          <w:snapToGrid w:val="0"/>
        </w:rPr>
        <w:t xml:space="preserve">за </w:t>
      </w:r>
      <w:r w:rsidR="00675915" w:rsidRPr="00950649">
        <w:rPr>
          <w:snapToGrid w:val="0"/>
        </w:rPr>
        <w:t>ребенком</w:t>
      </w:r>
      <w:r w:rsidRPr="00950649">
        <w:rPr>
          <w:snapToGrid w:val="0"/>
        </w:rPr>
        <w:t xml:space="preserve"> до 1,5 лет</w:t>
      </w:r>
      <w:r>
        <w:rPr>
          <w:snapToGrid w:val="0"/>
        </w:rPr>
        <w:t xml:space="preserve">, </w:t>
      </w:r>
      <w:r w:rsidRPr="00950649">
        <w:rPr>
          <w:snapToGrid w:val="0"/>
        </w:rPr>
        <w:t>инвалидом I группы, ребенком-инвалидом</w:t>
      </w:r>
      <w:r>
        <w:rPr>
          <w:snapToGrid w:val="0"/>
        </w:rPr>
        <w:t xml:space="preserve"> и др.) </w:t>
      </w:r>
      <w:r w:rsidRPr="005C4D7C">
        <w:rPr>
          <w:snapToGrid w:val="0"/>
        </w:rPr>
        <w:t xml:space="preserve">с </w:t>
      </w:r>
      <w:r>
        <w:rPr>
          <w:snapToGrid w:val="0"/>
        </w:rPr>
        <w:t>0,09</w:t>
      </w:r>
      <w:r w:rsidRPr="005C4D7C">
        <w:rPr>
          <w:snapToGrid w:val="0"/>
        </w:rPr>
        <w:t xml:space="preserve">% ВВП в 2020 г. до </w:t>
      </w:r>
      <w:r>
        <w:rPr>
          <w:snapToGrid w:val="0"/>
        </w:rPr>
        <w:t>0,10</w:t>
      </w:r>
      <w:r w:rsidRPr="005C4D7C">
        <w:rPr>
          <w:snapToGrid w:val="0"/>
        </w:rPr>
        <w:t>% ВВП 2022 г</w:t>
      </w:r>
      <w:r>
        <w:rPr>
          <w:snapToGrid w:val="0"/>
        </w:rPr>
        <w:t>.</w:t>
      </w:r>
    </w:p>
    <w:p w14:paraId="27BEDE21" w14:textId="77777777" w:rsidR="00C4504E" w:rsidRPr="00BC7AA6" w:rsidRDefault="00C4504E" w:rsidP="00C4504E">
      <w:pPr>
        <w:spacing w:after="60"/>
        <w:ind w:firstLine="709"/>
        <w:jc w:val="both"/>
        <w:rPr>
          <w:snapToGrid w:val="0"/>
        </w:rPr>
      </w:pPr>
      <w:r w:rsidRPr="00BC7AA6">
        <w:rPr>
          <w:snapToGrid w:val="0"/>
        </w:rPr>
        <w:t>В соответствии с Проектом бюджета ПФР расходы бюджета Пенсионного фонда РФ на выплату страховых пенсий сократятся с 6,56% ВВП в 2020 г. до 6,21% ВВП в 2022 г.</w:t>
      </w:r>
    </w:p>
    <w:p w14:paraId="1B71539B" w14:textId="77777777" w:rsidR="00D01064" w:rsidRDefault="00C4504E" w:rsidP="00C4504E">
      <w:pPr>
        <w:spacing w:after="60"/>
        <w:ind w:firstLine="709"/>
        <w:jc w:val="both"/>
        <w:rPr>
          <w:snapToGrid w:val="0"/>
        </w:rPr>
      </w:pPr>
      <w:r w:rsidRPr="00194517">
        <w:rPr>
          <w:snapToGrid w:val="0"/>
        </w:rPr>
        <w:t xml:space="preserve">Расходы бюджета Пенсионного фонда РФ на социальное обеспечение населения и на охрану семьи и детства в рассматриваемый период также снизятся относительно ВВП (соответственно: с 0,49% до 0,45% ВВП и с 0,28% до 0,23% ВВП). </w:t>
      </w:r>
      <w:r w:rsidRPr="00285B13">
        <w:rPr>
          <w:snapToGrid w:val="0"/>
        </w:rPr>
        <w:t xml:space="preserve">В частности, в 2022 г. относительно 2020 г. сократятся в реальном выражении расходы на поддержку граждан, подвергшихся воздействию радиации (на 4,1%), ветеранов ВОВ и боевых действий (на 7,8%), инвалидов (на 2,7%), а также расходы на предоставление материнского капитала для семей с детьми (на 12,2%). </w:t>
      </w:r>
    </w:p>
    <w:p w14:paraId="527AA420" w14:textId="77777777" w:rsidR="00D01064" w:rsidRDefault="00C4504E" w:rsidP="00C4504E">
      <w:pPr>
        <w:spacing w:after="60"/>
        <w:ind w:firstLine="709"/>
        <w:jc w:val="both"/>
        <w:rPr>
          <w:snapToGrid w:val="0"/>
        </w:rPr>
      </w:pPr>
      <w:r>
        <w:rPr>
          <w:snapToGrid w:val="0"/>
        </w:rPr>
        <w:t>В то же время объем расходов на к</w:t>
      </w:r>
      <w:r w:rsidRPr="00942041">
        <w:rPr>
          <w:snapToGrid w:val="0"/>
        </w:rPr>
        <w:t>омпенсационные выплаты лицам, осуществляющим уход за нетрудоспособными гражданами</w:t>
      </w:r>
      <w:r>
        <w:rPr>
          <w:snapToGrid w:val="0"/>
        </w:rPr>
        <w:t>, увеличится в 2022 г. относительно 2020 г. в реальном выражении на 2,5%, а объем</w:t>
      </w:r>
      <w:r w:rsidRPr="00CC44B5">
        <w:t xml:space="preserve"> </w:t>
      </w:r>
      <w:r>
        <w:t>расходов на е</w:t>
      </w:r>
      <w:r w:rsidRPr="00CC44B5">
        <w:rPr>
          <w:snapToGrid w:val="0"/>
        </w:rPr>
        <w:t>жемесячны</w:t>
      </w:r>
      <w:r>
        <w:rPr>
          <w:snapToGrid w:val="0"/>
        </w:rPr>
        <w:t>е</w:t>
      </w:r>
      <w:r w:rsidRPr="00CC44B5">
        <w:rPr>
          <w:snapToGrid w:val="0"/>
        </w:rPr>
        <w:t xml:space="preserve"> выплат</w:t>
      </w:r>
      <w:r>
        <w:rPr>
          <w:snapToGrid w:val="0"/>
        </w:rPr>
        <w:t>ы</w:t>
      </w:r>
      <w:r w:rsidRPr="00CC44B5">
        <w:rPr>
          <w:snapToGrid w:val="0"/>
        </w:rPr>
        <w:t xml:space="preserve"> лицам, осуществляющим уход за детьми-инвалидами и инвалидами с детства I группы</w:t>
      </w:r>
      <w:r>
        <w:rPr>
          <w:snapToGrid w:val="0"/>
        </w:rPr>
        <w:t xml:space="preserve"> – на 1,5%. При этом объем расходов на выплаты </w:t>
      </w:r>
      <w:r w:rsidRPr="00CC44B5">
        <w:rPr>
          <w:snapToGrid w:val="0"/>
        </w:rPr>
        <w:t>лицам, осуществляющим уход за детьми-инвалидами</w:t>
      </w:r>
      <w:r>
        <w:rPr>
          <w:snapToGrid w:val="0"/>
        </w:rPr>
        <w:t xml:space="preserve"> </w:t>
      </w:r>
      <w:r w:rsidRPr="00CC44B5">
        <w:rPr>
          <w:snapToGrid w:val="0"/>
        </w:rPr>
        <w:t>и инвалидами с детства I группы</w:t>
      </w:r>
      <w:r>
        <w:rPr>
          <w:snapToGrid w:val="0"/>
        </w:rPr>
        <w:t xml:space="preserve"> увеличится в 2020 г. относительно 2019 г. в</w:t>
      </w:r>
      <w:r w:rsidRPr="00CC44B5">
        <w:rPr>
          <w:snapToGrid w:val="0"/>
        </w:rPr>
        <w:t xml:space="preserve"> </w:t>
      </w:r>
      <w:r>
        <w:rPr>
          <w:snapToGrid w:val="0"/>
        </w:rPr>
        <w:t xml:space="preserve">номинальном выражении в 1,82 раза, в силу увеличения с 1 июля 2019 г. размера </w:t>
      </w:r>
      <w:r w:rsidRPr="00776F49">
        <w:rPr>
          <w:snapToGrid w:val="0"/>
        </w:rPr>
        <w:t>выплат родителям (усыновителям) и опекунам (попечителям), осуществляющим уход</w:t>
      </w:r>
      <w:r w:rsidR="00675915">
        <w:rPr>
          <w:snapToGrid w:val="0"/>
        </w:rPr>
        <w:t>,</w:t>
      </w:r>
      <w:r w:rsidRPr="00776F49">
        <w:rPr>
          <w:snapToGrid w:val="0"/>
        </w:rPr>
        <w:t xml:space="preserve"> с 5500 руб. до 10000 руб. </w:t>
      </w:r>
    </w:p>
    <w:p w14:paraId="43A19BD7" w14:textId="77777777" w:rsidR="00D01064" w:rsidRDefault="00D01064" w:rsidP="00C4504E">
      <w:pPr>
        <w:spacing w:after="60"/>
        <w:ind w:firstLine="709"/>
        <w:jc w:val="both"/>
        <w:rPr>
          <w:snapToGrid w:val="0"/>
        </w:rPr>
      </w:pPr>
      <w:r>
        <w:rPr>
          <w:snapToGrid w:val="0"/>
        </w:rPr>
        <w:t>Р</w:t>
      </w:r>
      <w:r w:rsidR="00C4504E" w:rsidRPr="00776F49">
        <w:rPr>
          <w:snapToGrid w:val="0"/>
        </w:rPr>
        <w:t xml:space="preserve">азмеры компенсационных выплат для прочих лиц, осуществляющих уход за детьми-инвалидами, а также уход за пожилыми гражданами, останутся неизменными в номинальном выражении и составят 1200 руб. </w:t>
      </w:r>
    </w:p>
    <w:p w14:paraId="605C5F65" w14:textId="17E83E10" w:rsidR="00C4504E" w:rsidRPr="004A7E51" w:rsidRDefault="00C4504E" w:rsidP="00C4504E">
      <w:pPr>
        <w:spacing w:after="60"/>
        <w:ind w:firstLine="709"/>
        <w:jc w:val="both"/>
        <w:rPr>
          <w:snapToGrid w:val="0"/>
        </w:rPr>
      </w:pPr>
      <w:r w:rsidRPr="00776F49">
        <w:rPr>
          <w:snapToGrid w:val="0"/>
        </w:rPr>
        <w:t>Таким образом</w:t>
      </w:r>
      <w:r w:rsidR="00675915">
        <w:rPr>
          <w:snapToGrid w:val="0"/>
        </w:rPr>
        <w:t>,</w:t>
      </w:r>
      <w:r w:rsidRPr="00776F49">
        <w:rPr>
          <w:snapToGrid w:val="0"/>
        </w:rPr>
        <w:t xml:space="preserve"> рост расходов на выплаты лицам, осуществляющим уход за нетрудоспособными гражданами, обусловлен прогнозируемым увеличением численности получателей данных выплат. </w:t>
      </w:r>
    </w:p>
    <w:p w14:paraId="603CC00D" w14:textId="77777777" w:rsidR="008742A2" w:rsidRPr="008E6B24" w:rsidRDefault="008742A2" w:rsidP="002E7591">
      <w:pPr>
        <w:spacing w:after="60"/>
        <w:ind w:firstLine="709"/>
        <w:jc w:val="both"/>
        <w:rPr>
          <w:snapToGrid w:val="0"/>
        </w:rPr>
        <w:sectPr w:rsidR="008742A2" w:rsidRPr="008E6B24" w:rsidSect="00E53F50">
          <w:footerReference w:type="default" r:id="rId13"/>
          <w:pgSz w:w="11906" w:h="16838"/>
          <w:pgMar w:top="964" w:right="1134" w:bottom="964" w:left="1134" w:header="709" w:footer="709" w:gutter="567"/>
          <w:cols w:space="708"/>
          <w:titlePg/>
          <w:docGrid w:linePitch="360"/>
        </w:sectPr>
      </w:pPr>
    </w:p>
    <w:p w14:paraId="12857EC9" w14:textId="2725B67B" w:rsidR="00C4504E" w:rsidRPr="00111027" w:rsidRDefault="00C4504E" w:rsidP="00C4504E">
      <w:pPr>
        <w:pStyle w:val="aff8"/>
        <w:keepNext/>
      </w:pPr>
      <w:r w:rsidRPr="00111027">
        <w:t xml:space="preserve">Таблица </w:t>
      </w:r>
      <w:bookmarkStart w:id="76" w:name="_Ref21348459"/>
      <w:r w:rsidR="008529A6">
        <w:rPr>
          <w:noProof/>
        </w:rPr>
        <w:t>35</w:t>
      </w:r>
      <w:bookmarkEnd w:id="76"/>
    </w:p>
    <w:p w14:paraId="265DB02D" w14:textId="77777777" w:rsidR="00C4504E" w:rsidRPr="00111027" w:rsidRDefault="00C4504E" w:rsidP="00C4504E">
      <w:pPr>
        <w:pStyle w:val="af7"/>
        <w:rPr>
          <w:snapToGrid w:val="0"/>
        </w:rPr>
      </w:pPr>
      <w:r w:rsidRPr="00111027">
        <w:rPr>
          <w:snapToGrid w:val="0"/>
        </w:rPr>
        <w:t>Расходы федерального бюджета по разделу «Пенсионное обеспечение» в 2019-2022 гг.</w:t>
      </w:r>
    </w:p>
    <w:tbl>
      <w:tblPr>
        <w:tblStyle w:val="a4"/>
        <w:tblW w:w="0" w:type="auto"/>
        <w:tblLook w:val="04A0" w:firstRow="1" w:lastRow="0" w:firstColumn="1" w:lastColumn="0" w:noHBand="0" w:noVBand="1"/>
      </w:tblPr>
      <w:tblGrid>
        <w:gridCol w:w="5098"/>
        <w:gridCol w:w="851"/>
        <w:gridCol w:w="850"/>
        <w:gridCol w:w="851"/>
        <w:gridCol w:w="850"/>
        <w:gridCol w:w="621"/>
        <w:gridCol w:w="621"/>
        <w:gridCol w:w="621"/>
        <w:gridCol w:w="621"/>
        <w:gridCol w:w="621"/>
        <w:gridCol w:w="621"/>
        <w:gridCol w:w="576"/>
        <w:gridCol w:w="576"/>
        <w:gridCol w:w="576"/>
        <w:gridCol w:w="576"/>
      </w:tblGrid>
      <w:tr w:rsidR="00C4504E" w:rsidRPr="00111027" w14:paraId="440BE76C" w14:textId="77777777" w:rsidTr="003660E4">
        <w:trPr>
          <w:trHeight w:val="295"/>
          <w:tblHeader/>
        </w:trPr>
        <w:tc>
          <w:tcPr>
            <w:tcW w:w="5098" w:type="dxa"/>
            <w:noWrap/>
          </w:tcPr>
          <w:p w14:paraId="733C68F0" w14:textId="77777777" w:rsidR="00C4504E" w:rsidRPr="00111027" w:rsidRDefault="00C4504E" w:rsidP="00675915">
            <w:pPr>
              <w:pStyle w:val="af0"/>
              <w:spacing w:before="0" w:after="60"/>
              <w:rPr>
                <w:snapToGrid w:val="0"/>
                <w:sz w:val="20"/>
              </w:rPr>
            </w:pPr>
          </w:p>
        </w:tc>
        <w:tc>
          <w:tcPr>
            <w:tcW w:w="3402" w:type="dxa"/>
            <w:gridSpan w:val="4"/>
            <w:noWrap/>
            <w:vAlign w:val="center"/>
          </w:tcPr>
          <w:p w14:paraId="6F92C109" w14:textId="77777777" w:rsidR="00C4504E" w:rsidRPr="00111027" w:rsidRDefault="00C4504E" w:rsidP="00675915">
            <w:pPr>
              <w:pStyle w:val="af0"/>
              <w:spacing w:before="0" w:after="60"/>
              <w:jc w:val="center"/>
              <w:rPr>
                <w:snapToGrid w:val="0"/>
                <w:sz w:val="16"/>
                <w:szCs w:val="16"/>
              </w:rPr>
            </w:pPr>
            <w:r w:rsidRPr="00111027">
              <w:rPr>
                <w:b/>
                <w:snapToGrid w:val="0"/>
              </w:rPr>
              <w:t>млрд руб.</w:t>
            </w:r>
          </w:p>
        </w:tc>
        <w:tc>
          <w:tcPr>
            <w:tcW w:w="1863" w:type="dxa"/>
            <w:gridSpan w:val="3"/>
            <w:noWrap/>
            <w:vAlign w:val="center"/>
          </w:tcPr>
          <w:p w14:paraId="6C046E3A" w14:textId="77777777" w:rsidR="00C4504E" w:rsidRPr="00111027" w:rsidRDefault="00C4504E" w:rsidP="00675915">
            <w:pPr>
              <w:pStyle w:val="af0"/>
              <w:spacing w:before="0" w:after="60"/>
              <w:jc w:val="center"/>
              <w:rPr>
                <w:snapToGrid w:val="0"/>
                <w:sz w:val="16"/>
                <w:szCs w:val="16"/>
              </w:rPr>
            </w:pPr>
            <w:r w:rsidRPr="00111027">
              <w:rPr>
                <w:b/>
                <w:snapToGrid w:val="0"/>
              </w:rPr>
              <w:t>% к предыдущему году</w:t>
            </w:r>
          </w:p>
        </w:tc>
        <w:tc>
          <w:tcPr>
            <w:tcW w:w="1863" w:type="dxa"/>
            <w:gridSpan w:val="3"/>
            <w:noWrap/>
            <w:vAlign w:val="center"/>
          </w:tcPr>
          <w:p w14:paraId="01059FEF" w14:textId="77777777" w:rsidR="00C4504E" w:rsidRPr="00111027" w:rsidRDefault="00C4504E" w:rsidP="00675915">
            <w:pPr>
              <w:pStyle w:val="af0"/>
              <w:spacing w:before="0" w:after="60"/>
              <w:jc w:val="center"/>
              <w:rPr>
                <w:snapToGrid w:val="0"/>
                <w:sz w:val="16"/>
                <w:szCs w:val="16"/>
              </w:rPr>
            </w:pPr>
            <w:r w:rsidRPr="00111027">
              <w:rPr>
                <w:b/>
                <w:snapToGrid w:val="0"/>
              </w:rPr>
              <w:t>% к предыдущему году, с учетом индекса цен</w:t>
            </w:r>
          </w:p>
        </w:tc>
        <w:tc>
          <w:tcPr>
            <w:tcW w:w="2304" w:type="dxa"/>
            <w:gridSpan w:val="4"/>
            <w:noWrap/>
            <w:vAlign w:val="center"/>
          </w:tcPr>
          <w:p w14:paraId="4FD546DA" w14:textId="77777777" w:rsidR="00C4504E" w:rsidRPr="00111027" w:rsidRDefault="00C4504E" w:rsidP="00675915">
            <w:pPr>
              <w:pStyle w:val="af0"/>
              <w:spacing w:before="0" w:after="60"/>
              <w:jc w:val="center"/>
              <w:rPr>
                <w:snapToGrid w:val="0"/>
                <w:sz w:val="16"/>
                <w:szCs w:val="16"/>
              </w:rPr>
            </w:pPr>
            <w:r w:rsidRPr="00111027">
              <w:rPr>
                <w:b/>
                <w:snapToGrid w:val="0"/>
              </w:rPr>
              <w:t>% к ВВП</w:t>
            </w:r>
          </w:p>
        </w:tc>
      </w:tr>
      <w:tr w:rsidR="00C4504E" w:rsidRPr="00111027" w14:paraId="7239FF3C" w14:textId="77777777" w:rsidTr="003660E4">
        <w:trPr>
          <w:trHeight w:val="295"/>
          <w:tblHeader/>
        </w:trPr>
        <w:tc>
          <w:tcPr>
            <w:tcW w:w="5098" w:type="dxa"/>
            <w:noWrap/>
            <w:hideMark/>
          </w:tcPr>
          <w:p w14:paraId="17B9F174" w14:textId="77777777" w:rsidR="00C4504E" w:rsidRPr="00111027" w:rsidRDefault="00C4504E" w:rsidP="00675915">
            <w:pPr>
              <w:pStyle w:val="af0"/>
              <w:spacing w:before="0" w:after="60"/>
              <w:rPr>
                <w:b/>
                <w:bCs/>
                <w:snapToGrid w:val="0"/>
                <w:sz w:val="20"/>
              </w:rPr>
            </w:pPr>
          </w:p>
        </w:tc>
        <w:tc>
          <w:tcPr>
            <w:tcW w:w="851" w:type="dxa"/>
            <w:noWrap/>
            <w:vAlign w:val="center"/>
            <w:hideMark/>
          </w:tcPr>
          <w:p w14:paraId="5370B31A" w14:textId="77777777" w:rsidR="00C4504E" w:rsidRPr="00111027" w:rsidRDefault="00C4504E" w:rsidP="00675915">
            <w:pPr>
              <w:pStyle w:val="af0"/>
              <w:spacing w:before="0" w:after="60"/>
              <w:jc w:val="center"/>
              <w:rPr>
                <w:b/>
                <w:bCs/>
                <w:snapToGrid w:val="0"/>
                <w:szCs w:val="18"/>
              </w:rPr>
            </w:pPr>
            <w:r w:rsidRPr="00111027">
              <w:rPr>
                <w:b/>
                <w:bCs/>
                <w:snapToGrid w:val="0"/>
                <w:szCs w:val="18"/>
              </w:rPr>
              <w:t>2019</w:t>
            </w:r>
          </w:p>
        </w:tc>
        <w:tc>
          <w:tcPr>
            <w:tcW w:w="850" w:type="dxa"/>
            <w:noWrap/>
            <w:vAlign w:val="center"/>
            <w:hideMark/>
          </w:tcPr>
          <w:p w14:paraId="2593BC9F" w14:textId="77777777" w:rsidR="00C4504E" w:rsidRPr="00111027" w:rsidRDefault="00C4504E" w:rsidP="00675915">
            <w:pPr>
              <w:pStyle w:val="af0"/>
              <w:spacing w:before="0" w:after="60"/>
              <w:jc w:val="center"/>
              <w:rPr>
                <w:b/>
                <w:bCs/>
                <w:snapToGrid w:val="0"/>
                <w:szCs w:val="18"/>
              </w:rPr>
            </w:pPr>
            <w:r w:rsidRPr="00111027">
              <w:rPr>
                <w:b/>
                <w:bCs/>
                <w:snapToGrid w:val="0"/>
                <w:szCs w:val="18"/>
              </w:rPr>
              <w:t>2020</w:t>
            </w:r>
          </w:p>
        </w:tc>
        <w:tc>
          <w:tcPr>
            <w:tcW w:w="851" w:type="dxa"/>
            <w:noWrap/>
            <w:vAlign w:val="center"/>
            <w:hideMark/>
          </w:tcPr>
          <w:p w14:paraId="2FB7E0E0" w14:textId="77777777" w:rsidR="00C4504E" w:rsidRPr="00111027" w:rsidRDefault="00C4504E" w:rsidP="00675915">
            <w:pPr>
              <w:pStyle w:val="af0"/>
              <w:spacing w:before="0" w:after="60"/>
              <w:jc w:val="center"/>
              <w:rPr>
                <w:b/>
                <w:bCs/>
                <w:snapToGrid w:val="0"/>
                <w:szCs w:val="18"/>
              </w:rPr>
            </w:pPr>
            <w:r w:rsidRPr="00111027">
              <w:rPr>
                <w:b/>
                <w:bCs/>
                <w:snapToGrid w:val="0"/>
                <w:szCs w:val="18"/>
              </w:rPr>
              <w:t>2021</w:t>
            </w:r>
          </w:p>
        </w:tc>
        <w:tc>
          <w:tcPr>
            <w:tcW w:w="850" w:type="dxa"/>
            <w:noWrap/>
            <w:vAlign w:val="center"/>
            <w:hideMark/>
          </w:tcPr>
          <w:p w14:paraId="3C3AC54C" w14:textId="77777777" w:rsidR="00C4504E" w:rsidRPr="00111027" w:rsidRDefault="00C4504E" w:rsidP="00675915">
            <w:pPr>
              <w:pStyle w:val="af0"/>
              <w:spacing w:before="0" w:after="60"/>
              <w:jc w:val="center"/>
              <w:rPr>
                <w:b/>
                <w:bCs/>
                <w:snapToGrid w:val="0"/>
                <w:szCs w:val="18"/>
              </w:rPr>
            </w:pPr>
            <w:r w:rsidRPr="00111027">
              <w:rPr>
                <w:b/>
                <w:bCs/>
                <w:snapToGrid w:val="0"/>
                <w:szCs w:val="18"/>
              </w:rPr>
              <w:t>2022</w:t>
            </w:r>
          </w:p>
        </w:tc>
        <w:tc>
          <w:tcPr>
            <w:tcW w:w="621" w:type="dxa"/>
            <w:noWrap/>
            <w:vAlign w:val="center"/>
            <w:hideMark/>
          </w:tcPr>
          <w:p w14:paraId="35AFB8DF" w14:textId="77777777" w:rsidR="00C4504E" w:rsidRPr="00111027" w:rsidRDefault="00C4504E" w:rsidP="00675915">
            <w:pPr>
              <w:pStyle w:val="af0"/>
              <w:spacing w:before="0" w:after="60"/>
              <w:jc w:val="center"/>
              <w:rPr>
                <w:b/>
                <w:bCs/>
                <w:snapToGrid w:val="0"/>
                <w:szCs w:val="18"/>
              </w:rPr>
            </w:pPr>
            <w:r w:rsidRPr="00111027">
              <w:rPr>
                <w:b/>
                <w:bCs/>
                <w:snapToGrid w:val="0"/>
                <w:szCs w:val="18"/>
              </w:rPr>
              <w:t>2020</w:t>
            </w:r>
          </w:p>
        </w:tc>
        <w:tc>
          <w:tcPr>
            <w:tcW w:w="621" w:type="dxa"/>
            <w:noWrap/>
            <w:vAlign w:val="center"/>
            <w:hideMark/>
          </w:tcPr>
          <w:p w14:paraId="315408B2" w14:textId="77777777" w:rsidR="00C4504E" w:rsidRPr="00111027" w:rsidRDefault="00C4504E" w:rsidP="00675915">
            <w:pPr>
              <w:pStyle w:val="af0"/>
              <w:spacing w:before="0" w:after="60"/>
              <w:jc w:val="center"/>
              <w:rPr>
                <w:b/>
                <w:bCs/>
                <w:snapToGrid w:val="0"/>
                <w:szCs w:val="18"/>
              </w:rPr>
            </w:pPr>
            <w:r w:rsidRPr="00111027">
              <w:rPr>
                <w:b/>
                <w:bCs/>
                <w:snapToGrid w:val="0"/>
                <w:szCs w:val="18"/>
              </w:rPr>
              <w:t>2021</w:t>
            </w:r>
          </w:p>
        </w:tc>
        <w:tc>
          <w:tcPr>
            <w:tcW w:w="621" w:type="dxa"/>
            <w:noWrap/>
            <w:vAlign w:val="center"/>
            <w:hideMark/>
          </w:tcPr>
          <w:p w14:paraId="7FDE6BA7" w14:textId="77777777" w:rsidR="00C4504E" w:rsidRPr="00111027" w:rsidRDefault="00C4504E" w:rsidP="00675915">
            <w:pPr>
              <w:pStyle w:val="af0"/>
              <w:spacing w:before="0" w:after="60"/>
              <w:jc w:val="center"/>
              <w:rPr>
                <w:b/>
                <w:bCs/>
                <w:snapToGrid w:val="0"/>
                <w:szCs w:val="18"/>
              </w:rPr>
            </w:pPr>
            <w:r w:rsidRPr="00111027">
              <w:rPr>
                <w:b/>
                <w:bCs/>
                <w:snapToGrid w:val="0"/>
                <w:szCs w:val="18"/>
              </w:rPr>
              <w:t>2022</w:t>
            </w:r>
          </w:p>
        </w:tc>
        <w:tc>
          <w:tcPr>
            <w:tcW w:w="621" w:type="dxa"/>
            <w:noWrap/>
            <w:vAlign w:val="center"/>
            <w:hideMark/>
          </w:tcPr>
          <w:p w14:paraId="12D4E174" w14:textId="77777777" w:rsidR="00C4504E" w:rsidRPr="00111027" w:rsidRDefault="00C4504E" w:rsidP="00675915">
            <w:pPr>
              <w:pStyle w:val="af0"/>
              <w:spacing w:before="0" w:after="60"/>
              <w:jc w:val="center"/>
              <w:rPr>
                <w:b/>
                <w:bCs/>
                <w:snapToGrid w:val="0"/>
                <w:szCs w:val="18"/>
              </w:rPr>
            </w:pPr>
            <w:r w:rsidRPr="00111027">
              <w:rPr>
                <w:b/>
                <w:bCs/>
                <w:snapToGrid w:val="0"/>
                <w:szCs w:val="18"/>
              </w:rPr>
              <w:t>2020</w:t>
            </w:r>
          </w:p>
        </w:tc>
        <w:tc>
          <w:tcPr>
            <w:tcW w:w="621" w:type="dxa"/>
            <w:noWrap/>
            <w:vAlign w:val="center"/>
            <w:hideMark/>
          </w:tcPr>
          <w:p w14:paraId="0BD9D551" w14:textId="77777777" w:rsidR="00C4504E" w:rsidRPr="00111027" w:rsidRDefault="00C4504E" w:rsidP="00675915">
            <w:pPr>
              <w:pStyle w:val="af0"/>
              <w:spacing w:before="0" w:after="60"/>
              <w:jc w:val="center"/>
              <w:rPr>
                <w:b/>
                <w:bCs/>
                <w:snapToGrid w:val="0"/>
                <w:szCs w:val="18"/>
              </w:rPr>
            </w:pPr>
            <w:r w:rsidRPr="00111027">
              <w:rPr>
                <w:b/>
                <w:bCs/>
                <w:snapToGrid w:val="0"/>
                <w:szCs w:val="18"/>
              </w:rPr>
              <w:t>2021</w:t>
            </w:r>
          </w:p>
        </w:tc>
        <w:tc>
          <w:tcPr>
            <w:tcW w:w="621" w:type="dxa"/>
            <w:noWrap/>
            <w:vAlign w:val="center"/>
            <w:hideMark/>
          </w:tcPr>
          <w:p w14:paraId="3ED9446A" w14:textId="77777777" w:rsidR="00C4504E" w:rsidRPr="00111027" w:rsidRDefault="00C4504E" w:rsidP="00675915">
            <w:pPr>
              <w:pStyle w:val="af0"/>
              <w:spacing w:before="0" w:after="60"/>
              <w:jc w:val="center"/>
              <w:rPr>
                <w:b/>
                <w:bCs/>
                <w:snapToGrid w:val="0"/>
                <w:szCs w:val="18"/>
              </w:rPr>
            </w:pPr>
            <w:r w:rsidRPr="00111027">
              <w:rPr>
                <w:b/>
                <w:bCs/>
                <w:snapToGrid w:val="0"/>
                <w:szCs w:val="18"/>
              </w:rPr>
              <w:t>2022</w:t>
            </w:r>
          </w:p>
        </w:tc>
        <w:tc>
          <w:tcPr>
            <w:tcW w:w="576" w:type="dxa"/>
            <w:noWrap/>
            <w:vAlign w:val="center"/>
            <w:hideMark/>
          </w:tcPr>
          <w:p w14:paraId="302274FE" w14:textId="77777777" w:rsidR="00C4504E" w:rsidRPr="00111027" w:rsidRDefault="00C4504E" w:rsidP="00675915">
            <w:pPr>
              <w:pStyle w:val="af0"/>
              <w:spacing w:before="0" w:after="60"/>
              <w:jc w:val="center"/>
              <w:rPr>
                <w:b/>
                <w:bCs/>
                <w:snapToGrid w:val="0"/>
                <w:szCs w:val="18"/>
              </w:rPr>
            </w:pPr>
            <w:r w:rsidRPr="00111027">
              <w:rPr>
                <w:b/>
                <w:bCs/>
                <w:snapToGrid w:val="0"/>
                <w:szCs w:val="18"/>
              </w:rPr>
              <w:t>2019</w:t>
            </w:r>
          </w:p>
        </w:tc>
        <w:tc>
          <w:tcPr>
            <w:tcW w:w="576" w:type="dxa"/>
            <w:noWrap/>
            <w:vAlign w:val="center"/>
            <w:hideMark/>
          </w:tcPr>
          <w:p w14:paraId="34EF0FFD" w14:textId="77777777" w:rsidR="00C4504E" w:rsidRPr="00111027" w:rsidRDefault="00C4504E" w:rsidP="00675915">
            <w:pPr>
              <w:pStyle w:val="af0"/>
              <w:spacing w:before="0" w:after="60"/>
              <w:jc w:val="center"/>
              <w:rPr>
                <w:b/>
                <w:bCs/>
                <w:snapToGrid w:val="0"/>
                <w:szCs w:val="18"/>
              </w:rPr>
            </w:pPr>
            <w:r w:rsidRPr="00111027">
              <w:rPr>
                <w:b/>
                <w:bCs/>
                <w:snapToGrid w:val="0"/>
                <w:szCs w:val="18"/>
              </w:rPr>
              <w:t>2020</w:t>
            </w:r>
          </w:p>
        </w:tc>
        <w:tc>
          <w:tcPr>
            <w:tcW w:w="576" w:type="dxa"/>
            <w:noWrap/>
            <w:vAlign w:val="center"/>
            <w:hideMark/>
          </w:tcPr>
          <w:p w14:paraId="52451CF9" w14:textId="77777777" w:rsidR="00C4504E" w:rsidRPr="00111027" w:rsidRDefault="00C4504E" w:rsidP="00675915">
            <w:pPr>
              <w:pStyle w:val="af0"/>
              <w:spacing w:before="0" w:after="60"/>
              <w:jc w:val="center"/>
              <w:rPr>
                <w:b/>
                <w:bCs/>
                <w:snapToGrid w:val="0"/>
                <w:szCs w:val="18"/>
              </w:rPr>
            </w:pPr>
            <w:r w:rsidRPr="00111027">
              <w:rPr>
                <w:b/>
                <w:bCs/>
                <w:snapToGrid w:val="0"/>
                <w:szCs w:val="18"/>
              </w:rPr>
              <w:t>2021</w:t>
            </w:r>
          </w:p>
        </w:tc>
        <w:tc>
          <w:tcPr>
            <w:tcW w:w="576" w:type="dxa"/>
            <w:noWrap/>
            <w:vAlign w:val="center"/>
            <w:hideMark/>
          </w:tcPr>
          <w:p w14:paraId="407561E9" w14:textId="77777777" w:rsidR="00C4504E" w:rsidRPr="00111027" w:rsidRDefault="00C4504E" w:rsidP="00675915">
            <w:pPr>
              <w:pStyle w:val="af0"/>
              <w:spacing w:before="0" w:after="60"/>
              <w:jc w:val="center"/>
              <w:rPr>
                <w:b/>
                <w:bCs/>
                <w:snapToGrid w:val="0"/>
                <w:szCs w:val="18"/>
              </w:rPr>
            </w:pPr>
            <w:r w:rsidRPr="00111027">
              <w:rPr>
                <w:b/>
                <w:bCs/>
                <w:snapToGrid w:val="0"/>
                <w:szCs w:val="18"/>
              </w:rPr>
              <w:t>2022</w:t>
            </w:r>
          </w:p>
        </w:tc>
      </w:tr>
      <w:tr w:rsidR="00C4504E" w:rsidRPr="00111027" w14:paraId="4FE7484C" w14:textId="77777777" w:rsidTr="003660E4">
        <w:trPr>
          <w:trHeight w:val="295"/>
        </w:trPr>
        <w:tc>
          <w:tcPr>
            <w:tcW w:w="5098" w:type="dxa"/>
            <w:noWrap/>
            <w:hideMark/>
          </w:tcPr>
          <w:p w14:paraId="36018799" w14:textId="77777777" w:rsidR="00C4504E" w:rsidRPr="00111027" w:rsidRDefault="00C4504E" w:rsidP="00675915">
            <w:pPr>
              <w:pStyle w:val="af0"/>
              <w:spacing w:before="0" w:after="60"/>
              <w:rPr>
                <w:b/>
                <w:bCs/>
                <w:snapToGrid w:val="0"/>
                <w:sz w:val="20"/>
              </w:rPr>
            </w:pPr>
            <w:r w:rsidRPr="00111027">
              <w:rPr>
                <w:b/>
                <w:bCs/>
                <w:snapToGrid w:val="0"/>
                <w:sz w:val="20"/>
              </w:rPr>
              <w:t>Пенсионное обеспечение</w:t>
            </w:r>
          </w:p>
        </w:tc>
        <w:tc>
          <w:tcPr>
            <w:tcW w:w="851" w:type="dxa"/>
            <w:noWrap/>
            <w:vAlign w:val="center"/>
            <w:hideMark/>
          </w:tcPr>
          <w:p w14:paraId="73BBDA83" w14:textId="77777777" w:rsidR="00C4504E" w:rsidRPr="00111027" w:rsidRDefault="00C4504E" w:rsidP="00675915">
            <w:pPr>
              <w:pStyle w:val="af0"/>
              <w:spacing w:before="0" w:after="60"/>
              <w:jc w:val="center"/>
              <w:rPr>
                <w:b/>
                <w:bCs/>
                <w:snapToGrid w:val="0"/>
                <w:szCs w:val="18"/>
              </w:rPr>
            </w:pPr>
            <w:r w:rsidRPr="00111027">
              <w:rPr>
                <w:b/>
                <w:bCs/>
                <w:snapToGrid w:val="0"/>
                <w:szCs w:val="18"/>
              </w:rPr>
              <w:t>3 248,5</w:t>
            </w:r>
          </w:p>
        </w:tc>
        <w:tc>
          <w:tcPr>
            <w:tcW w:w="850" w:type="dxa"/>
            <w:noWrap/>
            <w:vAlign w:val="center"/>
            <w:hideMark/>
          </w:tcPr>
          <w:p w14:paraId="08BABCF1" w14:textId="77777777" w:rsidR="00C4504E" w:rsidRPr="00111027" w:rsidRDefault="00C4504E" w:rsidP="00675915">
            <w:pPr>
              <w:pStyle w:val="af0"/>
              <w:spacing w:before="0" w:after="60"/>
              <w:jc w:val="center"/>
              <w:rPr>
                <w:b/>
                <w:bCs/>
                <w:snapToGrid w:val="0"/>
                <w:szCs w:val="18"/>
              </w:rPr>
            </w:pPr>
            <w:r w:rsidRPr="00111027">
              <w:rPr>
                <w:b/>
                <w:bCs/>
                <w:snapToGrid w:val="0"/>
                <w:szCs w:val="18"/>
              </w:rPr>
              <w:t>3 256,7</w:t>
            </w:r>
          </w:p>
        </w:tc>
        <w:tc>
          <w:tcPr>
            <w:tcW w:w="851" w:type="dxa"/>
            <w:noWrap/>
            <w:vAlign w:val="center"/>
            <w:hideMark/>
          </w:tcPr>
          <w:p w14:paraId="7EEF2C02" w14:textId="77777777" w:rsidR="00C4504E" w:rsidRPr="00111027" w:rsidRDefault="00C4504E" w:rsidP="00675915">
            <w:pPr>
              <w:pStyle w:val="af0"/>
              <w:spacing w:before="0" w:after="60"/>
              <w:jc w:val="center"/>
              <w:rPr>
                <w:b/>
                <w:bCs/>
                <w:snapToGrid w:val="0"/>
                <w:szCs w:val="18"/>
              </w:rPr>
            </w:pPr>
            <w:r w:rsidRPr="00111027">
              <w:rPr>
                <w:b/>
                <w:bCs/>
                <w:snapToGrid w:val="0"/>
                <w:szCs w:val="18"/>
              </w:rPr>
              <w:t>3 225,0</w:t>
            </w:r>
          </w:p>
        </w:tc>
        <w:tc>
          <w:tcPr>
            <w:tcW w:w="850" w:type="dxa"/>
            <w:noWrap/>
            <w:vAlign w:val="center"/>
            <w:hideMark/>
          </w:tcPr>
          <w:p w14:paraId="38784D5A" w14:textId="77777777" w:rsidR="00C4504E" w:rsidRPr="00111027" w:rsidRDefault="00C4504E" w:rsidP="00675915">
            <w:pPr>
              <w:pStyle w:val="af0"/>
              <w:spacing w:before="0" w:after="60"/>
              <w:jc w:val="center"/>
              <w:rPr>
                <w:b/>
                <w:bCs/>
                <w:snapToGrid w:val="0"/>
                <w:szCs w:val="18"/>
              </w:rPr>
            </w:pPr>
            <w:r w:rsidRPr="00111027">
              <w:rPr>
                <w:b/>
                <w:bCs/>
                <w:snapToGrid w:val="0"/>
                <w:szCs w:val="18"/>
              </w:rPr>
              <w:t>2 968,9</w:t>
            </w:r>
          </w:p>
        </w:tc>
        <w:tc>
          <w:tcPr>
            <w:tcW w:w="621" w:type="dxa"/>
            <w:noWrap/>
            <w:vAlign w:val="center"/>
            <w:hideMark/>
          </w:tcPr>
          <w:p w14:paraId="7A3C3CA6" w14:textId="77777777" w:rsidR="00C4504E" w:rsidRPr="00111027" w:rsidRDefault="00C4504E" w:rsidP="00675915">
            <w:pPr>
              <w:pStyle w:val="af0"/>
              <w:spacing w:before="0" w:after="60"/>
              <w:jc w:val="center"/>
              <w:rPr>
                <w:b/>
                <w:bCs/>
                <w:snapToGrid w:val="0"/>
                <w:szCs w:val="18"/>
              </w:rPr>
            </w:pPr>
            <w:r w:rsidRPr="00111027">
              <w:rPr>
                <w:b/>
                <w:bCs/>
                <w:snapToGrid w:val="0"/>
                <w:szCs w:val="18"/>
              </w:rPr>
              <w:t>100,3</w:t>
            </w:r>
          </w:p>
        </w:tc>
        <w:tc>
          <w:tcPr>
            <w:tcW w:w="621" w:type="dxa"/>
            <w:noWrap/>
            <w:vAlign w:val="center"/>
            <w:hideMark/>
          </w:tcPr>
          <w:p w14:paraId="73EFAD07" w14:textId="77777777" w:rsidR="00C4504E" w:rsidRPr="00111027" w:rsidRDefault="00C4504E" w:rsidP="00675915">
            <w:pPr>
              <w:pStyle w:val="af0"/>
              <w:spacing w:before="0" w:after="60"/>
              <w:jc w:val="center"/>
              <w:rPr>
                <w:b/>
                <w:bCs/>
                <w:snapToGrid w:val="0"/>
                <w:szCs w:val="18"/>
              </w:rPr>
            </w:pPr>
            <w:r w:rsidRPr="00111027">
              <w:rPr>
                <w:b/>
                <w:bCs/>
                <w:snapToGrid w:val="0"/>
                <w:szCs w:val="18"/>
              </w:rPr>
              <w:t>99,0</w:t>
            </w:r>
          </w:p>
        </w:tc>
        <w:tc>
          <w:tcPr>
            <w:tcW w:w="621" w:type="dxa"/>
            <w:noWrap/>
            <w:vAlign w:val="center"/>
            <w:hideMark/>
          </w:tcPr>
          <w:p w14:paraId="4CCDE824" w14:textId="77777777" w:rsidR="00C4504E" w:rsidRPr="00111027" w:rsidRDefault="00C4504E" w:rsidP="00675915">
            <w:pPr>
              <w:pStyle w:val="af0"/>
              <w:spacing w:before="0" w:after="60"/>
              <w:jc w:val="center"/>
              <w:rPr>
                <w:b/>
                <w:bCs/>
                <w:snapToGrid w:val="0"/>
                <w:szCs w:val="18"/>
              </w:rPr>
            </w:pPr>
            <w:r w:rsidRPr="00111027">
              <w:rPr>
                <w:b/>
                <w:bCs/>
                <w:snapToGrid w:val="0"/>
                <w:szCs w:val="18"/>
              </w:rPr>
              <w:t>92,1</w:t>
            </w:r>
          </w:p>
        </w:tc>
        <w:tc>
          <w:tcPr>
            <w:tcW w:w="621" w:type="dxa"/>
            <w:noWrap/>
            <w:vAlign w:val="center"/>
            <w:hideMark/>
          </w:tcPr>
          <w:p w14:paraId="124F9E00" w14:textId="77777777" w:rsidR="00C4504E" w:rsidRPr="00111027" w:rsidRDefault="00C4504E" w:rsidP="00675915">
            <w:pPr>
              <w:pStyle w:val="af0"/>
              <w:spacing w:before="0" w:after="60"/>
              <w:jc w:val="center"/>
              <w:rPr>
                <w:b/>
                <w:bCs/>
                <w:snapToGrid w:val="0"/>
                <w:szCs w:val="18"/>
              </w:rPr>
            </w:pPr>
            <w:r w:rsidRPr="00111027">
              <w:rPr>
                <w:b/>
                <w:bCs/>
                <w:snapToGrid w:val="0"/>
                <w:szCs w:val="18"/>
              </w:rPr>
              <w:t>97,3</w:t>
            </w:r>
          </w:p>
        </w:tc>
        <w:tc>
          <w:tcPr>
            <w:tcW w:w="621" w:type="dxa"/>
            <w:noWrap/>
            <w:vAlign w:val="center"/>
            <w:hideMark/>
          </w:tcPr>
          <w:p w14:paraId="136D0F37" w14:textId="77777777" w:rsidR="00C4504E" w:rsidRPr="00111027" w:rsidRDefault="00C4504E" w:rsidP="00675915">
            <w:pPr>
              <w:pStyle w:val="af0"/>
              <w:spacing w:before="0" w:after="60"/>
              <w:jc w:val="center"/>
              <w:rPr>
                <w:b/>
                <w:bCs/>
                <w:snapToGrid w:val="0"/>
                <w:szCs w:val="18"/>
              </w:rPr>
            </w:pPr>
            <w:r w:rsidRPr="00111027">
              <w:rPr>
                <w:b/>
                <w:bCs/>
                <w:snapToGrid w:val="0"/>
                <w:szCs w:val="18"/>
              </w:rPr>
              <w:t>95,5</w:t>
            </w:r>
          </w:p>
        </w:tc>
        <w:tc>
          <w:tcPr>
            <w:tcW w:w="621" w:type="dxa"/>
            <w:noWrap/>
            <w:vAlign w:val="center"/>
            <w:hideMark/>
          </w:tcPr>
          <w:p w14:paraId="59ED60B5" w14:textId="77777777" w:rsidR="00C4504E" w:rsidRPr="00111027" w:rsidRDefault="00C4504E" w:rsidP="00675915">
            <w:pPr>
              <w:pStyle w:val="af0"/>
              <w:spacing w:before="0" w:after="60"/>
              <w:jc w:val="center"/>
              <w:rPr>
                <w:b/>
                <w:bCs/>
                <w:snapToGrid w:val="0"/>
                <w:szCs w:val="18"/>
              </w:rPr>
            </w:pPr>
            <w:r w:rsidRPr="00111027">
              <w:rPr>
                <w:b/>
                <w:bCs/>
                <w:snapToGrid w:val="0"/>
                <w:szCs w:val="18"/>
              </w:rPr>
              <w:t>88,5</w:t>
            </w:r>
          </w:p>
        </w:tc>
        <w:tc>
          <w:tcPr>
            <w:tcW w:w="576" w:type="dxa"/>
            <w:noWrap/>
            <w:vAlign w:val="center"/>
            <w:hideMark/>
          </w:tcPr>
          <w:p w14:paraId="02A3F4A5" w14:textId="77777777" w:rsidR="00C4504E" w:rsidRPr="00FF62EA" w:rsidRDefault="00C4504E" w:rsidP="00675915">
            <w:pPr>
              <w:pStyle w:val="af0"/>
              <w:spacing w:before="0" w:after="60"/>
              <w:jc w:val="center"/>
              <w:rPr>
                <w:b/>
                <w:bCs/>
                <w:snapToGrid w:val="0"/>
                <w:szCs w:val="18"/>
              </w:rPr>
            </w:pPr>
            <w:r w:rsidRPr="00FF62EA">
              <w:rPr>
                <w:b/>
                <w:bCs/>
                <w:snapToGrid w:val="0"/>
                <w:szCs w:val="18"/>
              </w:rPr>
              <w:t>3,00</w:t>
            </w:r>
          </w:p>
        </w:tc>
        <w:tc>
          <w:tcPr>
            <w:tcW w:w="576" w:type="dxa"/>
            <w:noWrap/>
            <w:vAlign w:val="center"/>
            <w:hideMark/>
          </w:tcPr>
          <w:p w14:paraId="66ED1F34" w14:textId="77777777" w:rsidR="00C4504E" w:rsidRPr="00FF62EA" w:rsidRDefault="00C4504E" w:rsidP="00675915">
            <w:pPr>
              <w:pStyle w:val="af0"/>
              <w:spacing w:before="0" w:after="60"/>
              <w:jc w:val="center"/>
              <w:rPr>
                <w:b/>
                <w:bCs/>
                <w:snapToGrid w:val="0"/>
                <w:szCs w:val="18"/>
              </w:rPr>
            </w:pPr>
            <w:r w:rsidRPr="00FF62EA">
              <w:rPr>
                <w:b/>
                <w:bCs/>
                <w:snapToGrid w:val="0"/>
                <w:szCs w:val="18"/>
              </w:rPr>
              <w:t>2,89</w:t>
            </w:r>
          </w:p>
        </w:tc>
        <w:tc>
          <w:tcPr>
            <w:tcW w:w="576" w:type="dxa"/>
            <w:noWrap/>
            <w:vAlign w:val="center"/>
            <w:hideMark/>
          </w:tcPr>
          <w:p w14:paraId="31D2EFC0" w14:textId="77777777" w:rsidR="00C4504E" w:rsidRPr="00FF62EA" w:rsidRDefault="00C4504E" w:rsidP="00675915">
            <w:pPr>
              <w:pStyle w:val="af0"/>
              <w:spacing w:before="0" w:after="60"/>
              <w:jc w:val="center"/>
              <w:rPr>
                <w:b/>
                <w:bCs/>
                <w:snapToGrid w:val="0"/>
                <w:szCs w:val="18"/>
              </w:rPr>
            </w:pPr>
            <w:r w:rsidRPr="00FF62EA">
              <w:rPr>
                <w:b/>
                <w:bCs/>
                <w:snapToGrid w:val="0"/>
                <w:szCs w:val="18"/>
              </w:rPr>
              <w:t>2,68</w:t>
            </w:r>
          </w:p>
        </w:tc>
        <w:tc>
          <w:tcPr>
            <w:tcW w:w="576" w:type="dxa"/>
            <w:noWrap/>
            <w:vAlign w:val="center"/>
            <w:hideMark/>
          </w:tcPr>
          <w:p w14:paraId="04446BC6" w14:textId="77777777" w:rsidR="00C4504E" w:rsidRPr="00FF62EA" w:rsidRDefault="00C4504E" w:rsidP="00675915">
            <w:pPr>
              <w:pStyle w:val="af0"/>
              <w:spacing w:before="0" w:after="60"/>
              <w:jc w:val="center"/>
              <w:rPr>
                <w:b/>
                <w:bCs/>
                <w:snapToGrid w:val="0"/>
                <w:szCs w:val="18"/>
              </w:rPr>
            </w:pPr>
            <w:r w:rsidRPr="00FF62EA">
              <w:rPr>
                <w:b/>
                <w:bCs/>
                <w:snapToGrid w:val="0"/>
                <w:szCs w:val="18"/>
              </w:rPr>
              <w:t>2,31</w:t>
            </w:r>
          </w:p>
        </w:tc>
      </w:tr>
      <w:tr w:rsidR="00C4504E" w:rsidRPr="00111027" w14:paraId="015655AF" w14:textId="77777777" w:rsidTr="003660E4">
        <w:trPr>
          <w:trHeight w:val="295"/>
        </w:trPr>
        <w:tc>
          <w:tcPr>
            <w:tcW w:w="5098" w:type="dxa"/>
            <w:noWrap/>
            <w:hideMark/>
          </w:tcPr>
          <w:p w14:paraId="76CD5C61" w14:textId="77777777" w:rsidR="00C4504E" w:rsidRPr="00111027" w:rsidRDefault="00C4504E" w:rsidP="00675915">
            <w:pPr>
              <w:pStyle w:val="af0"/>
              <w:spacing w:before="0" w:after="60"/>
              <w:rPr>
                <w:snapToGrid w:val="0"/>
                <w:sz w:val="20"/>
              </w:rPr>
            </w:pPr>
            <w:r w:rsidRPr="00111027">
              <w:rPr>
                <w:snapToGrid w:val="0"/>
                <w:sz w:val="20"/>
              </w:rPr>
              <w:t>Государственная программа Российской Федерации "Социальная поддержка граждан"</w:t>
            </w:r>
          </w:p>
        </w:tc>
        <w:tc>
          <w:tcPr>
            <w:tcW w:w="851" w:type="dxa"/>
            <w:noWrap/>
            <w:vAlign w:val="center"/>
            <w:hideMark/>
          </w:tcPr>
          <w:p w14:paraId="3F5DEE19" w14:textId="77777777" w:rsidR="00C4504E" w:rsidRPr="00111027" w:rsidRDefault="00C4504E" w:rsidP="00675915">
            <w:pPr>
              <w:pStyle w:val="af0"/>
              <w:spacing w:before="0" w:after="60"/>
              <w:jc w:val="center"/>
              <w:rPr>
                <w:snapToGrid w:val="0"/>
                <w:szCs w:val="18"/>
              </w:rPr>
            </w:pPr>
            <w:r w:rsidRPr="00111027">
              <w:rPr>
                <w:snapToGrid w:val="0"/>
                <w:szCs w:val="18"/>
              </w:rPr>
              <w:t>100,3</w:t>
            </w:r>
          </w:p>
        </w:tc>
        <w:tc>
          <w:tcPr>
            <w:tcW w:w="850" w:type="dxa"/>
            <w:noWrap/>
            <w:vAlign w:val="center"/>
            <w:hideMark/>
          </w:tcPr>
          <w:p w14:paraId="11840E7A" w14:textId="77777777" w:rsidR="00C4504E" w:rsidRPr="00111027" w:rsidRDefault="00C4504E" w:rsidP="00675915">
            <w:pPr>
              <w:pStyle w:val="af0"/>
              <w:spacing w:before="0" w:after="60"/>
              <w:jc w:val="center"/>
              <w:rPr>
                <w:snapToGrid w:val="0"/>
                <w:szCs w:val="18"/>
              </w:rPr>
            </w:pPr>
            <w:r w:rsidRPr="00111027">
              <w:rPr>
                <w:snapToGrid w:val="0"/>
                <w:szCs w:val="18"/>
              </w:rPr>
              <w:t>84,1</w:t>
            </w:r>
          </w:p>
        </w:tc>
        <w:tc>
          <w:tcPr>
            <w:tcW w:w="851" w:type="dxa"/>
            <w:noWrap/>
            <w:vAlign w:val="center"/>
            <w:hideMark/>
          </w:tcPr>
          <w:p w14:paraId="122C062F" w14:textId="77777777" w:rsidR="00C4504E" w:rsidRPr="00111027" w:rsidRDefault="00C4504E" w:rsidP="00675915">
            <w:pPr>
              <w:pStyle w:val="af0"/>
              <w:spacing w:before="0" w:after="60"/>
              <w:jc w:val="center"/>
              <w:rPr>
                <w:snapToGrid w:val="0"/>
                <w:szCs w:val="18"/>
              </w:rPr>
            </w:pPr>
            <w:r w:rsidRPr="00111027">
              <w:rPr>
                <w:snapToGrid w:val="0"/>
                <w:szCs w:val="18"/>
              </w:rPr>
              <w:t>79,4</w:t>
            </w:r>
          </w:p>
        </w:tc>
        <w:tc>
          <w:tcPr>
            <w:tcW w:w="850" w:type="dxa"/>
            <w:noWrap/>
            <w:vAlign w:val="center"/>
            <w:hideMark/>
          </w:tcPr>
          <w:p w14:paraId="3DF604D4" w14:textId="77777777" w:rsidR="00C4504E" w:rsidRPr="00111027" w:rsidRDefault="00C4504E" w:rsidP="00675915">
            <w:pPr>
              <w:pStyle w:val="af0"/>
              <w:spacing w:before="0" w:after="60"/>
              <w:jc w:val="center"/>
              <w:rPr>
                <w:snapToGrid w:val="0"/>
                <w:szCs w:val="18"/>
              </w:rPr>
            </w:pPr>
            <w:r w:rsidRPr="00111027">
              <w:rPr>
                <w:snapToGrid w:val="0"/>
                <w:szCs w:val="18"/>
              </w:rPr>
              <w:t>89,7</w:t>
            </w:r>
          </w:p>
        </w:tc>
        <w:tc>
          <w:tcPr>
            <w:tcW w:w="621" w:type="dxa"/>
            <w:noWrap/>
            <w:vAlign w:val="center"/>
            <w:hideMark/>
          </w:tcPr>
          <w:p w14:paraId="222404FF" w14:textId="77777777" w:rsidR="00C4504E" w:rsidRPr="00111027" w:rsidRDefault="00C4504E" w:rsidP="00675915">
            <w:pPr>
              <w:pStyle w:val="af0"/>
              <w:spacing w:before="0" w:after="60"/>
              <w:jc w:val="center"/>
              <w:rPr>
                <w:snapToGrid w:val="0"/>
                <w:szCs w:val="18"/>
              </w:rPr>
            </w:pPr>
            <w:r w:rsidRPr="00111027">
              <w:rPr>
                <w:snapToGrid w:val="0"/>
                <w:szCs w:val="18"/>
              </w:rPr>
              <w:t>83,9</w:t>
            </w:r>
          </w:p>
        </w:tc>
        <w:tc>
          <w:tcPr>
            <w:tcW w:w="621" w:type="dxa"/>
            <w:noWrap/>
            <w:vAlign w:val="center"/>
            <w:hideMark/>
          </w:tcPr>
          <w:p w14:paraId="5AE06528" w14:textId="77777777" w:rsidR="00C4504E" w:rsidRPr="00111027" w:rsidRDefault="00C4504E" w:rsidP="00675915">
            <w:pPr>
              <w:pStyle w:val="af0"/>
              <w:spacing w:before="0" w:after="60"/>
              <w:jc w:val="center"/>
              <w:rPr>
                <w:snapToGrid w:val="0"/>
                <w:szCs w:val="18"/>
              </w:rPr>
            </w:pPr>
            <w:r w:rsidRPr="00111027">
              <w:rPr>
                <w:snapToGrid w:val="0"/>
                <w:szCs w:val="18"/>
              </w:rPr>
              <w:t>94,4</w:t>
            </w:r>
          </w:p>
        </w:tc>
        <w:tc>
          <w:tcPr>
            <w:tcW w:w="621" w:type="dxa"/>
            <w:noWrap/>
            <w:vAlign w:val="center"/>
            <w:hideMark/>
          </w:tcPr>
          <w:p w14:paraId="6D95840C" w14:textId="77777777" w:rsidR="00C4504E" w:rsidRPr="00111027" w:rsidRDefault="00C4504E" w:rsidP="00675915">
            <w:pPr>
              <w:pStyle w:val="af0"/>
              <w:spacing w:before="0" w:after="60"/>
              <w:jc w:val="center"/>
              <w:rPr>
                <w:snapToGrid w:val="0"/>
                <w:szCs w:val="18"/>
              </w:rPr>
            </w:pPr>
            <w:r w:rsidRPr="00111027">
              <w:rPr>
                <w:snapToGrid w:val="0"/>
                <w:szCs w:val="18"/>
              </w:rPr>
              <w:t>112,9</w:t>
            </w:r>
          </w:p>
        </w:tc>
        <w:tc>
          <w:tcPr>
            <w:tcW w:w="621" w:type="dxa"/>
            <w:noWrap/>
            <w:vAlign w:val="center"/>
            <w:hideMark/>
          </w:tcPr>
          <w:p w14:paraId="1BF7BC5E" w14:textId="77777777" w:rsidR="00C4504E" w:rsidRPr="00111027" w:rsidRDefault="00C4504E" w:rsidP="00675915">
            <w:pPr>
              <w:pStyle w:val="af0"/>
              <w:spacing w:before="0" w:after="60"/>
              <w:jc w:val="center"/>
              <w:rPr>
                <w:snapToGrid w:val="0"/>
                <w:szCs w:val="18"/>
              </w:rPr>
            </w:pPr>
            <w:r w:rsidRPr="00111027">
              <w:rPr>
                <w:snapToGrid w:val="0"/>
                <w:szCs w:val="18"/>
              </w:rPr>
              <w:t>81,4</w:t>
            </w:r>
          </w:p>
        </w:tc>
        <w:tc>
          <w:tcPr>
            <w:tcW w:w="621" w:type="dxa"/>
            <w:noWrap/>
            <w:vAlign w:val="center"/>
            <w:hideMark/>
          </w:tcPr>
          <w:p w14:paraId="0A022D4E" w14:textId="77777777" w:rsidR="00C4504E" w:rsidRPr="00111027" w:rsidRDefault="00C4504E" w:rsidP="00675915">
            <w:pPr>
              <w:pStyle w:val="af0"/>
              <w:spacing w:before="0" w:after="60"/>
              <w:jc w:val="center"/>
              <w:rPr>
                <w:snapToGrid w:val="0"/>
                <w:szCs w:val="18"/>
              </w:rPr>
            </w:pPr>
            <w:r w:rsidRPr="00111027">
              <w:rPr>
                <w:snapToGrid w:val="0"/>
                <w:szCs w:val="18"/>
              </w:rPr>
              <w:t>91,0</w:t>
            </w:r>
          </w:p>
        </w:tc>
        <w:tc>
          <w:tcPr>
            <w:tcW w:w="621" w:type="dxa"/>
            <w:noWrap/>
            <w:vAlign w:val="center"/>
            <w:hideMark/>
          </w:tcPr>
          <w:p w14:paraId="1090C3EF" w14:textId="77777777" w:rsidR="00C4504E" w:rsidRPr="00111027" w:rsidRDefault="00C4504E" w:rsidP="00675915">
            <w:pPr>
              <w:pStyle w:val="af0"/>
              <w:spacing w:before="0" w:after="60"/>
              <w:jc w:val="center"/>
              <w:rPr>
                <w:snapToGrid w:val="0"/>
                <w:szCs w:val="18"/>
              </w:rPr>
            </w:pPr>
            <w:r w:rsidRPr="00111027">
              <w:rPr>
                <w:snapToGrid w:val="0"/>
                <w:szCs w:val="18"/>
              </w:rPr>
              <w:t>108,6</w:t>
            </w:r>
          </w:p>
        </w:tc>
        <w:tc>
          <w:tcPr>
            <w:tcW w:w="576" w:type="dxa"/>
            <w:noWrap/>
            <w:vAlign w:val="center"/>
            <w:hideMark/>
          </w:tcPr>
          <w:p w14:paraId="1CB95CF3" w14:textId="77777777" w:rsidR="00C4504E" w:rsidRPr="00111027" w:rsidRDefault="00C4504E" w:rsidP="00675915">
            <w:pPr>
              <w:pStyle w:val="af0"/>
              <w:spacing w:before="0" w:after="60"/>
              <w:jc w:val="center"/>
              <w:rPr>
                <w:snapToGrid w:val="0"/>
                <w:szCs w:val="18"/>
              </w:rPr>
            </w:pPr>
            <w:r w:rsidRPr="00FF62EA">
              <w:rPr>
                <w:snapToGrid w:val="0"/>
                <w:szCs w:val="18"/>
              </w:rPr>
              <w:t>0,09</w:t>
            </w:r>
          </w:p>
        </w:tc>
        <w:tc>
          <w:tcPr>
            <w:tcW w:w="576" w:type="dxa"/>
            <w:noWrap/>
            <w:vAlign w:val="center"/>
            <w:hideMark/>
          </w:tcPr>
          <w:p w14:paraId="0E2FA7CD" w14:textId="77777777" w:rsidR="00C4504E" w:rsidRPr="00111027" w:rsidRDefault="00C4504E" w:rsidP="00675915">
            <w:pPr>
              <w:pStyle w:val="af0"/>
              <w:spacing w:before="0" w:after="60"/>
              <w:jc w:val="center"/>
              <w:rPr>
                <w:snapToGrid w:val="0"/>
                <w:szCs w:val="18"/>
              </w:rPr>
            </w:pPr>
            <w:r w:rsidRPr="00FF62EA">
              <w:rPr>
                <w:snapToGrid w:val="0"/>
                <w:szCs w:val="18"/>
              </w:rPr>
              <w:t>0,07</w:t>
            </w:r>
          </w:p>
        </w:tc>
        <w:tc>
          <w:tcPr>
            <w:tcW w:w="576" w:type="dxa"/>
            <w:noWrap/>
            <w:vAlign w:val="center"/>
            <w:hideMark/>
          </w:tcPr>
          <w:p w14:paraId="55452EED" w14:textId="77777777" w:rsidR="00C4504E" w:rsidRPr="00111027" w:rsidRDefault="00C4504E" w:rsidP="00675915">
            <w:pPr>
              <w:pStyle w:val="af0"/>
              <w:spacing w:before="0" w:after="60"/>
              <w:jc w:val="center"/>
              <w:rPr>
                <w:snapToGrid w:val="0"/>
                <w:szCs w:val="18"/>
              </w:rPr>
            </w:pPr>
            <w:r w:rsidRPr="00FF62EA">
              <w:rPr>
                <w:snapToGrid w:val="0"/>
                <w:szCs w:val="18"/>
              </w:rPr>
              <w:t>0,07</w:t>
            </w:r>
          </w:p>
        </w:tc>
        <w:tc>
          <w:tcPr>
            <w:tcW w:w="576" w:type="dxa"/>
            <w:noWrap/>
            <w:vAlign w:val="center"/>
            <w:hideMark/>
          </w:tcPr>
          <w:p w14:paraId="5A261090" w14:textId="77777777" w:rsidR="00C4504E" w:rsidRPr="00111027" w:rsidRDefault="00C4504E" w:rsidP="00675915">
            <w:pPr>
              <w:pStyle w:val="af0"/>
              <w:spacing w:before="0" w:after="60"/>
              <w:jc w:val="center"/>
              <w:rPr>
                <w:snapToGrid w:val="0"/>
                <w:szCs w:val="18"/>
              </w:rPr>
            </w:pPr>
            <w:r w:rsidRPr="00FF62EA">
              <w:rPr>
                <w:snapToGrid w:val="0"/>
                <w:szCs w:val="18"/>
              </w:rPr>
              <w:t>0,07</w:t>
            </w:r>
          </w:p>
        </w:tc>
      </w:tr>
      <w:tr w:rsidR="00C4504E" w:rsidRPr="00111027" w14:paraId="2144E762" w14:textId="77777777" w:rsidTr="003660E4">
        <w:trPr>
          <w:trHeight w:val="295"/>
        </w:trPr>
        <w:tc>
          <w:tcPr>
            <w:tcW w:w="5098" w:type="dxa"/>
            <w:noWrap/>
            <w:hideMark/>
          </w:tcPr>
          <w:p w14:paraId="6821C73B" w14:textId="77777777" w:rsidR="00C4504E" w:rsidRPr="00111027" w:rsidRDefault="00C4504E" w:rsidP="00675915">
            <w:pPr>
              <w:pStyle w:val="af0"/>
              <w:spacing w:before="0" w:after="60"/>
              <w:rPr>
                <w:snapToGrid w:val="0"/>
                <w:sz w:val="20"/>
              </w:rPr>
            </w:pPr>
            <w:r w:rsidRPr="00111027">
              <w:rPr>
                <w:snapToGrid w:val="0"/>
                <w:sz w:val="20"/>
              </w:rPr>
              <w:t>ОМ "Оказание мер социальной поддержки ветеранам Великой Отечественной войны и боевых действий"</w:t>
            </w:r>
          </w:p>
        </w:tc>
        <w:tc>
          <w:tcPr>
            <w:tcW w:w="851" w:type="dxa"/>
            <w:noWrap/>
            <w:vAlign w:val="center"/>
            <w:hideMark/>
          </w:tcPr>
          <w:p w14:paraId="72E50629" w14:textId="77777777" w:rsidR="00C4504E" w:rsidRPr="00111027" w:rsidRDefault="00C4504E" w:rsidP="00675915">
            <w:pPr>
              <w:pStyle w:val="af0"/>
              <w:spacing w:before="0" w:after="60"/>
              <w:jc w:val="center"/>
              <w:rPr>
                <w:snapToGrid w:val="0"/>
                <w:szCs w:val="18"/>
              </w:rPr>
            </w:pPr>
            <w:r w:rsidRPr="00111027">
              <w:rPr>
                <w:snapToGrid w:val="0"/>
                <w:szCs w:val="18"/>
              </w:rPr>
              <w:t>3,2</w:t>
            </w:r>
          </w:p>
        </w:tc>
        <w:tc>
          <w:tcPr>
            <w:tcW w:w="850" w:type="dxa"/>
            <w:noWrap/>
            <w:vAlign w:val="center"/>
            <w:hideMark/>
          </w:tcPr>
          <w:p w14:paraId="572A557E" w14:textId="77777777" w:rsidR="00C4504E" w:rsidRPr="00111027" w:rsidRDefault="00C4504E" w:rsidP="00675915">
            <w:pPr>
              <w:pStyle w:val="af0"/>
              <w:spacing w:before="0" w:after="60"/>
              <w:jc w:val="center"/>
              <w:rPr>
                <w:snapToGrid w:val="0"/>
                <w:szCs w:val="18"/>
              </w:rPr>
            </w:pPr>
            <w:r w:rsidRPr="00111027">
              <w:rPr>
                <w:snapToGrid w:val="0"/>
                <w:szCs w:val="18"/>
              </w:rPr>
              <w:t>2,8</w:t>
            </w:r>
          </w:p>
        </w:tc>
        <w:tc>
          <w:tcPr>
            <w:tcW w:w="851" w:type="dxa"/>
            <w:noWrap/>
            <w:vAlign w:val="center"/>
            <w:hideMark/>
          </w:tcPr>
          <w:p w14:paraId="0E1EB3B2" w14:textId="77777777" w:rsidR="00C4504E" w:rsidRPr="00111027" w:rsidRDefault="00C4504E" w:rsidP="00675915">
            <w:pPr>
              <w:pStyle w:val="af0"/>
              <w:spacing w:before="0" w:after="60"/>
              <w:jc w:val="center"/>
              <w:rPr>
                <w:snapToGrid w:val="0"/>
                <w:szCs w:val="18"/>
              </w:rPr>
            </w:pPr>
            <w:r w:rsidRPr="00111027">
              <w:rPr>
                <w:snapToGrid w:val="0"/>
                <w:szCs w:val="18"/>
              </w:rPr>
              <w:t>2,4</w:t>
            </w:r>
          </w:p>
        </w:tc>
        <w:tc>
          <w:tcPr>
            <w:tcW w:w="850" w:type="dxa"/>
            <w:noWrap/>
            <w:vAlign w:val="center"/>
            <w:hideMark/>
          </w:tcPr>
          <w:p w14:paraId="4AE05CE0" w14:textId="77777777" w:rsidR="00C4504E" w:rsidRPr="00111027" w:rsidRDefault="00C4504E" w:rsidP="00675915">
            <w:pPr>
              <w:pStyle w:val="af0"/>
              <w:spacing w:before="0" w:after="60"/>
              <w:jc w:val="center"/>
              <w:rPr>
                <w:snapToGrid w:val="0"/>
                <w:szCs w:val="18"/>
              </w:rPr>
            </w:pPr>
            <w:r w:rsidRPr="00111027">
              <w:rPr>
                <w:snapToGrid w:val="0"/>
                <w:szCs w:val="18"/>
              </w:rPr>
              <w:t>2,1</w:t>
            </w:r>
          </w:p>
        </w:tc>
        <w:tc>
          <w:tcPr>
            <w:tcW w:w="621" w:type="dxa"/>
            <w:noWrap/>
            <w:vAlign w:val="center"/>
            <w:hideMark/>
          </w:tcPr>
          <w:p w14:paraId="1C57D378" w14:textId="77777777" w:rsidR="00C4504E" w:rsidRPr="00111027" w:rsidRDefault="00C4504E" w:rsidP="00675915">
            <w:pPr>
              <w:pStyle w:val="af0"/>
              <w:spacing w:before="0" w:after="60"/>
              <w:jc w:val="center"/>
              <w:rPr>
                <w:snapToGrid w:val="0"/>
                <w:szCs w:val="18"/>
              </w:rPr>
            </w:pPr>
            <w:r w:rsidRPr="00111027">
              <w:rPr>
                <w:snapToGrid w:val="0"/>
                <w:szCs w:val="18"/>
              </w:rPr>
              <w:t>87,4</w:t>
            </w:r>
          </w:p>
        </w:tc>
        <w:tc>
          <w:tcPr>
            <w:tcW w:w="621" w:type="dxa"/>
            <w:noWrap/>
            <w:vAlign w:val="center"/>
            <w:hideMark/>
          </w:tcPr>
          <w:p w14:paraId="7058711E" w14:textId="77777777" w:rsidR="00C4504E" w:rsidRPr="00111027" w:rsidRDefault="00C4504E" w:rsidP="00675915">
            <w:pPr>
              <w:pStyle w:val="af0"/>
              <w:spacing w:before="0" w:after="60"/>
              <w:jc w:val="center"/>
              <w:rPr>
                <w:snapToGrid w:val="0"/>
                <w:szCs w:val="18"/>
              </w:rPr>
            </w:pPr>
            <w:r w:rsidRPr="00111027">
              <w:rPr>
                <w:snapToGrid w:val="0"/>
                <w:szCs w:val="18"/>
              </w:rPr>
              <w:t>86,2</w:t>
            </w:r>
          </w:p>
        </w:tc>
        <w:tc>
          <w:tcPr>
            <w:tcW w:w="621" w:type="dxa"/>
            <w:noWrap/>
            <w:vAlign w:val="center"/>
            <w:hideMark/>
          </w:tcPr>
          <w:p w14:paraId="0BF87387" w14:textId="77777777" w:rsidR="00C4504E" w:rsidRPr="00111027" w:rsidRDefault="00C4504E" w:rsidP="00675915">
            <w:pPr>
              <w:pStyle w:val="af0"/>
              <w:spacing w:before="0" w:after="60"/>
              <w:jc w:val="center"/>
              <w:rPr>
                <w:snapToGrid w:val="0"/>
                <w:szCs w:val="18"/>
              </w:rPr>
            </w:pPr>
            <w:r w:rsidRPr="00111027">
              <w:rPr>
                <w:snapToGrid w:val="0"/>
                <w:szCs w:val="18"/>
              </w:rPr>
              <w:t>87,0</w:t>
            </w:r>
          </w:p>
        </w:tc>
        <w:tc>
          <w:tcPr>
            <w:tcW w:w="621" w:type="dxa"/>
            <w:noWrap/>
            <w:vAlign w:val="center"/>
            <w:hideMark/>
          </w:tcPr>
          <w:p w14:paraId="5574BD9C" w14:textId="77777777" w:rsidR="00C4504E" w:rsidRPr="00111027" w:rsidRDefault="00C4504E" w:rsidP="00675915">
            <w:pPr>
              <w:pStyle w:val="af0"/>
              <w:spacing w:before="0" w:after="60"/>
              <w:jc w:val="center"/>
              <w:rPr>
                <w:snapToGrid w:val="0"/>
                <w:szCs w:val="18"/>
              </w:rPr>
            </w:pPr>
            <w:r w:rsidRPr="00111027">
              <w:rPr>
                <w:snapToGrid w:val="0"/>
                <w:szCs w:val="18"/>
              </w:rPr>
              <w:t>84,9</w:t>
            </w:r>
          </w:p>
        </w:tc>
        <w:tc>
          <w:tcPr>
            <w:tcW w:w="621" w:type="dxa"/>
            <w:noWrap/>
            <w:vAlign w:val="center"/>
            <w:hideMark/>
          </w:tcPr>
          <w:p w14:paraId="7A9AF305" w14:textId="77777777" w:rsidR="00C4504E" w:rsidRPr="00111027" w:rsidRDefault="00C4504E" w:rsidP="00675915">
            <w:pPr>
              <w:pStyle w:val="af0"/>
              <w:spacing w:before="0" w:after="60"/>
              <w:jc w:val="center"/>
              <w:rPr>
                <w:snapToGrid w:val="0"/>
                <w:szCs w:val="18"/>
              </w:rPr>
            </w:pPr>
            <w:r w:rsidRPr="00111027">
              <w:rPr>
                <w:snapToGrid w:val="0"/>
                <w:szCs w:val="18"/>
              </w:rPr>
              <w:t>83,2</w:t>
            </w:r>
          </w:p>
        </w:tc>
        <w:tc>
          <w:tcPr>
            <w:tcW w:w="621" w:type="dxa"/>
            <w:noWrap/>
            <w:vAlign w:val="center"/>
            <w:hideMark/>
          </w:tcPr>
          <w:p w14:paraId="2569EF7E" w14:textId="77777777" w:rsidR="00C4504E" w:rsidRPr="00111027" w:rsidRDefault="00C4504E" w:rsidP="00675915">
            <w:pPr>
              <w:pStyle w:val="af0"/>
              <w:spacing w:before="0" w:after="60"/>
              <w:jc w:val="center"/>
              <w:rPr>
                <w:snapToGrid w:val="0"/>
                <w:szCs w:val="18"/>
              </w:rPr>
            </w:pPr>
            <w:r w:rsidRPr="00111027">
              <w:rPr>
                <w:snapToGrid w:val="0"/>
                <w:szCs w:val="18"/>
              </w:rPr>
              <w:t>83,7</w:t>
            </w:r>
          </w:p>
        </w:tc>
        <w:tc>
          <w:tcPr>
            <w:tcW w:w="576" w:type="dxa"/>
            <w:noWrap/>
            <w:vAlign w:val="center"/>
            <w:hideMark/>
          </w:tcPr>
          <w:p w14:paraId="6C15852B" w14:textId="77777777" w:rsidR="00C4504E" w:rsidRPr="00111027" w:rsidRDefault="00C4504E" w:rsidP="00675915">
            <w:pPr>
              <w:pStyle w:val="af0"/>
              <w:spacing w:before="0" w:after="60"/>
              <w:jc w:val="center"/>
              <w:rPr>
                <w:snapToGrid w:val="0"/>
                <w:szCs w:val="18"/>
              </w:rPr>
            </w:pPr>
            <w:r w:rsidRPr="00FF62EA">
              <w:rPr>
                <w:snapToGrid w:val="0"/>
                <w:szCs w:val="18"/>
              </w:rPr>
              <w:t>0,00</w:t>
            </w:r>
          </w:p>
        </w:tc>
        <w:tc>
          <w:tcPr>
            <w:tcW w:w="576" w:type="dxa"/>
            <w:noWrap/>
            <w:vAlign w:val="center"/>
            <w:hideMark/>
          </w:tcPr>
          <w:p w14:paraId="10A2BF01" w14:textId="77777777" w:rsidR="00C4504E" w:rsidRPr="00111027" w:rsidRDefault="00C4504E" w:rsidP="00675915">
            <w:pPr>
              <w:pStyle w:val="af0"/>
              <w:spacing w:before="0" w:after="60"/>
              <w:jc w:val="center"/>
              <w:rPr>
                <w:snapToGrid w:val="0"/>
                <w:szCs w:val="18"/>
              </w:rPr>
            </w:pPr>
            <w:r w:rsidRPr="00FF62EA">
              <w:rPr>
                <w:snapToGrid w:val="0"/>
                <w:szCs w:val="18"/>
              </w:rPr>
              <w:t>0,00</w:t>
            </w:r>
          </w:p>
        </w:tc>
        <w:tc>
          <w:tcPr>
            <w:tcW w:w="576" w:type="dxa"/>
            <w:noWrap/>
            <w:vAlign w:val="center"/>
            <w:hideMark/>
          </w:tcPr>
          <w:p w14:paraId="4E8650EB" w14:textId="77777777" w:rsidR="00C4504E" w:rsidRPr="00111027" w:rsidRDefault="00C4504E" w:rsidP="00675915">
            <w:pPr>
              <w:pStyle w:val="af0"/>
              <w:spacing w:before="0" w:after="60"/>
              <w:jc w:val="center"/>
              <w:rPr>
                <w:snapToGrid w:val="0"/>
                <w:szCs w:val="18"/>
              </w:rPr>
            </w:pPr>
            <w:r w:rsidRPr="00FF62EA">
              <w:rPr>
                <w:snapToGrid w:val="0"/>
                <w:szCs w:val="18"/>
              </w:rPr>
              <w:t>0,00</w:t>
            </w:r>
          </w:p>
        </w:tc>
        <w:tc>
          <w:tcPr>
            <w:tcW w:w="576" w:type="dxa"/>
            <w:noWrap/>
            <w:vAlign w:val="center"/>
            <w:hideMark/>
          </w:tcPr>
          <w:p w14:paraId="11DB331F" w14:textId="77777777" w:rsidR="00C4504E" w:rsidRPr="00111027" w:rsidRDefault="00C4504E" w:rsidP="00675915">
            <w:pPr>
              <w:pStyle w:val="af0"/>
              <w:spacing w:before="0" w:after="60"/>
              <w:jc w:val="center"/>
              <w:rPr>
                <w:snapToGrid w:val="0"/>
                <w:szCs w:val="18"/>
              </w:rPr>
            </w:pPr>
            <w:r w:rsidRPr="00FF62EA">
              <w:rPr>
                <w:snapToGrid w:val="0"/>
                <w:szCs w:val="18"/>
              </w:rPr>
              <w:t>0,00</w:t>
            </w:r>
          </w:p>
        </w:tc>
      </w:tr>
      <w:tr w:rsidR="00C4504E" w:rsidRPr="00111027" w14:paraId="37731890" w14:textId="77777777" w:rsidTr="003660E4">
        <w:trPr>
          <w:trHeight w:val="295"/>
        </w:trPr>
        <w:tc>
          <w:tcPr>
            <w:tcW w:w="5098" w:type="dxa"/>
            <w:noWrap/>
            <w:hideMark/>
          </w:tcPr>
          <w:p w14:paraId="6B6D5A23" w14:textId="77777777" w:rsidR="00C4504E" w:rsidRPr="00111027" w:rsidRDefault="00C4504E" w:rsidP="00675915">
            <w:pPr>
              <w:pStyle w:val="af0"/>
              <w:spacing w:before="0" w:after="60"/>
              <w:rPr>
                <w:snapToGrid w:val="0"/>
                <w:sz w:val="20"/>
              </w:rPr>
            </w:pPr>
            <w:r w:rsidRPr="00111027">
              <w:rPr>
                <w:snapToGrid w:val="0"/>
                <w:sz w:val="20"/>
              </w:rPr>
              <w:t>ОМ "Оказание мер государственной поддержки инвалидам"</w:t>
            </w:r>
          </w:p>
        </w:tc>
        <w:tc>
          <w:tcPr>
            <w:tcW w:w="851" w:type="dxa"/>
            <w:noWrap/>
            <w:vAlign w:val="center"/>
            <w:hideMark/>
          </w:tcPr>
          <w:p w14:paraId="5D27F21D" w14:textId="77777777" w:rsidR="00C4504E" w:rsidRPr="00111027" w:rsidRDefault="00C4504E" w:rsidP="00675915">
            <w:pPr>
              <w:pStyle w:val="af0"/>
              <w:spacing w:before="0" w:after="60"/>
              <w:jc w:val="center"/>
              <w:rPr>
                <w:snapToGrid w:val="0"/>
                <w:szCs w:val="18"/>
              </w:rPr>
            </w:pPr>
            <w:r w:rsidRPr="00111027">
              <w:rPr>
                <w:snapToGrid w:val="0"/>
                <w:szCs w:val="18"/>
              </w:rPr>
              <w:t>0,5</w:t>
            </w:r>
          </w:p>
        </w:tc>
        <w:tc>
          <w:tcPr>
            <w:tcW w:w="850" w:type="dxa"/>
            <w:noWrap/>
            <w:vAlign w:val="center"/>
            <w:hideMark/>
          </w:tcPr>
          <w:p w14:paraId="6080370C" w14:textId="77777777" w:rsidR="00C4504E" w:rsidRPr="00111027" w:rsidRDefault="00C4504E" w:rsidP="00675915">
            <w:pPr>
              <w:pStyle w:val="af0"/>
              <w:spacing w:before="0" w:after="60"/>
              <w:jc w:val="center"/>
              <w:rPr>
                <w:snapToGrid w:val="0"/>
                <w:szCs w:val="18"/>
              </w:rPr>
            </w:pPr>
            <w:r w:rsidRPr="00111027">
              <w:rPr>
                <w:snapToGrid w:val="0"/>
                <w:szCs w:val="18"/>
              </w:rPr>
              <w:t>0,5</w:t>
            </w:r>
          </w:p>
        </w:tc>
        <w:tc>
          <w:tcPr>
            <w:tcW w:w="851" w:type="dxa"/>
            <w:noWrap/>
            <w:vAlign w:val="center"/>
            <w:hideMark/>
          </w:tcPr>
          <w:p w14:paraId="31CCB282" w14:textId="77777777" w:rsidR="00C4504E" w:rsidRPr="00111027" w:rsidRDefault="00C4504E" w:rsidP="00675915">
            <w:pPr>
              <w:pStyle w:val="af0"/>
              <w:spacing w:before="0" w:after="60"/>
              <w:jc w:val="center"/>
              <w:rPr>
                <w:snapToGrid w:val="0"/>
                <w:szCs w:val="18"/>
              </w:rPr>
            </w:pPr>
            <w:r w:rsidRPr="00111027">
              <w:rPr>
                <w:snapToGrid w:val="0"/>
                <w:szCs w:val="18"/>
              </w:rPr>
              <w:t>0,5</w:t>
            </w:r>
          </w:p>
        </w:tc>
        <w:tc>
          <w:tcPr>
            <w:tcW w:w="850" w:type="dxa"/>
            <w:noWrap/>
            <w:vAlign w:val="center"/>
            <w:hideMark/>
          </w:tcPr>
          <w:p w14:paraId="14E8F554" w14:textId="77777777" w:rsidR="00C4504E" w:rsidRPr="00111027" w:rsidRDefault="00C4504E" w:rsidP="00675915">
            <w:pPr>
              <w:pStyle w:val="af0"/>
              <w:spacing w:before="0" w:after="60"/>
              <w:jc w:val="center"/>
              <w:rPr>
                <w:snapToGrid w:val="0"/>
                <w:szCs w:val="18"/>
              </w:rPr>
            </w:pPr>
            <w:r w:rsidRPr="00111027">
              <w:rPr>
                <w:snapToGrid w:val="0"/>
                <w:szCs w:val="18"/>
              </w:rPr>
              <w:t>0,5</w:t>
            </w:r>
          </w:p>
        </w:tc>
        <w:tc>
          <w:tcPr>
            <w:tcW w:w="621" w:type="dxa"/>
            <w:noWrap/>
            <w:vAlign w:val="center"/>
            <w:hideMark/>
          </w:tcPr>
          <w:p w14:paraId="481851A9" w14:textId="77777777" w:rsidR="00C4504E" w:rsidRPr="00111027" w:rsidRDefault="00C4504E" w:rsidP="00675915">
            <w:pPr>
              <w:pStyle w:val="af0"/>
              <w:spacing w:before="0" w:after="60"/>
              <w:jc w:val="center"/>
              <w:rPr>
                <w:snapToGrid w:val="0"/>
                <w:szCs w:val="18"/>
              </w:rPr>
            </w:pPr>
            <w:r w:rsidRPr="00111027">
              <w:rPr>
                <w:snapToGrid w:val="0"/>
                <w:szCs w:val="18"/>
              </w:rPr>
              <w:t>96,1</w:t>
            </w:r>
          </w:p>
        </w:tc>
        <w:tc>
          <w:tcPr>
            <w:tcW w:w="621" w:type="dxa"/>
            <w:noWrap/>
            <w:vAlign w:val="center"/>
            <w:hideMark/>
          </w:tcPr>
          <w:p w14:paraId="6801986F" w14:textId="77777777" w:rsidR="00C4504E" w:rsidRPr="00111027" w:rsidRDefault="00C4504E" w:rsidP="00675915">
            <w:pPr>
              <w:pStyle w:val="af0"/>
              <w:spacing w:before="0" w:after="60"/>
              <w:jc w:val="center"/>
              <w:rPr>
                <w:snapToGrid w:val="0"/>
                <w:szCs w:val="18"/>
              </w:rPr>
            </w:pPr>
            <w:r w:rsidRPr="00111027">
              <w:rPr>
                <w:snapToGrid w:val="0"/>
                <w:szCs w:val="18"/>
              </w:rPr>
              <w:t>97,0</w:t>
            </w:r>
          </w:p>
        </w:tc>
        <w:tc>
          <w:tcPr>
            <w:tcW w:w="621" w:type="dxa"/>
            <w:noWrap/>
            <w:vAlign w:val="center"/>
            <w:hideMark/>
          </w:tcPr>
          <w:p w14:paraId="2041C493" w14:textId="77777777" w:rsidR="00C4504E" w:rsidRPr="00111027" w:rsidRDefault="00C4504E" w:rsidP="00675915">
            <w:pPr>
              <w:pStyle w:val="af0"/>
              <w:spacing w:before="0" w:after="60"/>
              <w:jc w:val="center"/>
              <w:rPr>
                <w:snapToGrid w:val="0"/>
                <w:szCs w:val="18"/>
              </w:rPr>
            </w:pPr>
            <w:r w:rsidRPr="00111027">
              <w:rPr>
                <w:snapToGrid w:val="0"/>
                <w:szCs w:val="18"/>
              </w:rPr>
              <w:t>97,0</w:t>
            </w:r>
          </w:p>
        </w:tc>
        <w:tc>
          <w:tcPr>
            <w:tcW w:w="621" w:type="dxa"/>
            <w:noWrap/>
            <w:vAlign w:val="center"/>
            <w:hideMark/>
          </w:tcPr>
          <w:p w14:paraId="161F049C" w14:textId="77777777" w:rsidR="00C4504E" w:rsidRPr="00111027" w:rsidRDefault="00C4504E" w:rsidP="00675915">
            <w:pPr>
              <w:pStyle w:val="af0"/>
              <w:spacing w:before="0" w:after="60"/>
              <w:jc w:val="center"/>
              <w:rPr>
                <w:snapToGrid w:val="0"/>
                <w:szCs w:val="18"/>
              </w:rPr>
            </w:pPr>
            <w:r w:rsidRPr="00111027">
              <w:rPr>
                <w:snapToGrid w:val="0"/>
                <w:szCs w:val="18"/>
              </w:rPr>
              <w:t>93,3</w:t>
            </w:r>
          </w:p>
        </w:tc>
        <w:tc>
          <w:tcPr>
            <w:tcW w:w="621" w:type="dxa"/>
            <w:noWrap/>
            <w:vAlign w:val="center"/>
            <w:hideMark/>
          </w:tcPr>
          <w:p w14:paraId="3F0099E8" w14:textId="77777777" w:rsidR="00C4504E" w:rsidRPr="00111027" w:rsidRDefault="00C4504E" w:rsidP="00675915">
            <w:pPr>
              <w:pStyle w:val="af0"/>
              <w:spacing w:before="0" w:after="60"/>
              <w:jc w:val="center"/>
              <w:rPr>
                <w:snapToGrid w:val="0"/>
                <w:szCs w:val="18"/>
              </w:rPr>
            </w:pPr>
            <w:r w:rsidRPr="00111027">
              <w:rPr>
                <w:snapToGrid w:val="0"/>
                <w:szCs w:val="18"/>
              </w:rPr>
              <w:t>93,5</w:t>
            </w:r>
          </w:p>
        </w:tc>
        <w:tc>
          <w:tcPr>
            <w:tcW w:w="621" w:type="dxa"/>
            <w:noWrap/>
            <w:vAlign w:val="center"/>
            <w:hideMark/>
          </w:tcPr>
          <w:p w14:paraId="151D2CD4" w14:textId="77777777" w:rsidR="00C4504E" w:rsidRPr="00111027" w:rsidRDefault="00C4504E" w:rsidP="00675915">
            <w:pPr>
              <w:pStyle w:val="af0"/>
              <w:spacing w:before="0" w:after="60"/>
              <w:jc w:val="center"/>
              <w:rPr>
                <w:snapToGrid w:val="0"/>
                <w:szCs w:val="18"/>
              </w:rPr>
            </w:pPr>
            <w:r w:rsidRPr="00111027">
              <w:rPr>
                <w:snapToGrid w:val="0"/>
                <w:szCs w:val="18"/>
              </w:rPr>
              <w:t>93,3</w:t>
            </w:r>
          </w:p>
        </w:tc>
        <w:tc>
          <w:tcPr>
            <w:tcW w:w="576" w:type="dxa"/>
            <w:noWrap/>
            <w:vAlign w:val="center"/>
            <w:hideMark/>
          </w:tcPr>
          <w:p w14:paraId="1B4D88CD" w14:textId="77777777" w:rsidR="00C4504E" w:rsidRPr="00111027" w:rsidRDefault="00C4504E" w:rsidP="00675915">
            <w:pPr>
              <w:pStyle w:val="af0"/>
              <w:spacing w:before="0" w:after="60"/>
              <w:jc w:val="center"/>
              <w:rPr>
                <w:snapToGrid w:val="0"/>
                <w:szCs w:val="18"/>
              </w:rPr>
            </w:pPr>
            <w:r w:rsidRPr="00FF62EA">
              <w:rPr>
                <w:snapToGrid w:val="0"/>
                <w:szCs w:val="18"/>
              </w:rPr>
              <w:t>0,00</w:t>
            </w:r>
          </w:p>
        </w:tc>
        <w:tc>
          <w:tcPr>
            <w:tcW w:w="576" w:type="dxa"/>
            <w:noWrap/>
            <w:vAlign w:val="center"/>
            <w:hideMark/>
          </w:tcPr>
          <w:p w14:paraId="0885D467" w14:textId="77777777" w:rsidR="00C4504E" w:rsidRPr="00111027" w:rsidRDefault="00C4504E" w:rsidP="00675915">
            <w:pPr>
              <w:pStyle w:val="af0"/>
              <w:spacing w:before="0" w:after="60"/>
              <w:jc w:val="center"/>
              <w:rPr>
                <w:snapToGrid w:val="0"/>
                <w:szCs w:val="18"/>
              </w:rPr>
            </w:pPr>
            <w:r w:rsidRPr="00FF62EA">
              <w:rPr>
                <w:snapToGrid w:val="0"/>
                <w:szCs w:val="18"/>
              </w:rPr>
              <w:t>0,00</w:t>
            </w:r>
          </w:p>
        </w:tc>
        <w:tc>
          <w:tcPr>
            <w:tcW w:w="576" w:type="dxa"/>
            <w:noWrap/>
            <w:vAlign w:val="center"/>
            <w:hideMark/>
          </w:tcPr>
          <w:p w14:paraId="1132222D" w14:textId="77777777" w:rsidR="00C4504E" w:rsidRPr="00111027" w:rsidRDefault="00C4504E" w:rsidP="00675915">
            <w:pPr>
              <w:pStyle w:val="af0"/>
              <w:spacing w:before="0" w:after="60"/>
              <w:jc w:val="center"/>
              <w:rPr>
                <w:snapToGrid w:val="0"/>
                <w:szCs w:val="18"/>
              </w:rPr>
            </w:pPr>
            <w:r w:rsidRPr="00FF62EA">
              <w:rPr>
                <w:snapToGrid w:val="0"/>
                <w:szCs w:val="18"/>
              </w:rPr>
              <w:t>0,00</w:t>
            </w:r>
          </w:p>
        </w:tc>
        <w:tc>
          <w:tcPr>
            <w:tcW w:w="576" w:type="dxa"/>
            <w:noWrap/>
            <w:vAlign w:val="center"/>
            <w:hideMark/>
          </w:tcPr>
          <w:p w14:paraId="4B55D903" w14:textId="77777777" w:rsidR="00C4504E" w:rsidRPr="00111027" w:rsidRDefault="00C4504E" w:rsidP="00675915">
            <w:pPr>
              <w:pStyle w:val="af0"/>
              <w:spacing w:before="0" w:after="60"/>
              <w:jc w:val="center"/>
              <w:rPr>
                <w:snapToGrid w:val="0"/>
                <w:szCs w:val="18"/>
              </w:rPr>
            </w:pPr>
            <w:r w:rsidRPr="00FF62EA">
              <w:rPr>
                <w:snapToGrid w:val="0"/>
                <w:szCs w:val="18"/>
              </w:rPr>
              <w:t>0,00</w:t>
            </w:r>
          </w:p>
        </w:tc>
      </w:tr>
      <w:tr w:rsidR="00C4504E" w:rsidRPr="00111027" w14:paraId="6E030BE3" w14:textId="77777777" w:rsidTr="003660E4">
        <w:trPr>
          <w:trHeight w:val="295"/>
        </w:trPr>
        <w:tc>
          <w:tcPr>
            <w:tcW w:w="5098" w:type="dxa"/>
            <w:noWrap/>
            <w:hideMark/>
          </w:tcPr>
          <w:p w14:paraId="5582294C" w14:textId="77777777" w:rsidR="00C4504E" w:rsidRPr="00111027" w:rsidRDefault="00C4504E" w:rsidP="00675915">
            <w:pPr>
              <w:pStyle w:val="af0"/>
              <w:spacing w:before="0" w:after="60"/>
              <w:rPr>
                <w:snapToGrid w:val="0"/>
                <w:sz w:val="20"/>
              </w:rPr>
            </w:pPr>
            <w:r w:rsidRPr="00111027">
              <w:rPr>
                <w:snapToGrid w:val="0"/>
                <w:sz w:val="20"/>
              </w:rPr>
              <w:t>ОМ "Предоставление социальных доплат к пенсии"</w:t>
            </w:r>
          </w:p>
        </w:tc>
        <w:tc>
          <w:tcPr>
            <w:tcW w:w="851" w:type="dxa"/>
            <w:noWrap/>
            <w:vAlign w:val="center"/>
            <w:hideMark/>
          </w:tcPr>
          <w:p w14:paraId="7D773268" w14:textId="77777777" w:rsidR="00C4504E" w:rsidRPr="00111027" w:rsidRDefault="00C4504E" w:rsidP="00675915">
            <w:pPr>
              <w:pStyle w:val="af0"/>
              <w:spacing w:before="0" w:after="60"/>
              <w:jc w:val="center"/>
              <w:rPr>
                <w:snapToGrid w:val="0"/>
                <w:szCs w:val="18"/>
              </w:rPr>
            </w:pPr>
            <w:r w:rsidRPr="00111027">
              <w:rPr>
                <w:snapToGrid w:val="0"/>
                <w:szCs w:val="18"/>
              </w:rPr>
              <w:t>93,0</w:t>
            </w:r>
          </w:p>
        </w:tc>
        <w:tc>
          <w:tcPr>
            <w:tcW w:w="850" w:type="dxa"/>
            <w:noWrap/>
            <w:vAlign w:val="center"/>
            <w:hideMark/>
          </w:tcPr>
          <w:p w14:paraId="60D5ABE7" w14:textId="77777777" w:rsidR="00C4504E" w:rsidRPr="00111027" w:rsidRDefault="00C4504E" w:rsidP="00675915">
            <w:pPr>
              <w:pStyle w:val="af0"/>
              <w:spacing w:before="0" w:after="60"/>
              <w:jc w:val="center"/>
              <w:rPr>
                <w:snapToGrid w:val="0"/>
                <w:szCs w:val="18"/>
              </w:rPr>
            </w:pPr>
            <w:r w:rsidRPr="00111027">
              <w:rPr>
                <w:snapToGrid w:val="0"/>
                <w:szCs w:val="18"/>
              </w:rPr>
              <w:t>77,4</w:t>
            </w:r>
          </w:p>
        </w:tc>
        <w:tc>
          <w:tcPr>
            <w:tcW w:w="851" w:type="dxa"/>
            <w:noWrap/>
            <w:vAlign w:val="center"/>
            <w:hideMark/>
          </w:tcPr>
          <w:p w14:paraId="00309AF5" w14:textId="77777777" w:rsidR="00C4504E" w:rsidRPr="00111027" w:rsidRDefault="00C4504E" w:rsidP="00675915">
            <w:pPr>
              <w:pStyle w:val="af0"/>
              <w:spacing w:before="0" w:after="60"/>
              <w:jc w:val="center"/>
              <w:rPr>
                <w:snapToGrid w:val="0"/>
                <w:szCs w:val="18"/>
              </w:rPr>
            </w:pPr>
            <w:r w:rsidRPr="00111027">
              <w:rPr>
                <w:snapToGrid w:val="0"/>
                <w:szCs w:val="18"/>
              </w:rPr>
              <w:t>73,2</w:t>
            </w:r>
          </w:p>
        </w:tc>
        <w:tc>
          <w:tcPr>
            <w:tcW w:w="850" w:type="dxa"/>
            <w:noWrap/>
            <w:vAlign w:val="center"/>
            <w:hideMark/>
          </w:tcPr>
          <w:p w14:paraId="63B55AE8" w14:textId="77777777" w:rsidR="00C4504E" w:rsidRPr="00111027" w:rsidRDefault="00C4504E" w:rsidP="00675915">
            <w:pPr>
              <w:pStyle w:val="af0"/>
              <w:spacing w:before="0" w:after="60"/>
              <w:jc w:val="center"/>
              <w:rPr>
                <w:snapToGrid w:val="0"/>
                <w:szCs w:val="18"/>
              </w:rPr>
            </w:pPr>
            <w:r w:rsidRPr="00111027">
              <w:rPr>
                <w:snapToGrid w:val="0"/>
                <w:szCs w:val="18"/>
              </w:rPr>
              <w:t>83,9</w:t>
            </w:r>
          </w:p>
        </w:tc>
        <w:tc>
          <w:tcPr>
            <w:tcW w:w="621" w:type="dxa"/>
            <w:noWrap/>
            <w:vAlign w:val="center"/>
            <w:hideMark/>
          </w:tcPr>
          <w:p w14:paraId="3F6D4F13" w14:textId="77777777" w:rsidR="00C4504E" w:rsidRPr="00111027" w:rsidRDefault="00C4504E" w:rsidP="00675915">
            <w:pPr>
              <w:pStyle w:val="af0"/>
              <w:spacing w:before="0" w:after="60"/>
              <w:jc w:val="center"/>
              <w:rPr>
                <w:snapToGrid w:val="0"/>
                <w:szCs w:val="18"/>
              </w:rPr>
            </w:pPr>
            <w:r w:rsidRPr="00111027">
              <w:rPr>
                <w:snapToGrid w:val="0"/>
                <w:szCs w:val="18"/>
              </w:rPr>
              <w:t>83,2</w:t>
            </w:r>
          </w:p>
        </w:tc>
        <w:tc>
          <w:tcPr>
            <w:tcW w:w="621" w:type="dxa"/>
            <w:noWrap/>
            <w:vAlign w:val="center"/>
            <w:hideMark/>
          </w:tcPr>
          <w:p w14:paraId="5F7F5721" w14:textId="77777777" w:rsidR="00C4504E" w:rsidRPr="00111027" w:rsidRDefault="00C4504E" w:rsidP="00675915">
            <w:pPr>
              <w:pStyle w:val="af0"/>
              <w:spacing w:before="0" w:after="60"/>
              <w:jc w:val="center"/>
              <w:rPr>
                <w:snapToGrid w:val="0"/>
                <w:szCs w:val="18"/>
              </w:rPr>
            </w:pPr>
            <w:r w:rsidRPr="00111027">
              <w:rPr>
                <w:snapToGrid w:val="0"/>
                <w:szCs w:val="18"/>
              </w:rPr>
              <w:t>94,6</w:t>
            </w:r>
          </w:p>
        </w:tc>
        <w:tc>
          <w:tcPr>
            <w:tcW w:w="621" w:type="dxa"/>
            <w:noWrap/>
            <w:vAlign w:val="center"/>
            <w:hideMark/>
          </w:tcPr>
          <w:p w14:paraId="333E74EA" w14:textId="77777777" w:rsidR="00C4504E" w:rsidRPr="00111027" w:rsidRDefault="00C4504E" w:rsidP="00675915">
            <w:pPr>
              <w:pStyle w:val="af0"/>
              <w:spacing w:before="0" w:after="60"/>
              <w:jc w:val="center"/>
              <w:rPr>
                <w:snapToGrid w:val="0"/>
                <w:szCs w:val="18"/>
              </w:rPr>
            </w:pPr>
            <w:r w:rsidRPr="00111027">
              <w:rPr>
                <w:snapToGrid w:val="0"/>
                <w:szCs w:val="18"/>
              </w:rPr>
              <w:t>114,6</w:t>
            </w:r>
          </w:p>
        </w:tc>
        <w:tc>
          <w:tcPr>
            <w:tcW w:w="621" w:type="dxa"/>
            <w:noWrap/>
            <w:vAlign w:val="center"/>
            <w:hideMark/>
          </w:tcPr>
          <w:p w14:paraId="7E180C5F" w14:textId="77777777" w:rsidR="00C4504E" w:rsidRPr="00111027" w:rsidRDefault="00C4504E" w:rsidP="00675915">
            <w:pPr>
              <w:pStyle w:val="af0"/>
              <w:spacing w:before="0" w:after="60"/>
              <w:jc w:val="center"/>
              <w:rPr>
                <w:snapToGrid w:val="0"/>
                <w:szCs w:val="18"/>
              </w:rPr>
            </w:pPr>
            <w:r w:rsidRPr="00111027">
              <w:rPr>
                <w:snapToGrid w:val="0"/>
                <w:szCs w:val="18"/>
              </w:rPr>
              <w:t>80,8</w:t>
            </w:r>
          </w:p>
        </w:tc>
        <w:tc>
          <w:tcPr>
            <w:tcW w:w="621" w:type="dxa"/>
            <w:noWrap/>
            <w:vAlign w:val="center"/>
            <w:hideMark/>
          </w:tcPr>
          <w:p w14:paraId="7B9F90C5" w14:textId="77777777" w:rsidR="00C4504E" w:rsidRPr="00111027" w:rsidRDefault="00C4504E" w:rsidP="00675915">
            <w:pPr>
              <w:pStyle w:val="af0"/>
              <w:spacing w:before="0" w:after="60"/>
              <w:jc w:val="center"/>
              <w:rPr>
                <w:snapToGrid w:val="0"/>
                <w:szCs w:val="18"/>
              </w:rPr>
            </w:pPr>
            <w:r w:rsidRPr="00111027">
              <w:rPr>
                <w:snapToGrid w:val="0"/>
                <w:szCs w:val="18"/>
              </w:rPr>
              <w:t>91,2</w:t>
            </w:r>
          </w:p>
        </w:tc>
        <w:tc>
          <w:tcPr>
            <w:tcW w:w="621" w:type="dxa"/>
            <w:noWrap/>
            <w:vAlign w:val="center"/>
            <w:hideMark/>
          </w:tcPr>
          <w:p w14:paraId="3381C3F0" w14:textId="77777777" w:rsidR="00C4504E" w:rsidRPr="00111027" w:rsidRDefault="00C4504E" w:rsidP="00675915">
            <w:pPr>
              <w:pStyle w:val="af0"/>
              <w:spacing w:before="0" w:after="60"/>
              <w:jc w:val="center"/>
              <w:rPr>
                <w:snapToGrid w:val="0"/>
                <w:szCs w:val="18"/>
              </w:rPr>
            </w:pPr>
            <w:r w:rsidRPr="00111027">
              <w:rPr>
                <w:snapToGrid w:val="0"/>
                <w:szCs w:val="18"/>
              </w:rPr>
              <w:t>110,2</w:t>
            </w:r>
          </w:p>
        </w:tc>
        <w:tc>
          <w:tcPr>
            <w:tcW w:w="576" w:type="dxa"/>
            <w:noWrap/>
            <w:vAlign w:val="center"/>
            <w:hideMark/>
          </w:tcPr>
          <w:p w14:paraId="14469719" w14:textId="77777777" w:rsidR="00C4504E" w:rsidRPr="00111027" w:rsidRDefault="00C4504E" w:rsidP="00675915">
            <w:pPr>
              <w:pStyle w:val="af0"/>
              <w:spacing w:before="0" w:after="60"/>
              <w:jc w:val="center"/>
              <w:rPr>
                <w:snapToGrid w:val="0"/>
                <w:szCs w:val="18"/>
              </w:rPr>
            </w:pPr>
            <w:r w:rsidRPr="00FF62EA">
              <w:rPr>
                <w:snapToGrid w:val="0"/>
                <w:szCs w:val="18"/>
              </w:rPr>
              <w:t>0,09</w:t>
            </w:r>
          </w:p>
        </w:tc>
        <w:tc>
          <w:tcPr>
            <w:tcW w:w="576" w:type="dxa"/>
            <w:noWrap/>
            <w:vAlign w:val="center"/>
            <w:hideMark/>
          </w:tcPr>
          <w:p w14:paraId="731F4371" w14:textId="77777777" w:rsidR="00C4504E" w:rsidRPr="00111027" w:rsidRDefault="00C4504E" w:rsidP="00675915">
            <w:pPr>
              <w:pStyle w:val="af0"/>
              <w:spacing w:before="0" w:after="60"/>
              <w:jc w:val="center"/>
              <w:rPr>
                <w:snapToGrid w:val="0"/>
                <w:szCs w:val="18"/>
              </w:rPr>
            </w:pPr>
            <w:r w:rsidRPr="00FF62EA">
              <w:rPr>
                <w:snapToGrid w:val="0"/>
                <w:szCs w:val="18"/>
              </w:rPr>
              <w:t>0,07</w:t>
            </w:r>
          </w:p>
        </w:tc>
        <w:tc>
          <w:tcPr>
            <w:tcW w:w="576" w:type="dxa"/>
            <w:noWrap/>
            <w:vAlign w:val="center"/>
            <w:hideMark/>
          </w:tcPr>
          <w:p w14:paraId="116B2A15" w14:textId="77777777" w:rsidR="00C4504E" w:rsidRPr="00111027" w:rsidRDefault="00C4504E" w:rsidP="00675915">
            <w:pPr>
              <w:pStyle w:val="af0"/>
              <w:spacing w:before="0" w:after="60"/>
              <w:jc w:val="center"/>
              <w:rPr>
                <w:snapToGrid w:val="0"/>
                <w:szCs w:val="18"/>
              </w:rPr>
            </w:pPr>
            <w:r w:rsidRPr="00FF62EA">
              <w:rPr>
                <w:snapToGrid w:val="0"/>
                <w:szCs w:val="18"/>
              </w:rPr>
              <w:t>0,06</w:t>
            </w:r>
          </w:p>
        </w:tc>
        <w:tc>
          <w:tcPr>
            <w:tcW w:w="576" w:type="dxa"/>
            <w:noWrap/>
            <w:vAlign w:val="center"/>
            <w:hideMark/>
          </w:tcPr>
          <w:p w14:paraId="573A2DFC" w14:textId="77777777" w:rsidR="00C4504E" w:rsidRPr="00111027" w:rsidRDefault="00C4504E" w:rsidP="00675915">
            <w:pPr>
              <w:pStyle w:val="af0"/>
              <w:spacing w:before="0" w:after="60"/>
              <w:jc w:val="center"/>
              <w:rPr>
                <w:snapToGrid w:val="0"/>
                <w:szCs w:val="18"/>
              </w:rPr>
            </w:pPr>
            <w:r w:rsidRPr="00FF62EA">
              <w:rPr>
                <w:snapToGrid w:val="0"/>
                <w:szCs w:val="18"/>
              </w:rPr>
              <w:t>0,07</w:t>
            </w:r>
          </w:p>
        </w:tc>
      </w:tr>
      <w:tr w:rsidR="00C4504E" w:rsidRPr="00111027" w14:paraId="733CDED7" w14:textId="77777777" w:rsidTr="003660E4">
        <w:trPr>
          <w:trHeight w:val="295"/>
        </w:trPr>
        <w:tc>
          <w:tcPr>
            <w:tcW w:w="5098" w:type="dxa"/>
            <w:noWrap/>
            <w:hideMark/>
          </w:tcPr>
          <w:p w14:paraId="05EC0086" w14:textId="77777777" w:rsidR="00C4504E" w:rsidRPr="00111027" w:rsidRDefault="00C4504E" w:rsidP="00675915">
            <w:pPr>
              <w:pStyle w:val="af0"/>
              <w:spacing w:before="0" w:after="60"/>
              <w:rPr>
                <w:snapToGrid w:val="0"/>
                <w:sz w:val="20"/>
              </w:rPr>
            </w:pPr>
            <w:r w:rsidRPr="00111027">
              <w:rPr>
                <w:snapToGrid w:val="0"/>
                <w:sz w:val="20"/>
              </w:rPr>
              <w:t>Выплата федеральной социальной доплаты к пенсии (Межбюджетные трансферты)</w:t>
            </w:r>
          </w:p>
        </w:tc>
        <w:tc>
          <w:tcPr>
            <w:tcW w:w="851" w:type="dxa"/>
            <w:noWrap/>
            <w:vAlign w:val="center"/>
            <w:hideMark/>
          </w:tcPr>
          <w:p w14:paraId="49DCCE4D" w14:textId="77777777" w:rsidR="00C4504E" w:rsidRPr="00111027" w:rsidRDefault="00C4504E" w:rsidP="00675915">
            <w:pPr>
              <w:pStyle w:val="af0"/>
              <w:spacing w:before="0" w:after="60"/>
              <w:jc w:val="center"/>
              <w:rPr>
                <w:snapToGrid w:val="0"/>
                <w:szCs w:val="18"/>
              </w:rPr>
            </w:pPr>
            <w:r w:rsidRPr="00111027">
              <w:rPr>
                <w:snapToGrid w:val="0"/>
                <w:szCs w:val="18"/>
              </w:rPr>
              <w:t>86,0</w:t>
            </w:r>
          </w:p>
        </w:tc>
        <w:tc>
          <w:tcPr>
            <w:tcW w:w="850" w:type="dxa"/>
            <w:noWrap/>
            <w:vAlign w:val="center"/>
            <w:hideMark/>
          </w:tcPr>
          <w:p w14:paraId="36E32D99" w14:textId="77777777" w:rsidR="00C4504E" w:rsidRPr="00111027" w:rsidRDefault="00C4504E" w:rsidP="00675915">
            <w:pPr>
              <w:pStyle w:val="af0"/>
              <w:spacing w:before="0" w:after="60"/>
              <w:jc w:val="center"/>
              <w:rPr>
                <w:snapToGrid w:val="0"/>
                <w:szCs w:val="18"/>
              </w:rPr>
            </w:pPr>
            <w:r w:rsidRPr="00111027">
              <w:rPr>
                <w:snapToGrid w:val="0"/>
                <w:szCs w:val="18"/>
              </w:rPr>
              <w:t>47,9</w:t>
            </w:r>
          </w:p>
        </w:tc>
        <w:tc>
          <w:tcPr>
            <w:tcW w:w="851" w:type="dxa"/>
            <w:noWrap/>
            <w:vAlign w:val="center"/>
            <w:hideMark/>
          </w:tcPr>
          <w:p w14:paraId="44592751" w14:textId="77777777" w:rsidR="00C4504E" w:rsidRPr="00111027" w:rsidRDefault="00C4504E" w:rsidP="00675915">
            <w:pPr>
              <w:pStyle w:val="af0"/>
              <w:spacing w:before="0" w:after="60"/>
              <w:jc w:val="center"/>
              <w:rPr>
                <w:snapToGrid w:val="0"/>
                <w:szCs w:val="18"/>
              </w:rPr>
            </w:pPr>
            <w:r w:rsidRPr="00111027">
              <w:rPr>
                <w:snapToGrid w:val="0"/>
                <w:szCs w:val="18"/>
              </w:rPr>
              <w:t>44,4</w:t>
            </w:r>
          </w:p>
        </w:tc>
        <w:tc>
          <w:tcPr>
            <w:tcW w:w="850" w:type="dxa"/>
            <w:noWrap/>
            <w:vAlign w:val="center"/>
            <w:hideMark/>
          </w:tcPr>
          <w:p w14:paraId="2B461503" w14:textId="77777777" w:rsidR="00C4504E" w:rsidRPr="00111027" w:rsidRDefault="00C4504E" w:rsidP="00675915">
            <w:pPr>
              <w:pStyle w:val="af0"/>
              <w:spacing w:before="0" w:after="60"/>
              <w:jc w:val="center"/>
              <w:rPr>
                <w:snapToGrid w:val="0"/>
                <w:szCs w:val="18"/>
              </w:rPr>
            </w:pPr>
            <w:r w:rsidRPr="00111027">
              <w:rPr>
                <w:snapToGrid w:val="0"/>
                <w:szCs w:val="18"/>
              </w:rPr>
              <w:t>56,0</w:t>
            </w:r>
          </w:p>
        </w:tc>
        <w:tc>
          <w:tcPr>
            <w:tcW w:w="621" w:type="dxa"/>
            <w:noWrap/>
            <w:vAlign w:val="center"/>
            <w:hideMark/>
          </w:tcPr>
          <w:p w14:paraId="3AA0CB9D" w14:textId="77777777" w:rsidR="00C4504E" w:rsidRPr="00111027" w:rsidRDefault="00C4504E" w:rsidP="00675915">
            <w:pPr>
              <w:pStyle w:val="af0"/>
              <w:spacing w:before="0" w:after="60"/>
              <w:jc w:val="center"/>
              <w:rPr>
                <w:snapToGrid w:val="0"/>
                <w:szCs w:val="18"/>
              </w:rPr>
            </w:pPr>
            <w:r w:rsidRPr="00111027">
              <w:rPr>
                <w:snapToGrid w:val="0"/>
                <w:szCs w:val="18"/>
              </w:rPr>
              <w:t>55,7</w:t>
            </w:r>
          </w:p>
        </w:tc>
        <w:tc>
          <w:tcPr>
            <w:tcW w:w="621" w:type="dxa"/>
            <w:noWrap/>
            <w:vAlign w:val="center"/>
            <w:hideMark/>
          </w:tcPr>
          <w:p w14:paraId="45B0105D" w14:textId="77777777" w:rsidR="00C4504E" w:rsidRPr="00111027" w:rsidRDefault="00C4504E" w:rsidP="00675915">
            <w:pPr>
              <w:pStyle w:val="af0"/>
              <w:spacing w:before="0" w:after="60"/>
              <w:jc w:val="center"/>
              <w:rPr>
                <w:snapToGrid w:val="0"/>
                <w:szCs w:val="18"/>
              </w:rPr>
            </w:pPr>
            <w:r w:rsidRPr="00111027">
              <w:rPr>
                <w:snapToGrid w:val="0"/>
                <w:szCs w:val="18"/>
              </w:rPr>
              <w:t>92,7</w:t>
            </w:r>
          </w:p>
        </w:tc>
        <w:tc>
          <w:tcPr>
            <w:tcW w:w="621" w:type="dxa"/>
            <w:noWrap/>
            <w:vAlign w:val="center"/>
            <w:hideMark/>
          </w:tcPr>
          <w:p w14:paraId="0E70A0D2" w14:textId="77777777" w:rsidR="00C4504E" w:rsidRPr="00111027" w:rsidRDefault="00C4504E" w:rsidP="00675915">
            <w:pPr>
              <w:pStyle w:val="af0"/>
              <w:spacing w:before="0" w:after="60"/>
              <w:jc w:val="center"/>
              <w:rPr>
                <w:snapToGrid w:val="0"/>
                <w:szCs w:val="18"/>
              </w:rPr>
            </w:pPr>
            <w:r w:rsidRPr="00111027">
              <w:rPr>
                <w:snapToGrid w:val="0"/>
                <w:szCs w:val="18"/>
              </w:rPr>
              <w:t>126,3</w:t>
            </w:r>
          </w:p>
        </w:tc>
        <w:tc>
          <w:tcPr>
            <w:tcW w:w="621" w:type="dxa"/>
            <w:noWrap/>
            <w:vAlign w:val="center"/>
            <w:hideMark/>
          </w:tcPr>
          <w:p w14:paraId="11D65462" w14:textId="77777777" w:rsidR="00C4504E" w:rsidRPr="00111027" w:rsidRDefault="00C4504E" w:rsidP="00675915">
            <w:pPr>
              <w:pStyle w:val="af0"/>
              <w:spacing w:before="0" w:after="60"/>
              <w:jc w:val="center"/>
              <w:rPr>
                <w:snapToGrid w:val="0"/>
                <w:szCs w:val="18"/>
              </w:rPr>
            </w:pPr>
            <w:r w:rsidRPr="00111027">
              <w:rPr>
                <w:snapToGrid w:val="0"/>
                <w:szCs w:val="18"/>
              </w:rPr>
              <w:t>54,1</w:t>
            </w:r>
          </w:p>
        </w:tc>
        <w:tc>
          <w:tcPr>
            <w:tcW w:w="621" w:type="dxa"/>
            <w:noWrap/>
            <w:vAlign w:val="center"/>
            <w:hideMark/>
          </w:tcPr>
          <w:p w14:paraId="66700100" w14:textId="77777777" w:rsidR="00C4504E" w:rsidRPr="00111027" w:rsidRDefault="00C4504E" w:rsidP="00675915">
            <w:pPr>
              <w:pStyle w:val="af0"/>
              <w:spacing w:before="0" w:after="60"/>
              <w:jc w:val="center"/>
              <w:rPr>
                <w:snapToGrid w:val="0"/>
                <w:szCs w:val="18"/>
              </w:rPr>
            </w:pPr>
            <w:r w:rsidRPr="00111027">
              <w:rPr>
                <w:snapToGrid w:val="0"/>
                <w:szCs w:val="18"/>
              </w:rPr>
              <w:t>89,4</w:t>
            </w:r>
          </w:p>
        </w:tc>
        <w:tc>
          <w:tcPr>
            <w:tcW w:w="621" w:type="dxa"/>
            <w:noWrap/>
            <w:vAlign w:val="center"/>
            <w:hideMark/>
          </w:tcPr>
          <w:p w14:paraId="71E34F30" w14:textId="77777777" w:rsidR="00C4504E" w:rsidRPr="00111027" w:rsidRDefault="00C4504E" w:rsidP="00675915">
            <w:pPr>
              <w:pStyle w:val="af0"/>
              <w:spacing w:before="0" w:after="60"/>
              <w:jc w:val="center"/>
              <w:rPr>
                <w:snapToGrid w:val="0"/>
                <w:szCs w:val="18"/>
              </w:rPr>
            </w:pPr>
            <w:r w:rsidRPr="00111027">
              <w:rPr>
                <w:snapToGrid w:val="0"/>
                <w:szCs w:val="18"/>
              </w:rPr>
              <w:t>121,4</w:t>
            </w:r>
          </w:p>
        </w:tc>
        <w:tc>
          <w:tcPr>
            <w:tcW w:w="576" w:type="dxa"/>
            <w:noWrap/>
            <w:vAlign w:val="center"/>
            <w:hideMark/>
          </w:tcPr>
          <w:p w14:paraId="3861DDBF" w14:textId="77777777" w:rsidR="00C4504E" w:rsidRPr="00111027" w:rsidRDefault="00C4504E" w:rsidP="00675915">
            <w:pPr>
              <w:pStyle w:val="af0"/>
              <w:spacing w:before="0" w:after="60"/>
              <w:jc w:val="center"/>
              <w:rPr>
                <w:snapToGrid w:val="0"/>
                <w:szCs w:val="18"/>
              </w:rPr>
            </w:pPr>
            <w:r w:rsidRPr="00FF62EA">
              <w:rPr>
                <w:snapToGrid w:val="0"/>
                <w:szCs w:val="18"/>
              </w:rPr>
              <w:t>0,08</w:t>
            </w:r>
          </w:p>
        </w:tc>
        <w:tc>
          <w:tcPr>
            <w:tcW w:w="576" w:type="dxa"/>
            <w:noWrap/>
            <w:vAlign w:val="center"/>
            <w:hideMark/>
          </w:tcPr>
          <w:p w14:paraId="1D84C53A" w14:textId="77777777" w:rsidR="00C4504E" w:rsidRPr="00111027" w:rsidRDefault="00C4504E" w:rsidP="00675915">
            <w:pPr>
              <w:pStyle w:val="af0"/>
              <w:spacing w:before="0" w:after="60"/>
              <w:jc w:val="center"/>
              <w:rPr>
                <w:snapToGrid w:val="0"/>
                <w:szCs w:val="18"/>
              </w:rPr>
            </w:pPr>
            <w:r w:rsidRPr="00FF62EA">
              <w:rPr>
                <w:snapToGrid w:val="0"/>
                <w:szCs w:val="18"/>
              </w:rPr>
              <w:t>0,04</w:t>
            </w:r>
          </w:p>
        </w:tc>
        <w:tc>
          <w:tcPr>
            <w:tcW w:w="576" w:type="dxa"/>
            <w:noWrap/>
            <w:vAlign w:val="center"/>
            <w:hideMark/>
          </w:tcPr>
          <w:p w14:paraId="098EF793" w14:textId="77777777" w:rsidR="00C4504E" w:rsidRPr="00111027" w:rsidRDefault="00C4504E" w:rsidP="00675915">
            <w:pPr>
              <w:pStyle w:val="af0"/>
              <w:spacing w:before="0" w:after="60"/>
              <w:jc w:val="center"/>
              <w:rPr>
                <w:snapToGrid w:val="0"/>
                <w:szCs w:val="18"/>
              </w:rPr>
            </w:pPr>
            <w:r w:rsidRPr="00FF62EA">
              <w:rPr>
                <w:snapToGrid w:val="0"/>
                <w:szCs w:val="18"/>
              </w:rPr>
              <w:t>0,04</w:t>
            </w:r>
          </w:p>
        </w:tc>
        <w:tc>
          <w:tcPr>
            <w:tcW w:w="576" w:type="dxa"/>
            <w:noWrap/>
            <w:vAlign w:val="center"/>
            <w:hideMark/>
          </w:tcPr>
          <w:p w14:paraId="4CBC6A0A" w14:textId="77777777" w:rsidR="00C4504E" w:rsidRPr="00111027" w:rsidRDefault="00C4504E" w:rsidP="00675915">
            <w:pPr>
              <w:pStyle w:val="af0"/>
              <w:spacing w:before="0" w:after="60"/>
              <w:jc w:val="center"/>
              <w:rPr>
                <w:snapToGrid w:val="0"/>
                <w:szCs w:val="18"/>
              </w:rPr>
            </w:pPr>
            <w:r w:rsidRPr="00FF62EA">
              <w:rPr>
                <w:snapToGrid w:val="0"/>
                <w:szCs w:val="18"/>
              </w:rPr>
              <w:t>0,04</w:t>
            </w:r>
          </w:p>
        </w:tc>
      </w:tr>
      <w:tr w:rsidR="00C4504E" w:rsidRPr="00111027" w14:paraId="1A87E66C" w14:textId="77777777" w:rsidTr="003660E4">
        <w:trPr>
          <w:trHeight w:val="295"/>
        </w:trPr>
        <w:tc>
          <w:tcPr>
            <w:tcW w:w="5098" w:type="dxa"/>
            <w:noWrap/>
            <w:hideMark/>
          </w:tcPr>
          <w:p w14:paraId="013DDCD0" w14:textId="77777777" w:rsidR="00C4504E" w:rsidRPr="00111027" w:rsidRDefault="00C4504E" w:rsidP="00675915">
            <w:pPr>
              <w:pStyle w:val="af0"/>
              <w:spacing w:before="0" w:after="60"/>
              <w:rPr>
                <w:snapToGrid w:val="0"/>
                <w:sz w:val="20"/>
              </w:rPr>
            </w:pPr>
            <w:r w:rsidRPr="00111027">
              <w:rPr>
                <w:snapToGrid w:val="0"/>
                <w:sz w:val="20"/>
              </w:rPr>
              <w:t>Субсидии на выплату региональных социальных доплат к пенсии (Межбюджетные трансферты)</w:t>
            </w:r>
          </w:p>
        </w:tc>
        <w:tc>
          <w:tcPr>
            <w:tcW w:w="851" w:type="dxa"/>
            <w:noWrap/>
            <w:vAlign w:val="center"/>
            <w:hideMark/>
          </w:tcPr>
          <w:p w14:paraId="3D4CD108" w14:textId="77777777" w:rsidR="00C4504E" w:rsidRPr="00111027" w:rsidRDefault="00C4504E" w:rsidP="00675915">
            <w:pPr>
              <w:pStyle w:val="af0"/>
              <w:spacing w:before="0" w:after="60"/>
              <w:jc w:val="center"/>
              <w:rPr>
                <w:snapToGrid w:val="0"/>
                <w:szCs w:val="18"/>
              </w:rPr>
            </w:pPr>
            <w:r w:rsidRPr="00111027">
              <w:rPr>
                <w:snapToGrid w:val="0"/>
                <w:szCs w:val="18"/>
              </w:rPr>
              <w:t>7,1</w:t>
            </w:r>
          </w:p>
        </w:tc>
        <w:tc>
          <w:tcPr>
            <w:tcW w:w="850" w:type="dxa"/>
            <w:noWrap/>
            <w:vAlign w:val="center"/>
            <w:hideMark/>
          </w:tcPr>
          <w:p w14:paraId="46FC05F6" w14:textId="77777777" w:rsidR="00C4504E" w:rsidRPr="00111027" w:rsidRDefault="00C4504E" w:rsidP="00675915">
            <w:pPr>
              <w:pStyle w:val="af0"/>
              <w:spacing w:before="0" w:after="60"/>
              <w:jc w:val="center"/>
              <w:rPr>
                <w:snapToGrid w:val="0"/>
                <w:szCs w:val="18"/>
              </w:rPr>
            </w:pPr>
            <w:r w:rsidRPr="00111027">
              <w:rPr>
                <w:snapToGrid w:val="0"/>
                <w:szCs w:val="18"/>
              </w:rPr>
              <w:t>29,5</w:t>
            </w:r>
          </w:p>
        </w:tc>
        <w:tc>
          <w:tcPr>
            <w:tcW w:w="851" w:type="dxa"/>
            <w:noWrap/>
            <w:vAlign w:val="center"/>
            <w:hideMark/>
          </w:tcPr>
          <w:p w14:paraId="4D7D7C71" w14:textId="77777777" w:rsidR="00C4504E" w:rsidRPr="00111027" w:rsidRDefault="00C4504E" w:rsidP="00675915">
            <w:pPr>
              <w:pStyle w:val="af0"/>
              <w:spacing w:before="0" w:after="60"/>
              <w:jc w:val="center"/>
              <w:rPr>
                <w:snapToGrid w:val="0"/>
                <w:szCs w:val="18"/>
              </w:rPr>
            </w:pPr>
            <w:r w:rsidRPr="00111027">
              <w:rPr>
                <w:snapToGrid w:val="0"/>
                <w:szCs w:val="18"/>
              </w:rPr>
              <w:t>28,9</w:t>
            </w:r>
          </w:p>
        </w:tc>
        <w:tc>
          <w:tcPr>
            <w:tcW w:w="850" w:type="dxa"/>
            <w:noWrap/>
            <w:vAlign w:val="center"/>
            <w:hideMark/>
          </w:tcPr>
          <w:p w14:paraId="621BDF3A" w14:textId="77777777" w:rsidR="00C4504E" w:rsidRPr="00111027" w:rsidRDefault="00C4504E" w:rsidP="00675915">
            <w:pPr>
              <w:pStyle w:val="af0"/>
              <w:spacing w:before="0" w:after="60"/>
              <w:jc w:val="center"/>
              <w:rPr>
                <w:snapToGrid w:val="0"/>
                <w:szCs w:val="18"/>
              </w:rPr>
            </w:pPr>
            <w:r w:rsidRPr="00111027">
              <w:rPr>
                <w:snapToGrid w:val="0"/>
                <w:szCs w:val="18"/>
              </w:rPr>
              <w:t>27,9</w:t>
            </w:r>
          </w:p>
        </w:tc>
        <w:tc>
          <w:tcPr>
            <w:tcW w:w="621" w:type="dxa"/>
            <w:noWrap/>
            <w:vAlign w:val="center"/>
            <w:hideMark/>
          </w:tcPr>
          <w:p w14:paraId="624FAEA7" w14:textId="77777777" w:rsidR="00C4504E" w:rsidRPr="00111027" w:rsidRDefault="00C4504E" w:rsidP="00675915">
            <w:pPr>
              <w:pStyle w:val="af0"/>
              <w:spacing w:before="0" w:after="60"/>
              <w:jc w:val="center"/>
              <w:rPr>
                <w:snapToGrid w:val="0"/>
                <w:szCs w:val="18"/>
              </w:rPr>
            </w:pPr>
            <w:r w:rsidRPr="00111027">
              <w:rPr>
                <w:snapToGrid w:val="0"/>
                <w:szCs w:val="18"/>
              </w:rPr>
              <w:t>417,7</w:t>
            </w:r>
          </w:p>
        </w:tc>
        <w:tc>
          <w:tcPr>
            <w:tcW w:w="621" w:type="dxa"/>
            <w:noWrap/>
            <w:vAlign w:val="center"/>
            <w:hideMark/>
          </w:tcPr>
          <w:p w14:paraId="25EC1CCE" w14:textId="77777777" w:rsidR="00C4504E" w:rsidRPr="00111027" w:rsidRDefault="00C4504E" w:rsidP="00675915">
            <w:pPr>
              <w:pStyle w:val="af0"/>
              <w:spacing w:before="0" w:after="60"/>
              <w:jc w:val="center"/>
              <w:rPr>
                <w:snapToGrid w:val="0"/>
                <w:szCs w:val="18"/>
              </w:rPr>
            </w:pPr>
            <w:r w:rsidRPr="00111027">
              <w:rPr>
                <w:snapToGrid w:val="0"/>
                <w:szCs w:val="18"/>
              </w:rPr>
              <w:t>97,7</w:t>
            </w:r>
          </w:p>
        </w:tc>
        <w:tc>
          <w:tcPr>
            <w:tcW w:w="621" w:type="dxa"/>
            <w:noWrap/>
            <w:vAlign w:val="center"/>
            <w:hideMark/>
          </w:tcPr>
          <w:p w14:paraId="6E19C008" w14:textId="77777777" w:rsidR="00C4504E" w:rsidRPr="00111027" w:rsidRDefault="00C4504E" w:rsidP="00675915">
            <w:pPr>
              <w:pStyle w:val="af0"/>
              <w:spacing w:before="0" w:after="60"/>
              <w:jc w:val="center"/>
              <w:rPr>
                <w:snapToGrid w:val="0"/>
                <w:szCs w:val="18"/>
              </w:rPr>
            </w:pPr>
            <w:r w:rsidRPr="00111027">
              <w:rPr>
                <w:snapToGrid w:val="0"/>
                <w:szCs w:val="18"/>
              </w:rPr>
              <w:t>96,8</w:t>
            </w:r>
          </w:p>
        </w:tc>
        <w:tc>
          <w:tcPr>
            <w:tcW w:w="621" w:type="dxa"/>
            <w:noWrap/>
            <w:vAlign w:val="center"/>
            <w:hideMark/>
          </w:tcPr>
          <w:p w14:paraId="6CE8F1C2" w14:textId="77777777" w:rsidR="00C4504E" w:rsidRPr="00111027" w:rsidRDefault="00C4504E" w:rsidP="00675915">
            <w:pPr>
              <w:pStyle w:val="af0"/>
              <w:spacing w:before="0" w:after="60"/>
              <w:jc w:val="center"/>
              <w:rPr>
                <w:snapToGrid w:val="0"/>
                <w:szCs w:val="18"/>
              </w:rPr>
            </w:pPr>
            <w:r w:rsidRPr="00111027">
              <w:rPr>
                <w:snapToGrid w:val="0"/>
                <w:szCs w:val="18"/>
              </w:rPr>
              <w:t>405,5</w:t>
            </w:r>
          </w:p>
        </w:tc>
        <w:tc>
          <w:tcPr>
            <w:tcW w:w="621" w:type="dxa"/>
            <w:noWrap/>
            <w:vAlign w:val="center"/>
            <w:hideMark/>
          </w:tcPr>
          <w:p w14:paraId="3F8F8D3F" w14:textId="77777777" w:rsidR="00C4504E" w:rsidRPr="00111027" w:rsidRDefault="00C4504E" w:rsidP="00675915">
            <w:pPr>
              <w:pStyle w:val="af0"/>
              <w:spacing w:before="0" w:after="60"/>
              <w:jc w:val="center"/>
              <w:rPr>
                <w:snapToGrid w:val="0"/>
                <w:szCs w:val="18"/>
              </w:rPr>
            </w:pPr>
            <w:r w:rsidRPr="00111027">
              <w:rPr>
                <w:snapToGrid w:val="0"/>
                <w:szCs w:val="18"/>
              </w:rPr>
              <w:t>94,2</w:t>
            </w:r>
          </w:p>
        </w:tc>
        <w:tc>
          <w:tcPr>
            <w:tcW w:w="621" w:type="dxa"/>
            <w:noWrap/>
            <w:vAlign w:val="center"/>
            <w:hideMark/>
          </w:tcPr>
          <w:p w14:paraId="012A87C7" w14:textId="77777777" w:rsidR="00C4504E" w:rsidRPr="00111027" w:rsidRDefault="00C4504E" w:rsidP="00675915">
            <w:pPr>
              <w:pStyle w:val="af0"/>
              <w:spacing w:before="0" w:after="60"/>
              <w:jc w:val="center"/>
              <w:rPr>
                <w:snapToGrid w:val="0"/>
                <w:szCs w:val="18"/>
              </w:rPr>
            </w:pPr>
            <w:r w:rsidRPr="00111027">
              <w:rPr>
                <w:snapToGrid w:val="0"/>
                <w:szCs w:val="18"/>
              </w:rPr>
              <w:t>93,1</w:t>
            </w:r>
          </w:p>
        </w:tc>
        <w:tc>
          <w:tcPr>
            <w:tcW w:w="576" w:type="dxa"/>
            <w:noWrap/>
            <w:vAlign w:val="center"/>
            <w:hideMark/>
          </w:tcPr>
          <w:p w14:paraId="57A78142" w14:textId="77777777" w:rsidR="00C4504E" w:rsidRPr="00111027" w:rsidRDefault="00C4504E" w:rsidP="00675915">
            <w:pPr>
              <w:pStyle w:val="af0"/>
              <w:spacing w:before="0" w:after="60"/>
              <w:jc w:val="center"/>
              <w:rPr>
                <w:snapToGrid w:val="0"/>
                <w:szCs w:val="18"/>
              </w:rPr>
            </w:pPr>
            <w:r w:rsidRPr="00FF62EA">
              <w:rPr>
                <w:snapToGrid w:val="0"/>
                <w:szCs w:val="18"/>
              </w:rPr>
              <w:t>0,01</w:t>
            </w:r>
          </w:p>
        </w:tc>
        <w:tc>
          <w:tcPr>
            <w:tcW w:w="576" w:type="dxa"/>
            <w:noWrap/>
            <w:vAlign w:val="center"/>
            <w:hideMark/>
          </w:tcPr>
          <w:p w14:paraId="5016A202" w14:textId="77777777" w:rsidR="00C4504E" w:rsidRPr="00111027" w:rsidRDefault="00C4504E" w:rsidP="00675915">
            <w:pPr>
              <w:pStyle w:val="af0"/>
              <w:spacing w:before="0" w:after="60"/>
              <w:jc w:val="center"/>
              <w:rPr>
                <w:snapToGrid w:val="0"/>
                <w:szCs w:val="18"/>
              </w:rPr>
            </w:pPr>
            <w:r w:rsidRPr="00FF62EA">
              <w:rPr>
                <w:snapToGrid w:val="0"/>
                <w:szCs w:val="18"/>
              </w:rPr>
              <w:t>0,03</w:t>
            </w:r>
          </w:p>
        </w:tc>
        <w:tc>
          <w:tcPr>
            <w:tcW w:w="576" w:type="dxa"/>
            <w:noWrap/>
            <w:vAlign w:val="center"/>
            <w:hideMark/>
          </w:tcPr>
          <w:p w14:paraId="0F5214A6" w14:textId="77777777" w:rsidR="00C4504E" w:rsidRPr="00111027" w:rsidRDefault="00C4504E" w:rsidP="00675915">
            <w:pPr>
              <w:pStyle w:val="af0"/>
              <w:spacing w:before="0" w:after="60"/>
              <w:jc w:val="center"/>
              <w:rPr>
                <w:snapToGrid w:val="0"/>
                <w:szCs w:val="18"/>
              </w:rPr>
            </w:pPr>
            <w:r w:rsidRPr="00FF62EA">
              <w:rPr>
                <w:snapToGrid w:val="0"/>
                <w:szCs w:val="18"/>
              </w:rPr>
              <w:t>0,02</w:t>
            </w:r>
          </w:p>
        </w:tc>
        <w:tc>
          <w:tcPr>
            <w:tcW w:w="576" w:type="dxa"/>
            <w:noWrap/>
            <w:vAlign w:val="center"/>
            <w:hideMark/>
          </w:tcPr>
          <w:p w14:paraId="5AEEE9B0" w14:textId="77777777" w:rsidR="00C4504E" w:rsidRPr="00111027" w:rsidRDefault="00C4504E" w:rsidP="00675915">
            <w:pPr>
              <w:pStyle w:val="af0"/>
              <w:spacing w:before="0" w:after="60"/>
              <w:jc w:val="center"/>
              <w:rPr>
                <w:snapToGrid w:val="0"/>
                <w:szCs w:val="18"/>
              </w:rPr>
            </w:pPr>
            <w:r w:rsidRPr="00FF62EA">
              <w:rPr>
                <w:snapToGrid w:val="0"/>
                <w:szCs w:val="18"/>
              </w:rPr>
              <w:t>0,02</w:t>
            </w:r>
          </w:p>
        </w:tc>
      </w:tr>
      <w:tr w:rsidR="00C4504E" w:rsidRPr="00111027" w14:paraId="51E640C7" w14:textId="77777777" w:rsidTr="003660E4">
        <w:trPr>
          <w:trHeight w:val="295"/>
        </w:trPr>
        <w:tc>
          <w:tcPr>
            <w:tcW w:w="5098" w:type="dxa"/>
            <w:noWrap/>
            <w:hideMark/>
          </w:tcPr>
          <w:p w14:paraId="6A9F7CC5" w14:textId="77777777" w:rsidR="00C4504E" w:rsidRPr="00111027" w:rsidRDefault="00C4504E" w:rsidP="00675915">
            <w:pPr>
              <w:pStyle w:val="af0"/>
              <w:spacing w:before="0" w:after="60"/>
              <w:rPr>
                <w:snapToGrid w:val="0"/>
                <w:sz w:val="20"/>
              </w:rPr>
            </w:pPr>
            <w:r w:rsidRPr="00111027">
              <w:rPr>
                <w:snapToGrid w:val="0"/>
                <w:sz w:val="20"/>
              </w:rPr>
              <w:t>ОМ "Выплата дополнительного материального обеспечения гражданам за выдающиеся достижения и особые заслуги перед Российской Федерацией"</w:t>
            </w:r>
          </w:p>
        </w:tc>
        <w:tc>
          <w:tcPr>
            <w:tcW w:w="851" w:type="dxa"/>
            <w:noWrap/>
            <w:vAlign w:val="center"/>
            <w:hideMark/>
          </w:tcPr>
          <w:p w14:paraId="038292F9" w14:textId="77777777" w:rsidR="00C4504E" w:rsidRPr="00111027" w:rsidRDefault="00C4504E" w:rsidP="00675915">
            <w:pPr>
              <w:pStyle w:val="af0"/>
              <w:spacing w:before="0" w:after="60"/>
              <w:jc w:val="center"/>
              <w:rPr>
                <w:snapToGrid w:val="0"/>
                <w:szCs w:val="18"/>
              </w:rPr>
            </w:pPr>
            <w:r w:rsidRPr="00111027">
              <w:rPr>
                <w:snapToGrid w:val="0"/>
                <w:szCs w:val="18"/>
              </w:rPr>
              <w:t>3,5</w:t>
            </w:r>
          </w:p>
        </w:tc>
        <w:tc>
          <w:tcPr>
            <w:tcW w:w="850" w:type="dxa"/>
            <w:noWrap/>
            <w:vAlign w:val="center"/>
            <w:hideMark/>
          </w:tcPr>
          <w:p w14:paraId="434D022B" w14:textId="77777777" w:rsidR="00C4504E" w:rsidRPr="00111027" w:rsidRDefault="00C4504E" w:rsidP="00675915">
            <w:pPr>
              <w:pStyle w:val="af0"/>
              <w:spacing w:before="0" w:after="60"/>
              <w:jc w:val="center"/>
              <w:rPr>
                <w:snapToGrid w:val="0"/>
                <w:szCs w:val="18"/>
              </w:rPr>
            </w:pPr>
            <w:r w:rsidRPr="00111027">
              <w:rPr>
                <w:snapToGrid w:val="0"/>
                <w:szCs w:val="18"/>
              </w:rPr>
              <w:t>3,4</w:t>
            </w:r>
          </w:p>
        </w:tc>
        <w:tc>
          <w:tcPr>
            <w:tcW w:w="851" w:type="dxa"/>
            <w:noWrap/>
            <w:vAlign w:val="center"/>
            <w:hideMark/>
          </w:tcPr>
          <w:p w14:paraId="7C590FCC" w14:textId="77777777" w:rsidR="00C4504E" w:rsidRPr="00111027" w:rsidRDefault="00C4504E" w:rsidP="00675915">
            <w:pPr>
              <w:pStyle w:val="af0"/>
              <w:spacing w:before="0" w:after="60"/>
              <w:jc w:val="center"/>
              <w:rPr>
                <w:snapToGrid w:val="0"/>
                <w:szCs w:val="18"/>
              </w:rPr>
            </w:pPr>
            <w:r w:rsidRPr="00111027">
              <w:rPr>
                <w:snapToGrid w:val="0"/>
                <w:szCs w:val="18"/>
              </w:rPr>
              <w:t>3,3</w:t>
            </w:r>
          </w:p>
        </w:tc>
        <w:tc>
          <w:tcPr>
            <w:tcW w:w="850" w:type="dxa"/>
            <w:noWrap/>
            <w:vAlign w:val="center"/>
            <w:hideMark/>
          </w:tcPr>
          <w:p w14:paraId="7FBFFFB0" w14:textId="77777777" w:rsidR="00C4504E" w:rsidRPr="00111027" w:rsidRDefault="00C4504E" w:rsidP="00675915">
            <w:pPr>
              <w:pStyle w:val="af0"/>
              <w:spacing w:before="0" w:after="60"/>
              <w:jc w:val="center"/>
              <w:rPr>
                <w:snapToGrid w:val="0"/>
                <w:szCs w:val="18"/>
              </w:rPr>
            </w:pPr>
            <w:r w:rsidRPr="00111027">
              <w:rPr>
                <w:snapToGrid w:val="0"/>
                <w:szCs w:val="18"/>
              </w:rPr>
              <w:t>3,1</w:t>
            </w:r>
          </w:p>
        </w:tc>
        <w:tc>
          <w:tcPr>
            <w:tcW w:w="621" w:type="dxa"/>
            <w:noWrap/>
            <w:vAlign w:val="center"/>
            <w:hideMark/>
          </w:tcPr>
          <w:p w14:paraId="03C10970" w14:textId="77777777" w:rsidR="00C4504E" w:rsidRPr="00111027" w:rsidRDefault="00C4504E" w:rsidP="00675915">
            <w:pPr>
              <w:pStyle w:val="af0"/>
              <w:spacing w:before="0" w:after="60"/>
              <w:jc w:val="center"/>
              <w:rPr>
                <w:snapToGrid w:val="0"/>
                <w:szCs w:val="18"/>
              </w:rPr>
            </w:pPr>
            <w:r w:rsidRPr="00111027">
              <w:rPr>
                <w:snapToGrid w:val="0"/>
                <w:szCs w:val="18"/>
              </w:rPr>
              <w:t>96,3</w:t>
            </w:r>
          </w:p>
        </w:tc>
        <w:tc>
          <w:tcPr>
            <w:tcW w:w="621" w:type="dxa"/>
            <w:noWrap/>
            <w:vAlign w:val="center"/>
            <w:hideMark/>
          </w:tcPr>
          <w:p w14:paraId="1F93C2F7" w14:textId="77777777" w:rsidR="00C4504E" w:rsidRPr="00111027" w:rsidRDefault="00C4504E" w:rsidP="00675915">
            <w:pPr>
              <w:pStyle w:val="af0"/>
              <w:spacing w:before="0" w:after="60"/>
              <w:jc w:val="center"/>
              <w:rPr>
                <w:snapToGrid w:val="0"/>
                <w:szCs w:val="18"/>
              </w:rPr>
            </w:pPr>
            <w:r w:rsidRPr="00111027">
              <w:rPr>
                <w:snapToGrid w:val="0"/>
                <w:szCs w:val="18"/>
              </w:rPr>
              <w:t>96,8</w:t>
            </w:r>
          </w:p>
        </w:tc>
        <w:tc>
          <w:tcPr>
            <w:tcW w:w="621" w:type="dxa"/>
            <w:noWrap/>
            <w:vAlign w:val="center"/>
            <w:hideMark/>
          </w:tcPr>
          <w:p w14:paraId="02AB36D4" w14:textId="77777777" w:rsidR="00C4504E" w:rsidRPr="00111027" w:rsidRDefault="00C4504E" w:rsidP="00675915">
            <w:pPr>
              <w:pStyle w:val="af0"/>
              <w:spacing w:before="0" w:after="60"/>
              <w:jc w:val="center"/>
              <w:rPr>
                <w:snapToGrid w:val="0"/>
                <w:szCs w:val="18"/>
              </w:rPr>
            </w:pPr>
            <w:r w:rsidRPr="00111027">
              <w:rPr>
                <w:snapToGrid w:val="0"/>
                <w:szCs w:val="18"/>
              </w:rPr>
              <w:t>95,9</w:t>
            </w:r>
          </w:p>
        </w:tc>
        <w:tc>
          <w:tcPr>
            <w:tcW w:w="621" w:type="dxa"/>
            <w:noWrap/>
            <w:vAlign w:val="center"/>
            <w:hideMark/>
          </w:tcPr>
          <w:p w14:paraId="7D632639" w14:textId="77777777" w:rsidR="00C4504E" w:rsidRPr="00111027" w:rsidRDefault="00C4504E" w:rsidP="00675915">
            <w:pPr>
              <w:pStyle w:val="af0"/>
              <w:spacing w:before="0" w:after="60"/>
              <w:jc w:val="center"/>
              <w:rPr>
                <w:snapToGrid w:val="0"/>
                <w:szCs w:val="18"/>
              </w:rPr>
            </w:pPr>
            <w:r w:rsidRPr="00111027">
              <w:rPr>
                <w:snapToGrid w:val="0"/>
                <w:szCs w:val="18"/>
              </w:rPr>
              <w:t>93,5</w:t>
            </w:r>
          </w:p>
        </w:tc>
        <w:tc>
          <w:tcPr>
            <w:tcW w:w="621" w:type="dxa"/>
            <w:noWrap/>
            <w:vAlign w:val="center"/>
            <w:hideMark/>
          </w:tcPr>
          <w:p w14:paraId="5FBE564A" w14:textId="77777777" w:rsidR="00C4504E" w:rsidRPr="00111027" w:rsidRDefault="00C4504E" w:rsidP="00675915">
            <w:pPr>
              <w:pStyle w:val="af0"/>
              <w:spacing w:before="0" w:after="60"/>
              <w:jc w:val="center"/>
              <w:rPr>
                <w:snapToGrid w:val="0"/>
                <w:szCs w:val="18"/>
              </w:rPr>
            </w:pPr>
            <w:r w:rsidRPr="00111027">
              <w:rPr>
                <w:snapToGrid w:val="0"/>
                <w:szCs w:val="18"/>
              </w:rPr>
              <w:t>93,3</w:t>
            </w:r>
          </w:p>
        </w:tc>
        <w:tc>
          <w:tcPr>
            <w:tcW w:w="621" w:type="dxa"/>
            <w:noWrap/>
            <w:vAlign w:val="center"/>
            <w:hideMark/>
          </w:tcPr>
          <w:p w14:paraId="24012FEC" w14:textId="77777777" w:rsidR="00C4504E" w:rsidRPr="00111027" w:rsidRDefault="00C4504E" w:rsidP="00675915">
            <w:pPr>
              <w:pStyle w:val="af0"/>
              <w:spacing w:before="0" w:after="60"/>
              <w:jc w:val="center"/>
              <w:rPr>
                <w:snapToGrid w:val="0"/>
                <w:szCs w:val="18"/>
              </w:rPr>
            </w:pPr>
            <w:r w:rsidRPr="00111027">
              <w:rPr>
                <w:snapToGrid w:val="0"/>
                <w:szCs w:val="18"/>
              </w:rPr>
              <w:t>92,2</w:t>
            </w:r>
          </w:p>
        </w:tc>
        <w:tc>
          <w:tcPr>
            <w:tcW w:w="576" w:type="dxa"/>
            <w:noWrap/>
            <w:vAlign w:val="center"/>
            <w:hideMark/>
          </w:tcPr>
          <w:p w14:paraId="5C983ECF" w14:textId="77777777" w:rsidR="00C4504E" w:rsidRPr="00111027" w:rsidRDefault="00C4504E" w:rsidP="00675915">
            <w:pPr>
              <w:pStyle w:val="af0"/>
              <w:spacing w:before="0" w:after="60"/>
              <w:jc w:val="center"/>
              <w:rPr>
                <w:snapToGrid w:val="0"/>
                <w:szCs w:val="18"/>
              </w:rPr>
            </w:pPr>
            <w:r w:rsidRPr="00FF62EA">
              <w:rPr>
                <w:snapToGrid w:val="0"/>
                <w:szCs w:val="18"/>
              </w:rPr>
              <w:t>0,00</w:t>
            </w:r>
          </w:p>
        </w:tc>
        <w:tc>
          <w:tcPr>
            <w:tcW w:w="576" w:type="dxa"/>
            <w:noWrap/>
            <w:vAlign w:val="center"/>
            <w:hideMark/>
          </w:tcPr>
          <w:p w14:paraId="57AE6F61" w14:textId="77777777" w:rsidR="00C4504E" w:rsidRPr="00111027" w:rsidRDefault="00C4504E" w:rsidP="00675915">
            <w:pPr>
              <w:pStyle w:val="af0"/>
              <w:spacing w:before="0" w:after="60"/>
              <w:jc w:val="center"/>
              <w:rPr>
                <w:snapToGrid w:val="0"/>
                <w:szCs w:val="18"/>
              </w:rPr>
            </w:pPr>
            <w:r w:rsidRPr="00FF62EA">
              <w:rPr>
                <w:snapToGrid w:val="0"/>
                <w:szCs w:val="18"/>
              </w:rPr>
              <w:t>0,00</w:t>
            </w:r>
          </w:p>
        </w:tc>
        <w:tc>
          <w:tcPr>
            <w:tcW w:w="576" w:type="dxa"/>
            <w:noWrap/>
            <w:vAlign w:val="center"/>
            <w:hideMark/>
          </w:tcPr>
          <w:p w14:paraId="59F3B075" w14:textId="77777777" w:rsidR="00C4504E" w:rsidRPr="00111027" w:rsidRDefault="00C4504E" w:rsidP="00675915">
            <w:pPr>
              <w:pStyle w:val="af0"/>
              <w:spacing w:before="0" w:after="60"/>
              <w:jc w:val="center"/>
              <w:rPr>
                <w:snapToGrid w:val="0"/>
                <w:szCs w:val="18"/>
              </w:rPr>
            </w:pPr>
            <w:r w:rsidRPr="00FF62EA">
              <w:rPr>
                <w:snapToGrid w:val="0"/>
                <w:szCs w:val="18"/>
              </w:rPr>
              <w:t>0,00</w:t>
            </w:r>
          </w:p>
        </w:tc>
        <w:tc>
          <w:tcPr>
            <w:tcW w:w="576" w:type="dxa"/>
            <w:noWrap/>
            <w:vAlign w:val="center"/>
            <w:hideMark/>
          </w:tcPr>
          <w:p w14:paraId="74C558A2" w14:textId="77777777" w:rsidR="00C4504E" w:rsidRPr="00111027" w:rsidRDefault="00C4504E" w:rsidP="00675915">
            <w:pPr>
              <w:pStyle w:val="af0"/>
              <w:spacing w:before="0" w:after="60"/>
              <w:jc w:val="center"/>
              <w:rPr>
                <w:snapToGrid w:val="0"/>
                <w:szCs w:val="18"/>
              </w:rPr>
            </w:pPr>
            <w:r w:rsidRPr="00FF62EA">
              <w:rPr>
                <w:snapToGrid w:val="0"/>
                <w:szCs w:val="18"/>
              </w:rPr>
              <w:t>0,00</w:t>
            </w:r>
          </w:p>
        </w:tc>
      </w:tr>
      <w:tr w:rsidR="00C4504E" w:rsidRPr="00111027" w14:paraId="6BB8B60A" w14:textId="77777777" w:rsidTr="003660E4">
        <w:trPr>
          <w:trHeight w:val="295"/>
        </w:trPr>
        <w:tc>
          <w:tcPr>
            <w:tcW w:w="5098" w:type="dxa"/>
            <w:noWrap/>
            <w:hideMark/>
          </w:tcPr>
          <w:p w14:paraId="094FEAF0" w14:textId="77777777" w:rsidR="00C4504E" w:rsidRPr="00111027" w:rsidRDefault="00C4504E" w:rsidP="00675915">
            <w:pPr>
              <w:pStyle w:val="af0"/>
              <w:spacing w:before="0" w:after="60"/>
              <w:rPr>
                <w:snapToGrid w:val="0"/>
                <w:sz w:val="20"/>
              </w:rPr>
            </w:pPr>
            <w:r w:rsidRPr="00111027">
              <w:rPr>
                <w:snapToGrid w:val="0"/>
                <w:sz w:val="20"/>
              </w:rPr>
              <w:t>Развитие пенсионной системы Российской Федерации</w:t>
            </w:r>
          </w:p>
        </w:tc>
        <w:tc>
          <w:tcPr>
            <w:tcW w:w="851" w:type="dxa"/>
            <w:noWrap/>
            <w:vAlign w:val="center"/>
            <w:hideMark/>
          </w:tcPr>
          <w:p w14:paraId="59F4A817" w14:textId="77777777" w:rsidR="00C4504E" w:rsidRPr="00111027" w:rsidRDefault="00C4504E" w:rsidP="00675915">
            <w:pPr>
              <w:pStyle w:val="af0"/>
              <w:spacing w:before="0" w:after="60"/>
              <w:jc w:val="center"/>
              <w:rPr>
                <w:snapToGrid w:val="0"/>
                <w:szCs w:val="18"/>
              </w:rPr>
            </w:pPr>
            <w:r w:rsidRPr="00111027">
              <w:rPr>
                <w:snapToGrid w:val="0"/>
                <w:szCs w:val="18"/>
              </w:rPr>
              <w:t>3 103,3</w:t>
            </w:r>
          </w:p>
        </w:tc>
        <w:tc>
          <w:tcPr>
            <w:tcW w:w="850" w:type="dxa"/>
            <w:noWrap/>
            <w:vAlign w:val="center"/>
            <w:hideMark/>
          </w:tcPr>
          <w:p w14:paraId="19E16F52" w14:textId="77777777" w:rsidR="00C4504E" w:rsidRPr="00111027" w:rsidRDefault="00C4504E" w:rsidP="00675915">
            <w:pPr>
              <w:pStyle w:val="af0"/>
              <w:spacing w:before="0" w:after="60"/>
              <w:jc w:val="center"/>
              <w:rPr>
                <w:snapToGrid w:val="0"/>
                <w:szCs w:val="18"/>
              </w:rPr>
            </w:pPr>
            <w:r w:rsidRPr="00111027">
              <w:rPr>
                <w:snapToGrid w:val="0"/>
                <w:szCs w:val="18"/>
              </w:rPr>
              <w:t>3 107,6</w:t>
            </w:r>
          </w:p>
        </w:tc>
        <w:tc>
          <w:tcPr>
            <w:tcW w:w="851" w:type="dxa"/>
            <w:noWrap/>
            <w:vAlign w:val="center"/>
            <w:hideMark/>
          </w:tcPr>
          <w:p w14:paraId="78786504" w14:textId="77777777" w:rsidR="00C4504E" w:rsidRPr="00111027" w:rsidRDefault="00C4504E" w:rsidP="00675915">
            <w:pPr>
              <w:pStyle w:val="af0"/>
              <w:spacing w:before="0" w:after="60"/>
              <w:jc w:val="center"/>
              <w:rPr>
                <w:snapToGrid w:val="0"/>
                <w:szCs w:val="18"/>
              </w:rPr>
            </w:pPr>
            <w:r w:rsidRPr="00111027">
              <w:rPr>
                <w:snapToGrid w:val="0"/>
                <w:szCs w:val="18"/>
              </w:rPr>
              <w:t>3 079,5</w:t>
            </w:r>
          </w:p>
        </w:tc>
        <w:tc>
          <w:tcPr>
            <w:tcW w:w="850" w:type="dxa"/>
            <w:noWrap/>
            <w:vAlign w:val="center"/>
            <w:hideMark/>
          </w:tcPr>
          <w:p w14:paraId="3DC84E8D" w14:textId="77777777" w:rsidR="00C4504E" w:rsidRPr="00111027" w:rsidRDefault="00C4504E" w:rsidP="00675915">
            <w:pPr>
              <w:pStyle w:val="af0"/>
              <w:spacing w:before="0" w:after="60"/>
              <w:jc w:val="center"/>
              <w:rPr>
                <w:snapToGrid w:val="0"/>
                <w:szCs w:val="18"/>
              </w:rPr>
            </w:pPr>
            <w:r w:rsidRPr="00111027">
              <w:rPr>
                <w:snapToGrid w:val="0"/>
                <w:szCs w:val="18"/>
              </w:rPr>
              <w:t>2 800,4</w:t>
            </w:r>
          </w:p>
        </w:tc>
        <w:tc>
          <w:tcPr>
            <w:tcW w:w="621" w:type="dxa"/>
            <w:noWrap/>
            <w:vAlign w:val="center"/>
            <w:hideMark/>
          </w:tcPr>
          <w:p w14:paraId="487A5A0E" w14:textId="77777777" w:rsidR="00C4504E" w:rsidRPr="00111027" w:rsidRDefault="00C4504E" w:rsidP="00675915">
            <w:pPr>
              <w:pStyle w:val="af0"/>
              <w:spacing w:before="0" w:after="60"/>
              <w:jc w:val="center"/>
              <w:rPr>
                <w:snapToGrid w:val="0"/>
                <w:szCs w:val="18"/>
              </w:rPr>
            </w:pPr>
            <w:r w:rsidRPr="00111027">
              <w:rPr>
                <w:snapToGrid w:val="0"/>
                <w:szCs w:val="18"/>
              </w:rPr>
              <w:t>100,1</w:t>
            </w:r>
          </w:p>
        </w:tc>
        <w:tc>
          <w:tcPr>
            <w:tcW w:w="621" w:type="dxa"/>
            <w:noWrap/>
            <w:vAlign w:val="center"/>
            <w:hideMark/>
          </w:tcPr>
          <w:p w14:paraId="18DD94F8" w14:textId="77777777" w:rsidR="00C4504E" w:rsidRPr="00111027" w:rsidRDefault="00C4504E" w:rsidP="00675915">
            <w:pPr>
              <w:pStyle w:val="af0"/>
              <w:spacing w:before="0" w:after="60"/>
              <w:jc w:val="center"/>
              <w:rPr>
                <w:snapToGrid w:val="0"/>
                <w:szCs w:val="18"/>
              </w:rPr>
            </w:pPr>
            <w:r w:rsidRPr="00111027">
              <w:rPr>
                <w:snapToGrid w:val="0"/>
                <w:szCs w:val="18"/>
              </w:rPr>
              <w:t>99,1</w:t>
            </w:r>
          </w:p>
        </w:tc>
        <w:tc>
          <w:tcPr>
            <w:tcW w:w="621" w:type="dxa"/>
            <w:noWrap/>
            <w:vAlign w:val="center"/>
            <w:hideMark/>
          </w:tcPr>
          <w:p w14:paraId="07A8A552" w14:textId="77777777" w:rsidR="00C4504E" w:rsidRPr="00111027" w:rsidRDefault="00C4504E" w:rsidP="00675915">
            <w:pPr>
              <w:pStyle w:val="af0"/>
              <w:spacing w:before="0" w:after="60"/>
              <w:jc w:val="center"/>
              <w:rPr>
                <w:snapToGrid w:val="0"/>
                <w:szCs w:val="18"/>
              </w:rPr>
            </w:pPr>
            <w:r w:rsidRPr="00111027">
              <w:rPr>
                <w:snapToGrid w:val="0"/>
                <w:szCs w:val="18"/>
              </w:rPr>
              <w:t>90,9</w:t>
            </w:r>
          </w:p>
        </w:tc>
        <w:tc>
          <w:tcPr>
            <w:tcW w:w="621" w:type="dxa"/>
            <w:noWrap/>
            <w:vAlign w:val="center"/>
            <w:hideMark/>
          </w:tcPr>
          <w:p w14:paraId="6BDAE93E" w14:textId="77777777" w:rsidR="00C4504E" w:rsidRPr="00111027" w:rsidRDefault="00C4504E" w:rsidP="00675915">
            <w:pPr>
              <w:pStyle w:val="af0"/>
              <w:spacing w:before="0" w:after="60"/>
              <w:jc w:val="center"/>
              <w:rPr>
                <w:snapToGrid w:val="0"/>
                <w:szCs w:val="18"/>
              </w:rPr>
            </w:pPr>
            <w:r w:rsidRPr="00111027">
              <w:rPr>
                <w:snapToGrid w:val="0"/>
                <w:szCs w:val="18"/>
              </w:rPr>
              <w:t>97,2</w:t>
            </w:r>
          </w:p>
        </w:tc>
        <w:tc>
          <w:tcPr>
            <w:tcW w:w="621" w:type="dxa"/>
            <w:noWrap/>
            <w:vAlign w:val="center"/>
            <w:hideMark/>
          </w:tcPr>
          <w:p w14:paraId="4832E10A" w14:textId="77777777" w:rsidR="00C4504E" w:rsidRPr="00111027" w:rsidRDefault="00C4504E" w:rsidP="00675915">
            <w:pPr>
              <w:pStyle w:val="af0"/>
              <w:spacing w:before="0" w:after="60"/>
              <w:jc w:val="center"/>
              <w:rPr>
                <w:snapToGrid w:val="0"/>
                <w:szCs w:val="18"/>
              </w:rPr>
            </w:pPr>
            <w:r w:rsidRPr="00111027">
              <w:rPr>
                <w:snapToGrid w:val="0"/>
                <w:szCs w:val="18"/>
              </w:rPr>
              <w:t>95,6</w:t>
            </w:r>
          </w:p>
        </w:tc>
        <w:tc>
          <w:tcPr>
            <w:tcW w:w="621" w:type="dxa"/>
            <w:noWrap/>
            <w:vAlign w:val="center"/>
            <w:hideMark/>
          </w:tcPr>
          <w:p w14:paraId="62F01DAA" w14:textId="77777777" w:rsidR="00C4504E" w:rsidRPr="00111027" w:rsidRDefault="00C4504E" w:rsidP="00675915">
            <w:pPr>
              <w:pStyle w:val="af0"/>
              <w:spacing w:before="0" w:after="60"/>
              <w:jc w:val="center"/>
              <w:rPr>
                <w:snapToGrid w:val="0"/>
                <w:szCs w:val="18"/>
              </w:rPr>
            </w:pPr>
            <w:r w:rsidRPr="00111027">
              <w:rPr>
                <w:snapToGrid w:val="0"/>
                <w:szCs w:val="18"/>
              </w:rPr>
              <w:t>87,4</w:t>
            </w:r>
          </w:p>
        </w:tc>
        <w:tc>
          <w:tcPr>
            <w:tcW w:w="576" w:type="dxa"/>
            <w:noWrap/>
            <w:vAlign w:val="center"/>
            <w:hideMark/>
          </w:tcPr>
          <w:p w14:paraId="30AEE537" w14:textId="77777777" w:rsidR="00C4504E" w:rsidRPr="00111027" w:rsidRDefault="00C4504E" w:rsidP="00675915">
            <w:pPr>
              <w:pStyle w:val="af0"/>
              <w:spacing w:before="0" w:after="60"/>
              <w:jc w:val="center"/>
              <w:rPr>
                <w:snapToGrid w:val="0"/>
                <w:szCs w:val="18"/>
              </w:rPr>
            </w:pPr>
            <w:r w:rsidRPr="00FF62EA">
              <w:rPr>
                <w:snapToGrid w:val="0"/>
                <w:szCs w:val="18"/>
              </w:rPr>
              <w:t>2,86</w:t>
            </w:r>
          </w:p>
        </w:tc>
        <w:tc>
          <w:tcPr>
            <w:tcW w:w="576" w:type="dxa"/>
            <w:noWrap/>
            <w:vAlign w:val="center"/>
            <w:hideMark/>
          </w:tcPr>
          <w:p w14:paraId="409C3C62" w14:textId="77777777" w:rsidR="00C4504E" w:rsidRPr="00111027" w:rsidRDefault="00C4504E" w:rsidP="00675915">
            <w:pPr>
              <w:pStyle w:val="af0"/>
              <w:spacing w:before="0" w:after="60"/>
              <w:jc w:val="center"/>
              <w:rPr>
                <w:snapToGrid w:val="0"/>
                <w:szCs w:val="18"/>
              </w:rPr>
            </w:pPr>
            <w:r w:rsidRPr="00FF62EA">
              <w:rPr>
                <w:snapToGrid w:val="0"/>
                <w:szCs w:val="18"/>
              </w:rPr>
              <w:t>2,75</w:t>
            </w:r>
          </w:p>
        </w:tc>
        <w:tc>
          <w:tcPr>
            <w:tcW w:w="576" w:type="dxa"/>
            <w:noWrap/>
            <w:vAlign w:val="center"/>
            <w:hideMark/>
          </w:tcPr>
          <w:p w14:paraId="44C5476E" w14:textId="77777777" w:rsidR="00C4504E" w:rsidRPr="00111027" w:rsidRDefault="00C4504E" w:rsidP="00675915">
            <w:pPr>
              <w:pStyle w:val="af0"/>
              <w:spacing w:before="0" w:after="60"/>
              <w:jc w:val="center"/>
              <w:rPr>
                <w:snapToGrid w:val="0"/>
                <w:szCs w:val="18"/>
              </w:rPr>
            </w:pPr>
            <w:r w:rsidRPr="00FF62EA">
              <w:rPr>
                <w:snapToGrid w:val="0"/>
                <w:szCs w:val="18"/>
              </w:rPr>
              <w:t>2,56</w:t>
            </w:r>
          </w:p>
        </w:tc>
        <w:tc>
          <w:tcPr>
            <w:tcW w:w="576" w:type="dxa"/>
            <w:noWrap/>
            <w:vAlign w:val="center"/>
            <w:hideMark/>
          </w:tcPr>
          <w:p w14:paraId="5F5219E8" w14:textId="77777777" w:rsidR="00C4504E" w:rsidRPr="00111027" w:rsidRDefault="00C4504E" w:rsidP="00675915">
            <w:pPr>
              <w:pStyle w:val="af0"/>
              <w:spacing w:before="0" w:after="60"/>
              <w:jc w:val="center"/>
              <w:rPr>
                <w:snapToGrid w:val="0"/>
                <w:szCs w:val="18"/>
              </w:rPr>
            </w:pPr>
            <w:r w:rsidRPr="00FF62EA">
              <w:rPr>
                <w:snapToGrid w:val="0"/>
                <w:szCs w:val="18"/>
              </w:rPr>
              <w:t>2,18</w:t>
            </w:r>
          </w:p>
        </w:tc>
      </w:tr>
      <w:tr w:rsidR="00C4504E" w:rsidRPr="00111027" w14:paraId="5CC560D6" w14:textId="77777777" w:rsidTr="003660E4">
        <w:trPr>
          <w:trHeight w:val="295"/>
        </w:trPr>
        <w:tc>
          <w:tcPr>
            <w:tcW w:w="5098" w:type="dxa"/>
            <w:noWrap/>
            <w:hideMark/>
          </w:tcPr>
          <w:p w14:paraId="282C98E4" w14:textId="77777777" w:rsidR="00C4504E" w:rsidRPr="00111027" w:rsidRDefault="00C4504E" w:rsidP="00675915">
            <w:pPr>
              <w:pStyle w:val="af0"/>
              <w:spacing w:before="0" w:after="60"/>
              <w:rPr>
                <w:snapToGrid w:val="0"/>
                <w:sz w:val="20"/>
              </w:rPr>
            </w:pPr>
            <w:r w:rsidRPr="00111027">
              <w:rPr>
                <w:snapToGrid w:val="0"/>
                <w:sz w:val="20"/>
              </w:rPr>
              <w:t>Пенсии военнослужащим, членам их семей и лицам, приравненным к ним по пенсионному обеспечению, а также пособия и иные выплаты в рамках пенсионного обеспечения</w:t>
            </w:r>
          </w:p>
        </w:tc>
        <w:tc>
          <w:tcPr>
            <w:tcW w:w="851" w:type="dxa"/>
            <w:noWrap/>
            <w:vAlign w:val="center"/>
            <w:hideMark/>
          </w:tcPr>
          <w:p w14:paraId="51F23506" w14:textId="77777777" w:rsidR="00C4504E" w:rsidRPr="00111027" w:rsidRDefault="00C4504E" w:rsidP="00675915">
            <w:pPr>
              <w:pStyle w:val="af0"/>
              <w:spacing w:before="0" w:after="60"/>
              <w:jc w:val="center"/>
              <w:rPr>
                <w:snapToGrid w:val="0"/>
                <w:szCs w:val="18"/>
              </w:rPr>
            </w:pPr>
            <w:r w:rsidRPr="00111027">
              <w:rPr>
                <w:snapToGrid w:val="0"/>
                <w:szCs w:val="18"/>
              </w:rPr>
              <w:t>745,0</w:t>
            </w:r>
          </w:p>
        </w:tc>
        <w:tc>
          <w:tcPr>
            <w:tcW w:w="850" w:type="dxa"/>
            <w:noWrap/>
            <w:vAlign w:val="center"/>
            <w:hideMark/>
          </w:tcPr>
          <w:p w14:paraId="53E90AFC" w14:textId="77777777" w:rsidR="00C4504E" w:rsidRPr="00111027" w:rsidRDefault="00C4504E" w:rsidP="00675915">
            <w:pPr>
              <w:pStyle w:val="af0"/>
              <w:spacing w:before="0" w:after="60"/>
              <w:jc w:val="center"/>
              <w:rPr>
                <w:snapToGrid w:val="0"/>
                <w:szCs w:val="18"/>
              </w:rPr>
            </w:pPr>
            <w:r w:rsidRPr="00111027">
              <w:rPr>
                <w:snapToGrid w:val="0"/>
                <w:szCs w:val="18"/>
              </w:rPr>
              <w:t>763,4</w:t>
            </w:r>
          </w:p>
        </w:tc>
        <w:tc>
          <w:tcPr>
            <w:tcW w:w="851" w:type="dxa"/>
            <w:noWrap/>
            <w:vAlign w:val="center"/>
            <w:hideMark/>
          </w:tcPr>
          <w:p w14:paraId="2E573D4A" w14:textId="77777777" w:rsidR="00C4504E" w:rsidRPr="00111027" w:rsidRDefault="00C4504E" w:rsidP="00675915">
            <w:pPr>
              <w:pStyle w:val="af0"/>
              <w:spacing w:before="0" w:after="60"/>
              <w:jc w:val="center"/>
              <w:rPr>
                <w:snapToGrid w:val="0"/>
                <w:szCs w:val="18"/>
              </w:rPr>
            </w:pPr>
            <w:r w:rsidRPr="00111027">
              <w:rPr>
                <w:snapToGrid w:val="0"/>
                <w:szCs w:val="18"/>
              </w:rPr>
              <w:t>790,9</w:t>
            </w:r>
          </w:p>
        </w:tc>
        <w:tc>
          <w:tcPr>
            <w:tcW w:w="850" w:type="dxa"/>
            <w:noWrap/>
            <w:vAlign w:val="center"/>
            <w:hideMark/>
          </w:tcPr>
          <w:p w14:paraId="63D70E42" w14:textId="77777777" w:rsidR="00C4504E" w:rsidRPr="00111027" w:rsidRDefault="00C4504E" w:rsidP="00675915">
            <w:pPr>
              <w:pStyle w:val="af0"/>
              <w:spacing w:before="0" w:after="60"/>
              <w:jc w:val="center"/>
              <w:rPr>
                <w:snapToGrid w:val="0"/>
                <w:szCs w:val="18"/>
              </w:rPr>
            </w:pPr>
            <w:r w:rsidRPr="00111027">
              <w:rPr>
                <w:snapToGrid w:val="0"/>
                <w:szCs w:val="18"/>
              </w:rPr>
              <w:t>553,7</w:t>
            </w:r>
          </w:p>
        </w:tc>
        <w:tc>
          <w:tcPr>
            <w:tcW w:w="621" w:type="dxa"/>
            <w:noWrap/>
            <w:vAlign w:val="center"/>
            <w:hideMark/>
          </w:tcPr>
          <w:p w14:paraId="4C4AD3AA" w14:textId="77777777" w:rsidR="00C4504E" w:rsidRPr="00111027" w:rsidRDefault="00C4504E" w:rsidP="00675915">
            <w:pPr>
              <w:pStyle w:val="af0"/>
              <w:spacing w:before="0" w:after="60"/>
              <w:jc w:val="center"/>
              <w:rPr>
                <w:snapToGrid w:val="0"/>
                <w:szCs w:val="18"/>
              </w:rPr>
            </w:pPr>
            <w:r w:rsidRPr="00111027">
              <w:rPr>
                <w:snapToGrid w:val="0"/>
                <w:szCs w:val="18"/>
              </w:rPr>
              <w:t>102,5</w:t>
            </w:r>
          </w:p>
        </w:tc>
        <w:tc>
          <w:tcPr>
            <w:tcW w:w="621" w:type="dxa"/>
            <w:noWrap/>
            <w:vAlign w:val="center"/>
            <w:hideMark/>
          </w:tcPr>
          <w:p w14:paraId="6DA70ADB" w14:textId="77777777" w:rsidR="00C4504E" w:rsidRPr="00111027" w:rsidRDefault="00C4504E" w:rsidP="00675915">
            <w:pPr>
              <w:pStyle w:val="af0"/>
              <w:spacing w:before="0" w:after="60"/>
              <w:jc w:val="center"/>
              <w:rPr>
                <w:snapToGrid w:val="0"/>
                <w:szCs w:val="18"/>
              </w:rPr>
            </w:pPr>
            <w:r w:rsidRPr="00111027">
              <w:rPr>
                <w:snapToGrid w:val="0"/>
                <w:szCs w:val="18"/>
              </w:rPr>
              <w:t>103,6</w:t>
            </w:r>
          </w:p>
        </w:tc>
        <w:tc>
          <w:tcPr>
            <w:tcW w:w="621" w:type="dxa"/>
            <w:noWrap/>
            <w:vAlign w:val="center"/>
            <w:hideMark/>
          </w:tcPr>
          <w:p w14:paraId="3C585531" w14:textId="77777777" w:rsidR="00C4504E" w:rsidRPr="00111027" w:rsidRDefault="00C4504E" w:rsidP="00675915">
            <w:pPr>
              <w:pStyle w:val="af0"/>
              <w:spacing w:before="0" w:after="60"/>
              <w:jc w:val="center"/>
              <w:rPr>
                <w:snapToGrid w:val="0"/>
                <w:szCs w:val="18"/>
              </w:rPr>
            </w:pPr>
            <w:r w:rsidRPr="00111027">
              <w:rPr>
                <w:snapToGrid w:val="0"/>
                <w:szCs w:val="18"/>
              </w:rPr>
              <w:t>70,0</w:t>
            </w:r>
          </w:p>
        </w:tc>
        <w:tc>
          <w:tcPr>
            <w:tcW w:w="621" w:type="dxa"/>
            <w:noWrap/>
            <w:vAlign w:val="center"/>
            <w:hideMark/>
          </w:tcPr>
          <w:p w14:paraId="23C9065B" w14:textId="77777777" w:rsidR="00C4504E" w:rsidRPr="00111027" w:rsidRDefault="00C4504E" w:rsidP="00675915">
            <w:pPr>
              <w:pStyle w:val="af0"/>
              <w:spacing w:before="0" w:after="60"/>
              <w:jc w:val="center"/>
              <w:rPr>
                <w:snapToGrid w:val="0"/>
                <w:szCs w:val="18"/>
              </w:rPr>
            </w:pPr>
            <w:r w:rsidRPr="00111027">
              <w:rPr>
                <w:snapToGrid w:val="0"/>
                <w:szCs w:val="18"/>
              </w:rPr>
              <w:t>99,5</w:t>
            </w:r>
          </w:p>
        </w:tc>
        <w:tc>
          <w:tcPr>
            <w:tcW w:w="621" w:type="dxa"/>
            <w:noWrap/>
            <w:vAlign w:val="center"/>
            <w:hideMark/>
          </w:tcPr>
          <w:p w14:paraId="72058475" w14:textId="77777777" w:rsidR="00C4504E" w:rsidRPr="00111027" w:rsidRDefault="00C4504E" w:rsidP="00675915">
            <w:pPr>
              <w:pStyle w:val="af0"/>
              <w:spacing w:before="0" w:after="60"/>
              <w:jc w:val="center"/>
              <w:rPr>
                <w:snapToGrid w:val="0"/>
                <w:szCs w:val="18"/>
              </w:rPr>
            </w:pPr>
            <w:r w:rsidRPr="00111027">
              <w:rPr>
                <w:snapToGrid w:val="0"/>
                <w:szCs w:val="18"/>
              </w:rPr>
              <w:t>99,9</w:t>
            </w:r>
          </w:p>
        </w:tc>
        <w:tc>
          <w:tcPr>
            <w:tcW w:w="621" w:type="dxa"/>
            <w:noWrap/>
            <w:vAlign w:val="center"/>
            <w:hideMark/>
          </w:tcPr>
          <w:p w14:paraId="58B76D92" w14:textId="77777777" w:rsidR="00C4504E" w:rsidRPr="00111027" w:rsidRDefault="00C4504E" w:rsidP="00675915">
            <w:pPr>
              <w:pStyle w:val="af0"/>
              <w:spacing w:before="0" w:after="60"/>
              <w:jc w:val="center"/>
              <w:rPr>
                <w:snapToGrid w:val="0"/>
                <w:szCs w:val="18"/>
              </w:rPr>
            </w:pPr>
            <w:r w:rsidRPr="00111027">
              <w:rPr>
                <w:snapToGrid w:val="0"/>
                <w:szCs w:val="18"/>
              </w:rPr>
              <w:t>67,3</w:t>
            </w:r>
          </w:p>
        </w:tc>
        <w:tc>
          <w:tcPr>
            <w:tcW w:w="576" w:type="dxa"/>
            <w:noWrap/>
            <w:vAlign w:val="center"/>
            <w:hideMark/>
          </w:tcPr>
          <w:p w14:paraId="0FF357A1" w14:textId="77777777" w:rsidR="00C4504E" w:rsidRPr="00111027" w:rsidRDefault="00C4504E" w:rsidP="00675915">
            <w:pPr>
              <w:pStyle w:val="af0"/>
              <w:spacing w:before="0" w:after="60"/>
              <w:jc w:val="center"/>
              <w:rPr>
                <w:snapToGrid w:val="0"/>
                <w:szCs w:val="18"/>
              </w:rPr>
            </w:pPr>
            <w:r w:rsidRPr="00FF62EA">
              <w:rPr>
                <w:snapToGrid w:val="0"/>
                <w:szCs w:val="18"/>
              </w:rPr>
              <w:t>0,69</w:t>
            </w:r>
          </w:p>
        </w:tc>
        <w:tc>
          <w:tcPr>
            <w:tcW w:w="576" w:type="dxa"/>
            <w:noWrap/>
            <w:vAlign w:val="center"/>
            <w:hideMark/>
          </w:tcPr>
          <w:p w14:paraId="057569F3" w14:textId="77777777" w:rsidR="00C4504E" w:rsidRPr="00111027" w:rsidRDefault="00C4504E" w:rsidP="00675915">
            <w:pPr>
              <w:pStyle w:val="af0"/>
              <w:spacing w:before="0" w:after="60"/>
              <w:jc w:val="center"/>
              <w:rPr>
                <w:snapToGrid w:val="0"/>
                <w:szCs w:val="18"/>
              </w:rPr>
            </w:pPr>
            <w:r w:rsidRPr="00FF62EA">
              <w:rPr>
                <w:snapToGrid w:val="0"/>
                <w:szCs w:val="18"/>
              </w:rPr>
              <w:t>0,68</w:t>
            </w:r>
          </w:p>
        </w:tc>
        <w:tc>
          <w:tcPr>
            <w:tcW w:w="576" w:type="dxa"/>
            <w:noWrap/>
            <w:vAlign w:val="center"/>
            <w:hideMark/>
          </w:tcPr>
          <w:p w14:paraId="046E3412" w14:textId="77777777" w:rsidR="00C4504E" w:rsidRPr="00111027" w:rsidRDefault="00C4504E" w:rsidP="00675915">
            <w:pPr>
              <w:pStyle w:val="af0"/>
              <w:spacing w:before="0" w:after="60"/>
              <w:jc w:val="center"/>
              <w:rPr>
                <w:snapToGrid w:val="0"/>
                <w:szCs w:val="18"/>
              </w:rPr>
            </w:pPr>
            <w:r w:rsidRPr="00FF62EA">
              <w:rPr>
                <w:snapToGrid w:val="0"/>
                <w:szCs w:val="18"/>
              </w:rPr>
              <w:t>0,66</w:t>
            </w:r>
          </w:p>
        </w:tc>
        <w:tc>
          <w:tcPr>
            <w:tcW w:w="576" w:type="dxa"/>
            <w:noWrap/>
            <w:vAlign w:val="center"/>
            <w:hideMark/>
          </w:tcPr>
          <w:p w14:paraId="12D05123" w14:textId="77777777" w:rsidR="00C4504E" w:rsidRPr="00111027" w:rsidRDefault="00C4504E" w:rsidP="00675915">
            <w:pPr>
              <w:pStyle w:val="af0"/>
              <w:spacing w:before="0" w:after="60"/>
              <w:jc w:val="center"/>
              <w:rPr>
                <w:snapToGrid w:val="0"/>
                <w:szCs w:val="18"/>
              </w:rPr>
            </w:pPr>
            <w:r w:rsidRPr="00FF62EA">
              <w:rPr>
                <w:snapToGrid w:val="0"/>
                <w:szCs w:val="18"/>
              </w:rPr>
              <w:t>0,43</w:t>
            </w:r>
          </w:p>
        </w:tc>
      </w:tr>
      <w:tr w:rsidR="00C4504E" w:rsidRPr="00111027" w14:paraId="5638AB1E" w14:textId="77777777" w:rsidTr="003660E4">
        <w:trPr>
          <w:trHeight w:val="295"/>
        </w:trPr>
        <w:tc>
          <w:tcPr>
            <w:tcW w:w="5098" w:type="dxa"/>
            <w:noWrap/>
            <w:hideMark/>
          </w:tcPr>
          <w:p w14:paraId="1B20E9A1" w14:textId="77777777" w:rsidR="00C4504E" w:rsidRPr="00111027" w:rsidRDefault="00C4504E" w:rsidP="00675915">
            <w:pPr>
              <w:pStyle w:val="af0"/>
              <w:spacing w:before="0" w:after="60"/>
              <w:rPr>
                <w:snapToGrid w:val="0"/>
                <w:sz w:val="20"/>
              </w:rPr>
            </w:pPr>
            <w:r w:rsidRPr="00111027">
              <w:rPr>
                <w:snapToGrid w:val="0"/>
                <w:sz w:val="20"/>
              </w:rPr>
              <w:t>Материальное обеспечение специалистов ядерного оружейного комплекса Российской Федерации (Межбюджетные трансферты)</w:t>
            </w:r>
          </w:p>
        </w:tc>
        <w:tc>
          <w:tcPr>
            <w:tcW w:w="851" w:type="dxa"/>
            <w:noWrap/>
            <w:vAlign w:val="center"/>
            <w:hideMark/>
          </w:tcPr>
          <w:p w14:paraId="58AF90F1" w14:textId="77777777" w:rsidR="00C4504E" w:rsidRPr="00111027" w:rsidRDefault="00C4504E" w:rsidP="00675915">
            <w:pPr>
              <w:pStyle w:val="af0"/>
              <w:spacing w:before="0" w:after="60"/>
              <w:jc w:val="center"/>
              <w:rPr>
                <w:snapToGrid w:val="0"/>
                <w:szCs w:val="18"/>
              </w:rPr>
            </w:pPr>
            <w:r w:rsidRPr="00111027">
              <w:rPr>
                <w:snapToGrid w:val="0"/>
                <w:szCs w:val="18"/>
              </w:rPr>
              <w:t>7,5</w:t>
            </w:r>
          </w:p>
        </w:tc>
        <w:tc>
          <w:tcPr>
            <w:tcW w:w="850" w:type="dxa"/>
            <w:noWrap/>
            <w:vAlign w:val="center"/>
            <w:hideMark/>
          </w:tcPr>
          <w:p w14:paraId="62584404" w14:textId="77777777" w:rsidR="00C4504E" w:rsidRPr="00111027" w:rsidRDefault="00C4504E" w:rsidP="00675915">
            <w:pPr>
              <w:pStyle w:val="af0"/>
              <w:spacing w:before="0" w:after="60"/>
              <w:jc w:val="center"/>
              <w:rPr>
                <w:snapToGrid w:val="0"/>
                <w:szCs w:val="18"/>
              </w:rPr>
            </w:pPr>
            <w:r w:rsidRPr="00111027">
              <w:rPr>
                <w:snapToGrid w:val="0"/>
                <w:szCs w:val="18"/>
              </w:rPr>
              <w:t>7,8</w:t>
            </w:r>
          </w:p>
        </w:tc>
        <w:tc>
          <w:tcPr>
            <w:tcW w:w="851" w:type="dxa"/>
            <w:noWrap/>
            <w:vAlign w:val="center"/>
            <w:hideMark/>
          </w:tcPr>
          <w:p w14:paraId="6F363ED1" w14:textId="77777777" w:rsidR="00C4504E" w:rsidRPr="00111027" w:rsidRDefault="00C4504E" w:rsidP="00675915">
            <w:pPr>
              <w:pStyle w:val="af0"/>
              <w:spacing w:before="0" w:after="60"/>
              <w:jc w:val="center"/>
              <w:rPr>
                <w:snapToGrid w:val="0"/>
                <w:szCs w:val="18"/>
              </w:rPr>
            </w:pPr>
            <w:r w:rsidRPr="00111027">
              <w:rPr>
                <w:snapToGrid w:val="0"/>
                <w:szCs w:val="18"/>
              </w:rPr>
              <w:t>8,1</w:t>
            </w:r>
          </w:p>
        </w:tc>
        <w:tc>
          <w:tcPr>
            <w:tcW w:w="850" w:type="dxa"/>
            <w:noWrap/>
            <w:vAlign w:val="center"/>
            <w:hideMark/>
          </w:tcPr>
          <w:p w14:paraId="0F14D150" w14:textId="77777777" w:rsidR="00C4504E" w:rsidRPr="00111027" w:rsidRDefault="00C4504E" w:rsidP="00675915">
            <w:pPr>
              <w:pStyle w:val="af0"/>
              <w:spacing w:before="0" w:after="60"/>
              <w:jc w:val="center"/>
              <w:rPr>
                <w:snapToGrid w:val="0"/>
                <w:szCs w:val="18"/>
              </w:rPr>
            </w:pPr>
            <w:r w:rsidRPr="00111027">
              <w:rPr>
                <w:snapToGrid w:val="0"/>
                <w:szCs w:val="18"/>
              </w:rPr>
              <w:t>8,4</w:t>
            </w:r>
          </w:p>
        </w:tc>
        <w:tc>
          <w:tcPr>
            <w:tcW w:w="621" w:type="dxa"/>
            <w:noWrap/>
            <w:vAlign w:val="center"/>
            <w:hideMark/>
          </w:tcPr>
          <w:p w14:paraId="2CAEA76E" w14:textId="77777777" w:rsidR="00C4504E" w:rsidRPr="00111027" w:rsidRDefault="00C4504E" w:rsidP="00675915">
            <w:pPr>
              <w:pStyle w:val="af0"/>
              <w:spacing w:before="0" w:after="60"/>
              <w:jc w:val="center"/>
              <w:rPr>
                <w:snapToGrid w:val="0"/>
                <w:szCs w:val="18"/>
              </w:rPr>
            </w:pPr>
            <w:r w:rsidRPr="00111027">
              <w:rPr>
                <w:snapToGrid w:val="0"/>
                <w:szCs w:val="18"/>
              </w:rPr>
              <w:t>104,2</w:t>
            </w:r>
          </w:p>
        </w:tc>
        <w:tc>
          <w:tcPr>
            <w:tcW w:w="621" w:type="dxa"/>
            <w:noWrap/>
            <w:vAlign w:val="center"/>
            <w:hideMark/>
          </w:tcPr>
          <w:p w14:paraId="4359F7BC" w14:textId="77777777" w:rsidR="00C4504E" w:rsidRPr="00111027" w:rsidRDefault="00C4504E" w:rsidP="00675915">
            <w:pPr>
              <w:pStyle w:val="af0"/>
              <w:spacing w:before="0" w:after="60"/>
              <w:jc w:val="center"/>
              <w:rPr>
                <w:snapToGrid w:val="0"/>
                <w:szCs w:val="18"/>
              </w:rPr>
            </w:pPr>
            <w:r w:rsidRPr="00111027">
              <w:rPr>
                <w:snapToGrid w:val="0"/>
                <w:szCs w:val="18"/>
              </w:rPr>
              <w:t>103,8</w:t>
            </w:r>
          </w:p>
        </w:tc>
        <w:tc>
          <w:tcPr>
            <w:tcW w:w="621" w:type="dxa"/>
            <w:noWrap/>
            <w:vAlign w:val="center"/>
            <w:hideMark/>
          </w:tcPr>
          <w:p w14:paraId="6D81B9CA" w14:textId="77777777" w:rsidR="00C4504E" w:rsidRPr="00111027" w:rsidRDefault="00C4504E" w:rsidP="00675915">
            <w:pPr>
              <w:pStyle w:val="af0"/>
              <w:spacing w:before="0" w:after="60"/>
              <w:jc w:val="center"/>
              <w:rPr>
                <w:snapToGrid w:val="0"/>
                <w:szCs w:val="18"/>
              </w:rPr>
            </w:pPr>
            <w:r w:rsidRPr="00111027">
              <w:rPr>
                <w:snapToGrid w:val="0"/>
                <w:szCs w:val="18"/>
              </w:rPr>
              <w:t>103,2</w:t>
            </w:r>
          </w:p>
        </w:tc>
        <w:tc>
          <w:tcPr>
            <w:tcW w:w="621" w:type="dxa"/>
            <w:noWrap/>
            <w:vAlign w:val="center"/>
            <w:hideMark/>
          </w:tcPr>
          <w:p w14:paraId="24C17A10" w14:textId="77777777" w:rsidR="00C4504E" w:rsidRPr="00111027" w:rsidRDefault="00C4504E" w:rsidP="00675915">
            <w:pPr>
              <w:pStyle w:val="af0"/>
              <w:spacing w:before="0" w:after="60"/>
              <w:jc w:val="center"/>
              <w:rPr>
                <w:snapToGrid w:val="0"/>
                <w:szCs w:val="18"/>
              </w:rPr>
            </w:pPr>
            <w:r w:rsidRPr="00111027">
              <w:rPr>
                <w:snapToGrid w:val="0"/>
                <w:szCs w:val="18"/>
              </w:rPr>
              <w:t>101,2</w:t>
            </w:r>
          </w:p>
        </w:tc>
        <w:tc>
          <w:tcPr>
            <w:tcW w:w="621" w:type="dxa"/>
            <w:noWrap/>
            <w:vAlign w:val="center"/>
            <w:hideMark/>
          </w:tcPr>
          <w:p w14:paraId="2D747F12" w14:textId="77777777" w:rsidR="00C4504E" w:rsidRPr="00111027" w:rsidRDefault="00C4504E" w:rsidP="00675915">
            <w:pPr>
              <w:pStyle w:val="af0"/>
              <w:spacing w:before="0" w:after="60"/>
              <w:jc w:val="center"/>
              <w:rPr>
                <w:snapToGrid w:val="0"/>
                <w:szCs w:val="18"/>
              </w:rPr>
            </w:pPr>
            <w:r w:rsidRPr="00111027">
              <w:rPr>
                <w:snapToGrid w:val="0"/>
                <w:szCs w:val="18"/>
              </w:rPr>
              <w:t>100,1</w:t>
            </w:r>
          </w:p>
        </w:tc>
        <w:tc>
          <w:tcPr>
            <w:tcW w:w="621" w:type="dxa"/>
            <w:noWrap/>
            <w:vAlign w:val="center"/>
            <w:hideMark/>
          </w:tcPr>
          <w:p w14:paraId="693BA569" w14:textId="77777777" w:rsidR="00C4504E" w:rsidRPr="00111027" w:rsidRDefault="00C4504E" w:rsidP="00675915">
            <w:pPr>
              <w:pStyle w:val="af0"/>
              <w:spacing w:before="0" w:after="60"/>
              <w:jc w:val="center"/>
              <w:rPr>
                <w:snapToGrid w:val="0"/>
                <w:szCs w:val="18"/>
              </w:rPr>
            </w:pPr>
            <w:r w:rsidRPr="00111027">
              <w:rPr>
                <w:snapToGrid w:val="0"/>
                <w:szCs w:val="18"/>
              </w:rPr>
              <w:t>99,2</w:t>
            </w:r>
          </w:p>
        </w:tc>
        <w:tc>
          <w:tcPr>
            <w:tcW w:w="576" w:type="dxa"/>
            <w:noWrap/>
            <w:vAlign w:val="center"/>
            <w:hideMark/>
          </w:tcPr>
          <w:p w14:paraId="30459F1D" w14:textId="77777777" w:rsidR="00C4504E" w:rsidRPr="00111027" w:rsidRDefault="00C4504E" w:rsidP="00675915">
            <w:pPr>
              <w:pStyle w:val="af0"/>
              <w:spacing w:before="0" w:after="60"/>
              <w:jc w:val="center"/>
              <w:rPr>
                <w:snapToGrid w:val="0"/>
                <w:szCs w:val="18"/>
              </w:rPr>
            </w:pPr>
            <w:r w:rsidRPr="00FF62EA">
              <w:rPr>
                <w:snapToGrid w:val="0"/>
                <w:szCs w:val="18"/>
              </w:rPr>
              <w:t>0,01</w:t>
            </w:r>
          </w:p>
        </w:tc>
        <w:tc>
          <w:tcPr>
            <w:tcW w:w="576" w:type="dxa"/>
            <w:noWrap/>
            <w:vAlign w:val="center"/>
            <w:hideMark/>
          </w:tcPr>
          <w:p w14:paraId="79F5D993" w14:textId="77777777" w:rsidR="00C4504E" w:rsidRPr="00111027" w:rsidRDefault="00C4504E" w:rsidP="00675915">
            <w:pPr>
              <w:pStyle w:val="af0"/>
              <w:spacing w:before="0" w:after="60"/>
              <w:jc w:val="center"/>
              <w:rPr>
                <w:snapToGrid w:val="0"/>
                <w:szCs w:val="18"/>
              </w:rPr>
            </w:pPr>
            <w:r w:rsidRPr="00FF62EA">
              <w:rPr>
                <w:snapToGrid w:val="0"/>
                <w:szCs w:val="18"/>
              </w:rPr>
              <w:t>0,01</w:t>
            </w:r>
          </w:p>
        </w:tc>
        <w:tc>
          <w:tcPr>
            <w:tcW w:w="576" w:type="dxa"/>
            <w:noWrap/>
            <w:vAlign w:val="center"/>
            <w:hideMark/>
          </w:tcPr>
          <w:p w14:paraId="67A8C586" w14:textId="77777777" w:rsidR="00C4504E" w:rsidRPr="00111027" w:rsidRDefault="00C4504E" w:rsidP="00675915">
            <w:pPr>
              <w:pStyle w:val="af0"/>
              <w:spacing w:before="0" w:after="60"/>
              <w:jc w:val="center"/>
              <w:rPr>
                <w:snapToGrid w:val="0"/>
                <w:szCs w:val="18"/>
              </w:rPr>
            </w:pPr>
            <w:r w:rsidRPr="00FF62EA">
              <w:rPr>
                <w:snapToGrid w:val="0"/>
                <w:szCs w:val="18"/>
              </w:rPr>
              <w:t>0,01</w:t>
            </w:r>
          </w:p>
        </w:tc>
        <w:tc>
          <w:tcPr>
            <w:tcW w:w="576" w:type="dxa"/>
            <w:noWrap/>
            <w:vAlign w:val="center"/>
            <w:hideMark/>
          </w:tcPr>
          <w:p w14:paraId="50AE9FE3" w14:textId="77777777" w:rsidR="00C4504E" w:rsidRPr="00111027" w:rsidRDefault="00C4504E" w:rsidP="00675915">
            <w:pPr>
              <w:pStyle w:val="af0"/>
              <w:spacing w:before="0" w:after="60"/>
              <w:jc w:val="center"/>
              <w:rPr>
                <w:snapToGrid w:val="0"/>
                <w:szCs w:val="18"/>
              </w:rPr>
            </w:pPr>
            <w:r w:rsidRPr="00FF62EA">
              <w:rPr>
                <w:snapToGrid w:val="0"/>
                <w:szCs w:val="18"/>
              </w:rPr>
              <w:t>0,01</w:t>
            </w:r>
          </w:p>
        </w:tc>
      </w:tr>
      <w:tr w:rsidR="00C4504E" w:rsidRPr="00111027" w14:paraId="49B0DE41" w14:textId="77777777" w:rsidTr="003660E4">
        <w:trPr>
          <w:trHeight w:val="295"/>
        </w:trPr>
        <w:tc>
          <w:tcPr>
            <w:tcW w:w="5098" w:type="dxa"/>
            <w:noWrap/>
            <w:hideMark/>
          </w:tcPr>
          <w:p w14:paraId="57098E11" w14:textId="77777777" w:rsidR="00C4504E" w:rsidRPr="00111027" w:rsidRDefault="00C4504E" w:rsidP="00675915">
            <w:pPr>
              <w:pStyle w:val="af0"/>
              <w:spacing w:before="0" w:after="60"/>
              <w:rPr>
                <w:snapToGrid w:val="0"/>
                <w:sz w:val="20"/>
              </w:rPr>
            </w:pPr>
            <w:r w:rsidRPr="00111027">
              <w:rPr>
                <w:snapToGrid w:val="0"/>
                <w:sz w:val="20"/>
              </w:rPr>
              <w:t>Выплата пенсий по государственному пенсионному обеспечению (Межбюджетные трансферты)</w:t>
            </w:r>
          </w:p>
        </w:tc>
        <w:tc>
          <w:tcPr>
            <w:tcW w:w="851" w:type="dxa"/>
            <w:noWrap/>
            <w:vAlign w:val="center"/>
            <w:hideMark/>
          </w:tcPr>
          <w:p w14:paraId="249BF8CB" w14:textId="77777777" w:rsidR="00C4504E" w:rsidRPr="00111027" w:rsidRDefault="00C4504E" w:rsidP="00675915">
            <w:pPr>
              <w:pStyle w:val="af0"/>
              <w:spacing w:before="0" w:after="60"/>
              <w:jc w:val="center"/>
              <w:rPr>
                <w:snapToGrid w:val="0"/>
                <w:szCs w:val="18"/>
              </w:rPr>
            </w:pPr>
            <w:r w:rsidRPr="00111027">
              <w:rPr>
                <w:snapToGrid w:val="0"/>
                <w:szCs w:val="18"/>
              </w:rPr>
              <w:t>471,1</w:t>
            </w:r>
          </w:p>
        </w:tc>
        <w:tc>
          <w:tcPr>
            <w:tcW w:w="850" w:type="dxa"/>
            <w:noWrap/>
            <w:vAlign w:val="center"/>
            <w:hideMark/>
          </w:tcPr>
          <w:p w14:paraId="0EA45CB0" w14:textId="77777777" w:rsidR="00C4504E" w:rsidRPr="00111027" w:rsidRDefault="00C4504E" w:rsidP="00675915">
            <w:pPr>
              <w:pStyle w:val="af0"/>
              <w:spacing w:before="0" w:after="60"/>
              <w:jc w:val="center"/>
              <w:rPr>
                <w:snapToGrid w:val="0"/>
                <w:szCs w:val="18"/>
              </w:rPr>
            </w:pPr>
            <w:r w:rsidRPr="00111027">
              <w:rPr>
                <w:snapToGrid w:val="0"/>
                <w:szCs w:val="18"/>
              </w:rPr>
              <w:t>500,6</w:t>
            </w:r>
          </w:p>
        </w:tc>
        <w:tc>
          <w:tcPr>
            <w:tcW w:w="851" w:type="dxa"/>
            <w:noWrap/>
            <w:vAlign w:val="center"/>
            <w:hideMark/>
          </w:tcPr>
          <w:p w14:paraId="528496B7" w14:textId="77777777" w:rsidR="00C4504E" w:rsidRPr="00111027" w:rsidRDefault="00C4504E" w:rsidP="00675915">
            <w:pPr>
              <w:pStyle w:val="af0"/>
              <w:spacing w:before="0" w:after="60"/>
              <w:jc w:val="center"/>
              <w:rPr>
                <w:snapToGrid w:val="0"/>
                <w:szCs w:val="18"/>
              </w:rPr>
            </w:pPr>
            <w:r w:rsidRPr="00111027">
              <w:rPr>
                <w:snapToGrid w:val="0"/>
                <w:szCs w:val="18"/>
              </w:rPr>
              <w:t>524,9</w:t>
            </w:r>
          </w:p>
        </w:tc>
        <w:tc>
          <w:tcPr>
            <w:tcW w:w="850" w:type="dxa"/>
            <w:noWrap/>
            <w:vAlign w:val="center"/>
            <w:hideMark/>
          </w:tcPr>
          <w:p w14:paraId="4396CEF6" w14:textId="77777777" w:rsidR="00C4504E" w:rsidRPr="00111027" w:rsidRDefault="00C4504E" w:rsidP="00675915">
            <w:pPr>
              <w:pStyle w:val="af0"/>
              <w:spacing w:before="0" w:after="60"/>
              <w:jc w:val="center"/>
              <w:rPr>
                <w:snapToGrid w:val="0"/>
                <w:szCs w:val="18"/>
              </w:rPr>
            </w:pPr>
            <w:r w:rsidRPr="00111027">
              <w:rPr>
                <w:snapToGrid w:val="0"/>
                <w:szCs w:val="18"/>
              </w:rPr>
              <w:t>548,8</w:t>
            </w:r>
          </w:p>
        </w:tc>
        <w:tc>
          <w:tcPr>
            <w:tcW w:w="621" w:type="dxa"/>
            <w:noWrap/>
            <w:vAlign w:val="center"/>
            <w:hideMark/>
          </w:tcPr>
          <w:p w14:paraId="0B8E7D1A" w14:textId="77777777" w:rsidR="00C4504E" w:rsidRPr="00111027" w:rsidRDefault="00C4504E" w:rsidP="00675915">
            <w:pPr>
              <w:pStyle w:val="af0"/>
              <w:spacing w:before="0" w:after="60"/>
              <w:jc w:val="center"/>
              <w:rPr>
                <w:snapToGrid w:val="0"/>
                <w:szCs w:val="18"/>
              </w:rPr>
            </w:pPr>
            <w:r w:rsidRPr="00111027">
              <w:rPr>
                <w:snapToGrid w:val="0"/>
                <w:szCs w:val="18"/>
              </w:rPr>
              <w:t>106,2</w:t>
            </w:r>
          </w:p>
        </w:tc>
        <w:tc>
          <w:tcPr>
            <w:tcW w:w="621" w:type="dxa"/>
            <w:noWrap/>
            <w:vAlign w:val="center"/>
            <w:hideMark/>
          </w:tcPr>
          <w:p w14:paraId="7461F7BA" w14:textId="77777777" w:rsidR="00C4504E" w:rsidRPr="00111027" w:rsidRDefault="00C4504E" w:rsidP="00675915">
            <w:pPr>
              <w:pStyle w:val="af0"/>
              <w:spacing w:before="0" w:after="60"/>
              <w:jc w:val="center"/>
              <w:rPr>
                <w:snapToGrid w:val="0"/>
                <w:szCs w:val="18"/>
              </w:rPr>
            </w:pPr>
            <w:r w:rsidRPr="00111027">
              <w:rPr>
                <w:snapToGrid w:val="0"/>
                <w:szCs w:val="18"/>
              </w:rPr>
              <w:t>104,9</w:t>
            </w:r>
          </w:p>
        </w:tc>
        <w:tc>
          <w:tcPr>
            <w:tcW w:w="621" w:type="dxa"/>
            <w:noWrap/>
            <w:vAlign w:val="center"/>
            <w:hideMark/>
          </w:tcPr>
          <w:p w14:paraId="6D699DFE" w14:textId="77777777" w:rsidR="00C4504E" w:rsidRPr="00111027" w:rsidRDefault="00C4504E" w:rsidP="00675915">
            <w:pPr>
              <w:pStyle w:val="af0"/>
              <w:spacing w:before="0" w:after="60"/>
              <w:jc w:val="center"/>
              <w:rPr>
                <w:snapToGrid w:val="0"/>
                <w:szCs w:val="18"/>
              </w:rPr>
            </w:pPr>
            <w:r w:rsidRPr="00111027">
              <w:rPr>
                <w:snapToGrid w:val="0"/>
                <w:szCs w:val="18"/>
              </w:rPr>
              <w:t>104,5</w:t>
            </w:r>
          </w:p>
        </w:tc>
        <w:tc>
          <w:tcPr>
            <w:tcW w:w="621" w:type="dxa"/>
            <w:noWrap/>
            <w:vAlign w:val="center"/>
            <w:hideMark/>
          </w:tcPr>
          <w:p w14:paraId="07DF0A32" w14:textId="77777777" w:rsidR="00C4504E" w:rsidRPr="00111027" w:rsidRDefault="00C4504E" w:rsidP="00675915">
            <w:pPr>
              <w:pStyle w:val="af0"/>
              <w:spacing w:before="0" w:after="60"/>
              <w:jc w:val="center"/>
              <w:rPr>
                <w:snapToGrid w:val="0"/>
                <w:szCs w:val="18"/>
              </w:rPr>
            </w:pPr>
            <w:r w:rsidRPr="00111027">
              <w:rPr>
                <w:snapToGrid w:val="0"/>
                <w:szCs w:val="18"/>
              </w:rPr>
              <w:t>103,2</w:t>
            </w:r>
          </w:p>
        </w:tc>
        <w:tc>
          <w:tcPr>
            <w:tcW w:w="621" w:type="dxa"/>
            <w:noWrap/>
            <w:vAlign w:val="center"/>
            <w:hideMark/>
          </w:tcPr>
          <w:p w14:paraId="1296C974" w14:textId="77777777" w:rsidR="00C4504E" w:rsidRPr="00111027" w:rsidRDefault="00C4504E" w:rsidP="00675915">
            <w:pPr>
              <w:pStyle w:val="af0"/>
              <w:spacing w:before="0" w:after="60"/>
              <w:jc w:val="center"/>
              <w:rPr>
                <w:snapToGrid w:val="0"/>
                <w:szCs w:val="18"/>
              </w:rPr>
            </w:pPr>
            <w:r w:rsidRPr="00111027">
              <w:rPr>
                <w:snapToGrid w:val="0"/>
                <w:szCs w:val="18"/>
              </w:rPr>
              <w:t>101,1</w:t>
            </w:r>
          </w:p>
        </w:tc>
        <w:tc>
          <w:tcPr>
            <w:tcW w:w="621" w:type="dxa"/>
            <w:noWrap/>
            <w:vAlign w:val="center"/>
            <w:hideMark/>
          </w:tcPr>
          <w:p w14:paraId="3DBB1DD7" w14:textId="77777777" w:rsidR="00C4504E" w:rsidRPr="00111027" w:rsidRDefault="00C4504E" w:rsidP="00675915">
            <w:pPr>
              <w:pStyle w:val="af0"/>
              <w:spacing w:before="0" w:after="60"/>
              <w:jc w:val="center"/>
              <w:rPr>
                <w:snapToGrid w:val="0"/>
                <w:szCs w:val="18"/>
              </w:rPr>
            </w:pPr>
            <w:r w:rsidRPr="00111027">
              <w:rPr>
                <w:snapToGrid w:val="0"/>
                <w:szCs w:val="18"/>
              </w:rPr>
              <w:t>100,5</w:t>
            </w:r>
          </w:p>
        </w:tc>
        <w:tc>
          <w:tcPr>
            <w:tcW w:w="576" w:type="dxa"/>
            <w:noWrap/>
            <w:vAlign w:val="center"/>
            <w:hideMark/>
          </w:tcPr>
          <w:p w14:paraId="4E748B82" w14:textId="77777777" w:rsidR="00C4504E" w:rsidRPr="00111027" w:rsidRDefault="00C4504E" w:rsidP="00675915">
            <w:pPr>
              <w:pStyle w:val="af0"/>
              <w:spacing w:before="0" w:after="60"/>
              <w:jc w:val="center"/>
              <w:rPr>
                <w:snapToGrid w:val="0"/>
                <w:szCs w:val="18"/>
              </w:rPr>
            </w:pPr>
            <w:r w:rsidRPr="00FF62EA">
              <w:rPr>
                <w:snapToGrid w:val="0"/>
                <w:szCs w:val="18"/>
              </w:rPr>
              <w:t>0,43</w:t>
            </w:r>
          </w:p>
        </w:tc>
        <w:tc>
          <w:tcPr>
            <w:tcW w:w="576" w:type="dxa"/>
            <w:noWrap/>
            <w:vAlign w:val="center"/>
            <w:hideMark/>
          </w:tcPr>
          <w:p w14:paraId="6818E23A" w14:textId="77777777" w:rsidR="00C4504E" w:rsidRPr="00111027" w:rsidRDefault="00C4504E" w:rsidP="00675915">
            <w:pPr>
              <w:pStyle w:val="af0"/>
              <w:spacing w:before="0" w:after="60"/>
              <w:jc w:val="center"/>
              <w:rPr>
                <w:snapToGrid w:val="0"/>
                <w:szCs w:val="18"/>
              </w:rPr>
            </w:pPr>
            <w:r w:rsidRPr="00FF62EA">
              <w:rPr>
                <w:snapToGrid w:val="0"/>
                <w:szCs w:val="18"/>
              </w:rPr>
              <w:t>0,44</w:t>
            </w:r>
          </w:p>
        </w:tc>
        <w:tc>
          <w:tcPr>
            <w:tcW w:w="576" w:type="dxa"/>
            <w:noWrap/>
            <w:vAlign w:val="center"/>
            <w:hideMark/>
          </w:tcPr>
          <w:p w14:paraId="1DABA968" w14:textId="77777777" w:rsidR="00C4504E" w:rsidRPr="00111027" w:rsidRDefault="00C4504E" w:rsidP="00675915">
            <w:pPr>
              <w:pStyle w:val="af0"/>
              <w:spacing w:before="0" w:after="60"/>
              <w:jc w:val="center"/>
              <w:rPr>
                <w:snapToGrid w:val="0"/>
                <w:szCs w:val="18"/>
              </w:rPr>
            </w:pPr>
            <w:r w:rsidRPr="00FF62EA">
              <w:rPr>
                <w:snapToGrid w:val="0"/>
                <w:szCs w:val="18"/>
              </w:rPr>
              <w:t>0,44</w:t>
            </w:r>
          </w:p>
        </w:tc>
        <w:tc>
          <w:tcPr>
            <w:tcW w:w="576" w:type="dxa"/>
            <w:noWrap/>
            <w:vAlign w:val="center"/>
            <w:hideMark/>
          </w:tcPr>
          <w:p w14:paraId="5D8EC88E" w14:textId="77777777" w:rsidR="00C4504E" w:rsidRPr="00111027" w:rsidRDefault="00C4504E" w:rsidP="00675915">
            <w:pPr>
              <w:pStyle w:val="af0"/>
              <w:spacing w:before="0" w:after="60"/>
              <w:jc w:val="center"/>
              <w:rPr>
                <w:snapToGrid w:val="0"/>
                <w:szCs w:val="18"/>
              </w:rPr>
            </w:pPr>
            <w:r w:rsidRPr="00FF62EA">
              <w:rPr>
                <w:snapToGrid w:val="0"/>
                <w:szCs w:val="18"/>
              </w:rPr>
              <w:t>0,43</w:t>
            </w:r>
          </w:p>
        </w:tc>
      </w:tr>
      <w:tr w:rsidR="00C4504E" w:rsidRPr="00111027" w14:paraId="0E810E88" w14:textId="77777777" w:rsidTr="003660E4">
        <w:trPr>
          <w:trHeight w:val="295"/>
        </w:trPr>
        <w:tc>
          <w:tcPr>
            <w:tcW w:w="5098" w:type="dxa"/>
            <w:noWrap/>
            <w:hideMark/>
          </w:tcPr>
          <w:p w14:paraId="214B4852" w14:textId="77777777" w:rsidR="00C4504E" w:rsidRPr="00111027" w:rsidRDefault="00C4504E" w:rsidP="00675915">
            <w:pPr>
              <w:pStyle w:val="af0"/>
              <w:spacing w:before="0" w:after="60"/>
              <w:rPr>
                <w:snapToGrid w:val="0"/>
                <w:sz w:val="20"/>
              </w:rPr>
            </w:pPr>
            <w:r w:rsidRPr="00111027">
              <w:rPr>
                <w:snapToGrid w:val="0"/>
                <w:sz w:val="20"/>
              </w:rPr>
              <w:t>Выплата доплат к пенсиям (Межбюджетные трансферты)</w:t>
            </w:r>
          </w:p>
        </w:tc>
        <w:tc>
          <w:tcPr>
            <w:tcW w:w="851" w:type="dxa"/>
            <w:noWrap/>
            <w:vAlign w:val="center"/>
            <w:hideMark/>
          </w:tcPr>
          <w:p w14:paraId="60222A0F" w14:textId="77777777" w:rsidR="00C4504E" w:rsidRPr="00111027" w:rsidRDefault="00C4504E" w:rsidP="00675915">
            <w:pPr>
              <w:pStyle w:val="af0"/>
              <w:spacing w:before="0" w:after="60"/>
              <w:jc w:val="center"/>
              <w:rPr>
                <w:snapToGrid w:val="0"/>
                <w:szCs w:val="18"/>
              </w:rPr>
            </w:pPr>
            <w:r w:rsidRPr="00111027">
              <w:rPr>
                <w:snapToGrid w:val="0"/>
                <w:szCs w:val="18"/>
              </w:rPr>
              <w:t>0,0</w:t>
            </w:r>
          </w:p>
        </w:tc>
        <w:tc>
          <w:tcPr>
            <w:tcW w:w="850" w:type="dxa"/>
            <w:noWrap/>
            <w:vAlign w:val="center"/>
            <w:hideMark/>
          </w:tcPr>
          <w:p w14:paraId="19B46B1A" w14:textId="77777777" w:rsidR="00C4504E" w:rsidRPr="00111027" w:rsidRDefault="00C4504E" w:rsidP="00675915">
            <w:pPr>
              <w:pStyle w:val="af0"/>
              <w:spacing w:before="0" w:after="60"/>
              <w:jc w:val="center"/>
              <w:rPr>
                <w:snapToGrid w:val="0"/>
                <w:szCs w:val="18"/>
              </w:rPr>
            </w:pPr>
            <w:r w:rsidRPr="00111027">
              <w:rPr>
                <w:snapToGrid w:val="0"/>
                <w:szCs w:val="18"/>
              </w:rPr>
              <w:t>0,0</w:t>
            </w:r>
          </w:p>
        </w:tc>
        <w:tc>
          <w:tcPr>
            <w:tcW w:w="851" w:type="dxa"/>
            <w:noWrap/>
            <w:vAlign w:val="center"/>
            <w:hideMark/>
          </w:tcPr>
          <w:p w14:paraId="397D7C45" w14:textId="77777777" w:rsidR="00C4504E" w:rsidRPr="00111027" w:rsidRDefault="00C4504E" w:rsidP="00675915">
            <w:pPr>
              <w:pStyle w:val="af0"/>
              <w:spacing w:before="0" w:after="60"/>
              <w:jc w:val="center"/>
              <w:rPr>
                <w:snapToGrid w:val="0"/>
                <w:szCs w:val="18"/>
              </w:rPr>
            </w:pPr>
            <w:r w:rsidRPr="00111027">
              <w:rPr>
                <w:snapToGrid w:val="0"/>
                <w:szCs w:val="18"/>
              </w:rPr>
              <w:t>0,0</w:t>
            </w:r>
          </w:p>
        </w:tc>
        <w:tc>
          <w:tcPr>
            <w:tcW w:w="850" w:type="dxa"/>
            <w:noWrap/>
            <w:vAlign w:val="center"/>
            <w:hideMark/>
          </w:tcPr>
          <w:p w14:paraId="1E1522E8" w14:textId="77777777" w:rsidR="00C4504E" w:rsidRPr="00111027" w:rsidRDefault="00C4504E" w:rsidP="00675915">
            <w:pPr>
              <w:pStyle w:val="af0"/>
              <w:spacing w:before="0" w:after="60"/>
              <w:jc w:val="center"/>
              <w:rPr>
                <w:snapToGrid w:val="0"/>
                <w:szCs w:val="18"/>
              </w:rPr>
            </w:pPr>
            <w:r w:rsidRPr="00111027">
              <w:rPr>
                <w:snapToGrid w:val="0"/>
                <w:szCs w:val="18"/>
              </w:rPr>
              <w:t>0,0</w:t>
            </w:r>
          </w:p>
        </w:tc>
        <w:tc>
          <w:tcPr>
            <w:tcW w:w="621" w:type="dxa"/>
            <w:noWrap/>
            <w:vAlign w:val="center"/>
            <w:hideMark/>
          </w:tcPr>
          <w:p w14:paraId="2BE8EED5" w14:textId="77777777" w:rsidR="00C4504E" w:rsidRPr="00111027" w:rsidRDefault="00C4504E" w:rsidP="00675915">
            <w:pPr>
              <w:pStyle w:val="af0"/>
              <w:spacing w:before="0" w:after="60"/>
              <w:jc w:val="center"/>
              <w:rPr>
                <w:snapToGrid w:val="0"/>
                <w:szCs w:val="18"/>
              </w:rPr>
            </w:pPr>
            <w:r w:rsidRPr="00111027">
              <w:rPr>
                <w:snapToGrid w:val="0"/>
                <w:szCs w:val="18"/>
              </w:rPr>
              <w:t>116,0</w:t>
            </w:r>
          </w:p>
        </w:tc>
        <w:tc>
          <w:tcPr>
            <w:tcW w:w="621" w:type="dxa"/>
            <w:noWrap/>
            <w:vAlign w:val="center"/>
            <w:hideMark/>
          </w:tcPr>
          <w:p w14:paraId="221F1EF9" w14:textId="77777777" w:rsidR="00C4504E" w:rsidRPr="00111027" w:rsidRDefault="00C4504E" w:rsidP="00675915">
            <w:pPr>
              <w:pStyle w:val="af0"/>
              <w:spacing w:before="0" w:after="60"/>
              <w:jc w:val="center"/>
              <w:rPr>
                <w:snapToGrid w:val="0"/>
                <w:szCs w:val="18"/>
              </w:rPr>
            </w:pPr>
            <w:r w:rsidRPr="00111027">
              <w:rPr>
                <w:snapToGrid w:val="0"/>
                <w:szCs w:val="18"/>
              </w:rPr>
              <w:t>96,9</w:t>
            </w:r>
          </w:p>
        </w:tc>
        <w:tc>
          <w:tcPr>
            <w:tcW w:w="621" w:type="dxa"/>
            <w:noWrap/>
            <w:vAlign w:val="center"/>
            <w:hideMark/>
          </w:tcPr>
          <w:p w14:paraId="1EF3F5C6" w14:textId="77777777" w:rsidR="00C4504E" w:rsidRPr="00111027" w:rsidRDefault="00C4504E" w:rsidP="00675915">
            <w:pPr>
              <w:pStyle w:val="af0"/>
              <w:spacing w:before="0" w:after="60"/>
              <w:jc w:val="center"/>
              <w:rPr>
                <w:snapToGrid w:val="0"/>
                <w:szCs w:val="18"/>
              </w:rPr>
            </w:pPr>
            <w:r w:rsidRPr="00111027">
              <w:rPr>
                <w:snapToGrid w:val="0"/>
                <w:szCs w:val="18"/>
              </w:rPr>
              <w:t>93,4</w:t>
            </w:r>
          </w:p>
        </w:tc>
        <w:tc>
          <w:tcPr>
            <w:tcW w:w="621" w:type="dxa"/>
            <w:noWrap/>
            <w:vAlign w:val="center"/>
            <w:hideMark/>
          </w:tcPr>
          <w:p w14:paraId="10287311" w14:textId="77777777" w:rsidR="00C4504E" w:rsidRPr="00111027" w:rsidRDefault="00C4504E" w:rsidP="00675915">
            <w:pPr>
              <w:pStyle w:val="af0"/>
              <w:spacing w:before="0" w:after="60"/>
              <w:jc w:val="center"/>
              <w:rPr>
                <w:snapToGrid w:val="0"/>
                <w:szCs w:val="18"/>
              </w:rPr>
            </w:pPr>
            <w:r w:rsidRPr="00111027">
              <w:rPr>
                <w:snapToGrid w:val="0"/>
                <w:szCs w:val="18"/>
              </w:rPr>
              <w:t>112,6</w:t>
            </w:r>
          </w:p>
        </w:tc>
        <w:tc>
          <w:tcPr>
            <w:tcW w:w="621" w:type="dxa"/>
            <w:noWrap/>
            <w:vAlign w:val="center"/>
            <w:hideMark/>
          </w:tcPr>
          <w:p w14:paraId="7AD3073F" w14:textId="77777777" w:rsidR="00C4504E" w:rsidRPr="00111027" w:rsidRDefault="00C4504E" w:rsidP="00675915">
            <w:pPr>
              <w:pStyle w:val="af0"/>
              <w:spacing w:before="0" w:after="60"/>
              <w:jc w:val="center"/>
              <w:rPr>
                <w:snapToGrid w:val="0"/>
                <w:szCs w:val="18"/>
              </w:rPr>
            </w:pPr>
            <w:r w:rsidRPr="00111027">
              <w:rPr>
                <w:snapToGrid w:val="0"/>
                <w:szCs w:val="18"/>
              </w:rPr>
              <w:t>93,5</w:t>
            </w:r>
          </w:p>
        </w:tc>
        <w:tc>
          <w:tcPr>
            <w:tcW w:w="621" w:type="dxa"/>
            <w:noWrap/>
            <w:vAlign w:val="center"/>
            <w:hideMark/>
          </w:tcPr>
          <w:p w14:paraId="0CCA054F" w14:textId="77777777" w:rsidR="00C4504E" w:rsidRPr="00111027" w:rsidRDefault="00C4504E" w:rsidP="00675915">
            <w:pPr>
              <w:pStyle w:val="af0"/>
              <w:spacing w:before="0" w:after="60"/>
              <w:jc w:val="center"/>
              <w:rPr>
                <w:snapToGrid w:val="0"/>
                <w:szCs w:val="18"/>
              </w:rPr>
            </w:pPr>
            <w:r w:rsidRPr="00111027">
              <w:rPr>
                <w:snapToGrid w:val="0"/>
                <w:szCs w:val="18"/>
              </w:rPr>
              <w:t>89,9</w:t>
            </w:r>
          </w:p>
        </w:tc>
        <w:tc>
          <w:tcPr>
            <w:tcW w:w="576" w:type="dxa"/>
            <w:noWrap/>
            <w:vAlign w:val="center"/>
            <w:hideMark/>
          </w:tcPr>
          <w:p w14:paraId="3D3A6045" w14:textId="77777777" w:rsidR="00C4504E" w:rsidRPr="00111027" w:rsidRDefault="00C4504E" w:rsidP="00675915">
            <w:pPr>
              <w:pStyle w:val="af0"/>
              <w:spacing w:before="0" w:after="60"/>
              <w:jc w:val="center"/>
              <w:rPr>
                <w:snapToGrid w:val="0"/>
                <w:szCs w:val="18"/>
              </w:rPr>
            </w:pPr>
            <w:r w:rsidRPr="00FF62EA">
              <w:rPr>
                <w:snapToGrid w:val="0"/>
                <w:szCs w:val="18"/>
              </w:rPr>
              <w:t>0,00</w:t>
            </w:r>
          </w:p>
        </w:tc>
        <w:tc>
          <w:tcPr>
            <w:tcW w:w="576" w:type="dxa"/>
            <w:noWrap/>
            <w:vAlign w:val="center"/>
            <w:hideMark/>
          </w:tcPr>
          <w:p w14:paraId="038C163B" w14:textId="77777777" w:rsidR="00C4504E" w:rsidRPr="00111027" w:rsidRDefault="00C4504E" w:rsidP="00675915">
            <w:pPr>
              <w:pStyle w:val="af0"/>
              <w:spacing w:before="0" w:after="60"/>
              <w:jc w:val="center"/>
              <w:rPr>
                <w:snapToGrid w:val="0"/>
                <w:szCs w:val="18"/>
              </w:rPr>
            </w:pPr>
            <w:r w:rsidRPr="00FF62EA">
              <w:rPr>
                <w:snapToGrid w:val="0"/>
                <w:szCs w:val="18"/>
              </w:rPr>
              <w:t>0,00</w:t>
            </w:r>
          </w:p>
        </w:tc>
        <w:tc>
          <w:tcPr>
            <w:tcW w:w="576" w:type="dxa"/>
            <w:noWrap/>
            <w:vAlign w:val="center"/>
            <w:hideMark/>
          </w:tcPr>
          <w:p w14:paraId="303D7CC6" w14:textId="77777777" w:rsidR="00C4504E" w:rsidRPr="00111027" w:rsidRDefault="00C4504E" w:rsidP="00675915">
            <w:pPr>
              <w:pStyle w:val="af0"/>
              <w:spacing w:before="0" w:after="60"/>
              <w:jc w:val="center"/>
              <w:rPr>
                <w:snapToGrid w:val="0"/>
                <w:szCs w:val="18"/>
              </w:rPr>
            </w:pPr>
            <w:r w:rsidRPr="00FF62EA">
              <w:rPr>
                <w:snapToGrid w:val="0"/>
                <w:szCs w:val="18"/>
              </w:rPr>
              <w:t>0,00</w:t>
            </w:r>
          </w:p>
        </w:tc>
        <w:tc>
          <w:tcPr>
            <w:tcW w:w="576" w:type="dxa"/>
            <w:noWrap/>
            <w:vAlign w:val="center"/>
            <w:hideMark/>
          </w:tcPr>
          <w:p w14:paraId="41E87944" w14:textId="77777777" w:rsidR="00C4504E" w:rsidRPr="00111027" w:rsidRDefault="00C4504E" w:rsidP="00675915">
            <w:pPr>
              <w:pStyle w:val="af0"/>
              <w:spacing w:before="0" w:after="60"/>
              <w:jc w:val="center"/>
              <w:rPr>
                <w:snapToGrid w:val="0"/>
                <w:szCs w:val="18"/>
              </w:rPr>
            </w:pPr>
            <w:r w:rsidRPr="00FF62EA">
              <w:rPr>
                <w:snapToGrid w:val="0"/>
                <w:szCs w:val="18"/>
              </w:rPr>
              <w:t>0,00</w:t>
            </w:r>
          </w:p>
        </w:tc>
      </w:tr>
      <w:tr w:rsidR="00C4504E" w:rsidRPr="00111027" w14:paraId="45D54024" w14:textId="77777777" w:rsidTr="003660E4">
        <w:trPr>
          <w:trHeight w:val="295"/>
        </w:trPr>
        <w:tc>
          <w:tcPr>
            <w:tcW w:w="5098" w:type="dxa"/>
            <w:noWrap/>
            <w:hideMark/>
          </w:tcPr>
          <w:p w14:paraId="08172F4E" w14:textId="77777777" w:rsidR="00C4504E" w:rsidRPr="00111027" w:rsidRDefault="00C4504E" w:rsidP="00675915">
            <w:pPr>
              <w:pStyle w:val="af0"/>
              <w:spacing w:before="0" w:after="60"/>
              <w:rPr>
                <w:snapToGrid w:val="0"/>
                <w:sz w:val="20"/>
              </w:rPr>
            </w:pPr>
            <w:r w:rsidRPr="00111027">
              <w:rPr>
                <w:snapToGrid w:val="0"/>
                <w:sz w:val="20"/>
              </w:rPr>
              <w:t>Осуществление пенсионного обеспечения граждан Российской Федерации, постоянно проживающих в Республике Абхазия (Межбюджетные трансферты)</w:t>
            </w:r>
          </w:p>
        </w:tc>
        <w:tc>
          <w:tcPr>
            <w:tcW w:w="851" w:type="dxa"/>
            <w:noWrap/>
            <w:vAlign w:val="center"/>
            <w:hideMark/>
          </w:tcPr>
          <w:p w14:paraId="7C7E8A24" w14:textId="77777777" w:rsidR="00C4504E" w:rsidRPr="00111027" w:rsidRDefault="00C4504E" w:rsidP="00675915">
            <w:pPr>
              <w:pStyle w:val="af0"/>
              <w:spacing w:before="0" w:after="60"/>
              <w:jc w:val="center"/>
              <w:rPr>
                <w:snapToGrid w:val="0"/>
                <w:szCs w:val="18"/>
              </w:rPr>
            </w:pPr>
            <w:r w:rsidRPr="00111027">
              <w:rPr>
                <w:snapToGrid w:val="0"/>
                <w:szCs w:val="18"/>
              </w:rPr>
              <w:t>0,8</w:t>
            </w:r>
          </w:p>
        </w:tc>
        <w:tc>
          <w:tcPr>
            <w:tcW w:w="850" w:type="dxa"/>
            <w:noWrap/>
            <w:vAlign w:val="center"/>
            <w:hideMark/>
          </w:tcPr>
          <w:p w14:paraId="1D8679DF" w14:textId="77777777" w:rsidR="00C4504E" w:rsidRPr="00111027" w:rsidRDefault="00C4504E" w:rsidP="00675915">
            <w:pPr>
              <w:pStyle w:val="af0"/>
              <w:spacing w:before="0" w:after="60"/>
              <w:jc w:val="center"/>
              <w:rPr>
                <w:snapToGrid w:val="0"/>
                <w:szCs w:val="18"/>
              </w:rPr>
            </w:pPr>
            <w:r w:rsidRPr="00111027">
              <w:rPr>
                <w:snapToGrid w:val="0"/>
                <w:szCs w:val="18"/>
              </w:rPr>
              <w:t>0,7</w:t>
            </w:r>
          </w:p>
        </w:tc>
        <w:tc>
          <w:tcPr>
            <w:tcW w:w="851" w:type="dxa"/>
            <w:noWrap/>
            <w:vAlign w:val="center"/>
            <w:hideMark/>
          </w:tcPr>
          <w:p w14:paraId="4AFE1DFA" w14:textId="77777777" w:rsidR="00C4504E" w:rsidRPr="00111027" w:rsidRDefault="00C4504E" w:rsidP="00675915">
            <w:pPr>
              <w:pStyle w:val="af0"/>
              <w:spacing w:before="0" w:after="60"/>
              <w:jc w:val="center"/>
              <w:rPr>
                <w:snapToGrid w:val="0"/>
                <w:szCs w:val="18"/>
              </w:rPr>
            </w:pPr>
            <w:r w:rsidRPr="00111027">
              <w:rPr>
                <w:snapToGrid w:val="0"/>
                <w:szCs w:val="18"/>
              </w:rPr>
              <w:t>0,7</w:t>
            </w:r>
          </w:p>
        </w:tc>
        <w:tc>
          <w:tcPr>
            <w:tcW w:w="850" w:type="dxa"/>
            <w:noWrap/>
            <w:vAlign w:val="center"/>
            <w:hideMark/>
          </w:tcPr>
          <w:p w14:paraId="11D0E1FB" w14:textId="77777777" w:rsidR="00C4504E" w:rsidRPr="00111027" w:rsidRDefault="00C4504E" w:rsidP="00675915">
            <w:pPr>
              <w:pStyle w:val="af0"/>
              <w:spacing w:before="0" w:after="60"/>
              <w:jc w:val="center"/>
              <w:rPr>
                <w:snapToGrid w:val="0"/>
                <w:szCs w:val="18"/>
              </w:rPr>
            </w:pPr>
            <w:r w:rsidRPr="00111027">
              <w:rPr>
                <w:snapToGrid w:val="0"/>
                <w:szCs w:val="18"/>
              </w:rPr>
              <w:t>0,7</w:t>
            </w:r>
          </w:p>
        </w:tc>
        <w:tc>
          <w:tcPr>
            <w:tcW w:w="621" w:type="dxa"/>
            <w:noWrap/>
            <w:vAlign w:val="center"/>
            <w:hideMark/>
          </w:tcPr>
          <w:p w14:paraId="157A0BB7" w14:textId="77777777" w:rsidR="00C4504E" w:rsidRPr="00111027" w:rsidRDefault="00C4504E" w:rsidP="00675915">
            <w:pPr>
              <w:pStyle w:val="af0"/>
              <w:spacing w:before="0" w:after="60"/>
              <w:jc w:val="center"/>
              <w:rPr>
                <w:snapToGrid w:val="0"/>
                <w:szCs w:val="18"/>
              </w:rPr>
            </w:pPr>
            <w:r w:rsidRPr="00111027">
              <w:rPr>
                <w:snapToGrid w:val="0"/>
                <w:szCs w:val="18"/>
              </w:rPr>
              <w:t>90,8</w:t>
            </w:r>
          </w:p>
        </w:tc>
        <w:tc>
          <w:tcPr>
            <w:tcW w:w="621" w:type="dxa"/>
            <w:noWrap/>
            <w:vAlign w:val="center"/>
            <w:hideMark/>
          </w:tcPr>
          <w:p w14:paraId="0620216F" w14:textId="77777777" w:rsidR="00C4504E" w:rsidRPr="00111027" w:rsidRDefault="00C4504E" w:rsidP="00675915">
            <w:pPr>
              <w:pStyle w:val="af0"/>
              <w:spacing w:before="0" w:after="60"/>
              <w:jc w:val="center"/>
              <w:rPr>
                <w:snapToGrid w:val="0"/>
                <w:szCs w:val="18"/>
              </w:rPr>
            </w:pPr>
            <w:r w:rsidRPr="00111027">
              <w:rPr>
                <w:snapToGrid w:val="0"/>
                <w:szCs w:val="18"/>
              </w:rPr>
              <w:t>96,0</w:t>
            </w:r>
          </w:p>
        </w:tc>
        <w:tc>
          <w:tcPr>
            <w:tcW w:w="621" w:type="dxa"/>
            <w:noWrap/>
            <w:vAlign w:val="center"/>
            <w:hideMark/>
          </w:tcPr>
          <w:p w14:paraId="19AF4A69" w14:textId="77777777" w:rsidR="00C4504E" w:rsidRPr="00111027" w:rsidRDefault="00C4504E" w:rsidP="00675915">
            <w:pPr>
              <w:pStyle w:val="af0"/>
              <w:spacing w:before="0" w:after="60"/>
              <w:jc w:val="center"/>
              <w:rPr>
                <w:snapToGrid w:val="0"/>
                <w:szCs w:val="18"/>
              </w:rPr>
            </w:pPr>
            <w:r w:rsidRPr="00111027">
              <w:rPr>
                <w:snapToGrid w:val="0"/>
                <w:szCs w:val="18"/>
              </w:rPr>
              <w:t>96,3</w:t>
            </w:r>
          </w:p>
        </w:tc>
        <w:tc>
          <w:tcPr>
            <w:tcW w:w="621" w:type="dxa"/>
            <w:noWrap/>
            <w:vAlign w:val="center"/>
            <w:hideMark/>
          </w:tcPr>
          <w:p w14:paraId="74C662A0" w14:textId="77777777" w:rsidR="00C4504E" w:rsidRPr="00111027" w:rsidRDefault="00C4504E" w:rsidP="00675915">
            <w:pPr>
              <w:pStyle w:val="af0"/>
              <w:spacing w:before="0" w:after="60"/>
              <w:jc w:val="center"/>
              <w:rPr>
                <w:snapToGrid w:val="0"/>
                <w:szCs w:val="18"/>
              </w:rPr>
            </w:pPr>
            <w:r w:rsidRPr="00111027">
              <w:rPr>
                <w:snapToGrid w:val="0"/>
                <w:szCs w:val="18"/>
              </w:rPr>
              <w:t>88,2</w:t>
            </w:r>
          </w:p>
        </w:tc>
        <w:tc>
          <w:tcPr>
            <w:tcW w:w="621" w:type="dxa"/>
            <w:noWrap/>
            <w:vAlign w:val="center"/>
            <w:hideMark/>
          </w:tcPr>
          <w:p w14:paraId="79C29513" w14:textId="77777777" w:rsidR="00C4504E" w:rsidRPr="00111027" w:rsidRDefault="00C4504E" w:rsidP="00675915">
            <w:pPr>
              <w:pStyle w:val="af0"/>
              <w:spacing w:before="0" w:after="60"/>
              <w:jc w:val="center"/>
              <w:rPr>
                <w:snapToGrid w:val="0"/>
                <w:szCs w:val="18"/>
              </w:rPr>
            </w:pPr>
            <w:r w:rsidRPr="00111027">
              <w:rPr>
                <w:snapToGrid w:val="0"/>
                <w:szCs w:val="18"/>
              </w:rPr>
              <w:t>92,6</w:t>
            </w:r>
          </w:p>
        </w:tc>
        <w:tc>
          <w:tcPr>
            <w:tcW w:w="621" w:type="dxa"/>
            <w:noWrap/>
            <w:vAlign w:val="center"/>
            <w:hideMark/>
          </w:tcPr>
          <w:p w14:paraId="38DDEAF8" w14:textId="77777777" w:rsidR="00C4504E" w:rsidRPr="00111027" w:rsidRDefault="00C4504E" w:rsidP="00675915">
            <w:pPr>
              <w:pStyle w:val="af0"/>
              <w:spacing w:before="0" w:after="60"/>
              <w:jc w:val="center"/>
              <w:rPr>
                <w:snapToGrid w:val="0"/>
                <w:szCs w:val="18"/>
              </w:rPr>
            </w:pPr>
            <w:r w:rsidRPr="00111027">
              <w:rPr>
                <w:snapToGrid w:val="0"/>
                <w:szCs w:val="18"/>
              </w:rPr>
              <w:t>92,6</w:t>
            </w:r>
          </w:p>
        </w:tc>
        <w:tc>
          <w:tcPr>
            <w:tcW w:w="576" w:type="dxa"/>
            <w:noWrap/>
            <w:vAlign w:val="center"/>
            <w:hideMark/>
          </w:tcPr>
          <w:p w14:paraId="348C09AE" w14:textId="77777777" w:rsidR="00C4504E" w:rsidRPr="00111027" w:rsidRDefault="00C4504E" w:rsidP="00675915">
            <w:pPr>
              <w:pStyle w:val="af0"/>
              <w:spacing w:before="0" w:after="60"/>
              <w:jc w:val="center"/>
              <w:rPr>
                <w:snapToGrid w:val="0"/>
                <w:szCs w:val="18"/>
              </w:rPr>
            </w:pPr>
            <w:r w:rsidRPr="00FF62EA">
              <w:rPr>
                <w:snapToGrid w:val="0"/>
                <w:szCs w:val="18"/>
              </w:rPr>
              <w:t>0,00</w:t>
            </w:r>
          </w:p>
        </w:tc>
        <w:tc>
          <w:tcPr>
            <w:tcW w:w="576" w:type="dxa"/>
            <w:noWrap/>
            <w:vAlign w:val="center"/>
            <w:hideMark/>
          </w:tcPr>
          <w:p w14:paraId="7B5C2D07" w14:textId="77777777" w:rsidR="00C4504E" w:rsidRPr="00111027" w:rsidRDefault="00C4504E" w:rsidP="00675915">
            <w:pPr>
              <w:pStyle w:val="af0"/>
              <w:spacing w:before="0" w:after="60"/>
              <w:jc w:val="center"/>
              <w:rPr>
                <w:snapToGrid w:val="0"/>
                <w:szCs w:val="18"/>
              </w:rPr>
            </w:pPr>
            <w:r w:rsidRPr="00FF62EA">
              <w:rPr>
                <w:snapToGrid w:val="0"/>
                <w:szCs w:val="18"/>
              </w:rPr>
              <w:t>0,00</w:t>
            </w:r>
          </w:p>
        </w:tc>
        <w:tc>
          <w:tcPr>
            <w:tcW w:w="576" w:type="dxa"/>
            <w:noWrap/>
            <w:vAlign w:val="center"/>
            <w:hideMark/>
          </w:tcPr>
          <w:p w14:paraId="1A385710" w14:textId="77777777" w:rsidR="00C4504E" w:rsidRPr="00111027" w:rsidRDefault="00C4504E" w:rsidP="00675915">
            <w:pPr>
              <w:pStyle w:val="af0"/>
              <w:spacing w:before="0" w:after="60"/>
              <w:jc w:val="center"/>
              <w:rPr>
                <w:snapToGrid w:val="0"/>
                <w:szCs w:val="18"/>
              </w:rPr>
            </w:pPr>
            <w:r w:rsidRPr="00FF62EA">
              <w:rPr>
                <w:snapToGrid w:val="0"/>
                <w:szCs w:val="18"/>
              </w:rPr>
              <w:t>0,00</w:t>
            </w:r>
          </w:p>
        </w:tc>
        <w:tc>
          <w:tcPr>
            <w:tcW w:w="576" w:type="dxa"/>
            <w:noWrap/>
            <w:vAlign w:val="center"/>
            <w:hideMark/>
          </w:tcPr>
          <w:p w14:paraId="7E70BB7A" w14:textId="77777777" w:rsidR="00C4504E" w:rsidRPr="00111027" w:rsidRDefault="00C4504E" w:rsidP="00675915">
            <w:pPr>
              <w:pStyle w:val="af0"/>
              <w:spacing w:before="0" w:after="60"/>
              <w:jc w:val="center"/>
              <w:rPr>
                <w:snapToGrid w:val="0"/>
                <w:szCs w:val="18"/>
              </w:rPr>
            </w:pPr>
            <w:r w:rsidRPr="00FF62EA">
              <w:rPr>
                <w:snapToGrid w:val="0"/>
                <w:szCs w:val="18"/>
              </w:rPr>
              <w:t>0,00</w:t>
            </w:r>
          </w:p>
        </w:tc>
      </w:tr>
      <w:tr w:rsidR="00C4504E" w:rsidRPr="00111027" w14:paraId="7ECD108C" w14:textId="77777777" w:rsidTr="003660E4">
        <w:trPr>
          <w:trHeight w:val="295"/>
        </w:trPr>
        <w:tc>
          <w:tcPr>
            <w:tcW w:w="5098" w:type="dxa"/>
            <w:noWrap/>
            <w:hideMark/>
          </w:tcPr>
          <w:p w14:paraId="210A72A2" w14:textId="77777777" w:rsidR="00C4504E" w:rsidRPr="00111027" w:rsidRDefault="00C4504E" w:rsidP="00675915">
            <w:pPr>
              <w:pStyle w:val="af0"/>
              <w:spacing w:before="0" w:after="60"/>
              <w:rPr>
                <w:snapToGrid w:val="0"/>
                <w:sz w:val="20"/>
              </w:rPr>
            </w:pPr>
            <w:r w:rsidRPr="00111027">
              <w:rPr>
                <w:snapToGrid w:val="0"/>
                <w:sz w:val="20"/>
              </w:rPr>
              <w:t>Осуществление пенсионного обеспечения граждан Российской Федерации, постоянно проживающих в Республике Южная Осетия (Межбюджетные трансферты)</w:t>
            </w:r>
          </w:p>
        </w:tc>
        <w:tc>
          <w:tcPr>
            <w:tcW w:w="851" w:type="dxa"/>
            <w:noWrap/>
            <w:vAlign w:val="center"/>
            <w:hideMark/>
          </w:tcPr>
          <w:p w14:paraId="28DC6441" w14:textId="77777777" w:rsidR="00C4504E" w:rsidRPr="00111027" w:rsidRDefault="00C4504E" w:rsidP="00675915">
            <w:pPr>
              <w:pStyle w:val="af0"/>
              <w:spacing w:before="0" w:after="60"/>
              <w:jc w:val="center"/>
              <w:rPr>
                <w:snapToGrid w:val="0"/>
                <w:szCs w:val="18"/>
              </w:rPr>
            </w:pPr>
            <w:r w:rsidRPr="00111027">
              <w:rPr>
                <w:snapToGrid w:val="0"/>
                <w:szCs w:val="18"/>
              </w:rPr>
              <w:t>0,0</w:t>
            </w:r>
          </w:p>
        </w:tc>
        <w:tc>
          <w:tcPr>
            <w:tcW w:w="850" w:type="dxa"/>
            <w:noWrap/>
            <w:vAlign w:val="center"/>
            <w:hideMark/>
          </w:tcPr>
          <w:p w14:paraId="29FEDC52" w14:textId="77777777" w:rsidR="00C4504E" w:rsidRPr="00111027" w:rsidRDefault="00C4504E" w:rsidP="00675915">
            <w:pPr>
              <w:pStyle w:val="af0"/>
              <w:spacing w:before="0" w:after="60"/>
              <w:jc w:val="center"/>
              <w:rPr>
                <w:snapToGrid w:val="0"/>
                <w:szCs w:val="18"/>
              </w:rPr>
            </w:pPr>
            <w:r w:rsidRPr="00111027">
              <w:rPr>
                <w:snapToGrid w:val="0"/>
                <w:szCs w:val="18"/>
              </w:rPr>
              <w:t>0,0</w:t>
            </w:r>
          </w:p>
        </w:tc>
        <w:tc>
          <w:tcPr>
            <w:tcW w:w="851" w:type="dxa"/>
            <w:noWrap/>
            <w:vAlign w:val="center"/>
            <w:hideMark/>
          </w:tcPr>
          <w:p w14:paraId="3156ECF0" w14:textId="77777777" w:rsidR="00C4504E" w:rsidRPr="00111027" w:rsidRDefault="00C4504E" w:rsidP="00675915">
            <w:pPr>
              <w:pStyle w:val="af0"/>
              <w:spacing w:before="0" w:after="60"/>
              <w:jc w:val="center"/>
              <w:rPr>
                <w:snapToGrid w:val="0"/>
                <w:szCs w:val="18"/>
              </w:rPr>
            </w:pPr>
            <w:r w:rsidRPr="00111027">
              <w:rPr>
                <w:snapToGrid w:val="0"/>
                <w:szCs w:val="18"/>
              </w:rPr>
              <w:t>0,0</w:t>
            </w:r>
          </w:p>
        </w:tc>
        <w:tc>
          <w:tcPr>
            <w:tcW w:w="850" w:type="dxa"/>
            <w:noWrap/>
            <w:vAlign w:val="center"/>
            <w:hideMark/>
          </w:tcPr>
          <w:p w14:paraId="6ECC8109" w14:textId="77777777" w:rsidR="00C4504E" w:rsidRPr="00111027" w:rsidRDefault="00C4504E" w:rsidP="00675915">
            <w:pPr>
              <w:pStyle w:val="af0"/>
              <w:spacing w:before="0" w:after="60"/>
              <w:jc w:val="center"/>
              <w:rPr>
                <w:snapToGrid w:val="0"/>
                <w:szCs w:val="18"/>
              </w:rPr>
            </w:pPr>
            <w:r w:rsidRPr="00111027">
              <w:rPr>
                <w:snapToGrid w:val="0"/>
                <w:szCs w:val="18"/>
              </w:rPr>
              <w:t>0,0</w:t>
            </w:r>
          </w:p>
        </w:tc>
        <w:tc>
          <w:tcPr>
            <w:tcW w:w="621" w:type="dxa"/>
            <w:noWrap/>
            <w:vAlign w:val="center"/>
            <w:hideMark/>
          </w:tcPr>
          <w:p w14:paraId="367F2BE8" w14:textId="77777777" w:rsidR="00C4504E" w:rsidRPr="00111027" w:rsidRDefault="00C4504E" w:rsidP="00675915">
            <w:pPr>
              <w:pStyle w:val="af0"/>
              <w:spacing w:before="0" w:after="60"/>
              <w:jc w:val="center"/>
              <w:rPr>
                <w:snapToGrid w:val="0"/>
                <w:szCs w:val="18"/>
              </w:rPr>
            </w:pPr>
            <w:r w:rsidRPr="00111027">
              <w:rPr>
                <w:snapToGrid w:val="0"/>
                <w:szCs w:val="18"/>
              </w:rPr>
              <w:t>124,1</w:t>
            </w:r>
          </w:p>
        </w:tc>
        <w:tc>
          <w:tcPr>
            <w:tcW w:w="621" w:type="dxa"/>
            <w:noWrap/>
            <w:vAlign w:val="center"/>
            <w:hideMark/>
          </w:tcPr>
          <w:p w14:paraId="47C44403" w14:textId="77777777" w:rsidR="00C4504E" w:rsidRPr="00111027" w:rsidRDefault="00C4504E" w:rsidP="00675915">
            <w:pPr>
              <w:pStyle w:val="af0"/>
              <w:spacing w:before="0" w:after="60"/>
              <w:jc w:val="center"/>
              <w:rPr>
                <w:snapToGrid w:val="0"/>
                <w:szCs w:val="18"/>
              </w:rPr>
            </w:pPr>
            <w:r w:rsidRPr="00111027">
              <w:rPr>
                <w:snapToGrid w:val="0"/>
                <w:szCs w:val="18"/>
              </w:rPr>
              <w:t>98,5</w:t>
            </w:r>
          </w:p>
        </w:tc>
        <w:tc>
          <w:tcPr>
            <w:tcW w:w="621" w:type="dxa"/>
            <w:noWrap/>
            <w:vAlign w:val="center"/>
            <w:hideMark/>
          </w:tcPr>
          <w:p w14:paraId="4F721409" w14:textId="77777777" w:rsidR="00C4504E" w:rsidRPr="00111027" w:rsidRDefault="00C4504E" w:rsidP="00675915">
            <w:pPr>
              <w:pStyle w:val="af0"/>
              <w:spacing w:before="0" w:after="60"/>
              <w:jc w:val="center"/>
              <w:rPr>
                <w:snapToGrid w:val="0"/>
                <w:szCs w:val="18"/>
              </w:rPr>
            </w:pPr>
            <w:r w:rsidRPr="00111027">
              <w:rPr>
                <w:snapToGrid w:val="0"/>
                <w:szCs w:val="18"/>
              </w:rPr>
              <w:t>96,7</w:t>
            </w:r>
          </w:p>
        </w:tc>
        <w:tc>
          <w:tcPr>
            <w:tcW w:w="621" w:type="dxa"/>
            <w:noWrap/>
            <w:vAlign w:val="center"/>
            <w:hideMark/>
          </w:tcPr>
          <w:p w14:paraId="66777B27" w14:textId="77777777" w:rsidR="00C4504E" w:rsidRPr="00111027" w:rsidRDefault="00C4504E" w:rsidP="00675915">
            <w:pPr>
              <w:pStyle w:val="af0"/>
              <w:spacing w:before="0" w:after="60"/>
              <w:jc w:val="center"/>
              <w:rPr>
                <w:snapToGrid w:val="0"/>
                <w:szCs w:val="18"/>
              </w:rPr>
            </w:pPr>
            <w:r w:rsidRPr="00111027">
              <w:rPr>
                <w:snapToGrid w:val="0"/>
                <w:szCs w:val="18"/>
              </w:rPr>
              <w:t>120,5</w:t>
            </w:r>
          </w:p>
        </w:tc>
        <w:tc>
          <w:tcPr>
            <w:tcW w:w="621" w:type="dxa"/>
            <w:noWrap/>
            <w:vAlign w:val="center"/>
            <w:hideMark/>
          </w:tcPr>
          <w:p w14:paraId="10BC77DD" w14:textId="77777777" w:rsidR="00C4504E" w:rsidRPr="00111027" w:rsidRDefault="00C4504E" w:rsidP="00675915">
            <w:pPr>
              <w:pStyle w:val="af0"/>
              <w:spacing w:before="0" w:after="60"/>
              <w:jc w:val="center"/>
              <w:rPr>
                <w:snapToGrid w:val="0"/>
                <w:szCs w:val="18"/>
              </w:rPr>
            </w:pPr>
            <w:r w:rsidRPr="00111027">
              <w:rPr>
                <w:snapToGrid w:val="0"/>
                <w:szCs w:val="18"/>
              </w:rPr>
              <w:t>95,0</w:t>
            </w:r>
          </w:p>
        </w:tc>
        <w:tc>
          <w:tcPr>
            <w:tcW w:w="621" w:type="dxa"/>
            <w:noWrap/>
            <w:vAlign w:val="center"/>
            <w:hideMark/>
          </w:tcPr>
          <w:p w14:paraId="294F13F5" w14:textId="77777777" w:rsidR="00C4504E" w:rsidRPr="00111027" w:rsidRDefault="00C4504E" w:rsidP="00675915">
            <w:pPr>
              <w:pStyle w:val="af0"/>
              <w:spacing w:before="0" w:after="60"/>
              <w:jc w:val="center"/>
              <w:rPr>
                <w:snapToGrid w:val="0"/>
                <w:szCs w:val="18"/>
              </w:rPr>
            </w:pPr>
            <w:r w:rsidRPr="00111027">
              <w:rPr>
                <w:snapToGrid w:val="0"/>
                <w:szCs w:val="18"/>
              </w:rPr>
              <w:t>93,0</w:t>
            </w:r>
          </w:p>
        </w:tc>
        <w:tc>
          <w:tcPr>
            <w:tcW w:w="576" w:type="dxa"/>
            <w:noWrap/>
            <w:vAlign w:val="center"/>
            <w:hideMark/>
          </w:tcPr>
          <w:p w14:paraId="59BD5A18" w14:textId="77777777" w:rsidR="00C4504E" w:rsidRPr="00111027" w:rsidRDefault="00C4504E" w:rsidP="00675915">
            <w:pPr>
              <w:pStyle w:val="af0"/>
              <w:spacing w:before="0" w:after="60"/>
              <w:jc w:val="center"/>
              <w:rPr>
                <w:snapToGrid w:val="0"/>
                <w:szCs w:val="18"/>
              </w:rPr>
            </w:pPr>
            <w:r w:rsidRPr="00FF62EA">
              <w:rPr>
                <w:snapToGrid w:val="0"/>
                <w:szCs w:val="18"/>
              </w:rPr>
              <w:t>0,00</w:t>
            </w:r>
          </w:p>
        </w:tc>
        <w:tc>
          <w:tcPr>
            <w:tcW w:w="576" w:type="dxa"/>
            <w:noWrap/>
            <w:vAlign w:val="center"/>
            <w:hideMark/>
          </w:tcPr>
          <w:p w14:paraId="50363E7B" w14:textId="77777777" w:rsidR="00C4504E" w:rsidRPr="00111027" w:rsidRDefault="00C4504E" w:rsidP="00675915">
            <w:pPr>
              <w:pStyle w:val="af0"/>
              <w:spacing w:before="0" w:after="60"/>
              <w:jc w:val="center"/>
              <w:rPr>
                <w:snapToGrid w:val="0"/>
                <w:szCs w:val="18"/>
              </w:rPr>
            </w:pPr>
            <w:r w:rsidRPr="00FF62EA">
              <w:rPr>
                <w:snapToGrid w:val="0"/>
                <w:szCs w:val="18"/>
              </w:rPr>
              <w:t>0,00</w:t>
            </w:r>
          </w:p>
        </w:tc>
        <w:tc>
          <w:tcPr>
            <w:tcW w:w="576" w:type="dxa"/>
            <w:noWrap/>
            <w:vAlign w:val="center"/>
            <w:hideMark/>
          </w:tcPr>
          <w:p w14:paraId="4C07E6E0" w14:textId="77777777" w:rsidR="00C4504E" w:rsidRPr="00111027" w:rsidRDefault="00C4504E" w:rsidP="00675915">
            <w:pPr>
              <w:pStyle w:val="af0"/>
              <w:spacing w:before="0" w:after="60"/>
              <w:jc w:val="center"/>
              <w:rPr>
                <w:snapToGrid w:val="0"/>
                <w:szCs w:val="18"/>
              </w:rPr>
            </w:pPr>
            <w:r w:rsidRPr="00FF62EA">
              <w:rPr>
                <w:snapToGrid w:val="0"/>
                <w:szCs w:val="18"/>
              </w:rPr>
              <w:t>0,00</w:t>
            </w:r>
          </w:p>
        </w:tc>
        <w:tc>
          <w:tcPr>
            <w:tcW w:w="576" w:type="dxa"/>
            <w:noWrap/>
            <w:vAlign w:val="center"/>
            <w:hideMark/>
          </w:tcPr>
          <w:p w14:paraId="6630F252" w14:textId="77777777" w:rsidR="00C4504E" w:rsidRPr="00111027" w:rsidRDefault="00C4504E" w:rsidP="00675915">
            <w:pPr>
              <w:pStyle w:val="af0"/>
              <w:spacing w:before="0" w:after="60"/>
              <w:jc w:val="center"/>
              <w:rPr>
                <w:snapToGrid w:val="0"/>
                <w:szCs w:val="18"/>
              </w:rPr>
            </w:pPr>
            <w:r w:rsidRPr="00FF62EA">
              <w:rPr>
                <w:snapToGrid w:val="0"/>
                <w:szCs w:val="18"/>
              </w:rPr>
              <w:t>0,00</w:t>
            </w:r>
          </w:p>
        </w:tc>
      </w:tr>
      <w:tr w:rsidR="00C4504E" w:rsidRPr="00111027" w14:paraId="0E30818F" w14:textId="77777777" w:rsidTr="003660E4">
        <w:trPr>
          <w:trHeight w:val="295"/>
        </w:trPr>
        <w:tc>
          <w:tcPr>
            <w:tcW w:w="5098" w:type="dxa"/>
            <w:noWrap/>
            <w:hideMark/>
          </w:tcPr>
          <w:p w14:paraId="1C00C61E" w14:textId="77777777" w:rsidR="00C4504E" w:rsidRPr="00111027" w:rsidRDefault="00C4504E" w:rsidP="00675915">
            <w:pPr>
              <w:pStyle w:val="af0"/>
              <w:spacing w:before="0" w:after="60"/>
              <w:rPr>
                <w:snapToGrid w:val="0"/>
                <w:sz w:val="20"/>
              </w:rPr>
            </w:pPr>
            <w:r w:rsidRPr="00111027">
              <w:rPr>
                <w:snapToGrid w:val="0"/>
                <w:sz w:val="20"/>
              </w:rPr>
              <w:t>Валоризация величины расчетного пенсионного капитала (Межбюджетные трансферты)</w:t>
            </w:r>
          </w:p>
        </w:tc>
        <w:tc>
          <w:tcPr>
            <w:tcW w:w="851" w:type="dxa"/>
            <w:noWrap/>
            <w:vAlign w:val="center"/>
            <w:hideMark/>
          </w:tcPr>
          <w:p w14:paraId="64BD3F18" w14:textId="77777777" w:rsidR="00C4504E" w:rsidRPr="00111027" w:rsidRDefault="00C4504E" w:rsidP="00675915">
            <w:pPr>
              <w:pStyle w:val="af0"/>
              <w:spacing w:before="0" w:after="60"/>
              <w:jc w:val="center"/>
              <w:rPr>
                <w:snapToGrid w:val="0"/>
                <w:szCs w:val="18"/>
              </w:rPr>
            </w:pPr>
            <w:r w:rsidRPr="00111027">
              <w:rPr>
                <w:snapToGrid w:val="0"/>
                <w:szCs w:val="18"/>
              </w:rPr>
              <w:t>677,0</w:t>
            </w:r>
          </w:p>
        </w:tc>
        <w:tc>
          <w:tcPr>
            <w:tcW w:w="850" w:type="dxa"/>
            <w:noWrap/>
            <w:vAlign w:val="center"/>
            <w:hideMark/>
          </w:tcPr>
          <w:p w14:paraId="4B2A5F86" w14:textId="77777777" w:rsidR="00C4504E" w:rsidRPr="00111027" w:rsidRDefault="00C4504E" w:rsidP="00675915">
            <w:pPr>
              <w:pStyle w:val="af0"/>
              <w:spacing w:before="0" w:after="60"/>
              <w:jc w:val="center"/>
              <w:rPr>
                <w:snapToGrid w:val="0"/>
                <w:szCs w:val="18"/>
              </w:rPr>
            </w:pPr>
            <w:r w:rsidRPr="00111027">
              <w:rPr>
                <w:snapToGrid w:val="0"/>
                <w:szCs w:val="18"/>
              </w:rPr>
              <w:t>694,1</w:t>
            </w:r>
          </w:p>
        </w:tc>
        <w:tc>
          <w:tcPr>
            <w:tcW w:w="851" w:type="dxa"/>
            <w:noWrap/>
            <w:vAlign w:val="center"/>
            <w:hideMark/>
          </w:tcPr>
          <w:p w14:paraId="339F6F6C" w14:textId="77777777" w:rsidR="00C4504E" w:rsidRPr="00111027" w:rsidRDefault="00C4504E" w:rsidP="00675915">
            <w:pPr>
              <w:pStyle w:val="af0"/>
              <w:spacing w:before="0" w:after="60"/>
              <w:jc w:val="center"/>
              <w:rPr>
                <w:snapToGrid w:val="0"/>
                <w:szCs w:val="18"/>
              </w:rPr>
            </w:pPr>
            <w:r w:rsidRPr="00111027">
              <w:rPr>
                <w:snapToGrid w:val="0"/>
                <w:szCs w:val="18"/>
              </w:rPr>
              <w:t>681,2</w:t>
            </w:r>
          </w:p>
        </w:tc>
        <w:tc>
          <w:tcPr>
            <w:tcW w:w="850" w:type="dxa"/>
            <w:noWrap/>
            <w:vAlign w:val="center"/>
            <w:hideMark/>
          </w:tcPr>
          <w:p w14:paraId="0682509D" w14:textId="77777777" w:rsidR="00C4504E" w:rsidRPr="00111027" w:rsidRDefault="00C4504E" w:rsidP="00675915">
            <w:pPr>
              <w:pStyle w:val="af0"/>
              <w:spacing w:before="0" w:after="60"/>
              <w:jc w:val="center"/>
              <w:rPr>
                <w:snapToGrid w:val="0"/>
                <w:szCs w:val="18"/>
              </w:rPr>
            </w:pPr>
            <w:r w:rsidRPr="00111027">
              <w:rPr>
                <w:snapToGrid w:val="0"/>
                <w:szCs w:val="18"/>
              </w:rPr>
              <w:t>680,3</w:t>
            </w:r>
          </w:p>
        </w:tc>
        <w:tc>
          <w:tcPr>
            <w:tcW w:w="621" w:type="dxa"/>
            <w:noWrap/>
            <w:vAlign w:val="center"/>
            <w:hideMark/>
          </w:tcPr>
          <w:p w14:paraId="505B4A5C" w14:textId="77777777" w:rsidR="00C4504E" w:rsidRPr="00111027" w:rsidRDefault="00C4504E" w:rsidP="00675915">
            <w:pPr>
              <w:pStyle w:val="af0"/>
              <w:spacing w:before="0" w:after="60"/>
              <w:jc w:val="center"/>
              <w:rPr>
                <w:snapToGrid w:val="0"/>
                <w:szCs w:val="18"/>
              </w:rPr>
            </w:pPr>
            <w:r w:rsidRPr="00111027">
              <w:rPr>
                <w:snapToGrid w:val="0"/>
                <w:szCs w:val="18"/>
              </w:rPr>
              <w:t>102,5</w:t>
            </w:r>
          </w:p>
        </w:tc>
        <w:tc>
          <w:tcPr>
            <w:tcW w:w="621" w:type="dxa"/>
            <w:noWrap/>
            <w:vAlign w:val="center"/>
            <w:hideMark/>
          </w:tcPr>
          <w:p w14:paraId="59409585" w14:textId="77777777" w:rsidR="00C4504E" w:rsidRPr="00111027" w:rsidRDefault="00C4504E" w:rsidP="00675915">
            <w:pPr>
              <w:pStyle w:val="af0"/>
              <w:spacing w:before="0" w:after="60"/>
              <w:jc w:val="center"/>
              <w:rPr>
                <w:snapToGrid w:val="0"/>
                <w:szCs w:val="18"/>
              </w:rPr>
            </w:pPr>
            <w:r w:rsidRPr="00111027">
              <w:rPr>
                <w:snapToGrid w:val="0"/>
                <w:szCs w:val="18"/>
              </w:rPr>
              <w:t>98,1</w:t>
            </w:r>
          </w:p>
        </w:tc>
        <w:tc>
          <w:tcPr>
            <w:tcW w:w="621" w:type="dxa"/>
            <w:noWrap/>
            <w:vAlign w:val="center"/>
            <w:hideMark/>
          </w:tcPr>
          <w:p w14:paraId="1DB4F0F3" w14:textId="77777777" w:rsidR="00C4504E" w:rsidRPr="00111027" w:rsidRDefault="00C4504E" w:rsidP="00675915">
            <w:pPr>
              <w:pStyle w:val="af0"/>
              <w:spacing w:before="0" w:after="60"/>
              <w:jc w:val="center"/>
              <w:rPr>
                <w:snapToGrid w:val="0"/>
                <w:szCs w:val="18"/>
              </w:rPr>
            </w:pPr>
            <w:r w:rsidRPr="00111027">
              <w:rPr>
                <w:snapToGrid w:val="0"/>
                <w:szCs w:val="18"/>
              </w:rPr>
              <w:t>99,9</w:t>
            </w:r>
          </w:p>
        </w:tc>
        <w:tc>
          <w:tcPr>
            <w:tcW w:w="621" w:type="dxa"/>
            <w:noWrap/>
            <w:vAlign w:val="center"/>
            <w:hideMark/>
          </w:tcPr>
          <w:p w14:paraId="418C67C1" w14:textId="77777777" w:rsidR="00C4504E" w:rsidRPr="00111027" w:rsidRDefault="00C4504E" w:rsidP="00675915">
            <w:pPr>
              <w:pStyle w:val="af0"/>
              <w:spacing w:before="0" w:after="60"/>
              <w:jc w:val="center"/>
              <w:rPr>
                <w:snapToGrid w:val="0"/>
                <w:szCs w:val="18"/>
              </w:rPr>
            </w:pPr>
            <w:r w:rsidRPr="00111027">
              <w:rPr>
                <w:snapToGrid w:val="0"/>
                <w:szCs w:val="18"/>
              </w:rPr>
              <w:t>99,5</w:t>
            </w:r>
          </w:p>
        </w:tc>
        <w:tc>
          <w:tcPr>
            <w:tcW w:w="621" w:type="dxa"/>
            <w:noWrap/>
            <w:vAlign w:val="center"/>
            <w:hideMark/>
          </w:tcPr>
          <w:p w14:paraId="427529E9" w14:textId="77777777" w:rsidR="00C4504E" w:rsidRPr="00111027" w:rsidRDefault="00C4504E" w:rsidP="00675915">
            <w:pPr>
              <w:pStyle w:val="af0"/>
              <w:spacing w:before="0" w:after="60"/>
              <w:jc w:val="center"/>
              <w:rPr>
                <w:snapToGrid w:val="0"/>
                <w:szCs w:val="18"/>
              </w:rPr>
            </w:pPr>
            <w:r w:rsidRPr="00111027">
              <w:rPr>
                <w:snapToGrid w:val="0"/>
                <w:szCs w:val="18"/>
              </w:rPr>
              <w:t>94,6</w:t>
            </w:r>
          </w:p>
        </w:tc>
        <w:tc>
          <w:tcPr>
            <w:tcW w:w="621" w:type="dxa"/>
            <w:noWrap/>
            <w:vAlign w:val="center"/>
            <w:hideMark/>
          </w:tcPr>
          <w:p w14:paraId="23D59E79" w14:textId="77777777" w:rsidR="00C4504E" w:rsidRPr="00111027" w:rsidRDefault="00C4504E" w:rsidP="00675915">
            <w:pPr>
              <w:pStyle w:val="af0"/>
              <w:spacing w:before="0" w:after="60"/>
              <w:jc w:val="center"/>
              <w:rPr>
                <w:snapToGrid w:val="0"/>
                <w:szCs w:val="18"/>
              </w:rPr>
            </w:pPr>
            <w:r w:rsidRPr="00111027">
              <w:rPr>
                <w:snapToGrid w:val="0"/>
                <w:szCs w:val="18"/>
              </w:rPr>
              <w:t>96,0</w:t>
            </w:r>
          </w:p>
        </w:tc>
        <w:tc>
          <w:tcPr>
            <w:tcW w:w="576" w:type="dxa"/>
            <w:noWrap/>
            <w:vAlign w:val="center"/>
            <w:hideMark/>
          </w:tcPr>
          <w:p w14:paraId="552D3EBB" w14:textId="77777777" w:rsidR="00C4504E" w:rsidRPr="00111027" w:rsidRDefault="00C4504E" w:rsidP="00675915">
            <w:pPr>
              <w:pStyle w:val="af0"/>
              <w:spacing w:before="0" w:after="60"/>
              <w:jc w:val="center"/>
              <w:rPr>
                <w:snapToGrid w:val="0"/>
                <w:szCs w:val="18"/>
              </w:rPr>
            </w:pPr>
            <w:r w:rsidRPr="00FF62EA">
              <w:rPr>
                <w:snapToGrid w:val="0"/>
                <w:szCs w:val="18"/>
              </w:rPr>
              <w:t>0,62</w:t>
            </w:r>
          </w:p>
        </w:tc>
        <w:tc>
          <w:tcPr>
            <w:tcW w:w="576" w:type="dxa"/>
            <w:noWrap/>
            <w:vAlign w:val="center"/>
            <w:hideMark/>
          </w:tcPr>
          <w:p w14:paraId="43CC5D4E" w14:textId="77777777" w:rsidR="00C4504E" w:rsidRPr="00111027" w:rsidRDefault="00C4504E" w:rsidP="00675915">
            <w:pPr>
              <w:pStyle w:val="af0"/>
              <w:spacing w:before="0" w:after="60"/>
              <w:jc w:val="center"/>
              <w:rPr>
                <w:snapToGrid w:val="0"/>
                <w:szCs w:val="18"/>
              </w:rPr>
            </w:pPr>
            <w:r w:rsidRPr="00FF62EA">
              <w:rPr>
                <w:snapToGrid w:val="0"/>
                <w:szCs w:val="18"/>
              </w:rPr>
              <w:t>0,62</w:t>
            </w:r>
          </w:p>
        </w:tc>
        <w:tc>
          <w:tcPr>
            <w:tcW w:w="576" w:type="dxa"/>
            <w:noWrap/>
            <w:vAlign w:val="center"/>
            <w:hideMark/>
          </w:tcPr>
          <w:p w14:paraId="12245D38" w14:textId="77777777" w:rsidR="00C4504E" w:rsidRPr="00111027" w:rsidRDefault="00C4504E" w:rsidP="00675915">
            <w:pPr>
              <w:pStyle w:val="af0"/>
              <w:spacing w:before="0" w:after="60"/>
              <w:jc w:val="center"/>
              <w:rPr>
                <w:snapToGrid w:val="0"/>
                <w:szCs w:val="18"/>
              </w:rPr>
            </w:pPr>
            <w:r w:rsidRPr="00FF62EA">
              <w:rPr>
                <w:snapToGrid w:val="0"/>
                <w:szCs w:val="18"/>
              </w:rPr>
              <w:t>0,57</w:t>
            </w:r>
          </w:p>
        </w:tc>
        <w:tc>
          <w:tcPr>
            <w:tcW w:w="576" w:type="dxa"/>
            <w:noWrap/>
            <w:vAlign w:val="center"/>
            <w:hideMark/>
          </w:tcPr>
          <w:p w14:paraId="1818E5B1" w14:textId="77777777" w:rsidR="00C4504E" w:rsidRPr="00111027" w:rsidRDefault="00C4504E" w:rsidP="00675915">
            <w:pPr>
              <w:pStyle w:val="af0"/>
              <w:spacing w:before="0" w:after="60"/>
              <w:jc w:val="center"/>
              <w:rPr>
                <w:snapToGrid w:val="0"/>
                <w:szCs w:val="18"/>
              </w:rPr>
            </w:pPr>
            <w:r w:rsidRPr="00FF62EA">
              <w:rPr>
                <w:snapToGrid w:val="0"/>
                <w:szCs w:val="18"/>
              </w:rPr>
              <w:t>0,53</w:t>
            </w:r>
          </w:p>
        </w:tc>
      </w:tr>
      <w:tr w:rsidR="00C4504E" w:rsidRPr="00111027" w14:paraId="2B68E396" w14:textId="77777777" w:rsidTr="003660E4">
        <w:trPr>
          <w:trHeight w:val="295"/>
        </w:trPr>
        <w:tc>
          <w:tcPr>
            <w:tcW w:w="5098" w:type="dxa"/>
            <w:noWrap/>
            <w:hideMark/>
          </w:tcPr>
          <w:p w14:paraId="75E6FEA6" w14:textId="77777777" w:rsidR="00C4504E" w:rsidRPr="00111027" w:rsidRDefault="00C4504E" w:rsidP="00675915">
            <w:pPr>
              <w:pStyle w:val="af0"/>
              <w:spacing w:before="0" w:after="60"/>
              <w:rPr>
                <w:snapToGrid w:val="0"/>
                <w:sz w:val="20"/>
              </w:rPr>
            </w:pPr>
            <w:r w:rsidRPr="00111027">
              <w:rPr>
                <w:snapToGrid w:val="0"/>
                <w:sz w:val="20"/>
              </w:rPr>
              <w:t>Возмещение расходов по выплате страховых пенсий в связи с зачетом в страховой стаж нестраховых периодов (Межбюджетные трансферты)</w:t>
            </w:r>
          </w:p>
        </w:tc>
        <w:tc>
          <w:tcPr>
            <w:tcW w:w="851" w:type="dxa"/>
            <w:noWrap/>
            <w:vAlign w:val="center"/>
            <w:hideMark/>
          </w:tcPr>
          <w:p w14:paraId="39C40CE2" w14:textId="77777777" w:rsidR="00C4504E" w:rsidRPr="00111027" w:rsidRDefault="00C4504E" w:rsidP="00675915">
            <w:pPr>
              <w:pStyle w:val="af0"/>
              <w:spacing w:before="0" w:after="60"/>
              <w:jc w:val="center"/>
              <w:rPr>
                <w:snapToGrid w:val="0"/>
                <w:szCs w:val="18"/>
              </w:rPr>
            </w:pPr>
            <w:r w:rsidRPr="00111027">
              <w:rPr>
                <w:snapToGrid w:val="0"/>
                <w:szCs w:val="18"/>
              </w:rPr>
              <w:t>90,7</w:t>
            </w:r>
          </w:p>
        </w:tc>
        <w:tc>
          <w:tcPr>
            <w:tcW w:w="850" w:type="dxa"/>
            <w:noWrap/>
            <w:vAlign w:val="center"/>
            <w:hideMark/>
          </w:tcPr>
          <w:p w14:paraId="312F0734" w14:textId="77777777" w:rsidR="00C4504E" w:rsidRPr="00111027" w:rsidRDefault="00C4504E" w:rsidP="00675915">
            <w:pPr>
              <w:pStyle w:val="af0"/>
              <w:spacing w:before="0" w:after="60"/>
              <w:jc w:val="center"/>
              <w:rPr>
                <w:snapToGrid w:val="0"/>
                <w:szCs w:val="18"/>
              </w:rPr>
            </w:pPr>
            <w:r w:rsidRPr="00111027">
              <w:rPr>
                <w:snapToGrid w:val="0"/>
                <w:szCs w:val="18"/>
              </w:rPr>
              <w:t>100,9</w:t>
            </w:r>
          </w:p>
        </w:tc>
        <w:tc>
          <w:tcPr>
            <w:tcW w:w="851" w:type="dxa"/>
            <w:noWrap/>
            <w:vAlign w:val="center"/>
            <w:hideMark/>
          </w:tcPr>
          <w:p w14:paraId="74342C35" w14:textId="77777777" w:rsidR="00C4504E" w:rsidRPr="00111027" w:rsidRDefault="00C4504E" w:rsidP="00675915">
            <w:pPr>
              <w:pStyle w:val="af0"/>
              <w:spacing w:before="0" w:after="60"/>
              <w:jc w:val="center"/>
              <w:rPr>
                <w:snapToGrid w:val="0"/>
                <w:szCs w:val="18"/>
              </w:rPr>
            </w:pPr>
            <w:r w:rsidRPr="00111027">
              <w:rPr>
                <w:snapToGrid w:val="0"/>
                <w:szCs w:val="18"/>
              </w:rPr>
              <w:t>115,0</w:t>
            </w:r>
          </w:p>
        </w:tc>
        <w:tc>
          <w:tcPr>
            <w:tcW w:w="850" w:type="dxa"/>
            <w:noWrap/>
            <w:vAlign w:val="center"/>
            <w:hideMark/>
          </w:tcPr>
          <w:p w14:paraId="1090D0B0" w14:textId="77777777" w:rsidR="00C4504E" w:rsidRPr="00111027" w:rsidRDefault="00C4504E" w:rsidP="00675915">
            <w:pPr>
              <w:pStyle w:val="af0"/>
              <w:spacing w:before="0" w:after="60"/>
              <w:jc w:val="center"/>
              <w:rPr>
                <w:snapToGrid w:val="0"/>
                <w:szCs w:val="18"/>
              </w:rPr>
            </w:pPr>
            <w:r w:rsidRPr="00111027">
              <w:rPr>
                <w:snapToGrid w:val="0"/>
                <w:szCs w:val="18"/>
              </w:rPr>
              <w:t>130,7</w:t>
            </w:r>
          </w:p>
        </w:tc>
        <w:tc>
          <w:tcPr>
            <w:tcW w:w="621" w:type="dxa"/>
            <w:noWrap/>
            <w:vAlign w:val="center"/>
            <w:hideMark/>
          </w:tcPr>
          <w:p w14:paraId="1EA2A4EA" w14:textId="77777777" w:rsidR="00C4504E" w:rsidRPr="00111027" w:rsidRDefault="00C4504E" w:rsidP="00675915">
            <w:pPr>
              <w:pStyle w:val="af0"/>
              <w:spacing w:before="0" w:after="60"/>
              <w:jc w:val="center"/>
              <w:rPr>
                <w:snapToGrid w:val="0"/>
                <w:szCs w:val="18"/>
              </w:rPr>
            </w:pPr>
            <w:r w:rsidRPr="00111027">
              <w:rPr>
                <w:snapToGrid w:val="0"/>
                <w:szCs w:val="18"/>
              </w:rPr>
              <w:t>111,2</w:t>
            </w:r>
          </w:p>
        </w:tc>
        <w:tc>
          <w:tcPr>
            <w:tcW w:w="621" w:type="dxa"/>
            <w:noWrap/>
            <w:vAlign w:val="center"/>
            <w:hideMark/>
          </w:tcPr>
          <w:p w14:paraId="609D6897" w14:textId="77777777" w:rsidR="00C4504E" w:rsidRPr="00111027" w:rsidRDefault="00C4504E" w:rsidP="00675915">
            <w:pPr>
              <w:pStyle w:val="af0"/>
              <w:spacing w:before="0" w:after="60"/>
              <w:jc w:val="center"/>
              <w:rPr>
                <w:snapToGrid w:val="0"/>
                <w:szCs w:val="18"/>
              </w:rPr>
            </w:pPr>
            <w:r w:rsidRPr="00111027">
              <w:rPr>
                <w:snapToGrid w:val="0"/>
                <w:szCs w:val="18"/>
              </w:rPr>
              <w:t>114,0</w:t>
            </w:r>
          </w:p>
        </w:tc>
        <w:tc>
          <w:tcPr>
            <w:tcW w:w="621" w:type="dxa"/>
            <w:noWrap/>
            <w:vAlign w:val="center"/>
            <w:hideMark/>
          </w:tcPr>
          <w:p w14:paraId="11C262EB" w14:textId="77777777" w:rsidR="00C4504E" w:rsidRPr="00111027" w:rsidRDefault="00C4504E" w:rsidP="00675915">
            <w:pPr>
              <w:pStyle w:val="af0"/>
              <w:spacing w:before="0" w:after="60"/>
              <w:jc w:val="center"/>
              <w:rPr>
                <w:snapToGrid w:val="0"/>
                <w:szCs w:val="18"/>
              </w:rPr>
            </w:pPr>
            <w:r w:rsidRPr="00111027">
              <w:rPr>
                <w:snapToGrid w:val="0"/>
                <w:szCs w:val="18"/>
              </w:rPr>
              <w:t>113,7</w:t>
            </w:r>
          </w:p>
        </w:tc>
        <w:tc>
          <w:tcPr>
            <w:tcW w:w="621" w:type="dxa"/>
            <w:noWrap/>
            <w:vAlign w:val="center"/>
            <w:hideMark/>
          </w:tcPr>
          <w:p w14:paraId="695980B9" w14:textId="77777777" w:rsidR="00C4504E" w:rsidRPr="00111027" w:rsidRDefault="00C4504E" w:rsidP="00675915">
            <w:pPr>
              <w:pStyle w:val="af0"/>
              <w:spacing w:before="0" w:after="60"/>
              <w:jc w:val="center"/>
              <w:rPr>
                <w:snapToGrid w:val="0"/>
                <w:szCs w:val="18"/>
              </w:rPr>
            </w:pPr>
            <w:r w:rsidRPr="00111027">
              <w:rPr>
                <w:snapToGrid w:val="0"/>
                <w:szCs w:val="18"/>
              </w:rPr>
              <w:t>108,0</w:t>
            </w:r>
          </w:p>
        </w:tc>
        <w:tc>
          <w:tcPr>
            <w:tcW w:w="621" w:type="dxa"/>
            <w:noWrap/>
            <w:vAlign w:val="center"/>
            <w:hideMark/>
          </w:tcPr>
          <w:p w14:paraId="29AC319E" w14:textId="77777777" w:rsidR="00C4504E" w:rsidRPr="00111027" w:rsidRDefault="00C4504E" w:rsidP="00675915">
            <w:pPr>
              <w:pStyle w:val="af0"/>
              <w:spacing w:before="0" w:after="60"/>
              <w:jc w:val="center"/>
              <w:rPr>
                <w:snapToGrid w:val="0"/>
                <w:szCs w:val="18"/>
              </w:rPr>
            </w:pPr>
            <w:r w:rsidRPr="00111027">
              <w:rPr>
                <w:snapToGrid w:val="0"/>
                <w:szCs w:val="18"/>
              </w:rPr>
              <w:t>109,9</w:t>
            </w:r>
          </w:p>
        </w:tc>
        <w:tc>
          <w:tcPr>
            <w:tcW w:w="621" w:type="dxa"/>
            <w:noWrap/>
            <w:vAlign w:val="center"/>
            <w:hideMark/>
          </w:tcPr>
          <w:p w14:paraId="4DF85044" w14:textId="77777777" w:rsidR="00C4504E" w:rsidRPr="00111027" w:rsidRDefault="00C4504E" w:rsidP="00675915">
            <w:pPr>
              <w:pStyle w:val="af0"/>
              <w:spacing w:before="0" w:after="60"/>
              <w:jc w:val="center"/>
              <w:rPr>
                <w:snapToGrid w:val="0"/>
                <w:szCs w:val="18"/>
              </w:rPr>
            </w:pPr>
            <w:r w:rsidRPr="00111027">
              <w:rPr>
                <w:snapToGrid w:val="0"/>
                <w:szCs w:val="18"/>
              </w:rPr>
              <w:t>109,3</w:t>
            </w:r>
          </w:p>
        </w:tc>
        <w:tc>
          <w:tcPr>
            <w:tcW w:w="576" w:type="dxa"/>
            <w:noWrap/>
            <w:vAlign w:val="center"/>
            <w:hideMark/>
          </w:tcPr>
          <w:p w14:paraId="4A2C20B0" w14:textId="77777777" w:rsidR="00C4504E" w:rsidRPr="00111027" w:rsidRDefault="00C4504E" w:rsidP="00675915">
            <w:pPr>
              <w:pStyle w:val="af0"/>
              <w:spacing w:before="0" w:after="60"/>
              <w:jc w:val="center"/>
              <w:rPr>
                <w:snapToGrid w:val="0"/>
                <w:szCs w:val="18"/>
              </w:rPr>
            </w:pPr>
            <w:r w:rsidRPr="00FF62EA">
              <w:rPr>
                <w:snapToGrid w:val="0"/>
                <w:szCs w:val="18"/>
              </w:rPr>
              <w:t>0,08</w:t>
            </w:r>
          </w:p>
        </w:tc>
        <w:tc>
          <w:tcPr>
            <w:tcW w:w="576" w:type="dxa"/>
            <w:noWrap/>
            <w:vAlign w:val="center"/>
            <w:hideMark/>
          </w:tcPr>
          <w:p w14:paraId="19EECD91" w14:textId="77777777" w:rsidR="00C4504E" w:rsidRPr="00111027" w:rsidRDefault="00C4504E" w:rsidP="00675915">
            <w:pPr>
              <w:pStyle w:val="af0"/>
              <w:spacing w:before="0" w:after="60"/>
              <w:jc w:val="center"/>
              <w:rPr>
                <w:snapToGrid w:val="0"/>
                <w:szCs w:val="18"/>
              </w:rPr>
            </w:pPr>
            <w:r w:rsidRPr="00FF62EA">
              <w:rPr>
                <w:snapToGrid w:val="0"/>
                <w:szCs w:val="18"/>
              </w:rPr>
              <w:t>0,09</w:t>
            </w:r>
          </w:p>
        </w:tc>
        <w:tc>
          <w:tcPr>
            <w:tcW w:w="576" w:type="dxa"/>
            <w:noWrap/>
            <w:vAlign w:val="center"/>
            <w:hideMark/>
          </w:tcPr>
          <w:p w14:paraId="7950EE0B" w14:textId="77777777" w:rsidR="00C4504E" w:rsidRPr="00111027" w:rsidRDefault="00C4504E" w:rsidP="00675915">
            <w:pPr>
              <w:pStyle w:val="af0"/>
              <w:spacing w:before="0" w:after="60"/>
              <w:jc w:val="center"/>
              <w:rPr>
                <w:snapToGrid w:val="0"/>
                <w:szCs w:val="18"/>
              </w:rPr>
            </w:pPr>
            <w:r w:rsidRPr="00FF62EA">
              <w:rPr>
                <w:snapToGrid w:val="0"/>
                <w:szCs w:val="18"/>
              </w:rPr>
              <w:t>0,10</w:t>
            </w:r>
          </w:p>
        </w:tc>
        <w:tc>
          <w:tcPr>
            <w:tcW w:w="576" w:type="dxa"/>
            <w:noWrap/>
            <w:vAlign w:val="center"/>
            <w:hideMark/>
          </w:tcPr>
          <w:p w14:paraId="30C908F1" w14:textId="77777777" w:rsidR="00C4504E" w:rsidRPr="00111027" w:rsidRDefault="00C4504E" w:rsidP="00675915">
            <w:pPr>
              <w:pStyle w:val="af0"/>
              <w:spacing w:before="0" w:after="60"/>
              <w:jc w:val="center"/>
              <w:rPr>
                <w:snapToGrid w:val="0"/>
                <w:szCs w:val="18"/>
              </w:rPr>
            </w:pPr>
            <w:r w:rsidRPr="00FF62EA">
              <w:rPr>
                <w:snapToGrid w:val="0"/>
                <w:szCs w:val="18"/>
              </w:rPr>
              <w:t>0,10</w:t>
            </w:r>
          </w:p>
        </w:tc>
      </w:tr>
      <w:tr w:rsidR="00C4504E" w:rsidRPr="00111027" w14:paraId="75A1FD76" w14:textId="77777777" w:rsidTr="003660E4">
        <w:trPr>
          <w:trHeight w:val="295"/>
        </w:trPr>
        <w:tc>
          <w:tcPr>
            <w:tcW w:w="5098" w:type="dxa"/>
            <w:noWrap/>
            <w:hideMark/>
          </w:tcPr>
          <w:p w14:paraId="71EFC9C1" w14:textId="77777777" w:rsidR="00C4504E" w:rsidRPr="00111027" w:rsidRDefault="00C4504E" w:rsidP="00675915">
            <w:pPr>
              <w:pStyle w:val="af0"/>
              <w:spacing w:before="0" w:after="60"/>
              <w:rPr>
                <w:snapToGrid w:val="0"/>
                <w:sz w:val="20"/>
              </w:rPr>
            </w:pPr>
            <w:r w:rsidRPr="00111027">
              <w:rPr>
                <w:snapToGrid w:val="0"/>
                <w:sz w:val="20"/>
              </w:rPr>
              <w:t>Софинансирование формирования пенсионных накоплений застрахованных лиц за счет средств Фонда национального благосостояния (Межбюджетные трансферты)</w:t>
            </w:r>
          </w:p>
        </w:tc>
        <w:tc>
          <w:tcPr>
            <w:tcW w:w="851" w:type="dxa"/>
            <w:noWrap/>
            <w:vAlign w:val="center"/>
            <w:hideMark/>
          </w:tcPr>
          <w:p w14:paraId="171BF045" w14:textId="77777777" w:rsidR="00C4504E" w:rsidRPr="00111027" w:rsidRDefault="00C4504E" w:rsidP="00675915">
            <w:pPr>
              <w:pStyle w:val="af0"/>
              <w:spacing w:before="0" w:after="60"/>
              <w:jc w:val="center"/>
              <w:rPr>
                <w:snapToGrid w:val="0"/>
                <w:szCs w:val="18"/>
              </w:rPr>
            </w:pPr>
            <w:r w:rsidRPr="00111027">
              <w:rPr>
                <w:snapToGrid w:val="0"/>
                <w:szCs w:val="18"/>
              </w:rPr>
              <w:t>4,4</w:t>
            </w:r>
          </w:p>
        </w:tc>
        <w:tc>
          <w:tcPr>
            <w:tcW w:w="850" w:type="dxa"/>
            <w:noWrap/>
            <w:vAlign w:val="center"/>
            <w:hideMark/>
          </w:tcPr>
          <w:p w14:paraId="25DD43FC" w14:textId="77777777" w:rsidR="00C4504E" w:rsidRPr="00111027" w:rsidRDefault="00C4504E" w:rsidP="00675915">
            <w:pPr>
              <w:pStyle w:val="af0"/>
              <w:spacing w:before="0" w:after="60"/>
              <w:jc w:val="center"/>
              <w:rPr>
                <w:snapToGrid w:val="0"/>
                <w:szCs w:val="18"/>
              </w:rPr>
            </w:pPr>
            <w:r w:rsidRPr="00111027">
              <w:rPr>
                <w:snapToGrid w:val="0"/>
                <w:szCs w:val="18"/>
              </w:rPr>
              <w:t>4,5</w:t>
            </w:r>
          </w:p>
        </w:tc>
        <w:tc>
          <w:tcPr>
            <w:tcW w:w="851" w:type="dxa"/>
            <w:noWrap/>
            <w:vAlign w:val="center"/>
            <w:hideMark/>
          </w:tcPr>
          <w:p w14:paraId="3485E7E0" w14:textId="77777777" w:rsidR="00C4504E" w:rsidRPr="00111027" w:rsidRDefault="00C4504E" w:rsidP="00675915">
            <w:pPr>
              <w:pStyle w:val="af0"/>
              <w:spacing w:before="0" w:after="60"/>
              <w:jc w:val="center"/>
              <w:rPr>
                <w:snapToGrid w:val="0"/>
                <w:szCs w:val="18"/>
              </w:rPr>
            </w:pPr>
            <w:r w:rsidRPr="00111027">
              <w:rPr>
                <w:snapToGrid w:val="0"/>
                <w:szCs w:val="18"/>
              </w:rPr>
              <w:t>4,3</w:t>
            </w:r>
          </w:p>
        </w:tc>
        <w:tc>
          <w:tcPr>
            <w:tcW w:w="850" w:type="dxa"/>
            <w:noWrap/>
            <w:vAlign w:val="center"/>
            <w:hideMark/>
          </w:tcPr>
          <w:p w14:paraId="101D413D" w14:textId="77777777" w:rsidR="00C4504E" w:rsidRPr="00111027" w:rsidRDefault="00C4504E" w:rsidP="00675915">
            <w:pPr>
              <w:pStyle w:val="af0"/>
              <w:spacing w:before="0" w:after="60"/>
              <w:jc w:val="center"/>
              <w:rPr>
                <w:snapToGrid w:val="0"/>
                <w:szCs w:val="18"/>
              </w:rPr>
            </w:pPr>
            <w:r w:rsidRPr="00111027">
              <w:rPr>
                <w:snapToGrid w:val="0"/>
                <w:szCs w:val="18"/>
              </w:rPr>
              <w:t>4,1</w:t>
            </w:r>
          </w:p>
        </w:tc>
        <w:tc>
          <w:tcPr>
            <w:tcW w:w="621" w:type="dxa"/>
            <w:noWrap/>
            <w:vAlign w:val="center"/>
            <w:hideMark/>
          </w:tcPr>
          <w:p w14:paraId="4D5C71DD" w14:textId="77777777" w:rsidR="00C4504E" w:rsidRPr="00111027" w:rsidRDefault="00C4504E" w:rsidP="00675915">
            <w:pPr>
              <w:pStyle w:val="af0"/>
              <w:spacing w:before="0" w:after="60"/>
              <w:jc w:val="center"/>
              <w:rPr>
                <w:snapToGrid w:val="0"/>
                <w:szCs w:val="18"/>
              </w:rPr>
            </w:pPr>
            <w:r w:rsidRPr="00111027">
              <w:rPr>
                <w:snapToGrid w:val="0"/>
                <w:szCs w:val="18"/>
              </w:rPr>
              <w:t>102,6</w:t>
            </w:r>
          </w:p>
        </w:tc>
        <w:tc>
          <w:tcPr>
            <w:tcW w:w="621" w:type="dxa"/>
            <w:noWrap/>
            <w:vAlign w:val="center"/>
            <w:hideMark/>
          </w:tcPr>
          <w:p w14:paraId="6E8907AB" w14:textId="77777777" w:rsidR="00C4504E" w:rsidRPr="00111027" w:rsidRDefault="00C4504E" w:rsidP="00675915">
            <w:pPr>
              <w:pStyle w:val="af0"/>
              <w:spacing w:before="0" w:after="60"/>
              <w:jc w:val="center"/>
              <w:rPr>
                <w:snapToGrid w:val="0"/>
                <w:szCs w:val="18"/>
              </w:rPr>
            </w:pPr>
            <w:r w:rsidRPr="00111027">
              <w:rPr>
                <w:snapToGrid w:val="0"/>
                <w:szCs w:val="18"/>
              </w:rPr>
              <w:t>95,5</w:t>
            </w:r>
          </w:p>
        </w:tc>
        <w:tc>
          <w:tcPr>
            <w:tcW w:w="621" w:type="dxa"/>
            <w:noWrap/>
            <w:vAlign w:val="center"/>
            <w:hideMark/>
          </w:tcPr>
          <w:p w14:paraId="19F829E7" w14:textId="77777777" w:rsidR="00C4504E" w:rsidRPr="00111027" w:rsidRDefault="00C4504E" w:rsidP="00675915">
            <w:pPr>
              <w:pStyle w:val="af0"/>
              <w:spacing w:before="0" w:after="60"/>
              <w:jc w:val="center"/>
              <w:rPr>
                <w:snapToGrid w:val="0"/>
                <w:szCs w:val="18"/>
              </w:rPr>
            </w:pPr>
            <w:r w:rsidRPr="00111027">
              <w:rPr>
                <w:snapToGrid w:val="0"/>
                <w:szCs w:val="18"/>
              </w:rPr>
              <w:t>96,1</w:t>
            </w:r>
          </w:p>
        </w:tc>
        <w:tc>
          <w:tcPr>
            <w:tcW w:w="621" w:type="dxa"/>
            <w:noWrap/>
            <w:vAlign w:val="center"/>
            <w:hideMark/>
          </w:tcPr>
          <w:p w14:paraId="606C4348" w14:textId="77777777" w:rsidR="00C4504E" w:rsidRPr="00111027" w:rsidRDefault="00C4504E" w:rsidP="00675915">
            <w:pPr>
              <w:pStyle w:val="af0"/>
              <w:spacing w:before="0" w:after="60"/>
              <w:jc w:val="center"/>
              <w:rPr>
                <w:snapToGrid w:val="0"/>
                <w:szCs w:val="18"/>
              </w:rPr>
            </w:pPr>
            <w:r w:rsidRPr="00111027">
              <w:rPr>
                <w:snapToGrid w:val="0"/>
                <w:szCs w:val="18"/>
              </w:rPr>
              <w:t>99,6</w:t>
            </w:r>
          </w:p>
        </w:tc>
        <w:tc>
          <w:tcPr>
            <w:tcW w:w="621" w:type="dxa"/>
            <w:noWrap/>
            <w:vAlign w:val="center"/>
            <w:hideMark/>
          </w:tcPr>
          <w:p w14:paraId="345DFC1F" w14:textId="77777777" w:rsidR="00C4504E" w:rsidRPr="00111027" w:rsidRDefault="00C4504E" w:rsidP="00675915">
            <w:pPr>
              <w:pStyle w:val="af0"/>
              <w:spacing w:before="0" w:after="60"/>
              <w:jc w:val="center"/>
              <w:rPr>
                <w:snapToGrid w:val="0"/>
                <w:szCs w:val="18"/>
              </w:rPr>
            </w:pPr>
            <w:r w:rsidRPr="00111027">
              <w:rPr>
                <w:snapToGrid w:val="0"/>
                <w:szCs w:val="18"/>
              </w:rPr>
              <w:t>92,1</w:t>
            </w:r>
          </w:p>
        </w:tc>
        <w:tc>
          <w:tcPr>
            <w:tcW w:w="621" w:type="dxa"/>
            <w:noWrap/>
            <w:vAlign w:val="center"/>
            <w:hideMark/>
          </w:tcPr>
          <w:p w14:paraId="149DF85F" w14:textId="77777777" w:rsidR="00C4504E" w:rsidRPr="00111027" w:rsidRDefault="00C4504E" w:rsidP="00675915">
            <w:pPr>
              <w:pStyle w:val="af0"/>
              <w:spacing w:before="0" w:after="60"/>
              <w:jc w:val="center"/>
              <w:rPr>
                <w:snapToGrid w:val="0"/>
                <w:szCs w:val="18"/>
              </w:rPr>
            </w:pPr>
            <w:r w:rsidRPr="00111027">
              <w:rPr>
                <w:snapToGrid w:val="0"/>
                <w:szCs w:val="18"/>
              </w:rPr>
              <w:t>92,4</w:t>
            </w:r>
          </w:p>
        </w:tc>
        <w:tc>
          <w:tcPr>
            <w:tcW w:w="576" w:type="dxa"/>
            <w:noWrap/>
            <w:vAlign w:val="center"/>
            <w:hideMark/>
          </w:tcPr>
          <w:p w14:paraId="0B4E1674" w14:textId="77777777" w:rsidR="00C4504E" w:rsidRPr="00111027" w:rsidRDefault="00C4504E" w:rsidP="00675915">
            <w:pPr>
              <w:pStyle w:val="af0"/>
              <w:spacing w:before="0" w:after="60"/>
              <w:jc w:val="center"/>
              <w:rPr>
                <w:snapToGrid w:val="0"/>
                <w:szCs w:val="18"/>
              </w:rPr>
            </w:pPr>
            <w:r w:rsidRPr="00FF62EA">
              <w:rPr>
                <w:snapToGrid w:val="0"/>
                <w:szCs w:val="18"/>
              </w:rPr>
              <w:t>0,00</w:t>
            </w:r>
          </w:p>
        </w:tc>
        <w:tc>
          <w:tcPr>
            <w:tcW w:w="576" w:type="dxa"/>
            <w:noWrap/>
            <w:vAlign w:val="center"/>
            <w:hideMark/>
          </w:tcPr>
          <w:p w14:paraId="4DC00D9F" w14:textId="77777777" w:rsidR="00C4504E" w:rsidRPr="00111027" w:rsidRDefault="00C4504E" w:rsidP="00675915">
            <w:pPr>
              <w:pStyle w:val="af0"/>
              <w:spacing w:before="0" w:after="60"/>
              <w:jc w:val="center"/>
              <w:rPr>
                <w:snapToGrid w:val="0"/>
                <w:szCs w:val="18"/>
              </w:rPr>
            </w:pPr>
            <w:r w:rsidRPr="00FF62EA">
              <w:rPr>
                <w:snapToGrid w:val="0"/>
                <w:szCs w:val="18"/>
              </w:rPr>
              <w:t>0,00</w:t>
            </w:r>
          </w:p>
        </w:tc>
        <w:tc>
          <w:tcPr>
            <w:tcW w:w="576" w:type="dxa"/>
            <w:noWrap/>
            <w:vAlign w:val="center"/>
            <w:hideMark/>
          </w:tcPr>
          <w:p w14:paraId="5BD7706A" w14:textId="77777777" w:rsidR="00C4504E" w:rsidRPr="00111027" w:rsidRDefault="00C4504E" w:rsidP="00675915">
            <w:pPr>
              <w:pStyle w:val="af0"/>
              <w:spacing w:before="0" w:after="60"/>
              <w:jc w:val="center"/>
              <w:rPr>
                <w:snapToGrid w:val="0"/>
                <w:szCs w:val="18"/>
              </w:rPr>
            </w:pPr>
            <w:r w:rsidRPr="00FF62EA">
              <w:rPr>
                <w:snapToGrid w:val="0"/>
                <w:szCs w:val="18"/>
              </w:rPr>
              <w:t>0,00</w:t>
            </w:r>
          </w:p>
        </w:tc>
        <w:tc>
          <w:tcPr>
            <w:tcW w:w="576" w:type="dxa"/>
            <w:noWrap/>
            <w:vAlign w:val="center"/>
            <w:hideMark/>
          </w:tcPr>
          <w:p w14:paraId="730082AC" w14:textId="77777777" w:rsidR="00C4504E" w:rsidRPr="00111027" w:rsidRDefault="00C4504E" w:rsidP="00675915">
            <w:pPr>
              <w:pStyle w:val="af0"/>
              <w:spacing w:before="0" w:after="60"/>
              <w:jc w:val="center"/>
              <w:rPr>
                <w:snapToGrid w:val="0"/>
                <w:szCs w:val="18"/>
              </w:rPr>
            </w:pPr>
            <w:r w:rsidRPr="00FF62EA">
              <w:rPr>
                <w:snapToGrid w:val="0"/>
                <w:szCs w:val="18"/>
              </w:rPr>
              <w:t>0,00</w:t>
            </w:r>
          </w:p>
        </w:tc>
      </w:tr>
      <w:tr w:rsidR="00C4504E" w:rsidRPr="00111027" w14:paraId="66DF6487" w14:textId="77777777" w:rsidTr="003660E4">
        <w:trPr>
          <w:trHeight w:val="295"/>
        </w:trPr>
        <w:tc>
          <w:tcPr>
            <w:tcW w:w="5098" w:type="dxa"/>
            <w:noWrap/>
            <w:hideMark/>
          </w:tcPr>
          <w:p w14:paraId="6285972B" w14:textId="77777777" w:rsidR="00C4504E" w:rsidRPr="00111027" w:rsidRDefault="00C4504E" w:rsidP="00675915">
            <w:pPr>
              <w:pStyle w:val="af0"/>
              <w:spacing w:before="0" w:after="60"/>
              <w:rPr>
                <w:snapToGrid w:val="0"/>
                <w:sz w:val="20"/>
              </w:rPr>
            </w:pPr>
            <w:r w:rsidRPr="00111027">
              <w:rPr>
                <w:snapToGrid w:val="0"/>
                <w:sz w:val="20"/>
              </w:rPr>
              <w:t>Компенсация выпадающих доходов бюджету Пенсионного фонда Российской Федерации в связи с установлением пониженных тарифов страховых взносов на обязательное пенсионное страхование (Межбюджетные трансферты)</w:t>
            </w:r>
          </w:p>
        </w:tc>
        <w:tc>
          <w:tcPr>
            <w:tcW w:w="851" w:type="dxa"/>
            <w:noWrap/>
            <w:vAlign w:val="center"/>
            <w:hideMark/>
          </w:tcPr>
          <w:p w14:paraId="3A053DD7" w14:textId="77777777" w:rsidR="00C4504E" w:rsidRPr="00111027" w:rsidRDefault="00C4504E" w:rsidP="00675915">
            <w:pPr>
              <w:pStyle w:val="af0"/>
              <w:spacing w:before="0" w:after="60"/>
              <w:jc w:val="center"/>
              <w:rPr>
                <w:snapToGrid w:val="0"/>
                <w:szCs w:val="18"/>
              </w:rPr>
            </w:pPr>
            <w:r w:rsidRPr="00111027">
              <w:rPr>
                <w:snapToGrid w:val="0"/>
                <w:szCs w:val="18"/>
              </w:rPr>
              <w:t>54,6</w:t>
            </w:r>
          </w:p>
        </w:tc>
        <w:tc>
          <w:tcPr>
            <w:tcW w:w="850" w:type="dxa"/>
            <w:noWrap/>
            <w:vAlign w:val="center"/>
            <w:hideMark/>
          </w:tcPr>
          <w:p w14:paraId="76222630" w14:textId="77777777" w:rsidR="00C4504E" w:rsidRPr="00111027" w:rsidRDefault="00C4504E" w:rsidP="00675915">
            <w:pPr>
              <w:pStyle w:val="af0"/>
              <w:spacing w:before="0" w:after="60"/>
              <w:jc w:val="center"/>
              <w:rPr>
                <w:snapToGrid w:val="0"/>
                <w:szCs w:val="18"/>
              </w:rPr>
            </w:pPr>
            <w:r w:rsidRPr="00111027">
              <w:rPr>
                <w:snapToGrid w:val="0"/>
                <w:szCs w:val="18"/>
              </w:rPr>
              <w:t>68,8</w:t>
            </w:r>
          </w:p>
        </w:tc>
        <w:tc>
          <w:tcPr>
            <w:tcW w:w="851" w:type="dxa"/>
            <w:noWrap/>
            <w:vAlign w:val="center"/>
            <w:hideMark/>
          </w:tcPr>
          <w:p w14:paraId="171FEB69" w14:textId="77777777" w:rsidR="00C4504E" w:rsidRPr="00111027" w:rsidRDefault="00C4504E" w:rsidP="00675915">
            <w:pPr>
              <w:pStyle w:val="af0"/>
              <w:spacing w:before="0" w:after="60"/>
              <w:jc w:val="center"/>
              <w:rPr>
                <w:snapToGrid w:val="0"/>
                <w:szCs w:val="18"/>
              </w:rPr>
            </w:pPr>
            <w:r w:rsidRPr="00111027">
              <w:rPr>
                <w:snapToGrid w:val="0"/>
                <w:szCs w:val="18"/>
              </w:rPr>
              <w:t>73,4</w:t>
            </w:r>
          </w:p>
        </w:tc>
        <w:tc>
          <w:tcPr>
            <w:tcW w:w="850" w:type="dxa"/>
            <w:noWrap/>
            <w:vAlign w:val="center"/>
            <w:hideMark/>
          </w:tcPr>
          <w:p w14:paraId="3E96EB3E" w14:textId="77777777" w:rsidR="00C4504E" w:rsidRPr="00111027" w:rsidRDefault="00C4504E" w:rsidP="00675915">
            <w:pPr>
              <w:pStyle w:val="af0"/>
              <w:spacing w:before="0" w:after="60"/>
              <w:jc w:val="center"/>
              <w:rPr>
                <w:snapToGrid w:val="0"/>
                <w:szCs w:val="18"/>
              </w:rPr>
            </w:pPr>
            <w:r w:rsidRPr="00111027">
              <w:rPr>
                <w:snapToGrid w:val="0"/>
                <w:szCs w:val="18"/>
              </w:rPr>
              <w:t>78,6</w:t>
            </w:r>
          </w:p>
        </w:tc>
        <w:tc>
          <w:tcPr>
            <w:tcW w:w="621" w:type="dxa"/>
            <w:noWrap/>
            <w:vAlign w:val="center"/>
            <w:hideMark/>
          </w:tcPr>
          <w:p w14:paraId="3ECB8A08" w14:textId="77777777" w:rsidR="00C4504E" w:rsidRPr="00111027" w:rsidRDefault="00C4504E" w:rsidP="00675915">
            <w:pPr>
              <w:pStyle w:val="af0"/>
              <w:spacing w:before="0" w:after="60"/>
              <w:jc w:val="center"/>
              <w:rPr>
                <w:snapToGrid w:val="0"/>
                <w:szCs w:val="18"/>
              </w:rPr>
            </w:pPr>
            <w:r w:rsidRPr="00111027">
              <w:rPr>
                <w:snapToGrid w:val="0"/>
                <w:szCs w:val="18"/>
              </w:rPr>
              <w:t>126,1</w:t>
            </w:r>
          </w:p>
        </w:tc>
        <w:tc>
          <w:tcPr>
            <w:tcW w:w="621" w:type="dxa"/>
            <w:noWrap/>
            <w:vAlign w:val="center"/>
            <w:hideMark/>
          </w:tcPr>
          <w:p w14:paraId="217B2CF3" w14:textId="77777777" w:rsidR="00C4504E" w:rsidRPr="00111027" w:rsidRDefault="00C4504E" w:rsidP="00675915">
            <w:pPr>
              <w:pStyle w:val="af0"/>
              <w:spacing w:before="0" w:after="60"/>
              <w:jc w:val="center"/>
              <w:rPr>
                <w:snapToGrid w:val="0"/>
                <w:szCs w:val="18"/>
              </w:rPr>
            </w:pPr>
            <w:r w:rsidRPr="00111027">
              <w:rPr>
                <w:snapToGrid w:val="0"/>
                <w:szCs w:val="18"/>
              </w:rPr>
              <w:t>106,6</w:t>
            </w:r>
          </w:p>
        </w:tc>
        <w:tc>
          <w:tcPr>
            <w:tcW w:w="621" w:type="dxa"/>
            <w:noWrap/>
            <w:vAlign w:val="center"/>
            <w:hideMark/>
          </w:tcPr>
          <w:p w14:paraId="0D782A2A" w14:textId="77777777" w:rsidR="00C4504E" w:rsidRPr="00111027" w:rsidRDefault="00C4504E" w:rsidP="00675915">
            <w:pPr>
              <w:pStyle w:val="af0"/>
              <w:spacing w:before="0" w:after="60"/>
              <w:jc w:val="center"/>
              <w:rPr>
                <w:snapToGrid w:val="0"/>
                <w:szCs w:val="18"/>
              </w:rPr>
            </w:pPr>
            <w:r w:rsidRPr="00111027">
              <w:rPr>
                <w:snapToGrid w:val="0"/>
                <w:szCs w:val="18"/>
              </w:rPr>
              <w:t>107,2</w:t>
            </w:r>
          </w:p>
        </w:tc>
        <w:tc>
          <w:tcPr>
            <w:tcW w:w="621" w:type="dxa"/>
            <w:noWrap/>
            <w:vAlign w:val="center"/>
            <w:hideMark/>
          </w:tcPr>
          <w:p w14:paraId="55F65676" w14:textId="77777777" w:rsidR="00C4504E" w:rsidRPr="00111027" w:rsidRDefault="00C4504E" w:rsidP="00675915">
            <w:pPr>
              <w:pStyle w:val="af0"/>
              <w:spacing w:before="0" w:after="60"/>
              <w:jc w:val="center"/>
              <w:rPr>
                <w:snapToGrid w:val="0"/>
                <w:szCs w:val="18"/>
              </w:rPr>
            </w:pPr>
            <w:r w:rsidRPr="00111027">
              <w:rPr>
                <w:snapToGrid w:val="0"/>
                <w:szCs w:val="18"/>
              </w:rPr>
              <w:t>122,5</w:t>
            </w:r>
          </w:p>
        </w:tc>
        <w:tc>
          <w:tcPr>
            <w:tcW w:w="621" w:type="dxa"/>
            <w:noWrap/>
            <w:vAlign w:val="center"/>
            <w:hideMark/>
          </w:tcPr>
          <w:p w14:paraId="665FD876" w14:textId="77777777" w:rsidR="00C4504E" w:rsidRPr="00111027" w:rsidRDefault="00C4504E" w:rsidP="00675915">
            <w:pPr>
              <w:pStyle w:val="af0"/>
              <w:spacing w:before="0" w:after="60"/>
              <w:jc w:val="center"/>
              <w:rPr>
                <w:snapToGrid w:val="0"/>
                <w:szCs w:val="18"/>
              </w:rPr>
            </w:pPr>
            <w:r w:rsidRPr="00111027">
              <w:rPr>
                <w:snapToGrid w:val="0"/>
                <w:szCs w:val="18"/>
              </w:rPr>
              <w:t>102,8</w:t>
            </w:r>
          </w:p>
        </w:tc>
        <w:tc>
          <w:tcPr>
            <w:tcW w:w="621" w:type="dxa"/>
            <w:noWrap/>
            <w:vAlign w:val="center"/>
            <w:hideMark/>
          </w:tcPr>
          <w:p w14:paraId="060020C8" w14:textId="77777777" w:rsidR="00C4504E" w:rsidRPr="00111027" w:rsidRDefault="00C4504E" w:rsidP="00675915">
            <w:pPr>
              <w:pStyle w:val="af0"/>
              <w:spacing w:before="0" w:after="60"/>
              <w:jc w:val="center"/>
              <w:rPr>
                <w:snapToGrid w:val="0"/>
                <w:szCs w:val="18"/>
              </w:rPr>
            </w:pPr>
            <w:r w:rsidRPr="00111027">
              <w:rPr>
                <w:snapToGrid w:val="0"/>
                <w:szCs w:val="18"/>
              </w:rPr>
              <w:t>103,0</w:t>
            </w:r>
          </w:p>
        </w:tc>
        <w:tc>
          <w:tcPr>
            <w:tcW w:w="576" w:type="dxa"/>
            <w:noWrap/>
            <w:vAlign w:val="center"/>
            <w:hideMark/>
          </w:tcPr>
          <w:p w14:paraId="4DF63A13" w14:textId="77777777" w:rsidR="00C4504E" w:rsidRPr="00111027" w:rsidRDefault="00C4504E" w:rsidP="00675915">
            <w:pPr>
              <w:pStyle w:val="af0"/>
              <w:spacing w:before="0" w:after="60"/>
              <w:jc w:val="center"/>
              <w:rPr>
                <w:snapToGrid w:val="0"/>
                <w:szCs w:val="18"/>
              </w:rPr>
            </w:pPr>
            <w:r w:rsidRPr="00FF62EA">
              <w:rPr>
                <w:snapToGrid w:val="0"/>
                <w:szCs w:val="18"/>
              </w:rPr>
              <w:t>0,05</w:t>
            </w:r>
          </w:p>
        </w:tc>
        <w:tc>
          <w:tcPr>
            <w:tcW w:w="576" w:type="dxa"/>
            <w:noWrap/>
            <w:vAlign w:val="center"/>
            <w:hideMark/>
          </w:tcPr>
          <w:p w14:paraId="7A1EC530" w14:textId="77777777" w:rsidR="00C4504E" w:rsidRPr="00111027" w:rsidRDefault="00C4504E" w:rsidP="00675915">
            <w:pPr>
              <w:pStyle w:val="af0"/>
              <w:spacing w:before="0" w:after="60"/>
              <w:jc w:val="center"/>
              <w:rPr>
                <w:snapToGrid w:val="0"/>
                <w:szCs w:val="18"/>
              </w:rPr>
            </w:pPr>
            <w:r w:rsidRPr="00FF62EA">
              <w:rPr>
                <w:snapToGrid w:val="0"/>
                <w:szCs w:val="18"/>
              </w:rPr>
              <w:t>0,06</w:t>
            </w:r>
          </w:p>
        </w:tc>
        <w:tc>
          <w:tcPr>
            <w:tcW w:w="576" w:type="dxa"/>
            <w:noWrap/>
            <w:vAlign w:val="center"/>
            <w:hideMark/>
          </w:tcPr>
          <w:p w14:paraId="097FBDEC" w14:textId="77777777" w:rsidR="00C4504E" w:rsidRPr="00111027" w:rsidRDefault="00C4504E" w:rsidP="00675915">
            <w:pPr>
              <w:pStyle w:val="af0"/>
              <w:spacing w:before="0" w:after="60"/>
              <w:jc w:val="center"/>
              <w:rPr>
                <w:snapToGrid w:val="0"/>
                <w:szCs w:val="18"/>
              </w:rPr>
            </w:pPr>
            <w:r w:rsidRPr="00FF62EA">
              <w:rPr>
                <w:snapToGrid w:val="0"/>
                <w:szCs w:val="18"/>
              </w:rPr>
              <w:t>0,06</w:t>
            </w:r>
          </w:p>
        </w:tc>
        <w:tc>
          <w:tcPr>
            <w:tcW w:w="576" w:type="dxa"/>
            <w:noWrap/>
            <w:vAlign w:val="center"/>
            <w:hideMark/>
          </w:tcPr>
          <w:p w14:paraId="04A5C767" w14:textId="77777777" w:rsidR="00C4504E" w:rsidRPr="00111027" w:rsidRDefault="00C4504E" w:rsidP="00675915">
            <w:pPr>
              <w:pStyle w:val="af0"/>
              <w:spacing w:before="0" w:after="60"/>
              <w:jc w:val="center"/>
              <w:rPr>
                <w:snapToGrid w:val="0"/>
                <w:szCs w:val="18"/>
              </w:rPr>
            </w:pPr>
            <w:r w:rsidRPr="00FF62EA">
              <w:rPr>
                <w:snapToGrid w:val="0"/>
                <w:szCs w:val="18"/>
              </w:rPr>
              <w:t>0,06</w:t>
            </w:r>
          </w:p>
        </w:tc>
      </w:tr>
      <w:tr w:rsidR="00C4504E" w:rsidRPr="00111027" w14:paraId="46ABC34B" w14:textId="77777777" w:rsidTr="003660E4">
        <w:trPr>
          <w:trHeight w:val="295"/>
        </w:trPr>
        <w:tc>
          <w:tcPr>
            <w:tcW w:w="5098" w:type="dxa"/>
            <w:noWrap/>
            <w:hideMark/>
          </w:tcPr>
          <w:p w14:paraId="23206C08" w14:textId="77777777" w:rsidR="00C4504E" w:rsidRPr="00111027" w:rsidRDefault="00C4504E" w:rsidP="00675915">
            <w:pPr>
              <w:pStyle w:val="af0"/>
              <w:spacing w:before="0" w:after="60"/>
              <w:rPr>
                <w:snapToGrid w:val="0"/>
                <w:sz w:val="20"/>
              </w:rPr>
            </w:pPr>
            <w:r w:rsidRPr="00111027">
              <w:rPr>
                <w:snapToGrid w:val="0"/>
                <w:sz w:val="20"/>
              </w:rPr>
              <w:t>Межбюджетные трансферты на обязательное пенсионное страхование (Межбюджетные трансферты)</w:t>
            </w:r>
          </w:p>
        </w:tc>
        <w:tc>
          <w:tcPr>
            <w:tcW w:w="851" w:type="dxa"/>
            <w:noWrap/>
            <w:vAlign w:val="center"/>
            <w:hideMark/>
          </w:tcPr>
          <w:p w14:paraId="2DDD3258" w14:textId="77777777" w:rsidR="00C4504E" w:rsidRPr="00111027" w:rsidRDefault="00C4504E" w:rsidP="00675915">
            <w:pPr>
              <w:pStyle w:val="af0"/>
              <w:spacing w:before="0" w:after="60"/>
              <w:jc w:val="center"/>
              <w:rPr>
                <w:snapToGrid w:val="0"/>
                <w:szCs w:val="18"/>
              </w:rPr>
            </w:pPr>
            <w:r w:rsidRPr="00111027">
              <w:rPr>
                <w:snapToGrid w:val="0"/>
                <w:szCs w:val="18"/>
              </w:rPr>
              <w:t>1 052,1</w:t>
            </w:r>
          </w:p>
        </w:tc>
        <w:tc>
          <w:tcPr>
            <w:tcW w:w="850" w:type="dxa"/>
            <w:noWrap/>
            <w:vAlign w:val="center"/>
            <w:hideMark/>
          </w:tcPr>
          <w:p w14:paraId="19E11FBB" w14:textId="77777777" w:rsidR="00C4504E" w:rsidRPr="00111027" w:rsidRDefault="00C4504E" w:rsidP="00675915">
            <w:pPr>
              <w:pStyle w:val="af0"/>
              <w:spacing w:before="0" w:after="60"/>
              <w:jc w:val="center"/>
              <w:rPr>
                <w:snapToGrid w:val="0"/>
                <w:szCs w:val="18"/>
              </w:rPr>
            </w:pPr>
            <w:r w:rsidRPr="00111027">
              <w:rPr>
                <w:snapToGrid w:val="0"/>
                <w:szCs w:val="18"/>
              </w:rPr>
              <w:t>966,7</w:t>
            </w:r>
          </w:p>
        </w:tc>
        <w:tc>
          <w:tcPr>
            <w:tcW w:w="851" w:type="dxa"/>
            <w:noWrap/>
            <w:vAlign w:val="center"/>
            <w:hideMark/>
          </w:tcPr>
          <w:p w14:paraId="6C8B0087" w14:textId="77777777" w:rsidR="00C4504E" w:rsidRPr="00111027" w:rsidRDefault="00C4504E" w:rsidP="00675915">
            <w:pPr>
              <w:pStyle w:val="af0"/>
              <w:spacing w:before="0" w:after="60"/>
              <w:jc w:val="center"/>
              <w:rPr>
                <w:snapToGrid w:val="0"/>
                <w:szCs w:val="18"/>
              </w:rPr>
            </w:pPr>
            <w:r w:rsidRPr="00111027">
              <w:rPr>
                <w:snapToGrid w:val="0"/>
                <w:szCs w:val="18"/>
              </w:rPr>
              <w:t>880,9</w:t>
            </w:r>
          </w:p>
        </w:tc>
        <w:tc>
          <w:tcPr>
            <w:tcW w:w="850" w:type="dxa"/>
            <w:noWrap/>
            <w:vAlign w:val="center"/>
            <w:hideMark/>
          </w:tcPr>
          <w:p w14:paraId="2BA032B4" w14:textId="77777777" w:rsidR="00C4504E" w:rsidRPr="00111027" w:rsidRDefault="00C4504E" w:rsidP="00675915">
            <w:pPr>
              <w:pStyle w:val="af0"/>
              <w:spacing w:before="0" w:after="60"/>
              <w:jc w:val="center"/>
              <w:rPr>
                <w:snapToGrid w:val="0"/>
                <w:szCs w:val="18"/>
              </w:rPr>
            </w:pPr>
            <w:r w:rsidRPr="00111027">
              <w:rPr>
                <w:snapToGrid w:val="0"/>
                <w:szCs w:val="18"/>
              </w:rPr>
              <w:t>795,1</w:t>
            </w:r>
          </w:p>
        </w:tc>
        <w:tc>
          <w:tcPr>
            <w:tcW w:w="621" w:type="dxa"/>
            <w:noWrap/>
            <w:vAlign w:val="center"/>
            <w:hideMark/>
          </w:tcPr>
          <w:p w14:paraId="3BC60061" w14:textId="77777777" w:rsidR="00C4504E" w:rsidRPr="00111027" w:rsidRDefault="00C4504E" w:rsidP="00675915">
            <w:pPr>
              <w:pStyle w:val="af0"/>
              <w:spacing w:before="0" w:after="60"/>
              <w:jc w:val="center"/>
              <w:rPr>
                <w:snapToGrid w:val="0"/>
                <w:szCs w:val="18"/>
              </w:rPr>
            </w:pPr>
            <w:r w:rsidRPr="00111027">
              <w:rPr>
                <w:snapToGrid w:val="0"/>
                <w:szCs w:val="18"/>
              </w:rPr>
              <w:t>91,9</w:t>
            </w:r>
          </w:p>
        </w:tc>
        <w:tc>
          <w:tcPr>
            <w:tcW w:w="621" w:type="dxa"/>
            <w:noWrap/>
            <w:vAlign w:val="center"/>
            <w:hideMark/>
          </w:tcPr>
          <w:p w14:paraId="36094CAD" w14:textId="77777777" w:rsidR="00C4504E" w:rsidRPr="00111027" w:rsidRDefault="00C4504E" w:rsidP="00675915">
            <w:pPr>
              <w:pStyle w:val="af0"/>
              <w:spacing w:before="0" w:after="60"/>
              <w:jc w:val="center"/>
              <w:rPr>
                <w:snapToGrid w:val="0"/>
                <w:szCs w:val="18"/>
              </w:rPr>
            </w:pPr>
            <w:r w:rsidRPr="00111027">
              <w:rPr>
                <w:snapToGrid w:val="0"/>
                <w:szCs w:val="18"/>
              </w:rPr>
              <w:t>91,1</w:t>
            </w:r>
          </w:p>
        </w:tc>
        <w:tc>
          <w:tcPr>
            <w:tcW w:w="621" w:type="dxa"/>
            <w:noWrap/>
            <w:vAlign w:val="center"/>
            <w:hideMark/>
          </w:tcPr>
          <w:p w14:paraId="1DCF4E9C" w14:textId="77777777" w:rsidR="00C4504E" w:rsidRPr="00111027" w:rsidRDefault="00C4504E" w:rsidP="00675915">
            <w:pPr>
              <w:pStyle w:val="af0"/>
              <w:spacing w:before="0" w:after="60"/>
              <w:jc w:val="center"/>
              <w:rPr>
                <w:snapToGrid w:val="0"/>
                <w:szCs w:val="18"/>
              </w:rPr>
            </w:pPr>
            <w:r w:rsidRPr="00111027">
              <w:rPr>
                <w:snapToGrid w:val="0"/>
                <w:szCs w:val="18"/>
              </w:rPr>
              <w:t>90,3</w:t>
            </w:r>
          </w:p>
        </w:tc>
        <w:tc>
          <w:tcPr>
            <w:tcW w:w="621" w:type="dxa"/>
            <w:noWrap/>
            <w:vAlign w:val="center"/>
            <w:hideMark/>
          </w:tcPr>
          <w:p w14:paraId="35076E45" w14:textId="77777777" w:rsidR="00C4504E" w:rsidRPr="00111027" w:rsidRDefault="00C4504E" w:rsidP="00675915">
            <w:pPr>
              <w:pStyle w:val="af0"/>
              <w:spacing w:before="0" w:after="60"/>
              <w:jc w:val="center"/>
              <w:rPr>
                <w:snapToGrid w:val="0"/>
                <w:szCs w:val="18"/>
              </w:rPr>
            </w:pPr>
            <w:r w:rsidRPr="00111027">
              <w:rPr>
                <w:snapToGrid w:val="0"/>
                <w:szCs w:val="18"/>
              </w:rPr>
              <w:t>89,2</w:t>
            </w:r>
          </w:p>
        </w:tc>
        <w:tc>
          <w:tcPr>
            <w:tcW w:w="621" w:type="dxa"/>
            <w:noWrap/>
            <w:vAlign w:val="center"/>
            <w:hideMark/>
          </w:tcPr>
          <w:p w14:paraId="791E1E5C" w14:textId="77777777" w:rsidR="00C4504E" w:rsidRPr="00111027" w:rsidRDefault="00C4504E" w:rsidP="00675915">
            <w:pPr>
              <w:pStyle w:val="af0"/>
              <w:spacing w:before="0" w:after="60"/>
              <w:jc w:val="center"/>
              <w:rPr>
                <w:snapToGrid w:val="0"/>
                <w:szCs w:val="18"/>
              </w:rPr>
            </w:pPr>
            <w:r w:rsidRPr="00111027">
              <w:rPr>
                <w:snapToGrid w:val="0"/>
                <w:szCs w:val="18"/>
              </w:rPr>
              <w:t>87,9</w:t>
            </w:r>
          </w:p>
        </w:tc>
        <w:tc>
          <w:tcPr>
            <w:tcW w:w="621" w:type="dxa"/>
            <w:noWrap/>
            <w:vAlign w:val="center"/>
            <w:hideMark/>
          </w:tcPr>
          <w:p w14:paraId="137FB2B3" w14:textId="77777777" w:rsidR="00C4504E" w:rsidRPr="00111027" w:rsidRDefault="00C4504E" w:rsidP="00675915">
            <w:pPr>
              <w:pStyle w:val="af0"/>
              <w:spacing w:before="0" w:after="60"/>
              <w:jc w:val="center"/>
              <w:rPr>
                <w:snapToGrid w:val="0"/>
                <w:szCs w:val="18"/>
              </w:rPr>
            </w:pPr>
            <w:r w:rsidRPr="00111027">
              <w:rPr>
                <w:snapToGrid w:val="0"/>
                <w:szCs w:val="18"/>
              </w:rPr>
              <w:t>86,8</w:t>
            </w:r>
          </w:p>
        </w:tc>
        <w:tc>
          <w:tcPr>
            <w:tcW w:w="576" w:type="dxa"/>
            <w:noWrap/>
            <w:vAlign w:val="center"/>
            <w:hideMark/>
          </w:tcPr>
          <w:p w14:paraId="24F7397F" w14:textId="77777777" w:rsidR="00C4504E" w:rsidRPr="00111027" w:rsidRDefault="00C4504E" w:rsidP="00675915">
            <w:pPr>
              <w:pStyle w:val="af0"/>
              <w:spacing w:before="0" w:after="60"/>
              <w:jc w:val="center"/>
              <w:rPr>
                <w:snapToGrid w:val="0"/>
                <w:szCs w:val="18"/>
              </w:rPr>
            </w:pPr>
            <w:r w:rsidRPr="00FF62EA">
              <w:rPr>
                <w:snapToGrid w:val="0"/>
                <w:szCs w:val="18"/>
              </w:rPr>
              <w:t>0,97</w:t>
            </w:r>
          </w:p>
        </w:tc>
        <w:tc>
          <w:tcPr>
            <w:tcW w:w="576" w:type="dxa"/>
            <w:noWrap/>
            <w:vAlign w:val="center"/>
            <w:hideMark/>
          </w:tcPr>
          <w:p w14:paraId="3B658704" w14:textId="77777777" w:rsidR="00C4504E" w:rsidRPr="00111027" w:rsidRDefault="00C4504E" w:rsidP="00675915">
            <w:pPr>
              <w:pStyle w:val="af0"/>
              <w:spacing w:before="0" w:after="60"/>
              <w:jc w:val="center"/>
              <w:rPr>
                <w:snapToGrid w:val="0"/>
                <w:szCs w:val="18"/>
              </w:rPr>
            </w:pPr>
            <w:r w:rsidRPr="00FF62EA">
              <w:rPr>
                <w:snapToGrid w:val="0"/>
                <w:szCs w:val="18"/>
              </w:rPr>
              <w:t>0,86</w:t>
            </w:r>
          </w:p>
        </w:tc>
        <w:tc>
          <w:tcPr>
            <w:tcW w:w="576" w:type="dxa"/>
            <w:noWrap/>
            <w:vAlign w:val="center"/>
            <w:hideMark/>
          </w:tcPr>
          <w:p w14:paraId="40F9820A" w14:textId="77777777" w:rsidR="00C4504E" w:rsidRPr="00111027" w:rsidRDefault="00C4504E" w:rsidP="00675915">
            <w:pPr>
              <w:pStyle w:val="af0"/>
              <w:spacing w:before="0" w:after="60"/>
              <w:jc w:val="center"/>
              <w:rPr>
                <w:snapToGrid w:val="0"/>
                <w:szCs w:val="18"/>
              </w:rPr>
            </w:pPr>
            <w:r w:rsidRPr="00FF62EA">
              <w:rPr>
                <w:snapToGrid w:val="0"/>
                <w:szCs w:val="18"/>
              </w:rPr>
              <w:t>0,73</w:t>
            </w:r>
          </w:p>
        </w:tc>
        <w:tc>
          <w:tcPr>
            <w:tcW w:w="576" w:type="dxa"/>
            <w:noWrap/>
            <w:vAlign w:val="center"/>
            <w:hideMark/>
          </w:tcPr>
          <w:p w14:paraId="3EFE8E74" w14:textId="77777777" w:rsidR="00C4504E" w:rsidRPr="00111027" w:rsidRDefault="00C4504E" w:rsidP="00675915">
            <w:pPr>
              <w:pStyle w:val="af0"/>
              <w:spacing w:before="0" w:after="60"/>
              <w:jc w:val="center"/>
              <w:rPr>
                <w:snapToGrid w:val="0"/>
                <w:szCs w:val="18"/>
              </w:rPr>
            </w:pPr>
            <w:r w:rsidRPr="00FF62EA">
              <w:rPr>
                <w:snapToGrid w:val="0"/>
                <w:szCs w:val="18"/>
              </w:rPr>
              <w:t>0,62</w:t>
            </w:r>
          </w:p>
        </w:tc>
      </w:tr>
      <w:tr w:rsidR="00C4504E" w:rsidRPr="00111027" w14:paraId="18D9B1BB" w14:textId="77777777" w:rsidTr="003660E4">
        <w:trPr>
          <w:trHeight w:val="295"/>
        </w:trPr>
        <w:tc>
          <w:tcPr>
            <w:tcW w:w="5098" w:type="dxa"/>
            <w:noWrap/>
            <w:hideMark/>
          </w:tcPr>
          <w:p w14:paraId="466FF534" w14:textId="77777777" w:rsidR="00C4504E" w:rsidRPr="00111027" w:rsidRDefault="00C4504E" w:rsidP="00675915">
            <w:pPr>
              <w:pStyle w:val="af0"/>
              <w:spacing w:before="0" w:after="60"/>
              <w:rPr>
                <w:snapToGrid w:val="0"/>
                <w:sz w:val="20"/>
              </w:rPr>
            </w:pPr>
            <w:r w:rsidRPr="00111027">
              <w:rPr>
                <w:snapToGrid w:val="0"/>
                <w:sz w:val="20"/>
              </w:rPr>
              <w:t>Государственная судебная власть</w:t>
            </w:r>
          </w:p>
        </w:tc>
        <w:tc>
          <w:tcPr>
            <w:tcW w:w="851" w:type="dxa"/>
            <w:noWrap/>
            <w:vAlign w:val="center"/>
            <w:hideMark/>
          </w:tcPr>
          <w:p w14:paraId="501EA761" w14:textId="77777777" w:rsidR="00C4504E" w:rsidRPr="00111027" w:rsidRDefault="00C4504E" w:rsidP="00675915">
            <w:pPr>
              <w:pStyle w:val="af0"/>
              <w:spacing w:before="0" w:after="60"/>
              <w:jc w:val="center"/>
              <w:rPr>
                <w:snapToGrid w:val="0"/>
                <w:szCs w:val="18"/>
              </w:rPr>
            </w:pPr>
            <w:r w:rsidRPr="00111027">
              <w:rPr>
                <w:snapToGrid w:val="0"/>
                <w:szCs w:val="18"/>
              </w:rPr>
              <w:t>35,8</w:t>
            </w:r>
          </w:p>
        </w:tc>
        <w:tc>
          <w:tcPr>
            <w:tcW w:w="850" w:type="dxa"/>
            <w:noWrap/>
            <w:vAlign w:val="center"/>
            <w:hideMark/>
          </w:tcPr>
          <w:p w14:paraId="430805C3" w14:textId="77777777" w:rsidR="00C4504E" w:rsidRPr="00111027" w:rsidRDefault="00C4504E" w:rsidP="00675915">
            <w:pPr>
              <w:pStyle w:val="af0"/>
              <w:spacing w:before="0" w:after="60"/>
              <w:jc w:val="center"/>
              <w:rPr>
                <w:snapToGrid w:val="0"/>
                <w:szCs w:val="18"/>
              </w:rPr>
            </w:pPr>
            <w:r w:rsidRPr="00111027">
              <w:rPr>
                <w:snapToGrid w:val="0"/>
                <w:szCs w:val="18"/>
              </w:rPr>
              <w:t>39,1</w:t>
            </w:r>
          </w:p>
        </w:tc>
        <w:tc>
          <w:tcPr>
            <w:tcW w:w="851" w:type="dxa"/>
            <w:noWrap/>
            <w:vAlign w:val="center"/>
            <w:hideMark/>
          </w:tcPr>
          <w:p w14:paraId="25D1D54B" w14:textId="77777777" w:rsidR="00C4504E" w:rsidRPr="00111027" w:rsidRDefault="00C4504E" w:rsidP="00675915">
            <w:pPr>
              <w:pStyle w:val="af0"/>
              <w:spacing w:before="0" w:after="60"/>
              <w:jc w:val="center"/>
              <w:rPr>
                <w:snapToGrid w:val="0"/>
                <w:szCs w:val="18"/>
              </w:rPr>
            </w:pPr>
            <w:r w:rsidRPr="00111027">
              <w:rPr>
                <w:snapToGrid w:val="0"/>
                <w:szCs w:val="18"/>
              </w:rPr>
              <w:t>40,7</w:t>
            </w:r>
          </w:p>
        </w:tc>
        <w:tc>
          <w:tcPr>
            <w:tcW w:w="850" w:type="dxa"/>
            <w:noWrap/>
            <w:vAlign w:val="center"/>
            <w:hideMark/>
          </w:tcPr>
          <w:p w14:paraId="7DF074B6" w14:textId="77777777" w:rsidR="00C4504E" w:rsidRPr="00111027" w:rsidRDefault="00C4504E" w:rsidP="00675915">
            <w:pPr>
              <w:pStyle w:val="af0"/>
              <w:spacing w:before="0" w:after="60"/>
              <w:jc w:val="center"/>
              <w:rPr>
                <w:snapToGrid w:val="0"/>
                <w:szCs w:val="18"/>
              </w:rPr>
            </w:pPr>
            <w:r w:rsidRPr="00111027">
              <w:rPr>
                <w:snapToGrid w:val="0"/>
                <w:szCs w:val="18"/>
              </w:rPr>
              <w:t>42,4</w:t>
            </w:r>
          </w:p>
        </w:tc>
        <w:tc>
          <w:tcPr>
            <w:tcW w:w="621" w:type="dxa"/>
            <w:noWrap/>
            <w:vAlign w:val="center"/>
            <w:hideMark/>
          </w:tcPr>
          <w:p w14:paraId="0CBA5B7D" w14:textId="77777777" w:rsidR="00C4504E" w:rsidRPr="00111027" w:rsidRDefault="00C4504E" w:rsidP="00675915">
            <w:pPr>
              <w:pStyle w:val="af0"/>
              <w:spacing w:before="0" w:after="60"/>
              <w:jc w:val="center"/>
              <w:rPr>
                <w:snapToGrid w:val="0"/>
                <w:szCs w:val="18"/>
              </w:rPr>
            </w:pPr>
            <w:r w:rsidRPr="00111027">
              <w:rPr>
                <w:snapToGrid w:val="0"/>
                <w:szCs w:val="18"/>
              </w:rPr>
              <w:t>109,0</w:t>
            </w:r>
          </w:p>
        </w:tc>
        <w:tc>
          <w:tcPr>
            <w:tcW w:w="621" w:type="dxa"/>
            <w:noWrap/>
            <w:vAlign w:val="center"/>
            <w:hideMark/>
          </w:tcPr>
          <w:p w14:paraId="64547724" w14:textId="77777777" w:rsidR="00C4504E" w:rsidRPr="00111027" w:rsidRDefault="00C4504E" w:rsidP="00675915">
            <w:pPr>
              <w:pStyle w:val="af0"/>
              <w:spacing w:before="0" w:after="60"/>
              <w:jc w:val="center"/>
              <w:rPr>
                <w:snapToGrid w:val="0"/>
                <w:szCs w:val="18"/>
              </w:rPr>
            </w:pPr>
            <w:r w:rsidRPr="00111027">
              <w:rPr>
                <w:snapToGrid w:val="0"/>
                <w:szCs w:val="18"/>
              </w:rPr>
              <w:t>104,2</w:t>
            </w:r>
          </w:p>
        </w:tc>
        <w:tc>
          <w:tcPr>
            <w:tcW w:w="621" w:type="dxa"/>
            <w:noWrap/>
            <w:vAlign w:val="center"/>
            <w:hideMark/>
          </w:tcPr>
          <w:p w14:paraId="176B8AC7" w14:textId="77777777" w:rsidR="00C4504E" w:rsidRPr="00111027" w:rsidRDefault="00C4504E" w:rsidP="00675915">
            <w:pPr>
              <w:pStyle w:val="af0"/>
              <w:spacing w:before="0" w:after="60"/>
              <w:jc w:val="center"/>
              <w:rPr>
                <w:snapToGrid w:val="0"/>
                <w:szCs w:val="18"/>
              </w:rPr>
            </w:pPr>
            <w:r w:rsidRPr="00111027">
              <w:rPr>
                <w:snapToGrid w:val="0"/>
                <w:szCs w:val="18"/>
              </w:rPr>
              <w:t>104,0</w:t>
            </w:r>
          </w:p>
        </w:tc>
        <w:tc>
          <w:tcPr>
            <w:tcW w:w="621" w:type="dxa"/>
            <w:noWrap/>
            <w:vAlign w:val="center"/>
            <w:hideMark/>
          </w:tcPr>
          <w:p w14:paraId="13B7C0F3" w14:textId="77777777" w:rsidR="00C4504E" w:rsidRPr="00111027" w:rsidRDefault="00C4504E" w:rsidP="00675915">
            <w:pPr>
              <w:pStyle w:val="af0"/>
              <w:spacing w:before="0" w:after="60"/>
              <w:jc w:val="center"/>
              <w:rPr>
                <w:snapToGrid w:val="0"/>
                <w:szCs w:val="18"/>
              </w:rPr>
            </w:pPr>
            <w:r w:rsidRPr="00111027">
              <w:rPr>
                <w:snapToGrid w:val="0"/>
                <w:szCs w:val="18"/>
              </w:rPr>
              <w:t>105,8</w:t>
            </w:r>
          </w:p>
        </w:tc>
        <w:tc>
          <w:tcPr>
            <w:tcW w:w="621" w:type="dxa"/>
            <w:noWrap/>
            <w:vAlign w:val="center"/>
            <w:hideMark/>
          </w:tcPr>
          <w:p w14:paraId="0B71D6CA" w14:textId="77777777" w:rsidR="00C4504E" w:rsidRPr="00111027" w:rsidRDefault="00C4504E" w:rsidP="00675915">
            <w:pPr>
              <w:pStyle w:val="af0"/>
              <w:spacing w:before="0" w:after="60"/>
              <w:jc w:val="center"/>
              <w:rPr>
                <w:snapToGrid w:val="0"/>
                <w:szCs w:val="18"/>
              </w:rPr>
            </w:pPr>
            <w:r w:rsidRPr="00111027">
              <w:rPr>
                <w:snapToGrid w:val="0"/>
                <w:szCs w:val="18"/>
              </w:rPr>
              <w:t>100,5</w:t>
            </w:r>
          </w:p>
        </w:tc>
        <w:tc>
          <w:tcPr>
            <w:tcW w:w="621" w:type="dxa"/>
            <w:noWrap/>
            <w:vAlign w:val="center"/>
            <w:hideMark/>
          </w:tcPr>
          <w:p w14:paraId="2949B2D0" w14:textId="77777777" w:rsidR="00C4504E" w:rsidRPr="00111027" w:rsidRDefault="00C4504E" w:rsidP="00675915">
            <w:pPr>
              <w:pStyle w:val="af0"/>
              <w:spacing w:before="0" w:after="60"/>
              <w:jc w:val="center"/>
              <w:rPr>
                <w:snapToGrid w:val="0"/>
                <w:szCs w:val="18"/>
              </w:rPr>
            </w:pPr>
            <w:r w:rsidRPr="00111027">
              <w:rPr>
                <w:snapToGrid w:val="0"/>
                <w:szCs w:val="18"/>
              </w:rPr>
              <w:t>100,0</w:t>
            </w:r>
          </w:p>
        </w:tc>
        <w:tc>
          <w:tcPr>
            <w:tcW w:w="576" w:type="dxa"/>
            <w:noWrap/>
            <w:vAlign w:val="center"/>
            <w:hideMark/>
          </w:tcPr>
          <w:p w14:paraId="0B5DAE95" w14:textId="77777777" w:rsidR="00C4504E" w:rsidRPr="00111027" w:rsidRDefault="00C4504E" w:rsidP="00675915">
            <w:pPr>
              <w:pStyle w:val="af0"/>
              <w:spacing w:before="0" w:after="60"/>
              <w:jc w:val="center"/>
              <w:rPr>
                <w:snapToGrid w:val="0"/>
                <w:szCs w:val="18"/>
              </w:rPr>
            </w:pPr>
            <w:r w:rsidRPr="00FF62EA">
              <w:rPr>
                <w:snapToGrid w:val="0"/>
                <w:szCs w:val="18"/>
              </w:rPr>
              <w:t>0,03</w:t>
            </w:r>
          </w:p>
        </w:tc>
        <w:tc>
          <w:tcPr>
            <w:tcW w:w="576" w:type="dxa"/>
            <w:noWrap/>
            <w:vAlign w:val="center"/>
            <w:hideMark/>
          </w:tcPr>
          <w:p w14:paraId="23FF3584" w14:textId="77777777" w:rsidR="00C4504E" w:rsidRPr="00111027" w:rsidRDefault="00C4504E" w:rsidP="00675915">
            <w:pPr>
              <w:pStyle w:val="af0"/>
              <w:spacing w:before="0" w:after="60"/>
              <w:jc w:val="center"/>
              <w:rPr>
                <w:snapToGrid w:val="0"/>
                <w:szCs w:val="18"/>
              </w:rPr>
            </w:pPr>
            <w:r w:rsidRPr="00FF62EA">
              <w:rPr>
                <w:snapToGrid w:val="0"/>
                <w:szCs w:val="18"/>
              </w:rPr>
              <w:t>0,03</w:t>
            </w:r>
          </w:p>
        </w:tc>
        <w:tc>
          <w:tcPr>
            <w:tcW w:w="576" w:type="dxa"/>
            <w:noWrap/>
            <w:vAlign w:val="center"/>
            <w:hideMark/>
          </w:tcPr>
          <w:p w14:paraId="10B4C2F3" w14:textId="77777777" w:rsidR="00C4504E" w:rsidRPr="00111027" w:rsidRDefault="00C4504E" w:rsidP="00675915">
            <w:pPr>
              <w:pStyle w:val="af0"/>
              <w:spacing w:before="0" w:after="60"/>
              <w:jc w:val="center"/>
              <w:rPr>
                <w:snapToGrid w:val="0"/>
                <w:szCs w:val="18"/>
              </w:rPr>
            </w:pPr>
            <w:r w:rsidRPr="00FF62EA">
              <w:rPr>
                <w:snapToGrid w:val="0"/>
                <w:szCs w:val="18"/>
              </w:rPr>
              <w:t>0,03</w:t>
            </w:r>
          </w:p>
        </w:tc>
        <w:tc>
          <w:tcPr>
            <w:tcW w:w="576" w:type="dxa"/>
            <w:noWrap/>
            <w:vAlign w:val="center"/>
            <w:hideMark/>
          </w:tcPr>
          <w:p w14:paraId="01A7AE63" w14:textId="77777777" w:rsidR="00C4504E" w:rsidRPr="00111027" w:rsidRDefault="00C4504E" w:rsidP="00675915">
            <w:pPr>
              <w:pStyle w:val="af0"/>
              <w:spacing w:before="0" w:after="60"/>
              <w:jc w:val="center"/>
              <w:rPr>
                <w:snapToGrid w:val="0"/>
                <w:szCs w:val="18"/>
              </w:rPr>
            </w:pPr>
            <w:r w:rsidRPr="00FF62EA">
              <w:rPr>
                <w:snapToGrid w:val="0"/>
                <w:szCs w:val="18"/>
              </w:rPr>
              <w:t>0,03</w:t>
            </w:r>
          </w:p>
        </w:tc>
      </w:tr>
      <w:tr w:rsidR="00C4504E" w:rsidRPr="00111027" w14:paraId="4B285943" w14:textId="77777777" w:rsidTr="003660E4">
        <w:trPr>
          <w:trHeight w:val="295"/>
        </w:trPr>
        <w:tc>
          <w:tcPr>
            <w:tcW w:w="5098" w:type="dxa"/>
            <w:noWrap/>
            <w:hideMark/>
          </w:tcPr>
          <w:p w14:paraId="72841B63" w14:textId="77777777" w:rsidR="00C4504E" w:rsidRPr="00111027" w:rsidRDefault="00C4504E" w:rsidP="00675915">
            <w:pPr>
              <w:pStyle w:val="af0"/>
              <w:spacing w:before="0" w:after="60"/>
              <w:rPr>
                <w:snapToGrid w:val="0"/>
                <w:sz w:val="20"/>
              </w:rPr>
            </w:pPr>
            <w:r w:rsidRPr="00111027">
              <w:rPr>
                <w:snapToGrid w:val="0"/>
                <w:sz w:val="20"/>
              </w:rPr>
              <w:t>Реализация функций иных федеральных органов государственной власти</w:t>
            </w:r>
          </w:p>
        </w:tc>
        <w:tc>
          <w:tcPr>
            <w:tcW w:w="851" w:type="dxa"/>
            <w:noWrap/>
            <w:vAlign w:val="center"/>
            <w:hideMark/>
          </w:tcPr>
          <w:p w14:paraId="511BA31B" w14:textId="77777777" w:rsidR="00C4504E" w:rsidRPr="00111027" w:rsidRDefault="00C4504E" w:rsidP="00675915">
            <w:pPr>
              <w:pStyle w:val="af0"/>
              <w:spacing w:before="0" w:after="60"/>
              <w:jc w:val="center"/>
              <w:rPr>
                <w:snapToGrid w:val="0"/>
                <w:szCs w:val="18"/>
              </w:rPr>
            </w:pPr>
            <w:r w:rsidRPr="00111027">
              <w:rPr>
                <w:snapToGrid w:val="0"/>
                <w:szCs w:val="18"/>
              </w:rPr>
              <w:t>9,0</w:t>
            </w:r>
          </w:p>
        </w:tc>
        <w:tc>
          <w:tcPr>
            <w:tcW w:w="850" w:type="dxa"/>
            <w:noWrap/>
            <w:vAlign w:val="center"/>
            <w:hideMark/>
          </w:tcPr>
          <w:p w14:paraId="2C4D27E3" w14:textId="77777777" w:rsidR="00C4504E" w:rsidRPr="00111027" w:rsidRDefault="00C4504E" w:rsidP="00675915">
            <w:pPr>
              <w:pStyle w:val="af0"/>
              <w:spacing w:before="0" w:after="60"/>
              <w:jc w:val="center"/>
              <w:rPr>
                <w:snapToGrid w:val="0"/>
                <w:szCs w:val="18"/>
              </w:rPr>
            </w:pPr>
            <w:r w:rsidRPr="00111027">
              <w:rPr>
                <w:snapToGrid w:val="0"/>
                <w:szCs w:val="18"/>
              </w:rPr>
              <w:t>26,0</w:t>
            </w:r>
          </w:p>
        </w:tc>
        <w:tc>
          <w:tcPr>
            <w:tcW w:w="851" w:type="dxa"/>
            <w:noWrap/>
            <w:vAlign w:val="center"/>
            <w:hideMark/>
          </w:tcPr>
          <w:p w14:paraId="27000A94" w14:textId="77777777" w:rsidR="00C4504E" w:rsidRPr="00111027" w:rsidRDefault="00C4504E" w:rsidP="00675915">
            <w:pPr>
              <w:pStyle w:val="af0"/>
              <w:spacing w:before="0" w:after="60"/>
              <w:jc w:val="center"/>
              <w:rPr>
                <w:snapToGrid w:val="0"/>
                <w:szCs w:val="18"/>
              </w:rPr>
            </w:pPr>
            <w:r w:rsidRPr="00111027">
              <w:rPr>
                <w:snapToGrid w:val="0"/>
                <w:szCs w:val="18"/>
              </w:rPr>
              <w:t>25,3</w:t>
            </w:r>
          </w:p>
        </w:tc>
        <w:tc>
          <w:tcPr>
            <w:tcW w:w="850" w:type="dxa"/>
            <w:noWrap/>
            <w:vAlign w:val="center"/>
            <w:hideMark/>
          </w:tcPr>
          <w:p w14:paraId="47A2A4CF" w14:textId="77777777" w:rsidR="00C4504E" w:rsidRPr="00111027" w:rsidRDefault="00C4504E" w:rsidP="00675915">
            <w:pPr>
              <w:pStyle w:val="af0"/>
              <w:spacing w:before="0" w:after="60"/>
              <w:jc w:val="center"/>
              <w:rPr>
                <w:snapToGrid w:val="0"/>
                <w:szCs w:val="18"/>
              </w:rPr>
            </w:pPr>
            <w:r w:rsidRPr="00111027">
              <w:rPr>
                <w:snapToGrid w:val="0"/>
                <w:szCs w:val="18"/>
              </w:rPr>
              <w:t>36,5</w:t>
            </w:r>
          </w:p>
        </w:tc>
        <w:tc>
          <w:tcPr>
            <w:tcW w:w="621" w:type="dxa"/>
            <w:noWrap/>
            <w:vAlign w:val="center"/>
            <w:hideMark/>
          </w:tcPr>
          <w:p w14:paraId="45997942" w14:textId="77777777" w:rsidR="00C4504E" w:rsidRPr="00111027" w:rsidRDefault="00C4504E" w:rsidP="00675915">
            <w:pPr>
              <w:pStyle w:val="af0"/>
              <w:spacing w:before="0" w:after="60"/>
              <w:jc w:val="center"/>
              <w:rPr>
                <w:snapToGrid w:val="0"/>
                <w:szCs w:val="18"/>
              </w:rPr>
            </w:pPr>
            <w:r w:rsidRPr="00111027">
              <w:rPr>
                <w:snapToGrid w:val="0"/>
                <w:szCs w:val="18"/>
              </w:rPr>
              <w:t>287,5</w:t>
            </w:r>
          </w:p>
        </w:tc>
        <w:tc>
          <w:tcPr>
            <w:tcW w:w="621" w:type="dxa"/>
            <w:noWrap/>
            <w:vAlign w:val="center"/>
            <w:hideMark/>
          </w:tcPr>
          <w:p w14:paraId="2BCDAD92" w14:textId="77777777" w:rsidR="00C4504E" w:rsidRPr="00111027" w:rsidRDefault="00C4504E" w:rsidP="00675915">
            <w:pPr>
              <w:pStyle w:val="af0"/>
              <w:spacing w:before="0" w:after="60"/>
              <w:jc w:val="center"/>
              <w:rPr>
                <w:snapToGrid w:val="0"/>
                <w:szCs w:val="18"/>
              </w:rPr>
            </w:pPr>
            <w:r w:rsidRPr="00111027">
              <w:rPr>
                <w:snapToGrid w:val="0"/>
                <w:szCs w:val="18"/>
              </w:rPr>
              <w:t>97,3</w:t>
            </w:r>
          </w:p>
        </w:tc>
        <w:tc>
          <w:tcPr>
            <w:tcW w:w="621" w:type="dxa"/>
            <w:noWrap/>
            <w:vAlign w:val="center"/>
            <w:hideMark/>
          </w:tcPr>
          <w:p w14:paraId="0C8896A7" w14:textId="77777777" w:rsidR="00C4504E" w:rsidRPr="00111027" w:rsidRDefault="00C4504E" w:rsidP="00675915">
            <w:pPr>
              <w:pStyle w:val="af0"/>
              <w:spacing w:before="0" w:after="60"/>
              <w:jc w:val="center"/>
              <w:rPr>
                <w:snapToGrid w:val="0"/>
                <w:szCs w:val="18"/>
              </w:rPr>
            </w:pPr>
            <w:r w:rsidRPr="00111027">
              <w:rPr>
                <w:snapToGrid w:val="0"/>
                <w:szCs w:val="18"/>
              </w:rPr>
              <w:t>144,0</w:t>
            </w:r>
          </w:p>
        </w:tc>
        <w:tc>
          <w:tcPr>
            <w:tcW w:w="621" w:type="dxa"/>
            <w:noWrap/>
            <w:vAlign w:val="center"/>
            <w:hideMark/>
          </w:tcPr>
          <w:p w14:paraId="6F084B9F" w14:textId="77777777" w:rsidR="00C4504E" w:rsidRPr="00111027" w:rsidRDefault="00C4504E" w:rsidP="00675915">
            <w:pPr>
              <w:pStyle w:val="af0"/>
              <w:spacing w:before="0" w:after="60"/>
              <w:jc w:val="center"/>
              <w:rPr>
                <w:snapToGrid w:val="0"/>
                <w:szCs w:val="18"/>
              </w:rPr>
            </w:pPr>
            <w:r w:rsidRPr="00111027">
              <w:rPr>
                <w:snapToGrid w:val="0"/>
                <w:szCs w:val="18"/>
              </w:rPr>
              <w:t>279,1</w:t>
            </w:r>
          </w:p>
        </w:tc>
        <w:tc>
          <w:tcPr>
            <w:tcW w:w="621" w:type="dxa"/>
            <w:noWrap/>
            <w:vAlign w:val="center"/>
            <w:hideMark/>
          </w:tcPr>
          <w:p w14:paraId="2C4A137D" w14:textId="77777777" w:rsidR="00C4504E" w:rsidRPr="00111027" w:rsidRDefault="00C4504E" w:rsidP="00675915">
            <w:pPr>
              <w:pStyle w:val="af0"/>
              <w:spacing w:before="0" w:after="60"/>
              <w:jc w:val="center"/>
              <w:rPr>
                <w:snapToGrid w:val="0"/>
                <w:szCs w:val="18"/>
              </w:rPr>
            </w:pPr>
            <w:r w:rsidRPr="00111027">
              <w:rPr>
                <w:snapToGrid w:val="0"/>
                <w:szCs w:val="18"/>
              </w:rPr>
              <w:t>93,9</w:t>
            </w:r>
          </w:p>
        </w:tc>
        <w:tc>
          <w:tcPr>
            <w:tcW w:w="621" w:type="dxa"/>
            <w:noWrap/>
            <w:vAlign w:val="center"/>
            <w:hideMark/>
          </w:tcPr>
          <w:p w14:paraId="30DA7EA6" w14:textId="77777777" w:rsidR="00C4504E" w:rsidRPr="00111027" w:rsidRDefault="00C4504E" w:rsidP="00675915">
            <w:pPr>
              <w:pStyle w:val="af0"/>
              <w:spacing w:before="0" w:after="60"/>
              <w:jc w:val="center"/>
              <w:rPr>
                <w:snapToGrid w:val="0"/>
                <w:szCs w:val="18"/>
              </w:rPr>
            </w:pPr>
            <w:r w:rsidRPr="00111027">
              <w:rPr>
                <w:snapToGrid w:val="0"/>
                <w:szCs w:val="18"/>
              </w:rPr>
              <w:t>138,5</w:t>
            </w:r>
          </w:p>
        </w:tc>
        <w:tc>
          <w:tcPr>
            <w:tcW w:w="576" w:type="dxa"/>
            <w:noWrap/>
            <w:vAlign w:val="center"/>
            <w:hideMark/>
          </w:tcPr>
          <w:p w14:paraId="493970C8" w14:textId="77777777" w:rsidR="00C4504E" w:rsidRPr="00111027" w:rsidRDefault="00C4504E" w:rsidP="00675915">
            <w:pPr>
              <w:pStyle w:val="af0"/>
              <w:spacing w:before="0" w:after="60"/>
              <w:jc w:val="center"/>
              <w:rPr>
                <w:snapToGrid w:val="0"/>
                <w:szCs w:val="18"/>
              </w:rPr>
            </w:pPr>
            <w:r w:rsidRPr="00FF62EA">
              <w:rPr>
                <w:snapToGrid w:val="0"/>
                <w:szCs w:val="18"/>
              </w:rPr>
              <w:t>0,01</w:t>
            </w:r>
          </w:p>
        </w:tc>
        <w:tc>
          <w:tcPr>
            <w:tcW w:w="576" w:type="dxa"/>
            <w:noWrap/>
            <w:vAlign w:val="center"/>
            <w:hideMark/>
          </w:tcPr>
          <w:p w14:paraId="3BA897A0" w14:textId="77777777" w:rsidR="00C4504E" w:rsidRPr="00111027" w:rsidRDefault="00C4504E" w:rsidP="00675915">
            <w:pPr>
              <w:pStyle w:val="af0"/>
              <w:spacing w:before="0" w:after="60"/>
              <w:jc w:val="center"/>
              <w:rPr>
                <w:snapToGrid w:val="0"/>
                <w:szCs w:val="18"/>
              </w:rPr>
            </w:pPr>
            <w:r w:rsidRPr="00FF62EA">
              <w:rPr>
                <w:snapToGrid w:val="0"/>
                <w:szCs w:val="18"/>
              </w:rPr>
              <w:t>0,02</w:t>
            </w:r>
          </w:p>
        </w:tc>
        <w:tc>
          <w:tcPr>
            <w:tcW w:w="576" w:type="dxa"/>
            <w:noWrap/>
            <w:vAlign w:val="center"/>
            <w:hideMark/>
          </w:tcPr>
          <w:p w14:paraId="4DCDAF57" w14:textId="77777777" w:rsidR="00C4504E" w:rsidRPr="00111027" w:rsidRDefault="00C4504E" w:rsidP="00675915">
            <w:pPr>
              <w:pStyle w:val="af0"/>
              <w:spacing w:before="0" w:after="60"/>
              <w:jc w:val="center"/>
              <w:rPr>
                <w:snapToGrid w:val="0"/>
                <w:szCs w:val="18"/>
              </w:rPr>
            </w:pPr>
            <w:r w:rsidRPr="00FF62EA">
              <w:rPr>
                <w:snapToGrid w:val="0"/>
                <w:szCs w:val="18"/>
              </w:rPr>
              <w:t>0,02</w:t>
            </w:r>
          </w:p>
        </w:tc>
        <w:tc>
          <w:tcPr>
            <w:tcW w:w="576" w:type="dxa"/>
            <w:noWrap/>
            <w:vAlign w:val="center"/>
            <w:hideMark/>
          </w:tcPr>
          <w:p w14:paraId="66CC6AC1" w14:textId="77777777" w:rsidR="00C4504E" w:rsidRPr="00111027" w:rsidRDefault="00C4504E" w:rsidP="00675915">
            <w:pPr>
              <w:pStyle w:val="af0"/>
              <w:spacing w:before="0" w:after="60"/>
              <w:jc w:val="center"/>
              <w:rPr>
                <w:snapToGrid w:val="0"/>
                <w:szCs w:val="18"/>
              </w:rPr>
            </w:pPr>
            <w:r w:rsidRPr="00FF62EA">
              <w:rPr>
                <w:snapToGrid w:val="0"/>
                <w:szCs w:val="18"/>
              </w:rPr>
              <w:t>0,03</w:t>
            </w:r>
          </w:p>
        </w:tc>
      </w:tr>
    </w:tbl>
    <w:p w14:paraId="65F52F70" w14:textId="3F08FFE1" w:rsidR="00C4504E" w:rsidRPr="00111027" w:rsidRDefault="003660E4" w:rsidP="00C4504E">
      <w:pPr>
        <w:pStyle w:val="af0"/>
        <w:ind w:firstLine="708"/>
        <w:rPr>
          <w:snapToGrid w:val="0"/>
          <w:sz w:val="20"/>
        </w:rPr>
      </w:pPr>
      <w:r>
        <w:rPr>
          <w:i/>
          <w:snapToGrid w:val="0"/>
          <w:sz w:val="20"/>
        </w:rPr>
        <w:t>Источник</w:t>
      </w:r>
      <w:r w:rsidR="00C4504E" w:rsidRPr="00111027">
        <w:rPr>
          <w:snapToGrid w:val="0"/>
          <w:sz w:val="20"/>
        </w:rPr>
        <w:t>: 2019 г. - расчёты на данных Федерального закона от 29.11.2018 N 459-ФЗ (ред. от 18.07.2019) "О федеральном бюджете на 2019 год и на плановый период 2020 и 2021 годов"; 2020-2022 гг. – расчеты на данных проекта федерального закона " О федеральном бюджете на 2020 год и на плановый период 2021 и 2022 годов". Данные об индексе цен и ВВП – базовый вариант Прогноза социально-экономического развития Российской Федерации до 2024 г.</w:t>
      </w:r>
    </w:p>
    <w:p w14:paraId="0A29BC33" w14:textId="77777777" w:rsidR="00C4504E" w:rsidRPr="006461D7" w:rsidRDefault="00C4504E" w:rsidP="00C4504E">
      <w:pPr>
        <w:rPr>
          <w:i/>
          <w:snapToGrid w:val="0"/>
          <w:color w:val="215868" w:themeColor="accent5" w:themeShade="80"/>
          <w:szCs w:val="20"/>
        </w:rPr>
      </w:pPr>
      <w:r w:rsidRPr="006461D7">
        <w:rPr>
          <w:snapToGrid w:val="0"/>
          <w:color w:val="215868" w:themeColor="accent5" w:themeShade="80"/>
        </w:rPr>
        <w:br w:type="page"/>
      </w:r>
    </w:p>
    <w:p w14:paraId="7E25A234" w14:textId="22596700" w:rsidR="00C4504E" w:rsidRPr="006B666E" w:rsidRDefault="00C4504E" w:rsidP="00C4504E">
      <w:pPr>
        <w:pStyle w:val="aff8"/>
        <w:keepNext/>
      </w:pPr>
      <w:r w:rsidRPr="006B666E">
        <w:t xml:space="preserve">Таблица </w:t>
      </w:r>
      <w:bookmarkStart w:id="77" w:name="_Ref21348660"/>
      <w:r w:rsidR="008529A6">
        <w:rPr>
          <w:noProof/>
        </w:rPr>
        <w:t>36</w:t>
      </w:r>
      <w:bookmarkEnd w:id="77"/>
    </w:p>
    <w:p w14:paraId="04CC8F25" w14:textId="77777777" w:rsidR="00C4504E" w:rsidRPr="00FF62EA" w:rsidRDefault="00C4504E" w:rsidP="00C4504E">
      <w:pPr>
        <w:pStyle w:val="af7"/>
        <w:rPr>
          <w:snapToGrid w:val="0"/>
        </w:rPr>
      </w:pPr>
      <w:r w:rsidRPr="00FF62EA">
        <w:rPr>
          <w:snapToGrid w:val="0"/>
        </w:rPr>
        <w:t xml:space="preserve">Расходы бюджета Пенсионного фонда Российской Федерации </w:t>
      </w:r>
      <w:bookmarkStart w:id="78" w:name="_Hlk21255486"/>
      <w:r w:rsidRPr="00FF62EA">
        <w:rPr>
          <w:snapToGrid w:val="0"/>
        </w:rPr>
        <w:t>в 2019-2022 гг.</w:t>
      </w:r>
      <w:bookmarkEnd w:id="78"/>
    </w:p>
    <w:tbl>
      <w:tblPr>
        <w:tblW w:w="14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766"/>
        <w:gridCol w:w="766"/>
        <w:gridCol w:w="766"/>
        <w:gridCol w:w="766"/>
        <w:gridCol w:w="752"/>
        <w:gridCol w:w="666"/>
        <w:gridCol w:w="666"/>
        <w:gridCol w:w="766"/>
        <w:gridCol w:w="766"/>
        <w:gridCol w:w="766"/>
        <w:gridCol w:w="686"/>
        <w:gridCol w:w="686"/>
        <w:gridCol w:w="686"/>
        <w:gridCol w:w="686"/>
      </w:tblGrid>
      <w:tr w:rsidR="00C4504E" w:rsidRPr="00FF62EA" w14:paraId="01774027" w14:textId="77777777" w:rsidTr="003660E4">
        <w:trPr>
          <w:trHeight w:val="295"/>
        </w:trPr>
        <w:tc>
          <w:tcPr>
            <w:tcW w:w="4604" w:type="dxa"/>
            <w:shd w:val="clear" w:color="auto" w:fill="auto"/>
            <w:noWrap/>
            <w:vAlign w:val="bottom"/>
          </w:tcPr>
          <w:p w14:paraId="369C216F" w14:textId="77777777" w:rsidR="00C4504E" w:rsidRPr="00FF62EA" w:rsidRDefault="00C4504E" w:rsidP="00675915">
            <w:pPr>
              <w:spacing w:after="60"/>
              <w:rPr>
                <w:sz w:val="20"/>
                <w:szCs w:val="20"/>
              </w:rPr>
            </w:pPr>
          </w:p>
        </w:tc>
        <w:tc>
          <w:tcPr>
            <w:tcW w:w="3064" w:type="dxa"/>
            <w:gridSpan w:val="4"/>
            <w:shd w:val="clear" w:color="auto" w:fill="auto"/>
            <w:noWrap/>
            <w:vAlign w:val="center"/>
          </w:tcPr>
          <w:p w14:paraId="1EBB727F" w14:textId="77777777" w:rsidR="00C4504E" w:rsidRPr="00FF62EA" w:rsidRDefault="00C4504E" w:rsidP="00675915">
            <w:pPr>
              <w:spacing w:after="60"/>
              <w:jc w:val="center"/>
              <w:rPr>
                <w:b/>
                <w:bCs/>
                <w:sz w:val="20"/>
                <w:szCs w:val="20"/>
              </w:rPr>
            </w:pPr>
            <w:r w:rsidRPr="00FF62EA">
              <w:rPr>
                <w:b/>
                <w:bCs/>
                <w:snapToGrid w:val="0"/>
                <w:sz w:val="18"/>
                <w:szCs w:val="18"/>
              </w:rPr>
              <w:t>млрд руб.</w:t>
            </w:r>
          </w:p>
        </w:tc>
        <w:tc>
          <w:tcPr>
            <w:tcW w:w="2084" w:type="dxa"/>
            <w:gridSpan w:val="3"/>
            <w:shd w:val="clear" w:color="auto" w:fill="auto"/>
            <w:noWrap/>
            <w:vAlign w:val="center"/>
          </w:tcPr>
          <w:p w14:paraId="18243D71" w14:textId="77777777" w:rsidR="00C4504E" w:rsidRPr="00FF62EA" w:rsidRDefault="00C4504E" w:rsidP="00675915">
            <w:pPr>
              <w:spacing w:after="60"/>
              <w:jc w:val="center"/>
              <w:rPr>
                <w:sz w:val="20"/>
                <w:szCs w:val="20"/>
              </w:rPr>
            </w:pPr>
            <w:r w:rsidRPr="00FF62EA">
              <w:rPr>
                <w:b/>
                <w:snapToGrid w:val="0"/>
                <w:sz w:val="18"/>
                <w:szCs w:val="18"/>
              </w:rPr>
              <w:t>% к предыдущему году</w:t>
            </w:r>
          </w:p>
        </w:tc>
        <w:tc>
          <w:tcPr>
            <w:tcW w:w="2298" w:type="dxa"/>
            <w:gridSpan w:val="3"/>
            <w:shd w:val="clear" w:color="auto" w:fill="auto"/>
            <w:noWrap/>
            <w:vAlign w:val="center"/>
          </w:tcPr>
          <w:p w14:paraId="4155E095" w14:textId="77777777" w:rsidR="00C4504E" w:rsidRPr="00FF62EA" w:rsidRDefault="00C4504E" w:rsidP="00675915">
            <w:pPr>
              <w:spacing w:after="60"/>
              <w:jc w:val="center"/>
              <w:rPr>
                <w:sz w:val="20"/>
                <w:szCs w:val="20"/>
              </w:rPr>
            </w:pPr>
            <w:r w:rsidRPr="00FF62EA">
              <w:rPr>
                <w:b/>
                <w:snapToGrid w:val="0"/>
                <w:sz w:val="18"/>
                <w:szCs w:val="18"/>
              </w:rPr>
              <w:t>% к предыдущему году, с учетом индекса цен</w:t>
            </w:r>
          </w:p>
        </w:tc>
        <w:tc>
          <w:tcPr>
            <w:tcW w:w="2744" w:type="dxa"/>
            <w:gridSpan w:val="4"/>
            <w:shd w:val="clear" w:color="auto" w:fill="auto"/>
            <w:noWrap/>
            <w:vAlign w:val="center"/>
          </w:tcPr>
          <w:p w14:paraId="16958761" w14:textId="77777777" w:rsidR="00C4504E" w:rsidRPr="00FF62EA" w:rsidRDefault="00C4504E" w:rsidP="00675915">
            <w:pPr>
              <w:spacing w:after="60"/>
              <w:jc w:val="center"/>
              <w:rPr>
                <w:sz w:val="20"/>
                <w:szCs w:val="20"/>
              </w:rPr>
            </w:pPr>
            <w:r w:rsidRPr="00FF62EA">
              <w:rPr>
                <w:b/>
                <w:snapToGrid w:val="0"/>
                <w:sz w:val="18"/>
                <w:szCs w:val="18"/>
              </w:rPr>
              <w:t>% к ВВП</w:t>
            </w:r>
          </w:p>
        </w:tc>
      </w:tr>
      <w:tr w:rsidR="00C4504E" w:rsidRPr="00FF62EA" w14:paraId="51F0D0E3" w14:textId="77777777" w:rsidTr="003660E4">
        <w:trPr>
          <w:trHeight w:val="295"/>
        </w:trPr>
        <w:tc>
          <w:tcPr>
            <w:tcW w:w="4604" w:type="dxa"/>
            <w:shd w:val="clear" w:color="auto" w:fill="auto"/>
            <w:noWrap/>
            <w:vAlign w:val="bottom"/>
            <w:hideMark/>
          </w:tcPr>
          <w:p w14:paraId="56E4B637" w14:textId="77777777" w:rsidR="00C4504E" w:rsidRPr="00FF62EA" w:rsidRDefault="00C4504E" w:rsidP="00675915">
            <w:pPr>
              <w:spacing w:after="60"/>
              <w:rPr>
                <w:b/>
                <w:bCs/>
                <w:sz w:val="20"/>
                <w:szCs w:val="20"/>
              </w:rPr>
            </w:pPr>
          </w:p>
        </w:tc>
        <w:tc>
          <w:tcPr>
            <w:tcW w:w="766" w:type="dxa"/>
            <w:shd w:val="clear" w:color="auto" w:fill="auto"/>
            <w:noWrap/>
            <w:vAlign w:val="bottom"/>
            <w:hideMark/>
          </w:tcPr>
          <w:p w14:paraId="1F2F2F9B" w14:textId="77777777" w:rsidR="00C4504E" w:rsidRPr="00FF62EA" w:rsidRDefault="00C4504E" w:rsidP="00675915">
            <w:pPr>
              <w:spacing w:after="60"/>
              <w:jc w:val="right"/>
              <w:rPr>
                <w:b/>
                <w:bCs/>
                <w:sz w:val="20"/>
                <w:szCs w:val="20"/>
              </w:rPr>
            </w:pPr>
            <w:r w:rsidRPr="00FF62EA">
              <w:rPr>
                <w:b/>
                <w:bCs/>
                <w:sz w:val="20"/>
                <w:szCs w:val="20"/>
              </w:rPr>
              <w:t>2019</w:t>
            </w:r>
          </w:p>
        </w:tc>
        <w:tc>
          <w:tcPr>
            <w:tcW w:w="766" w:type="dxa"/>
            <w:shd w:val="clear" w:color="auto" w:fill="auto"/>
            <w:noWrap/>
            <w:vAlign w:val="bottom"/>
            <w:hideMark/>
          </w:tcPr>
          <w:p w14:paraId="70420128" w14:textId="77777777" w:rsidR="00C4504E" w:rsidRPr="00FF62EA" w:rsidRDefault="00C4504E" w:rsidP="00675915">
            <w:pPr>
              <w:spacing w:after="60"/>
              <w:jc w:val="right"/>
              <w:rPr>
                <w:b/>
                <w:bCs/>
                <w:sz w:val="20"/>
                <w:szCs w:val="20"/>
              </w:rPr>
            </w:pPr>
            <w:r w:rsidRPr="00FF62EA">
              <w:rPr>
                <w:b/>
                <w:bCs/>
                <w:sz w:val="20"/>
                <w:szCs w:val="20"/>
              </w:rPr>
              <w:t>2020</w:t>
            </w:r>
          </w:p>
        </w:tc>
        <w:tc>
          <w:tcPr>
            <w:tcW w:w="766" w:type="dxa"/>
            <w:shd w:val="clear" w:color="auto" w:fill="auto"/>
            <w:noWrap/>
            <w:vAlign w:val="bottom"/>
            <w:hideMark/>
          </w:tcPr>
          <w:p w14:paraId="2F33500C" w14:textId="77777777" w:rsidR="00C4504E" w:rsidRPr="00FF62EA" w:rsidRDefault="00C4504E" w:rsidP="00675915">
            <w:pPr>
              <w:spacing w:after="60"/>
              <w:jc w:val="right"/>
              <w:rPr>
                <w:b/>
                <w:bCs/>
                <w:sz w:val="20"/>
                <w:szCs w:val="20"/>
              </w:rPr>
            </w:pPr>
            <w:r w:rsidRPr="00FF62EA">
              <w:rPr>
                <w:b/>
                <w:bCs/>
                <w:sz w:val="20"/>
                <w:szCs w:val="20"/>
              </w:rPr>
              <w:t>2021</w:t>
            </w:r>
          </w:p>
        </w:tc>
        <w:tc>
          <w:tcPr>
            <w:tcW w:w="766" w:type="dxa"/>
            <w:shd w:val="clear" w:color="auto" w:fill="auto"/>
            <w:noWrap/>
            <w:vAlign w:val="bottom"/>
            <w:hideMark/>
          </w:tcPr>
          <w:p w14:paraId="5E92A138" w14:textId="77777777" w:rsidR="00C4504E" w:rsidRPr="00FF62EA" w:rsidRDefault="00C4504E" w:rsidP="00675915">
            <w:pPr>
              <w:spacing w:after="60"/>
              <w:jc w:val="right"/>
              <w:rPr>
                <w:b/>
                <w:bCs/>
                <w:sz w:val="20"/>
                <w:szCs w:val="20"/>
              </w:rPr>
            </w:pPr>
            <w:r w:rsidRPr="00FF62EA">
              <w:rPr>
                <w:b/>
                <w:bCs/>
                <w:sz w:val="20"/>
                <w:szCs w:val="20"/>
              </w:rPr>
              <w:t>2022</w:t>
            </w:r>
          </w:p>
        </w:tc>
        <w:tc>
          <w:tcPr>
            <w:tcW w:w="752" w:type="dxa"/>
            <w:shd w:val="clear" w:color="auto" w:fill="auto"/>
            <w:noWrap/>
            <w:vAlign w:val="bottom"/>
            <w:hideMark/>
          </w:tcPr>
          <w:p w14:paraId="3A3FB869" w14:textId="77777777" w:rsidR="00C4504E" w:rsidRPr="00FF62EA" w:rsidRDefault="00C4504E" w:rsidP="00675915">
            <w:pPr>
              <w:spacing w:after="60"/>
              <w:jc w:val="right"/>
              <w:rPr>
                <w:b/>
                <w:bCs/>
                <w:sz w:val="20"/>
                <w:szCs w:val="20"/>
              </w:rPr>
            </w:pPr>
            <w:r w:rsidRPr="00FF62EA">
              <w:rPr>
                <w:b/>
                <w:bCs/>
                <w:sz w:val="20"/>
                <w:szCs w:val="20"/>
              </w:rPr>
              <w:t>2020</w:t>
            </w:r>
          </w:p>
        </w:tc>
        <w:tc>
          <w:tcPr>
            <w:tcW w:w="666" w:type="dxa"/>
            <w:shd w:val="clear" w:color="auto" w:fill="auto"/>
            <w:noWrap/>
            <w:vAlign w:val="bottom"/>
            <w:hideMark/>
          </w:tcPr>
          <w:p w14:paraId="39927088" w14:textId="77777777" w:rsidR="00C4504E" w:rsidRPr="00FF62EA" w:rsidRDefault="00C4504E" w:rsidP="00675915">
            <w:pPr>
              <w:spacing w:after="60"/>
              <w:jc w:val="right"/>
              <w:rPr>
                <w:b/>
                <w:bCs/>
                <w:sz w:val="20"/>
                <w:szCs w:val="20"/>
              </w:rPr>
            </w:pPr>
            <w:r w:rsidRPr="00FF62EA">
              <w:rPr>
                <w:b/>
                <w:bCs/>
                <w:sz w:val="20"/>
                <w:szCs w:val="20"/>
              </w:rPr>
              <w:t>2021</w:t>
            </w:r>
          </w:p>
        </w:tc>
        <w:tc>
          <w:tcPr>
            <w:tcW w:w="666" w:type="dxa"/>
            <w:shd w:val="clear" w:color="auto" w:fill="auto"/>
            <w:noWrap/>
            <w:vAlign w:val="bottom"/>
            <w:hideMark/>
          </w:tcPr>
          <w:p w14:paraId="41F3E9D2" w14:textId="77777777" w:rsidR="00C4504E" w:rsidRPr="00FF62EA" w:rsidRDefault="00C4504E" w:rsidP="00675915">
            <w:pPr>
              <w:spacing w:after="60"/>
              <w:jc w:val="right"/>
              <w:rPr>
                <w:b/>
                <w:bCs/>
                <w:sz w:val="20"/>
                <w:szCs w:val="20"/>
              </w:rPr>
            </w:pPr>
            <w:r w:rsidRPr="00FF62EA">
              <w:rPr>
                <w:b/>
                <w:bCs/>
                <w:sz w:val="20"/>
                <w:szCs w:val="20"/>
              </w:rPr>
              <w:t>2022</w:t>
            </w:r>
          </w:p>
        </w:tc>
        <w:tc>
          <w:tcPr>
            <w:tcW w:w="766" w:type="dxa"/>
            <w:shd w:val="clear" w:color="auto" w:fill="auto"/>
            <w:noWrap/>
            <w:vAlign w:val="bottom"/>
            <w:hideMark/>
          </w:tcPr>
          <w:p w14:paraId="455E0404" w14:textId="77777777" w:rsidR="00C4504E" w:rsidRPr="00FF62EA" w:rsidRDefault="00C4504E" w:rsidP="00675915">
            <w:pPr>
              <w:spacing w:after="60"/>
              <w:jc w:val="right"/>
              <w:rPr>
                <w:b/>
                <w:bCs/>
                <w:sz w:val="20"/>
                <w:szCs w:val="20"/>
              </w:rPr>
            </w:pPr>
            <w:r w:rsidRPr="00FF62EA">
              <w:rPr>
                <w:b/>
                <w:bCs/>
                <w:sz w:val="20"/>
                <w:szCs w:val="20"/>
              </w:rPr>
              <w:t>2020</w:t>
            </w:r>
          </w:p>
        </w:tc>
        <w:tc>
          <w:tcPr>
            <w:tcW w:w="766" w:type="dxa"/>
            <w:shd w:val="clear" w:color="auto" w:fill="auto"/>
            <w:noWrap/>
            <w:vAlign w:val="bottom"/>
            <w:hideMark/>
          </w:tcPr>
          <w:p w14:paraId="42CCE86B" w14:textId="77777777" w:rsidR="00C4504E" w:rsidRPr="00FF62EA" w:rsidRDefault="00C4504E" w:rsidP="00675915">
            <w:pPr>
              <w:spacing w:after="60"/>
              <w:jc w:val="right"/>
              <w:rPr>
                <w:b/>
                <w:bCs/>
                <w:sz w:val="20"/>
                <w:szCs w:val="20"/>
              </w:rPr>
            </w:pPr>
            <w:r w:rsidRPr="00FF62EA">
              <w:rPr>
                <w:b/>
                <w:bCs/>
                <w:sz w:val="20"/>
                <w:szCs w:val="20"/>
              </w:rPr>
              <w:t>2021</w:t>
            </w:r>
          </w:p>
        </w:tc>
        <w:tc>
          <w:tcPr>
            <w:tcW w:w="766" w:type="dxa"/>
            <w:shd w:val="clear" w:color="auto" w:fill="auto"/>
            <w:noWrap/>
            <w:vAlign w:val="bottom"/>
            <w:hideMark/>
          </w:tcPr>
          <w:p w14:paraId="49FD17FA" w14:textId="77777777" w:rsidR="00C4504E" w:rsidRPr="00FF62EA" w:rsidRDefault="00C4504E" w:rsidP="00675915">
            <w:pPr>
              <w:spacing w:after="60"/>
              <w:jc w:val="right"/>
              <w:rPr>
                <w:b/>
                <w:bCs/>
                <w:sz w:val="20"/>
                <w:szCs w:val="20"/>
              </w:rPr>
            </w:pPr>
            <w:r w:rsidRPr="00FF62EA">
              <w:rPr>
                <w:b/>
                <w:bCs/>
                <w:sz w:val="20"/>
                <w:szCs w:val="20"/>
              </w:rPr>
              <w:t>2022</w:t>
            </w:r>
          </w:p>
        </w:tc>
        <w:tc>
          <w:tcPr>
            <w:tcW w:w="686" w:type="dxa"/>
            <w:shd w:val="clear" w:color="auto" w:fill="auto"/>
            <w:noWrap/>
            <w:vAlign w:val="bottom"/>
            <w:hideMark/>
          </w:tcPr>
          <w:p w14:paraId="0D8DBA20" w14:textId="77777777" w:rsidR="00C4504E" w:rsidRPr="00FF62EA" w:rsidRDefault="00C4504E" w:rsidP="00675915">
            <w:pPr>
              <w:spacing w:after="60"/>
              <w:jc w:val="right"/>
              <w:rPr>
                <w:b/>
                <w:bCs/>
                <w:sz w:val="20"/>
                <w:szCs w:val="20"/>
              </w:rPr>
            </w:pPr>
            <w:r w:rsidRPr="00FF62EA">
              <w:rPr>
                <w:b/>
                <w:bCs/>
                <w:sz w:val="20"/>
                <w:szCs w:val="20"/>
              </w:rPr>
              <w:t>2019</w:t>
            </w:r>
          </w:p>
        </w:tc>
        <w:tc>
          <w:tcPr>
            <w:tcW w:w="686" w:type="dxa"/>
            <w:shd w:val="clear" w:color="auto" w:fill="auto"/>
            <w:noWrap/>
            <w:vAlign w:val="bottom"/>
            <w:hideMark/>
          </w:tcPr>
          <w:p w14:paraId="112A0B1C" w14:textId="77777777" w:rsidR="00C4504E" w:rsidRPr="00FF62EA" w:rsidRDefault="00C4504E" w:rsidP="00675915">
            <w:pPr>
              <w:spacing w:after="60"/>
              <w:jc w:val="right"/>
              <w:rPr>
                <w:b/>
                <w:bCs/>
                <w:sz w:val="20"/>
                <w:szCs w:val="20"/>
              </w:rPr>
            </w:pPr>
            <w:r w:rsidRPr="00FF62EA">
              <w:rPr>
                <w:b/>
                <w:bCs/>
                <w:sz w:val="20"/>
                <w:szCs w:val="20"/>
              </w:rPr>
              <w:t>2020</w:t>
            </w:r>
          </w:p>
        </w:tc>
        <w:tc>
          <w:tcPr>
            <w:tcW w:w="686" w:type="dxa"/>
            <w:shd w:val="clear" w:color="auto" w:fill="auto"/>
            <w:noWrap/>
            <w:vAlign w:val="bottom"/>
            <w:hideMark/>
          </w:tcPr>
          <w:p w14:paraId="14F8EE77" w14:textId="77777777" w:rsidR="00C4504E" w:rsidRPr="00FF62EA" w:rsidRDefault="00C4504E" w:rsidP="00675915">
            <w:pPr>
              <w:spacing w:after="60"/>
              <w:jc w:val="right"/>
              <w:rPr>
                <w:b/>
                <w:bCs/>
                <w:sz w:val="20"/>
                <w:szCs w:val="20"/>
              </w:rPr>
            </w:pPr>
            <w:r w:rsidRPr="00FF62EA">
              <w:rPr>
                <w:b/>
                <w:bCs/>
                <w:sz w:val="20"/>
                <w:szCs w:val="20"/>
              </w:rPr>
              <w:t>2021</w:t>
            </w:r>
          </w:p>
        </w:tc>
        <w:tc>
          <w:tcPr>
            <w:tcW w:w="686" w:type="dxa"/>
            <w:shd w:val="clear" w:color="auto" w:fill="auto"/>
            <w:noWrap/>
            <w:vAlign w:val="bottom"/>
            <w:hideMark/>
          </w:tcPr>
          <w:p w14:paraId="2CE11509" w14:textId="77777777" w:rsidR="00C4504E" w:rsidRPr="00FF62EA" w:rsidRDefault="00C4504E" w:rsidP="00675915">
            <w:pPr>
              <w:spacing w:after="60"/>
              <w:jc w:val="right"/>
              <w:rPr>
                <w:b/>
                <w:bCs/>
                <w:sz w:val="20"/>
                <w:szCs w:val="20"/>
              </w:rPr>
            </w:pPr>
            <w:r w:rsidRPr="00FF62EA">
              <w:rPr>
                <w:b/>
                <w:bCs/>
                <w:sz w:val="20"/>
                <w:szCs w:val="20"/>
              </w:rPr>
              <w:t>2022</w:t>
            </w:r>
          </w:p>
        </w:tc>
      </w:tr>
      <w:tr w:rsidR="00C4504E" w:rsidRPr="00FF62EA" w14:paraId="4C8A4364" w14:textId="77777777" w:rsidTr="003660E4">
        <w:trPr>
          <w:cantSplit/>
          <w:trHeight w:val="295"/>
        </w:trPr>
        <w:tc>
          <w:tcPr>
            <w:tcW w:w="4604" w:type="dxa"/>
            <w:shd w:val="clear" w:color="auto" w:fill="auto"/>
            <w:noWrap/>
            <w:vAlign w:val="bottom"/>
            <w:hideMark/>
          </w:tcPr>
          <w:p w14:paraId="1E8A6D68" w14:textId="77777777" w:rsidR="00C4504E" w:rsidRPr="00FF62EA" w:rsidRDefault="00C4504E" w:rsidP="00675915">
            <w:pPr>
              <w:spacing w:after="60"/>
              <w:rPr>
                <w:b/>
                <w:bCs/>
                <w:sz w:val="20"/>
                <w:szCs w:val="20"/>
              </w:rPr>
            </w:pPr>
            <w:r w:rsidRPr="00FF62EA">
              <w:rPr>
                <w:b/>
                <w:bCs/>
                <w:sz w:val="20"/>
                <w:szCs w:val="20"/>
              </w:rPr>
              <w:t>Пенсионный фонд Российской Федерации</w:t>
            </w:r>
          </w:p>
        </w:tc>
        <w:tc>
          <w:tcPr>
            <w:tcW w:w="766" w:type="dxa"/>
            <w:shd w:val="clear" w:color="auto" w:fill="auto"/>
            <w:noWrap/>
            <w:vAlign w:val="bottom"/>
            <w:hideMark/>
          </w:tcPr>
          <w:p w14:paraId="3F93F98F" w14:textId="77777777" w:rsidR="00C4504E" w:rsidRPr="00FF62EA" w:rsidRDefault="00C4504E" w:rsidP="00675915">
            <w:pPr>
              <w:spacing w:after="60"/>
              <w:jc w:val="right"/>
              <w:rPr>
                <w:b/>
                <w:bCs/>
                <w:sz w:val="20"/>
                <w:szCs w:val="20"/>
              </w:rPr>
            </w:pPr>
            <w:r w:rsidRPr="00FF62EA">
              <w:rPr>
                <w:b/>
                <w:bCs/>
                <w:sz w:val="20"/>
                <w:szCs w:val="20"/>
              </w:rPr>
              <w:t>8635,9</w:t>
            </w:r>
          </w:p>
        </w:tc>
        <w:tc>
          <w:tcPr>
            <w:tcW w:w="766" w:type="dxa"/>
            <w:shd w:val="clear" w:color="auto" w:fill="auto"/>
            <w:noWrap/>
            <w:vAlign w:val="bottom"/>
            <w:hideMark/>
          </w:tcPr>
          <w:p w14:paraId="2AD9C76E" w14:textId="77777777" w:rsidR="00C4504E" w:rsidRPr="00FF62EA" w:rsidRDefault="00C4504E" w:rsidP="00675915">
            <w:pPr>
              <w:spacing w:after="60"/>
              <w:jc w:val="right"/>
              <w:rPr>
                <w:b/>
                <w:bCs/>
                <w:sz w:val="20"/>
                <w:szCs w:val="20"/>
              </w:rPr>
            </w:pPr>
            <w:r w:rsidRPr="00FF62EA">
              <w:rPr>
                <w:b/>
                <w:bCs/>
                <w:sz w:val="20"/>
                <w:szCs w:val="20"/>
              </w:rPr>
              <w:t>9042,3</w:t>
            </w:r>
          </w:p>
        </w:tc>
        <w:tc>
          <w:tcPr>
            <w:tcW w:w="766" w:type="dxa"/>
            <w:shd w:val="clear" w:color="auto" w:fill="auto"/>
            <w:noWrap/>
            <w:vAlign w:val="bottom"/>
            <w:hideMark/>
          </w:tcPr>
          <w:p w14:paraId="7FC490B0" w14:textId="77777777" w:rsidR="00C4504E" w:rsidRPr="00FF62EA" w:rsidRDefault="00C4504E" w:rsidP="00675915">
            <w:pPr>
              <w:spacing w:after="60"/>
              <w:jc w:val="right"/>
              <w:rPr>
                <w:b/>
                <w:bCs/>
                <w:sz w:val="20"/>
                <w:szCs w:val="20"/>
              </w:rPr>
            </w:pPr>
            <w:r w:rsidRPr="00FF62EA">
              <w:rPr>
                <w:b/>
                <w:bCs/>
                <w:sz w:val="20"/>
                <w:szCs w:val="20"/>
              </w:rPr>
              <w:t>9325,0</w:t>
            </w:r>
          </w:p>
        </w:tc>
        <w:tc>
          <w:tcPr>
            <w:tcW w:w="766" w:type="dxa"/>
            <w:shd w:val="clear" w:color="auto" w:fill="auto"/>
            <w:noWrap/>
            <w:vAlign w:val="bottom"/>
            <w:hideMark/>
          </w:tcPr>
          <w:p w14:paraId="32EFA5F3" w14:textId="77777777" w:rsidR="00C4504E" w:rsidRPr="00FF62EA" w:rsidRDefault="00C4504E" w:rsidP="00675915">
            <w:pPr>
              <w:spacing w:after="60"/>
              <w:jc w:val="right"/>
              <w:rPr>
                <w:b/>
                <w:bCs/>
                <w:sz w:val="20"/>
                <w:szCs w:val="20"/>
              </w:rPr>
            </w:pPr>
            <w:r w:rsidRPr="00FF62EA">
              <w:rPr>
                <w:b/>
                <w:bCs/>
                <w:sz w:val="20"/>
                <w:szCs w:val="20"/>
              </w:rPr>
              <w:t>9702,3</w:t>
            </w:r>
          </w:p>
        </w:tc>
        <w:tc>
          <w:tcPr>
            <w:tcW w:w="752" w:type="dxa"/>
            <w:shd w:val="clear" w:color="auto" w:fill="auto"/>
            <w:noWrap/>
            <w:vAlign w:val="bottom"/>
            <w:hideMark/>
          </w:tcPr>
          <w:p w14:paraId="2EBE386A" w14:textId="77777777" w:rsidR="00C4504E" w:rsidRPr="00FF62EA" w:rsidRDefault="00C4504E" w:rsidP="00675915">
            <w:pPr>
              <w:spacing w:after="60"/>
              <w:jc w:val="right"/>
              <w:rPr>
                <w:b/>
                <w:bCs/>
                <w:sz w:val="20"/>
                <w:szCs w:val="20"/>
              </w:rPr>
            </w:pPr>
            <w:r w:rsidRPr="00FF62EA">
              <w:rPr>
                <w:b/>
                <w:bCs/>
                <w:sz w:val="20"/>
                <w:szCs w:val="20"/>
              </w:rPr>
              <w:t>104,7</w:t>
            </w:r>
          </w:p>
        </w:tc>
        <w:tc>
          <w:tcPr>
            <w:tcW w:w="666" w:type="dxa"/>
            <w:shd w:val="clear" w:color="auto" w:fill="auto"/>
            <w:noWrap/>
            <w:vAlign w:val="bottom"/>
            <w:hideMark/>
          </w:tcPr>
          <w:p w14:paraId="52870BE1" w14:textId="77777777" w:rsidR="00C4504E" w:rsidRPr="00FF62EA" w:rsidRDefault="00C4504E" w:rsidP="00675915">
            <w:pPr>
              <w:spacing w:after="60"/>
              <w:jc w:val="right"/>
              <w:rPr>
                <w:b/>
                <w:bCs/>
                <w:sz w:val="20"/>
                <w:szCs w:val="20"/>
              </w:rPr>
            </w:pPr>
            <w:r w:rsidRPr="00FF62EA">
              <w:rPr>
                <w:b/>
                <w:bCs/>
                <w:sz w:val="20"/>
                <w:szCs w:val="20"/>
              </w:rPr>
              <w:t>103,1</w:t>
            </w:r>
          </w:p>
        </w:tc>
        <w:tc>
          <w:tcPr>
            <w:tcW w:w="666" w:type="dxa"/>
            <w:shd w:val="clear" w:color="auto" w:fill="auto"/>
            <w:noWrap/>
            <w:vAlign w:val="bottom"/>
            <w:hideMark/>
          </w:tcPr>
          <w:p w14:paraId="21DF9A9F" w14:textId="77777777" w:rsidR="00C4504E" w:rsidRPr="00FF62EA" w:rsidRDefault="00C4504E" w:rsidP="00675915">
            <w:pPr>
              <w:spacing w:after="60"/>
              <w:jc w:val="right"/>
              <w:rPr>
                <w:b/>
                <w:bCs/>
                <w:sz w:val="20"/>
                <w:szCs w:val="20"/>
              </w:rPr>
            </w:pPr>
            <w:r w:rsidRPr="00FF62EA">
              <w:rPr>
                <w:b/>
                <w:bCs/>
                <w:sz w:val="20"/>
                <w:szCs w:val="20"/>
              </w:rPr>
              <w:t>104,0</w:t>
            </w:r>
          </w:p>
        </w:tc>
        <w:tc>
          <w:tcPr>
            <w:tcW w:w="766" w:type="dxa"/>
            <w:shd w:val="clear" w:color="auto" w:fill="auto"/>
            <w:noWrap/>
            <w:vAlign w:val="bottom"/>
            <w:hideMark/>
          </w:tcPr>
          <w:p w14:paraId="1A3B7E1C" w14:textId="77777777" w:rsidR="00C4504E" w:rsidRPr="00FF62EA" w:rsidRDefault="00C4504E" w:rsidP="00675915">
            <w:pPr>
              <w:spacing w:after="60"/>
              <w:jc w:val="right"/>
              <w:rPr>
                <w:b/>
                <w:bCs/>
                <w:sz w:val="20"/>
                <w:szCs w:val="20"/>
              </w:rPr>
            </w:pPr>
            <w:r w:rsidRPr="00FF62EA">
              <w:rPr>
                <w:b/>
                <w:bCs/>
                <w:sz w:val="20"/>
                <w:szCs w:val="20"/>
              </w:rPr>
              <w:t>101,7</w:t>
            </w:r>
          </w:p>
        </w:tc>
        <w:tc>
          <w:tcPr>
            <w:tcW w:w="766" w:type="dxa"/>
            <w:shd w:val="clear" w:color="auto" w:fill="auto"/>
            <w:noWrap/>
            <w:vAlign w:val="bottom"/>
            <w:hideMark/>
          </w:tcPr>
          <w:p w14:paraId="7761C26C" w14:textId="77777777" w:rsidR="00C4504E" w:rsidRPr="00FF62EA" w:rsidRDefault="00C4504E" w:rsidP="00675915">
            <w:pPr>
              <w:spacing w:after="60"/>
              <w:jc w:val="right"/>
              <w:rPr>
                <w:b/>
                <w:bCs/>
                <w:sz w:val="20"/>
                <w:szCs w:val="20"/>
              </w:rPr>
            </w:pPr>
            <w:r w:rsidRPr="00FF62EA">
              <w:rPr>
                <w:b/>
                <w:bCs/>
                <w:sz w:val="20"/>
                <w:szCs w:val="20"/>
              </w:rPr>
              <w:t>99,4</w:t>
            </w:r>
          </w:p>
        </w:tc>
        <w:tc>
          <w:tcPr>
            <w:tcW w:w="766" w:type="dxa"/>
            <w:shd w:val="clear" w:color="auto" w:fill="auto"/>
            <w:noWrap/>
            <w:vAlign w:val="bottom"/>
            <w:hideMark/>
          </w:tcPr>
          <w:p w14:paraId="7C6CA9A8" w14:textId="77777777" w:rsidR="00C4504E" w:rsidRPr="00FF62EA" w:rsidRDefault="00C4504E" w:rsidP="00675915">
            <w:pPr>
              <w:spacing w:after="60"/>
              <w:jc w:val="right"/>
              <w:rPr>
                <w:b/>
                <w:bCs/>
                <w:sz w:val="20"/>
                <w:szCs w:val="20"/>
              </w:rPr>
            </w:pPr>
            <w:r w:rsidRPr="00FF62EA">
              <w:rPr>
                <w:b/>
                <w:bCs/>
                <w:sz w:val="20"/>
                <w:szCs w:val="20"/>
              </w:rPr>
              <w:t>100,0</w:t>
            </w:r>
          </w:p>
        </w:tc>
        <w:tc>
          <w:tcPr>
            <w:tcW w:w="686" w:type="dxa"/>
            <w:shd w:val="clear" w:color="auto" w:fill="auto"/>
            <w:noWrap/>
            <w:vAlign w:val="bottom"/>
            <w:hideMark/>
          </w:tcPr>
          <w:p w14:paraId="6FB59F1E" w14:textId="77777777" w:rsidR="00C4504E" w:rsidRPr="00FF62EA" w:rsidRDefault="00C4504E" w:rsidP="00675915">
            <w:pPr>
              <w:spacing w:after="60"/>
              <w:jc w:val="right"/>
              <w:rPr>
                <w:b/>
                <w:bCs/>
                <w:sz w:val="20"/>
                <w:szCs w:val="20"/>
              </w:rPr>
            </w:pPr>
            <w:r w:rsidRPr="00FF62EA">
              <w:rPr>
                <w:b/>
                <w:bCs/>
                <w:sz w:val="20"/>
                <w:szCs w:val="20"/>
              </w:rPr>
              <w:t>7,97</w:t>
            </w:r>
          </w:p>
        </w:tc>
        <w:tc>
          <w:tcPr>
            <w:tcW w:w="686" w:type="dxa"/>
            <w:shd w:val="clear" w:color="auto" w:fill="auto"/>
            <w:noWrap/>
            <w:vAlign w:val="bottom"/>
            <w:hideMark/>
          </w:tcPr>
          <w:p w14:paraId="25A6434D" w14:textId="77777777" w:rsidR="00C4504E" w:rsidRPr="00FF62EA" w:rsidRDefault="00C4504E" w:rsidP="00675915">
            <w:pPr>
              <w:spacing w:after="60"/>
              <w:jc w:val="right"/>
              <w:rPr>
                <w:b/>
                <w:bCs/>
                <w:sz w:val="20"/>
                <w:szCs w:val="20"/>
              </w:rPr>
            </w:pPr>
            <w:r w:rsidRPr="00FF62EA">
              <w:rPr>
                <w:b/>
                <w:bCs/>
                <w:sz w:val="20"/>
                <w:szCs w:val="20"/>
              </w:rPr>
              <w:t>8,01</w:t>
            </w:r>
          </w:p>
        </w:tc>
        <w:tc>
          <w:tcPr>
            <w:tcW w:w="686" w:type="dxa"/>
            <w:shd w:val="clear" w:color="auto" w:fill="auto"/>
            <w:noWrap/>
            <w:vAlign w:val="bottom"/>
            <w:hideMark/>
          </w:tcPr>
          <w:p w14:paraId="7670AF1F" w14:textId="77777777" w:rsidR="00C4504E" w:rsidRPr="00FF62EA" w:rsidRDefault="00C4504E" w:rsidP="00675915">
            <w:pPr>
              <w:spacing w:after="60"/>
              <w:jc w:val="right"/>
              <w:rPr>
                <w:b/>
                <w:bCs/>
                <w:sz w:val="20"/>
                <w:szCs w:val="20"/>
              </w:rPr>
            </w:pPr>
            <w:r w:rsidRPr="00FF62EA">
              <w:rPr>
                <w:b/>
                <w:bCs/>
                <w:sz w:val="20"/>
                <w:szCs w:val="20"/>
              </w:rPr>
              <w:t>7,75</w:t>
            </w:r>
          </w:p>
        </w:tc>
        <w:tc>
          <w:tcPr>
            <w:tcW w:w="686" w:type="dxa"/>
            <w:shd w:val="clear" w:color="auto" w:fill="auto"/>
            <w:noWrap/>
            <w:vAlign w:val="bottom"/>
            <w:hideMark/>
          </w:tcPr>
          <w:p w14:paraId="5BFB2368" w14:textId="77777777" w:rsidR="00C4504E" w:rsidRPr="00FF62EA" w:rsidRDefault="00C4504E" w:rsidP="00675915">
            <w:pPr>
              <w:spacing w:after="60"/>
              <w:jc w:val="right"/>
              <w:rPr>
                <w:b/>
                <w:bCs/>
                <w:sz w:val="20"/>
                <w:szCs w:val="20"/>
              </w:rPr>
            </w:pPr>
            <w:r w:rsidRPr="00FF62EA">
              <w:rPr>
                <w:b/>
                <w:bCs/>
                <w:sz w:val="20"/>
                <w:szCs w:val="20"/>
              </w:rPr>
              <w:t>7,55</w:t>
            </w:r>
          </w:p>
        </w:tc>
      </w:tr>
      <w:tr w:rsidR="00C4504E" w:rsidRPr="00FF62EA" w14:paraId="42632ACC" w14:textId="77777777" w:rsidTr="003660E4">
        <w:trPr>
          <w:cantSplit/>
          <w:trHeight w:val="295"/>
        </w:trPr>
        <w:tc>
          <w:tcPr>
            <w:tcW w:w="4604" w:type="dxa"/>
            <w:shd w:val="clear" w:color="auto" w:fill="auto"/>
            <w:noWrap/>
            <w:vAlign w:val="bottom"/>
            <w:hideMark/>
          </w:tcPr>
          <w:p w14:paraId="6F4841C5" w14:textId="77777777" w:rsidR="00C4504E" w:rsidRPr="00FF62EA" w:rsidRDefault="00C4504E" w:rsidP="00675915">
            <w:pPr>
              <w:spacing w:after="60"/>
              <w:rPr>
                <w:sz w:val="20"/>
                <w:szCs w:val="20"/>
              </w:rPr>
            </w:pPr>
            <w:r w:rsidRPr="00FF62EA">
              <w:rPr>
                <w:sz w:val="20"/>
                <w:szCs w:val="20"/>
              </w:rPr>
              <w:t>Общегосударственные вопросы</w:t>
            </w:r>
          </w:p>
        </w:tc>
        <w:tc>
          <w:tcPr>
            <w:tcW w:w="766" w:type="dxa"/>
            <w:shd w:val="clear" w:color="auto" w:fill="auto"/>
            <w:noWrap/>
            <w:vAlign w:val="bottom"/>
            <w:hideMark/>
          </w:tcPr>
          <w:p w14:paraId="421018BB" w14:textId="77777777" w:rsidR="00C4504E" w:rsidRPr="00FF62EA" w:rsidRDefault="00C4504E" w:rsidP="00675915">
            <w:pPr>
              <w:spacing w:after="60"/>
              <w:jc w:val="right"/>
              <w:rPr>
                <w:sz w:val="20"/>
                <w:szCs w:val="20"/>
              </w:rPr>
            </w:pPr>
            <w:r w:rsidRPr="00FF62EA">
              <w:rPr>
                <w:sz w:val="20"/>
                <w:szCs w:val="20"/>
              </w:rPr>
              <w:t>119,0</w:t>
            </w:r>
          </w:p>
        </w:tc>
        <w:tc>
          <w:tcPr>
            <w:tcW w:w="766" w:type="dxa"/>
            <w:shd w:val="clear" w:color="auto" w:fill="auto"/>
            <w:noWrap/>
            <w:vAlign w:val="bottom"/>
            <w:hideMark/>
          </w:tcPr>
          <w:p w14:paraId="7E9182A4" w14:textId="77777777" w:rsidR="00C4504E" w:rsidRPr="00FF62EA" w:rsidRDefault="00C4504E" w:rsidP="00675915">
            <w:pPr>
              <w:spacing w:after="60"/>
              <w:jc w:val="right"/>
              <w:rPr>
                <w:sz w:val="20"/>
                <w:szCs w:val="20"/>
              </w:rPr>
            </w:pPr>
            <w:r w:rsidRPr="00FF62EA">
              <w:rPr>
                <w:sz w:val="20"/>
                <w:szCs w:val="20"/>
              </w:rPr>
              <w:t>122,3</w:t>
            </w:r>
          </w:p>
        </w:tc>
        <w:tc>
          <w:tcPr>
            <w:tcW w:w="766" w:type="dxa"/>
            <w:shd w:val="clear" w:color="auto" w:fill="auto"/>
            <w:noWrap/>
            <w:vAlign w:val="bottom"/>
            <w:hideMark/>
          </w:tcPr>
          <w:p w14:paraId="2F4DBD13" w14:textId="77777777" w:rsidR="00C4504E" w:rsidRPr="00FF62EA" w:rsidRDefault="00C4504E" w:rsidP="00675915">
            <w:pPr>
              <w:spacing w:after="60"/>
              <w:jc w:val="right"/>
              <w:rPr>
                <w:sz w:val="20"/>
                <w:szCs w:val="20"/>
              </w:rPr>
            </w:pPr>
            <w:r w:rsidRPr="00FF62EA">
              <w:rPr>
                <w:sz w:val="20"/>
                <w:szCs w:val="20"/>
              </w:rPr>
              <w:t>125,5</w:t>
            </w:r>
          </w:p>
        </w:tc>
        <w:tc>
          <w:tcPr>
            <w:tcW w:w="766" w:type="dxa"/>
            <w:shd w:val="clear" w:color="auto" w:fill="auto"/>
            <w:noWrap/>
            <w:vAlign w:val="bottom"/>
            <w:hideMark/>
          </w:tcPr>
          <w:p w14:paraId="545B402B" w14:textId="77777777" w:rsidR="00C4504E" w:rsidRPr="00FF62EA" w:rsidRDefault="00C4504E" w:rsidP="00675915">
            <w:pPr>
              <w:spacing w:after="60"/>
              <w:jc w:val="right"/>
              <w:rPr>
                <w:sz w:val="20"/>
                <w:szCs w:val="20"/>
              </w:rPr>
            </w:pPr>
            <w:r w:rsidRPr="00FF62EA">
              <w:rPr>
                <w:sz w:val="20"/>
                <w:szCs w:val="20"/>
              </w:rPr>
              <w:t>129,4</w:t>
            </w:r>
          </w:p>
        </w:tc>
        <w:tc>
          <w:tcPr>
            <w:tcW w:w="752" w:type="dxa"/>
            <w:shd w:val="clear" w:color="auto" w:fill="auto"/>
            <w:noWrap/>
            <w:vAlign w:val="bottom"/>
            <w:hideMark/>
          </w:tcPr>
          <w:p w14:paraId="4BB98949" w14:textId="77777777" w:rsidR="00C4504E" w:rsidRPr="00FF62EA" w:rsidRDefault="00C4504E" w:rsidP="00675915">
            <w:pPr>
              <w:spacing w:after="60"/>
              <w:jc w:val="right"/>
              <w:rPr>
                <w:sz w:val="20"/>
                <w:szCs w:val="20"/>
              </w:rPr>
            </w:pPr>
            <w:r w:rsidRPr="00FF62EA">
              <w:rPr>
                <w:sz w:val="20"/>
                <w:szCs w:val="20"/>
              </w:rPr>
              <w:t>102,8</w:t>
            </w:r>
          </w:p>
        </w:tc>
        <w:tc>
          <w:tcPr>
            <w:tcW w:w="666" w:type="dxa"/>
            <w:shd w:val="clear" w:color="auto" w:fill="auto"/>
            <w:noWrap/>
            <w:vAlign w:val="bottom"/>
            <w:hideMark/>
          </w:tcPr>
          <w:p w14:paraId="27D4A34B" w14:textId="77777777" w:rsidR="00C4504E" w:rsidRPr="00FF62EA" w:rsidRDefault="00C4504E" w:rsidP="00675915">
            <w:pPr>
              <w:spacing w:after="60"/>
              <w:jc w:val="right"/>
              <w:rPr>
                <w:sz w:val="20"/>
                <w:szCs w:val="20"/>
              </w:rPr>
            </w:pPr>
            <w:r w:rsidRPr="00FF62EA">
              <w:rPr>
                <w:sz w:val="20"/>
                <w:szCs w:val="20"/>
              </w:rPr>
              <w:t>102,6</w:t>
            </w:r>
          </w:p>
        </w:tc>
        <w:tc>
          <w:tcPr>
            <w:tcW w:w="666" w:type="dxa"/>
            <w:shd w:val="clear" w:color="auto" w:fill="auto"/>
            <w:noWrap/>
            <w:vAlign w:val="bottom"/>
            <w:hideMark/>
          </w:tcPr>
          <w:p w14:paraId="23892BB2" w14:textId="77777777" w:rsidR="00C4504E" w:rsidRPr="00FF62EA" w:rsidRDefault="00C4504E" w:rsidP="00675915">
            <w:pPr>
              <w:spacing w:after="60"/>
              <w:jc w:val="right"/>
              <w:rPr>
                <w:sz w:val="20"/>
                <w:szCs w:val="20"/>
              </w:rPr>
            </w:pPr>
            <w:r w:rsidRPr="00FF62EA">
              <w:rPr>
                <w:sz w:val="20"/>
                <w:szCs w:val="20"/>
              </w:rPr>
              <w:t>103,1</w:t>
            </w:r>
          </w:p>
        </w:tc>
        <w:tc>
          <w:tcPr>
            <w:tcW w:w="766" w:type="dxa"/>
            <w:shd w:val="clear" w:color="auto" w:fill="auto"/>
            <w:noWrap/>
            <w:vAlign w:val="bottom"/>
            <w:hideMark/>
          </w:tcPr>
          <w:p w14:paraId="605E0F06" w14:textId="77777777" w:rsidR="00C4504E" w:rsidRPr="00FF62EA" w:rsidRDefault="00C4504E" w:rsidP="00675915">
            <w:pPr>
              <w:spacing w:after="60"/>
              <w:jc w:val="right"/>
              <w:rPr>
                <w:sz w:val="20"/>
                <w:szCs w:val="20"/>
              </w:rPr>
            </w:pPr>
            <w:r w:rsidRPr="00FF62EA">
              <w:rPr>
                <w:sz w:val="20"/>
                <w:szCs w:val="20"/>
              </w:rPr>
              <w:t>99,8</w:t>
            </w:r>
          </w:p>
        </w:tc>
        <w:tc>
          <w:tcPr>
            <w:tcW w:w="766" w:type="dxa"/>
            <w:shd w:val="clear" w:color="auto" w:fill="auto"/>
            <w:noWrap/>
            <w:vAlign w:val="bottom"/>
            <w:hideMark/>
          </w:tcPr>
          <w:p w14:paraId="13733E56" w14:textId="77777777" w:rsidR="00C4504E" w:rsidRPr="00FF62EA" w:rsidRDefault="00C4504E" w:rsidP="00675915">
            <w:pPr>
              <w:spacing w:after="60"/>
              <w:jc w:val="right"/>
              <w:rPr>
                <w:sz w:val="20"/>
                <w:szCs w:val="20"/>
              </w:rPr>
            </w:pPr>
            <w:r w:rsidRPr="00FF62EA">
              <w:rPr>
                <w:sz w:val="20"/>
                <w:szCs w:val="20"/>
              </w:rPr>
              <w:t>99,0</w:t>
            </w:r>
          </w:p>
        </w:tc>
        <w:tc>
          <w:tcPr>
            <w:tcW w:w="766" w:type="dxa"/>
            <w:shd w:val="clear" w:color="auto" w:fill="auto"/>
            <w:noWrap/>
            <w:vAlign w:val="bottom"/>
            <w:hideMark/>
          </w:tcPr>
          <w:p w14:paraId="472B24F6" w14:textId="77777777" w:rsidR="00C4504E" w:rsidRPr="00FF62EA" w:rsidRDefault="00C4504E" w:rsidP="00675915">
            <w:pPr>
              <w:spacing w:after="60"/>
              <w:jc w:val="right"/>
              <w:rPr>
                <w:sz w:val="20"/>
                <w:szCs w:val="20"/>
              </w:rPr>
            </w:pPr>
            <w:r w:rsidRPr="00FF62EA">
              <w:rPr>
                <w:sz w:val="20"/>
                <w:szCs w:val="20"/>
              </w:rPr>
              <w:t>99,1</w:t>
            </w:r>
          </w:p>
        </w:tc>
        <w:tc>
          <w:tcPr>
            <w:tcW w:w="686" w:type="dxa"/>
            <w:shd w:val="clear" w:color="auto" w:fill="auto"/>
            <w:noWrap/>
            <w:vAlign w:val="bottom"/>
            <w:hideMark/>
          </w:tcPr>
          <w:p w14:paraId="5D35C24A" w14:textId="77777777" w:rsidR="00C4504E" w:rsidRPr="00FF62EA" w:rsidRDefault="00C4504E" w:rsidP="00675915">
            <w:pPr>
              <w:spacing w:after="60"/>
              <w:jc w:val="right"/>
              <w:rPr>
                <w:sz w:val="20"/>
                <w:szCs w:val="20"/>
              </w:rPr>
            </w:pPr>
            <w:r w:rsidRPr="00FF62EA">
              <w:rPr>
                <w:sz w:val="20"/>
                <w:szCs w:val="20"/>
              </w:rPr>
              <w:t>0,11</w:t>
            </w:r>
          </w:p>
        </w:tc>
        <w:tc>
          <w:tcPr>
            <w:tcW w:w="686" w:type="dxa"/>
            <w:shd w:val="clear" w:color="auto" w:fill="auto"/>
            <w:noWrap/>
            <w:vAlign w:val="bottom"/>
            <w:hideMark/>
          </w:tcPr>
          <w:p w14:paraId="726B7150" w14:textId="77777777" w:rsidR="00C4504E" w:rsidRPr="00FF62EA" w:rsidRDefault="00C4504E" w:rsidP="00675915">
            <w:pPr>
              <w:spacing w:after="60"/>
              <w:jc w:val="right"/>
              <w:rPr>
                <w:sz w:val="20"/>
                <w:szCs w:val="20"/>
              </w:rPr>
            </w:pPr>
            <w:r w:rsidRPr="00FF62EA">
              <w:rPr>
                <w:sz w:val="20"/>
                <w:szCs w:val="20"/>
              </w:rPr>
              <w:t>0,11</w:t>
            </w:r>
          </w:p>
        </w:tc>
        <w:tc>
          <w:tcPr>
            <w:tcW w:w="686" w:type="dxa"/>
            <w:shd w:val="clear" w:color="auto" w:fill="auto"/>
            <w:noWrap/>
            <w:vAlign w:val="bottom"/>
            <w:hideMark/>
          </w:tcPr>
          <w:p w14:paraId="1EE70180" w14:textId="77777777" w:rsidR="00C4504E" w:rsidRPr="00FF62EA" w:rsidRDefault="00C4504E" w:rsidP="00675915">
            <w:pPr>
              <w:spacing w:after="60"/>
              <w:jc w:val="right"/>
              <w:rPr>
                <w:sz w:val="20"/>
                <w:szCs w:val="20"/>
              </w:rPr>
            </w:pPr>
            <w:r w:rsidRPr="00FF62EA">
              <w:rPr>
                <w:sz w:val="20"/>
                <w:szCs w:val="20"/>
              </w:rPr>
              <w:t>0,10</w:t>
            </w:r>
          </w:p>
        </w:tc>
        <w:tc>
          <w:tcPr>
            <w:tcW w:w="686" w:type="dxa"/>
            <w:shd w:val="clear" w:color="auto" w:fill="auto"/>
            <w:noWrap/>
            <w:vAlign w:val="bottom"/>
            <w:hideMark/>
          </w:tcPr>
          <w:p w14:paraId="1F3153A9" w14:textId="77777777" w:rsidR="00C4504E" w:rsidRPr="00FF62EA" w:rsidRDefault="00C4504E" w:rsidP="00675915">
            <w:pPr>
              <w:spacing w:after="60"/>
              <w:jc w:val="right"/>
              <w:rPr>
                <w:sz w:val="20"/>
                <w:szCs w:val="20"/>
              </w:rPr>
            </w:pPr>
            <w:r w:rsidRPr="00FF62EA">
              <w:rPr>
                <w:sz w:val="20"/>
                <w:szCs w:val="20"/>
              </w:rPr>
              <w:t>0,10</w:t>
            </w:r>
          </w:p>
        </w:tc>
      </w:tr>
      <w:tr w:rsidR="00C4504E" w:rsidRPr="00FF62EA" w14:paraId="5DF67449" w14:textId="77777777" w:rsidTr="003660E4">
        <w:trPr>
          <w:cantSplit/>
          <w:trHeight w:val="321"/>
        </w:trPr>
        <w:tc>
          <w:tcPr>
            <w:tcW w:w="4604" w:type="dxa"/>
            <w:shd w:val="clear" w:color="auto" w:fill="auto"/>
            <w:noWrap/>
            <w:vAlign w:val="bottom"/>
            <w:hideMark/>
          </w:tcPr>
          <w:p w14:paraId="716DBAFC" w14:textId="77777777" w:rsidR="00C4504E" w:rsidRPr="00FF62EA" w:rsidRDefault="00C4504E" w:rsidP="00675915">
            <w:pPr>
              <w:spacing w:after="60"/>
              <w:rPr>
                <w:sz w:val="20"/>
                <w:szCs w:val="20"/>
              </w:rPr>
            </w:pPr>
            <w:r w:rsidRPr="00FF62EA">
              <w:rPr>
                <w:sz w:val="20"/>
                <w:szCs w:val="20"/>
              </w:rPr>
              <w:t>Международные отношения и международное сотрудничество</w:t>
            </w:r>
          </w:p>
        </w:tc>
        <w:tc>
          <w:tcPr>
            <w:tcW w:w="766" w:type="dxa"/>
            <w:shd w:val="clear" w:color="auto" w:fill="auto"/>
            <w:noWrap/>
            <w:vAlign w:val="bottom"/>
            <w:hideMark/>
          </w:tcPr>
          <w:p w14:paraId="19AB3E73" w14:textId="77777777" w:rsidR="00C4504E" w:rsidRPr="00FF62EA" w:rsidRDefault="00C4504E" w:rsidP="00675915">
            <w:pPr>
              <w:spacing w:after="60"/>
              <w:jc w:val="right"/>
              <w:rPr>
                <w:sz w:val="20"/>
                <w:szCs w:val="20"/>
              </w:rPr>
            </w:pPr>
            <w:r w:rsidRPr="00FF62EA">
              <w:rPr>
                <w:sz w:val="20"/>
                <w:szCs w:val="20"/>
              </w:rPr>
              <w:t>0,0</w:t>
            </w:r>
          </w:p>
        </w:tc>
        <w:tc>
          <w:tcPr>
            <w:tcW w:w="766" w:type="dxa"/>
            <w:shd w:val="clear" w:color="auto" w:fill="auto"/>
            <w:noWrap/>
            <w:vAlign w:val="bottom"/>
            <w:hideMark/>
          </w:tcPr>
          <w:p w14:paraId="598780A4" w14:textId="77777777" w:rsidR="00C4504E" w:rsidRPr="00FF62EA" w:rsidRDefault="00C4504E" w:rsidP="00675915">
            <w:pPr>
              <w:spacing w:after="60"/>
              <w:jc w:val="right"/>
              <w:rPr>
                <w:sz w:val="20"/>
                <w:szCs w:val="20"/>
              </w:rPr>
            </w:pPr>
            <w:r w:rsidRPr="00FF62EA">
              <w:rPr>
                <w:sz w:val="20"/>
                <w:szCs w:val="20"/>
              </w:rPr>
              <w:t>0,0</w:t>
            </w:r>
          </w:p>
        </w:tc>
        <w:tc>
          <w:tcPr>
            <w:tcW w:w="766" w:type="dxa"/>
            <w:shd w:val="clear" w:color="auto" w:fill="auto"/>
            <w:noWrap/>
            <w:vAlign w:val="bottom"/>
            <w:hideMark/>
          </w:tcPr>
          <w:p w14:paraId="3E5EFCA1" w14:textId="77777777" w:rsidR="00C4504E" w:rsidRPr="00FF62EA" w:rsidRDefault="00C4504E" w:rsidP="00675915">
            <w:pPr>
              <w:spacing w:after="60"/>
              <w:jc w:val="right"/>
              <w:rPr>
                <w:sz w:val="20"/>
                <w:szCs w:val="20"/>
              </w:rPr>
            </w:pPr>
            <w:r w:rsidRPr="00FF62EA">
              <w:rPr>
                <w:sz w:val="20"/>
                <w:szCs w:val="20"/>
              </w:rPr>
              <w:t>0,0</w:t>
            </w:r>
          </w:p>
        </w:tc>
        <w:tc>
          <w:tcPr>
            <w:tcW w:w="766" w:type="dxa"/>
            <w:shd w:val="clear" w:color="auto" w:fill="auto"/>
            <w:noWrap/>
            <w:vAlign w:val="bottom"/>
            <w:hideMark/>
          </w:tcPr>
          <w:p w14:paraId="5D0E794A" w14:textId="77777777" w:rsidR="00C4504E" w:rsidRPr="00FF62EA" w:rsidRDefault="00C4504E" w:rsidP="00675915">
            <w:pPr>
              <w:spacing w:after="60"/>
              <w:jc w:val="right"/>
              <w:rPr>
                <w:sz w:val="20"/>
                <w:szCs w:val="20"/>
              </w:rPr>
            </w:pPr>
            <w:r w:rsidRPr="00FF62EA">
              <w:rPr>
                <w:sz w:val="20"/>
                <w:szCs w:val="20"/>
              </w:rPr>
              <w:t>0,0</w:t>
            </w:r>
          </w:p>
        </w:tc>
        <w:tc>
          <w:tcPr>
            <w:tcW w:w="752" w:type="dxa"/>
            <w:shd w:val="clear" w:color="auto" w:fill="auto"/>
            <w:noWrap/>
            <w:vAlign w:val="bottom"/>
            <w:hideMark/>
          </w:tcPr>
          <w:p w14:paraId="0F4FECB2" w14:textId="77777777" w:rsidR="00C4504E" w:rsidRPr="00FF62EA" w:rsidRDefault="00C4504E" w:rsidP="00675915">
            <w:pPr>
              <w:spacing w:after="60"/>
              <w:jc w:val="right"/>
              <w:rPr>
                <w:sz w:val="20"/>
                <w:szCs w:val="20"/>
              </w:rPr>
            </w:pPr>
            <w:r w:rsidRPr="00FF62EA">
              <w:rPr>
                <w:sz w:val="20"/>
                <w:szCs w:val="20"/>
              </w:rPr>
              <w:t>129,3</w:t>
            </w:r>
          </w:p>
        </w:tc>
        <w:tc>
          <w:tcPr>
            <w:tcW w:w="666" w:type="dxa"/>
            <w:shd w:val="clear" w:color="auto" w:fill="auto"/>
            <w:noWrap/>
            <w:vAlign w:val="bottom"/>
            <w:hideMark/>
          </w:tcPr>
          <w:p w14:paraId="08380FDB" w14:textId="77777777" w:rsidR="00C4504E" w:rsidRPr="00FF62EA" w:rsidRDefault="00C4504E" w:rsidP="00675915">
            <w:pPr>
              <w:spacing w:after="60"/>
              <w:jc w:val="right"/>
              <w:rPr>
                <w:sz w:val="20"/>
                <w:szCs w:val="20"/>
              </w:rPr>
            </w:pPr>
            <w:r w:rsidRPr="00FF62EA">
              <w:rPr>
                <w:sz w:val="20"/>
                <w:szCs w:val="20"/>
              </w:rPr>
              <w:t>101,4</w:t>
            </w:r>
          </w:p>
        </w:tc>
        <w:tc>
          <w:tcPr>
            <w:tcW w:w="666" w:type="dxa"/>
            <w:shd w:val="clear" w:color="auto" w:fill="auto"/>
            <w:noWrap/>
            <w:vAlign w:val="bottom"/>
            <w:hideMark/>
          </w:tcPr>
          <w:p w14:paraId="69C4F7F5" w14:textId="77777777" w:rsidR="00C4504E" w:rsidRPr="00FF62EA" w:rsidRDefault="00C4504E" w:rsidP="00675915">
            <w:pPr>
              <w:spacing w:after="60"/>
              <w:jc w:val="right"/>
              <w:rPr>
                <w:sz w:val="20"/>
                <w:szCs w:val="20"/>
              </w:rPr>
            </w:pPr>
            <w:r w:rsidRPr="00FF62EA">
              <w:rPr>
                <w:sz w:val="20"/>
                <w:szCs w:val="20"/>
              </w:rPr>
              <w:t>101,4</w:t>
            </w:r>
          </w:p>
        </w:tc>
        <w:tc>
          <w:tcPr>
            <w:tcW w:w="766" w:type="dxa"/>
            <w:shd w:val="clear" w:color="auto" w:fill="auto"/>
            <w:noWrap/>
            <w:vAlign w:val="bottom"/>
            <w:hideMark/>
          </w:tcPr>
          <w:p w14:paraId="44696312" w14:textId="77777777" w:rsidR="00C4504E" w:rsidRPr="00FF62EA" w:rsidRDefault="00C4504E" w:rsidP="00675915">
            <w:pPr>
              <w:spacing w:after="60"/>
              <w:jc w:val="right"/>
              <w:rPr>
                <w:sz w:val="20"/>
                <w:szCs w:val="20"/>
              </w:rPr>
            </w:pPr>
            <w:r w:rsidRPr="00FF62EA">
              <w:rPr>
                <w:sz w:val="20"/>
                <w:szCs w:val="20"/>
              </w:rPr>
              <w:t>125,6</w:t>
            </w:r>
          </w:p>
        </w:tc>
        <w:tc>
          <w:tcPr>
            <w:tcW w:w="766" w:type="dxa"/>
            <w:shd w:val="clear" w:color="auto" w:fill="auto"/>
            <w:noWrap/>
            <w:vAlign w:val="bottom"/>
            <w:hideMark/>
          </w:tcPr>
          <w:p w14:paraId="1A0A870D" w14:textId="77777777" w:rsidR="00C4504E" w:rsidRPr="00FF62EA" w:rsidRDefault="00C4504E" w:rsidP="00675915">
            <w:pPr>
              <w:spacing w:after="60"/>
              <w:jc w:val="right"/>
              <w:rPr>
                <w:sz w:val="20"/>
                <w:szCs w:val="20"/>
              </w:rPr>
            </w:pPr>
            <w:r w:rsidRPr="00FF62EA">
              <w:rPr>
                <w:sz w:val="20"/>
                <w:szCs w:val="20"/>
              </w:rPr>
              <w:t>97,8</w:t>
            </w:r>
          </w:p>
        </w:tc>
        <w:tc>
          <w:tcPr>
            <w:tcW w:w="766" w:type="dxa"/>
            <w:shd w:val="clear" w:color="auto" w:fill="auto"/>
            <w:noWrap/>
            <w:vAlign w:val="bottom"/>
            <w:hideMark/>
          </w:tcPr>
          <w:p w14:paraId="20EBCB93" w14:textId="77777777" w:rsidR="00C4504E" w:rsidRPr="00FF62EA" w:rsidRDefault="00C4504E" w:rsidP="00675915">
            <w:pPr>
              <w:spacing w:after="60"/>
              <w:jc w:val="right"/>
              <w:rPr>
                <w:sz w:val="20"/>
                <w:szCs w:val="20"/>
              </w:rPr>
            </w:pPr>
            <w:r w:rsidRPr="00FF62EA">
              <w:rPr>
                <w:sz w:val="20"/>
                <w:szCs w:val="20"/>
              </w:rPr>
              <w:t>97,5</w:t>
            </w:r>
          </w:p>
        </w:tc>
        <w:tc>
          <w:tcPr>
            <w:tcW w:w="686" w:type="dxa"/>
            <w:shd w:val="clear" w:color="auto" w:fill="auto"/>
            <w:noWrap/>
            <w:vAlign w:val="bottom"/>
            <w:hideMark/>
          </w:tcPr>
          <w:p w14:paraId="10ED95AE" w14:textId="77777777" w:rsidR="00C4504E" w:rsidRPr="00FF62EA" w:rsidRDefault="00C4504E" w:rsidP="00675915">
            <w:pPr>
              <w:spacing w:after="60"/>
              <w:jc w:val="right"/>
              <w:rPr>
                <w:sz w:val="20"/>
                <w:szCs w:val="20"/>
              </w:rPr>
            </w:pPr>
            <w:r w:rsidRPr="00FF62EA">
              <w:rPr>
                <w:sz w:val="20"/>
                <w:szCs w:val="20"/>
              </w:rPr>
              <w:t>0,00</w:t>
            </w:r>
          </w:p>
        </w:tc>
        <w:tc>
          <w:tcPr>
            <w:tcW w:w="686" w:type="dxa"/>
            <w:shd w:val="clear" w:color="auto" w:fill="auto"/>
            <w:noWrap/>
            <w:vAlign w:val="bottom"/>
            <w:hideMark/>
          </w:tcPr>
          <w:p w14:paraId="0593EE6F" w14:textId="77777777" w:rsidR="00C4504E" w:rsidRPr="00FF62EA" w:rsidRDefault="00C4504E" w:rsidP="00675915">
            <w:pPr>
              <w:spacing w:after="60"/>
              <w:jc w:val="right"/>
              <w:rPr>
                <w:sz w:val="20"/>
                <w:szCs w:val="20"/>
              </w:rPr>
            </w:pPr>
            <w:r w:rsidRPr="00FF62EA">
              <w:rPr>
                <w:sz w:val="20"/>
                <w:szCs w:val="20"/>
              </w:rPr>
              <w:t>0,00</w:t>
            </w:r>
          </w:p>
        </w:tc>
        <w:tc>
          <w:tcPr>
            <w:tcW w:w="686" w:type="dxa"/>
            <w:shd w:val="clear" w:color="auto" w:fill="auto"/>
            <w:noWrap/>
            <w:vAlign w:val="bottom"/>
            <w:hideMark/>
          </w:tcPr>
          <w:p w14:paraId="172ED0F9" w14:textId="77777777" w:rsidR="00C4504E" w:rsidRPr="00FF62EA" w:rsidRDefault="00C4504E" w:rsidP="00675915">
            <w:pPr>
              <w:spacing w:after="60"/>
              <w:jc w:val="right"/>
              <w:rPr>
                <w:sz w:val="20"/>
                <w:szCs w:val="20"/>
              </w:rPr>
            </w:pPr>
            <w:r w:rsidRPr="00FF62EA">
              <w:rPr>
                <w:sz w:val="20"/>
                <w:szCs w:val="20"/>
              </w:rPr>
              <w:t>0,00</w:t>
            </w:r>
          </w:p>
        </w:tc>
        <w:tc>
          <w:tcPr>
            <w:tcW w:w="686" w:type="dxa"/>
            <w:shd w:val="clear" w:color="auto" w:fill="auto"/>
            <w:noWrap/>
            <w:vAlign w:val="bottom"/>
            <w:hideMark/>
          </w:tcPr>
          <w:p w14:paraId="7A13A038" w14:textId="77777777" w:rsidR="00C4504E" w:rsidRPr="00FF62EA" w:rsidRDefault="00C4504E" w:rsidP="00675915">
            <w:pPr>
              <w:spacing w:after="60"/>
              <w:jc w:val="right"/>
              <w:rPr>
                <w:sz w:val="20"/>
                <w:szCs w:val="20"/>
              </w:rPr>
            </w:pPr>
            <w:r w:rsidRPr="00FF62EA">
              <w:rPr>
                <w:sz w:val="20"/>
                <w:szCs w:val="20"/>
              </w:rPr>
              <w:t>0,00</w:t>
            </w:r>
          </w:p>
        </w:tc>
      </w:tr>
      <w:tr w:rsidR="00C4504E" w:rsidRPr="00FF62EA" w14:paraId="52B132AE" w14:textId="77777777" w:rsidTr="003660E4">
        <w:trPr>
          <w:cantSplit/>
          <w:trHeight w:val="295"/>
        </w:trPr>
        <w:tc>
          <w:tcPr>
            <w:tcW w:w="4604" w:type="dxa"/>
            <w:shd w:val="clear" w:color="auto" w:fill="auto"/>
            <w:noWrap/>
            <w:vAlign w:val="bottom"/>
            <w:hideMark/>
          </w:tcPr>
          <w:p w14:paraId="52D7FCBE" w14:textId="77777777" w:rsidR="00C4504E" w:rsidRPr="00FF62EA" w:rsidRDefault="00C4504E" w:rsidP="00675915">
            <w:pPr>
              <w:spacing w:after="60"/>
              <w:rPr>
                <w:sz w:val="20"/>
                <w:szCs w:val="20"/>
              </w:rPr>
            </w:pPr>
            <w:r w:rsidRPr="00FF62EA">
              <w:rPr>
                <w:sz w:val="20"/>
                <w:szCs w:val="20"/>
              </w:rPr>
              <w:t>Другие общегосударственные вопросы</w:t>
            </w:r>
          </w:p>
        </w:tc>
        <w:tc>
          <w:tcPr>
            <w:tcW w:w="766" w:type="dxa"/>
            <w:shd w:val="clear" w:color="auto" w:fill="auto"/>
            <w:noWrap/>
            <w:vAlign w:val="bottom"/>
            <w:hideMark/>
          </w:tcPr>
          <w:p w14:paraId="4307F843" w14:textId="77777777" w:rsidR="00C4504E" w:rsidRPr="00FF62EA" w:rsidRDefault="00C4504E" w:rsidP="00675915">
            <w:pPr>
              <w:spacing w:after="60"/>
              <w:jc w:val="right"/>
              <w:rPr>
                <w:sz w:val="20"/>
                <w:szCs w:val="20"/>
              </w:rPr>
            </w:pPr>
            <w:r w:rsidRPr="00FF62EA">
              <w:rPr>
                <w:sz w:val="20"/>
                <w:szCs w:val="20"/>
              </w:rPr>
              <w:t>118,9</w:t>
            </w:r>
          </w:p>
        </w:tc>
        <w:tc>
          <w:tcPr>
            <w:tcW w:w="766" w:type="dxa"/>
            <w:shd w:val="clear" w:color="auto" w:fill="auto"/>
            <w:noWrap/>
            <w:vAlign w:val="bottom"/>
            <w:hideMark/>
          </w:tcPr>
          <w:p w14:paraId="23CC0A1E" w14:textId="77777777" w:rsidR="00C4504E" w:rsidRPr="00FF62EA" w:rsidRDefault="00C4504E" w:rsidP="00675915">
            <w:pPr>
              <w:spacing w:after="60"/>
              <w:jc w:val="right"/>
              <w:rPr>
                <w:sz w:val="20"/>
                <w:szCs w:val="20"/>
              </w:rPr>
            </w:pPr>
            <w:r w:rsidRPr="00FF62EA">
              <w:rPr>
                <w:sz w:val="20"/>
                <w:szCs w:val="20"/>
              </w:rPr>
              <w:t>122,3</w:t>
            </w:r>
          </w:p>
        </w:tc>
        <w:tc>
          <w:tcPr>
            <w:tcW w:w="766" w:type="dxa"/>
            <w:shd w:val="clear" w:color="auto" w:fill="auto"/>
            <w:noWrap/>
            <w:vAlign w:val="bottom"/>
            <w:hideMark/>
          </w:tcPr>
          <w:p w14:paraId="65ACEA54" w14:textId="77777777" w:rsidR="00C4504E" w:rsidRPr="00FF62EA" w:rsidRDefault="00C4504E" w:rsidP="00675915">
            <w:pPr>
              <w:spacing w:after="60"/>
              <w:jc w:val="right"/>
              <w:rPr>
                <w:sz w:val="20"/>
                <w:szCs w:val="20"/>
              </w:rPr>
            </w:pPr>
            <w:r w:rsidRPr="00FF62EA">
              <w:rPr>
                <w:sz w:val="20"/>
                <w:szCs w:val="20"/>
              </w:rPr>
              <w:t>125,5</w:t>
            </w:r>
          </w:p>
        </w:tc>
        <w:tc>
          <w:tcPr>
            <w:tcW w:w="766" w:type="dxa"/>
            <w:shd w:val="clear" w:color="auto" w:fill="auto"/>
            <w:noWrap/>
            <w:vAlign w:val="bottom"/>
            <w:hideMark/>
          </w:tcPr>
          <w:p w14:paraId="35A672A8" w14:textId="77777777" w:rsidR="00C4504E" w:rsidRPr="00FF62EA" w:rsidRDefault="00C4504E" w:rsidP="00675915">
            <w:pPr>
              <w:spacing w:after="60"/>
              <w:jc w:val="right"/>
              <w:rPr>
                <w:sz w:val="20"/>
                <w:szCs w:val="20"/>
              </w:rPr>
            </w:pPr>
            <w:r w:rsidRPr="00FF62EA">
              <w:rPr>
                <w:sz w:val="20"/>
                <w:szCs w:val="20"/>
              </w:rPr>
              <w:t>129,4</w:t>
            </w:r>
          </w:p>
        </w:tc>
        <w:tc>
          <w:tcPr>
            <w:tcW w:w="752" w:type="dxa"/>
            <w:shd w:val="clear" w:color="auto" w:fill="auto"/>
            <w:noWrap/>
            <w:vAlign w:val="bottom"/>
            <w:hideMark/>
          </w:tcPr>
          <w:p w14:paraId="4D895E36" w14:textId="77777777" w:rsidR="00C4504E" w:rsidRPr="00FF62EA" w:rsidRDefault="00C4504E" w:rsidP="00675915">
            <w:pPr>
              <w:spacing w:after="60"/>
              <w:jc w:val="right"/>
              <w:rPr>
                <w:sz w:val="20"/>
                <w:szCs w:val="20"/>
              </w:rPr>
            </w:pPr>
            <w:r w:rsidRPr="00FF62EA">
              <w:rPr>
                <w:sz w:val="20"/>
                <w:szCs w:val="20"/>
              </w:rPr>
              <w:t>102,8</w:t>
            </w:r>
          </w:p>
        </w:tc>
        <w:tc>
          <w:tcPr>
            <w:tcW w:w="666" w:type="dxa"/>
            <w:shd w:val="clear" w:color="auto" w:fill="auto"/>
            <w:noWrap/>
            <w:vAlign w:val="bottom"/>
            <w:hideMark/>
          </w:tcPr>
          <w:p w14:paraId="29F02CE3" w14:textId="77777777" w:rsidR="00C4504E" w:rsidRPr="00FF62EA" w:rsidRDefault="00C4504E" w:rsidP="00675915">
            <w:pPr>
              <w:spacing w:after="60"/>
              <w:jc w:val="right"/>
              <w:rPr>
                <w:sz w:val="20"/>
                <w:szCs w:val="20"/>
              </w:rPr>
            </w:pPr>
            <w:r w:rsidRPr="00FF62EA">
              <w:rPr>
                <w:sz w:val="20"/>
                <w:szCs w:val="20"/>
              </w:rPr>
              <w:t>102,6</w:t>
            </w:r>
          </w:p>
        </w:tc>
        <w:tc>
          <w:tcPr>
            <w:tcW w:w="666" w:type="dxa"/>
            <w:shd w:val="clear" w:color="auto" w:fill="auto"/>
            <w:noWrap/>
            <w:vAlign w:val="bottom"/>
            <w:hideMark/>
          </w:tcPr>
          <w:p w14:paraId="7DF6D02F" w14:textId="77777777" w:rsidR="00C4504E" w:rsidRPr="00FF62EA" w:rsidRDefault="00C4504E" w:rsidP="00675915">
            <w:pPr>
              <w:spacing w:after="60"/>
              <w:jc w:val="right"/>
              <w:rPr>
                <w:sz w:val="20"/>
                <w:szCs w:val="20"/>
              </w:rPr>
            </w:pPr>
            <w:r w:rsidRPr="00FF62EA">
              <w:rPr>
                <w:sz w:val="20"/>
                <w:szCs w:val="20"/>
              </w:rPr>
              <w:t>103,1</w:t>
            </w:r>
          </w:p>
        </w:tc>
        <w:tc>
          <w:tcPr>
            <w:tcW w:w="766" w:type="dxa"/>
            <w:shd w:val="clear" w:color="auto" w:fill="auto"/>
            <w:noWrap/>
            <w:vAlign w:val="bottom"/>
            <w:hideMark/>
          </w:tcPr>
          <w:p w14:paraId="009DA579" w14:textId="77777777" w:rsidR="00C4504E" w:rsidRPr="00FF62EA" w:rsidRDefault="00C4504E" w:rsidP="00675915">
            <w:pPr>
              <w:spacing w:after="60"/>
              <w:jc w:val="right"/>
              <w:rPr>
                <w:sz w:val="20"/>
                <w:szCs w:val="20"/>
              </w:rPr>
            </w:pPr>
            <w:r w:rsidRPr="00FF62EA">
              <w:rPr>
                <w:sz w:val="20"/>
                <w:szCs w:val="20"/>
              </w:rPr>
              <w:t>99,8</w:t>
            </w:r>
          </w:p>
        </w:tc>
        <w:tc>
          <w:tcPr>
            <w:tcW w:w="766" w:type="dxa"/>
            <w:shd w:val="clear" w:color="auto" w:fill="auto"/>
            <w:noWrap/>
            <w:vAlign w:val="bottom"/>
            <w:hideMark/>
          </w:tcPr>
          <w:p w14:paraId="3AE1B2F4" w14:textId="77777777" w:rsidR="00C4504E" w:rsidRPr="00FF62EA" w:rsidRDefault="00C4504E" w:rsidP="00675915">
            <w:pPr>
              <w:spacing w:after="60"/>
              <w:jc w:val="right"/>
              <w:rPr>
                <w:sz w:val="20"/>
                <w:szCs w:val="20"/>
              </w:rPr>
            </w:pPr>
            <w:r w:rsidRPr="00FF62EA">
              <w:rPr>
                <w:sz w:val="20"/>
                <w:szCs w:val="20"/>
              </w:rPr>
              <w:t>99,0</w:t>
            </w:r>
          </w:p>
        </w:tc>
        <w:tc>
          <w:tcPr>
            <w:tcW w:w="766" w:type="dxa"/>
            <w:shd w:val="clear" w:color="auto" w:fill="auto"/>
            <w:noWrap/>
            <w:vAlign w:val="bottom"/>
            <w:hideMark/>
          </w:tcPr>
          <w:p w14:paraId="7F9B039E" w14:textId="77777777" w:rsidR="00C4504E" w:rsidRPr="00FF62EA" w:rsidRDefault="00C4504E" w:rsidP="00675915">
            <w:pPr>
              <w:spacing w:after="60"/>
              <w:jc w:val="right"/>
              <w:rPr>
                <w:sz w:val="20"/>
                <w:szCs w:val="20"/>
              </w:rPr>
            </w:pPr>
            <w:r w:rsidRPr="00FF62EA">
              <w:rPr>
                <w:sz w:val="20"/>
                <w:szCs w:val="20"/>
              </w:rPr>
              <w:t>99,1</w:t>
            </w:r>
          </w:p>
        </w:tc>
        <w:tc>
          <w:tcPr>
            <w:tcW w:w="686" w:type="dxa"/>
            <w:shd w:val="clear" w:color="auto" w:fill="auto"/>
            <w:noWrap/>
            <w:vAlign w:val="bottom"/>
            <w:hideMark/>
          </w:tcPr>
          <w:p w14:paraId="78E6CCEA" w14:textId="77777777" w:rsidR="00C4504E" w:rsidRPr="00FF62EA" w:rsidRDefault="00C4504E" w:rsidP="00675915">
            <w:pPr>
              <w:spacing w:after="60"/>
              <w:jc w:val="right"/>
              <w:rPr>
                <w:sz w:val="20"/>
                <w:szCs w:val="20"/>
              </w:rPr>
            </w:pPr>
            <w:r w:rsidRPr="00FF62EA">
              <w:rPr>
                <w:sz w:val="20"/>
                <w:szCs w:val="20"/>
              </w:rPr>
              <w:t>0,11</w:t>
            </w:r>
          </w:p>
        </w:tc>
        <w:tc>
          <w:tcPr>
            <w:tcW w:w="686" w:type="dxa"/>
            <w:shd w:val="clear" w:color="auto" w:fill="auto"/>
            <w:noWrap/>
            <w:vAlign w:val="bottom"/>
            <w:hideMark/>
          </w:tcPr>
          <w:p w14:paraId="49502B69" w14:textId="77777777" w:rsidR="00C4504E" w:rsidRPr="00FF62EA" w:rsidRDefault="00C4504E" w:rsidP="00675915">
            <w:pPr>
              <w:spacing w:after="60"/>
              <w:jc w:val="right"/>
              <w:rPr>
                <w:sz w:val="20"/>
                <w:szCs w:val="20"/>
              </w:rPr>
            </w:pPr>
            <w:r w:rsidRPr="00FF62EA">
              <w:rPr>
                <w:sz w:val="20"/>
                <w:szCs w:val="20"/>
              </w:rPr>
              <w:t>0,11</w:t>
            </w:r>
          </w:p>
        </w:tc>
        <w:tc>
          <w:tcPr>
            <w:tcW w:w="686" w:type="dxa"/>
            <w:shd w:val="clear" w:color="auto" w:fill="auto"/>
            <w:noWrap/>
            <w:vAlign w:val="bottom"/>
            <w:hideMark/>
          </w:tcPr>
          <w:p w14:paraId="239E4578" w14:textId="77777777" w:rsidR="00C4504E" w:rsidRPr="00FF62EA" w:rsidRDefault="00C4504E" w:rsidP="00675915">
            <w:pPr>
              <w:spacing w:after="60"/>
              <w:jc w:val="right"/>
              <w:rPr>
                <w:sz w:val="20"/>
                <w:szCs w:val="20"/>
              </w:rPr>
            </w:pPr>
            <w:r w:rsidRPr="00FF62EA">
              <w:rPr>
                <w:sz w:val="20"/>
                <w:szCs w:val="20"/>
              </w:rPr>
              <w:t>0,10</w:t>
            </w:r>
          </w:p>
        </w:tc>
        <w:tc>
          <w:tcPr>
            <w:tcW w:w="686" w:type="dxa"/>
            <w:shd w:val="clear" w:color="auto" w:fill="auto"/>
            <w:noWrap/>
            <w:vAlign w:val="bottom"/>
            <w:hideMark/>
          </w:tcPr>
          <w:p w14:paraId="09DBDCC5" w14:textId="77777777" w:rsidR="00C4504E" w:rsidRPr="00FF62EA" w:rsidRDefault="00C4504E" w:rsidP="00675915">
            <w:pPr>
              <w:spacing w:after="60"/>
              <w:jc w:val="right"/>
              <w:rPr>
                <w:sz w:val="20"/>
                <w:szCs w:val="20"/>
              </w:rPr>
            </w:pPr>
            <w:r w:rsidRPr="00FF62EA">
              <w:rPr>
                <w:sz w:val="20"/>
                <w:szCs w:val="20"/>
              </w:rPr>
              <w:t>0,10</w:t>
            </w:r>
          </w:p>
        </w:tc>
      </w:tr>
      <w:tr w:rsidR="00C4504E" w:rsidRPr="00FF62EA" w14:paraId="6DC59F3C" w14:textId="77777777" w:rsidTr="003660E4">
        <w:trPr>
          <w:cantSplit/>
          <w:trHeight w:val="295"/>
        </w:trPr>
        <w:tc>
          <w:tcPr>
            <w:tcW w:w="4604" w:type="dxa"/>
            <w:shd w:val="clear" w:color="auto" w:fill="auto"/>
            <w:noWrap/>
            <w:vAlign w:val="bottom"/>
            <w:hideMark/>
          </w:tcPr>
          <w:p w14:paraId="72F21121" w14:textId="77777777" w:rsidR="00C4504E" w:rsidRPr="00FF62EA" w:rsidRDefault="00C4504E" w:rsidP="00675915">
            <w:pPr>
              <w:spacing w:after="60"/>
              <w:rPr>
                <w:sz w:val="20"/>
                <w:szCs w:val="20"/>
              </w:rPr>
            </w:pPr>
            <w:r w:rsidRPr="00FF62EA">
              <w:rPr>
                <w:sz w:val="20"/>
                <w:szCs w:val="20"/>
              </w:rPr>
              <w:t>Образование</w:t>
            </w:r>
          </w:p>
        </w:tc>
        <w:tc>
          <w:tcPr>
            <w:tcW w:w="766" w:type="dxa"/>
            <w:shd w:val="clear" w:color="auto" w:fill="auto"/>
            <w:noWrap/>
            <w:vAlign w:val="bottom"/>
            <w:hideMark/>
          </w:tcPr>
          <w:p w14:paraId="4B88099C" w14:textId="77777777" w:rsidR="00C4504E" w:rsidRPr="00FF62EA" w:rsidRDefault="00C4504E" w:rsidP="00675915">
            <w:pPr>
              <w:spacing w:after="60"/>
              <w:jc w:val="right"/>
              <w:rPr>
                <w:sz w:val="20"/>
                <w:szCs w:val="20"/>
              </w:rPr>
            </w:pPr>
            <w:r w:rsidRPr="00FF62EA">
              <w:rPr>
                <w:sz w:val="20"/>
                <w:szCs w:val="20"/>
              </w:rPr>
              <w:t>0,1</w:t>
            </w:r>
          </w:p>
        </w:tc>
        <w:tc>
          <w:tcPr>
            <w:tcW w:w="766" w:type="dxa"/>
            <w:shd w:val="clear" w:color="auto" w:fill="auto"/>
            <w:noWrap/>
            <w:vAlign w:val="bottom"/>
            <w:hideMark/>
          </w:tcPr>
          <w:p w14:paraId="3CE591CB" w14:textId="77777777" w:rsidR="00C4504E" w:rsidRPr="00FF62EA" w:rsidRDefault="00C4504E" w:rsidP="00675915">
            <w:pPr>
              <w:spacing w:after="60"/>
              <w:jc w:val="right"/>
              <w:rPr>
                <w:sz w:val="20"/>
                <w:szCs w:val="20"/>
              </w:rPr>
            </w:pPr>
            <w:r w:rsidRPr="00FF62EA">
              <w:rPr>
                <w:sz w:val="20"/>
                <w:szCs w:val="20"/>
              </w:rPr>
              <w:t>0,1</w:t>
            </w:r>
          </w:p>
        </w:tc>
        <w:tc>
          <w:tcPr>
            <w:tcW w:w="766" w:type="dxa"/>
            <w:shd w:val="clear" w:color="auto" w:fill="auto"/>
            <w:noWrap/>
            <w:vAlign w:val="bottom"/>
            <w:hideMark/>
          </w:tcPr>
          <w:p w14:paraId="4E16F6B5" w14:textId="77777777" w:rsidR="00C4504E" w:rsidRPr="00FF62EA" w:rsidRDefault="00C4504E" w:rsidP="00675915">
            <w:pPr>
              <w:spacing w:after="60"/>
              <w:jc w:val="right"/>
              <w:rPr>
                <w:sz w:val="20"/>
                <w:szCs w:val="20"/>
              </w:rPr>
            </w:pPr>
            <w:r w:rsidRPr="00FF62EA">
              <w:rPr>
                <w:sz w:val="20"/>
                <w:szCs w:val="20"/>
              </w:rPr>
              <w:t>0,1</w:t>
            </w:r>
          </w:p>
        </w:tc>
        <w:tc>
          <w:tcPr>
            <w:tcW w:w="766" w:type="dxa"/>
            <w:shd w:val="clear" w:color="auto" w:fill="auto"/>
            <w:noWrap/>
            <w:vAlign w:val="bottom"/>
            <w:hideMark/>
          </w:tcPr>
          <w:p w14:paraId="62034F0D" w14:textId="77777777" w:rsidR="00C4504E" w:rsidRPr="00FF62EA" w:rsidRDefault="00C4504E" w:rsidP="00675915">
            <w:pPr>
              <w:spacing w:after="60"/>
              <w:jc w:val="right"/>
              <w:rPr>
                <w:sz w:val="20"/>
                <w:szCs w:val="20"/>
              </w:rPr>
            </w:pPr>
            <w:r w:rsidRPr="00FF62EA">
              <w:rPr>
                <w:sz w:val="20"/>
                <w:szCs w:val="20"/>
              </w:rPr>
              <w:t>0,1</w:t>
            </w:r>
          </w:p>
        </w:tc>
        <w:tc>
          <w:tcPr>
            <w:tcW w:w="752" w:type="dxa"/>
            <w:shd w:val="clear" w:color="auto" w:fill="auto"/>
            <w:noWrap/>
            <w:vAlign w:val="bottom"/>
            <w:hideMark/>
          </w:tcPr>
          <w:p w14:paraId="33FC82A3" w14:textId="77777777" w:rsidR="00C4504E" w:rsidRPr="00FF62EA" w:rsidRDefault="00C4504E" w:rsidP="00675915">
            <w:pPr>
              <w:spacing w:after="60"/>
              <w:jc w:val="right"/>
              <w:rPr>
                <w:sz w:val="20"/>
                <w:szCs w:val="20"/>
              </w:rPr>
            </w:pPr>
            <w:r w:rsidRPr="00FF62EA">
              <w:rPr>
                <w:sz w:val="20"/>
                <w:szCs w:val="20"/>
              </w:rPr>
              <w:t>104,6</w:t>
            </w:r>
          </w:p>
        </w:tc>
        <w:tc>
          <w:tcPr>
            <w:tcW w:w="666" w:type="dxa"/>
            <w:shd w:val="clear" w:color="auto" w:fill="auto"/>
            <w:noWrap/>
            <w:vAlign w:val="bottom"/>
            <w:hideMark/>
          </w:tcPr>
          <w:p w14:paraId="792C63AE" w14:textId="77777777" w:rsidR="00C4504E" w:rsidRPr="00FF62EA" w:rsidRDefault="00C4504E" w:rsidP="00675915">
            <w:pPr>
              <w:spacing w:after="60"/>
              <w:jc w:val="right"/>
              <w:rPr>
                <w:sz w:val="20"/>
                <w:szCs w:val="20"/>
              </w:rPr>
            </w:pPr>
            <w:r w:rsidRPr="00FF62EA">
              <w:rPr>
                <w:sz w:val="20"/>
                <w:szCs w:val="20"/>
              </w:rPr>
              <w:t>104,1</w:t>
            </w:r>
          </w:p>
        </w:tc>
        <w:tc>
          <w:tcPr>
            <w:tcW w:w="666" w:type="dxa"/>
            <w:shd w:val="clear" w:color="auto" w:fill="auto"/>
            <w:noWrap/>
            <w:vAlign w:val="bottom"/>
            <w:hideMark/>
          </w:tcPr>
          <w:p w14:paraId="36F8FA74" w14:textId="77777777" w:rsidR="00C4504E" w:rsidRPr="00FF62EA" w:rsidRDefault="00C4504E" w:rsidP="00675915">
            <w:pPr>
              <w:spacing w:after="60"/>
              <w:jc w:val="right"/>
              <w:rPr>
                <w:sz w:val="20"/>
                <w:szCs w:val="20"/>
              </w:rPr>
            </w:pPr>
            <w:r w:rsidRPr="00FF62EA">
              <w:rPr>
                <w:sz w:val="20"/>
                <w:szCs w:val="20"/>
              </w:rPr>
              <w:t>101,3</w:t>
            </w:r>
          </w:p>
        </w:tc>
        <w:tc>
          <w:tcPr>
            <w:tcW w:w="766" w:type="dxa"/>
            <w:shd w:val="clear" w:color="auto" w:fill="auto"/>
            <w:noWrap/>
            <w:vAlign w:val="bottom"/>
            <w:hideMark/>
          </w:tcPr>
          <w:p w14:paraId="08AD11E1" w14:textId="77777777" w:rsidR="00C4504E" w:rsidRPr="00FF62EA" w:rsidRDefault="00C4504E" w:rsidP="00675915">
            <w:pPr>
              <w:spacing w:after="60"/>
              <w:jc w:val="right"/>
              <w:rPr>
                <w:sz w:val="20"/>
                <w:szCs w:val="20"/>
              </w:rPr>
            </w:pPr>
            <w:r w:rsidRPr="00FF62EA">
              <w:rPr>
                <w:sz w:val="20"/>
                <w:szCs w:val="20"/>
              </w:rPr>
              <w:t>101,5</w:t>
            </w:r>
          </w:p>
        </w:tc>
        <w:tc>
          <w:tcPr>
            <w:tcW w:w="766" w:type="dxa"/>
            <w:shd w:val="clear" w:color="auto" w:fill="auto"/>
            <w:noWrap/>
            <w:vAlign w:val="bottom"/>
            <w:hideMark/>
          </w:tcPr>
          <w:p w14:paraId="7293A121" w14:textId="77777777" w:rsidR="00C4504E" w:rsidRPr="00FF62EA" w:rsidRDefault="00C4504E" w:rsidP="00675915">
            <w:pPr>
              <w:spacing w:after="60"/>
              <w:jc w:val="right"/>
              <w:rPr>
                <w:sz w:val="20"/>
                <w:szCs w:val="20"/>
              </w:rPr>
            </w:pPr>
            <w:r w:rsidRPr="00FF62EA">
              <w:rPr>
                <w:sz w:val="20"/>
                <w:szCs w:val="20"/>
              </w:rPr>
              <w:t>100,4</w:t>
            </w:r>
          </w:p>
        </w:tc>
        <w:tc>
          <w:tcPr>
            <w:tcW w:w="766" w:type="dxa"/>
            <w:shd w:val="clear" w:color="auto" w:fill="auto"/>
            <w:noWrap/>
            <w:vAlign w:val="bottom"/>
            <w:hideMark/>
          </w:tcPr>
          <w:p w14:paraId="24995844" w14:textId="77777777" w:rsidR="00C4504E" w:rsidRPr="00FF62EA" w:rsidRDefault="00C4504E" w:rsidP="00675915">
            <w:pPr>
              <w:spacing w:after="60"/>
              <w:jc w:val="right"/>
              <w:rPr>
                <w:sz w:val="20"/>
                <w:szCs w:val="20"/>
              </w:rPr>
            </w:pPr>
            <w:r w:rsidRPr="00FF62EA">
              <w:rPr>
                <w:sz w:val="20"/>
                <w:szCs w:val="20"/>
              </w:rPr>
              <w:t>97,4</w:t>
            </w:r>
          </w:p>
        </w:tc>
        <w:tc>
          <w:tcPr>
            <w:tcW w:w="686" w:type="dxa"/>
            <w:shd w:val="clear" w:color="auto" w:fill="auto"/>
            <w:noWrap/>
            <w:vAlign w:val="bottom"/>
            <w:hideMark/>
          </w:tcPr>
          <w:p w14:paraId="29DBE41F" w14:textId="77777777" w:rsidR="00C4504E" w:rsidRPr="00FF62EA" w:rsidRDefault="00C4504E" w:rsidP="00675915">
            <w:pPr>
              <w:spacing w:after="60"/>
              <w:jc w:val="right"/>
              <w:rPr>
                <w:sz w:val="20"/>
                <w:szCs w:val="20"/>
              </w:rPr>
            </w:pPr>
            <w:r w:rsidRPr="00FF62EA">
              <w:rPr>
                <w:sz w:val="20"/>
                <w:szCs w:val="20"/>
              </w:rPr>
              <w:t>0,00</w:t>
            </w:r>
          </w:p>
        </w:tc>
        <w:tc>
          <w:tcPr>
            <w:tcW w:w="686" w:type="dxa"/>
            <w:shd w:val="clear" w:color="auto" w:fill="auto"/>
            <w:noWrap/>
            <w:vAlign w:val="bottom"/>
            <w:hideMark/>
          </w:tcPr>
          <w:p w14:paraId="73CB54AC" w14:textId="77777777" w:rsidR="00C4504E" w:rsidRPr="00FF62EA" w:rsidRDefault="00C4504E" w:rsidP="00675915">
            <w:pPr>
              <w:spacing w:after="60"/>
              <w:jc w:val="right"/>
              <w:rPr>
                <w:sz w:val="20"/>
                <w:szCs w:val="20"/>
              </w:rPr>
            </w:pPr>
            <w:r w:rsidRPr="00FF62EA">
              <w:rPr>
                <w:sz w:val="20"/>
                <w:szCs w:val="20"/>
              </w:rPr>
              <w:t>0,00</w:t>
            </w:r>
          </w:p>
        </w:tc>
        <w:tc>
          <w:tcPr>
            <w:tcW w:w="686" w:type="dxa"/>
            <w:shd w:val="clear" w:color="auto" w:fill="auto"/>
            <w:noWrap/>
            <w:vAlign w:val="bottom"/>
            <w:hideMark/>
          </w:tcPr>
          <w:p w14:paraId="5A7C3B66" w14:textId="77777777" w:rsidR="00C4504E" w:rsidRPr="00FF62EA" w:rsidRDefault="00C4504E" w:rsidP="00675915">
            <w:pPr>
              <w:spacing w:after="60"/>
              <w:jc w:val="right"/>
              <w:rPr>
                <w:sz w:val="20"/>
                <w:szCs w:val="20"/>
              </w:rPr>
            </w:pPr>
            <w:r w:rsidRPr="00FF62EA">
              <w:rPr>
                <w:sz w:val="20"/>
                <w:szCs w:val="20"/>
              </w:rPr>
              <w:t>0,00</w:t>
            </w:r>
          </w:p>
        </w:tc>
        <w:tc>
          <w:tcPr>
            <w:tcW w:w="686" w:type="dxa"/>
            <w:shd w:val="clear" w:color="auto" w:fill="auto"/>
            <w:noWrap/>
            <w:vAlign w:val="bottom"/>
            <w:hideMark/>
          </w:tcPr>
          <w:p w14:paraId="6AFFAE10" w14:textId="77777777" w:rsidR="00C4504E" w:rsidRPr="00FF62EA" w:rsidRDefault="00C4504E" w:rsidP="00675915">
            <w:pPr>
              <w:spacing w:after="60"/>
              <w:jc w:val="right"/>
              <w:rPr>
                <w:sz w:val="20"/>
                <w:szCs w:val="20"/>
              </w:rPr>
            </w:pPr>
            <w:r w:rsidRPr="00FF62EA">
              <w:rPr>
                <w:sz w:val="20"/>
                <w:szCs w:val="20"/>
              </w:rPr>
              <w:t>0,00</w:t>
            </w:r>
          </w:p>
        </w:tc>
      </w:tr>
      <w:tr w:rsidR="00C4504E" w:rsidRPr="00FF62EA" w14:paraId="6A860E4C" w14:textId="77777777" w:rsidTr="003660E4">
        <w:trPr>
          <w:cantSplit/>
          <w:trHeight w:val="295"/>
        </w:trPr>
        <w:tc>
          <w:tcPr>
            <w:tcW w:w="4604" w:type="dxa"/>
            <w:shd w:val="clear" w:color="auto" w:fill="auto"/>
            <w:noWrap/>
            <w:vAlign w:val="bottom"/>
            <w:hideMark/>
          </w:tcPr>
          <w:p w14:paraId="517AB1B7" w14:textId="77777777" w:rsidR="00C4504E" w:rsidRPr="00FF62EA" w:rsidRDefault="00C4504E" w:rsidP="00675915">
            <w:pPr>
              <w:spacing w:after="60"/>
              <w:rPr>
                <w:sz w:val="20"/>
                <w:szCs w:val="20"/>
              </w:rPr>
            </w:pPr>
            <w:r w:rsidRPr="00FF62EA">
              <w:rPr>
                <w:sz w:val="20"/>
                <w:szCs w:val="20"/>
              </w:rPr>
              <w:t>Социальная политика</w:t>
            </w:r>
          </w:p>
        </w:tc>
        <w:tc>
          <w:tcPr>
            <w:tcW w:w="766" w:type="dxa"/>
            <w:shd w:val="clear" w:color="auto" w:fill="auto"/>
            <w:noWrap/>
            <w:vAlign w:val="bottom"/>
            <w:hideMark/>
          </w:tcPr>
          <w:p w14:paraId="6B008920" w14:textId="77777777" w:rsidR="00C4504E" w:rsidRPr="00FF62EA" w:rsidRDefault="00C4504E" w:rsidP="00675915">
            <w:pPr>
              <w:spacing w:after="60"/>
              <w:jc w:val="right"/>
              <w:rPr>
                <w:sz w:val="20"/>
                <w:szCs w:val="20"/>
              </w:rPr>
            </w:pPr>
            <w:r w:rsidRPr="00FF62EA">
              <w:rPr>
                <w:sz w:val="20"/>
                <w:szCs w:val="20"/>
              </w:rPr>
              <w:t>8516,8</w:t>
            </w:r>
          </w:p>
        </w:tc>
        <w:tc>
          <w:tcPr>
            <w:tcW w:w="766" w:type="dxa"/>
            <w:shd w:val="clear" w:color="auto" w:fill="auto"/>
            <w:noWrap/>
            <w:vAlign w:val="bottom"/>
            <w:hideMark/>
          </w:tcPr>
          <w:p w14:paraId="0E99940D" w14:textId="77777777" w:rsidR="00C4504E" w:rsidRPr="00FF62EA" w:rsidRDefault="00C4504E" w:rsidP="00675915">
            <w:pPr>
              <w:spacing w:after="60"/>
              <w:jc w:val="right"/>
              <w:rPr>
                <w:sz w:val="20"/>
                <w:szCs w:val="20"/>
              </w:rPr>
            </w:pPr>
            <w:r w:rsidRPr="00FF62EA">
              <w:rPr>
                <w:sz w:val="20"/>
                <w:szCs w:val="20"/>
              </w:rPr>
              <w:t>8919,8</w:t>
            </w:r>
          </w:p>
        </w:tc>
        <w:tc>
          <w:tcPr>
            <w:tcW w:w="766" w:type="dxa"/>
            <w:shd w:val="clear" w:color="auto" w:fill="auto"/>
            <w:noWrap/>
            <w:vAlign w:val="bottom"/>
            <w:hideMark/>
          </w:tcPr>
          <w:p w14:paraId="34D18147" w14:textId="77777777" w:rsidR="00C4504E" w:rsidRPr="00FF62EA" w:rsidRDefault="00C4504E" w:rsidP="00675915">
            <w:pPr>
              <w:spacing w:after="60"/>
              <w:jc w:val="right"/>
              <w:rPr>
                <w:sz w:val="20"/>
                <w:szCs w:val="20"/>
              </w:rPr>
            </w:pPr>
            <w:r w:rsidRPr="00FF62EA">
              <w:rPr>
                <w:sz w:val="20"/>
                <w:szCs w:val="20"/>
              </w:rPr>
              <w:t>9199,4</w:t>
            </w:r>
          </w:p>
        </w:tc>
        <w:tc>
          <w:tcPr>
            <w:tcW w:w="766" w:type="dxa"/>
            <w:shd w:val="clear" w:color="auto" w:fill="auto"/>
            <w:noWrap/>
            <w:vAlign w:val="bottom"/>
            <w:hideMark/>
          </w:tcPr>
          <w:p w14:paraId="6459505D" w14:textId="77777777" w:rsidR="00C4504E" w:rsidRPr="00FF62EA" w:rsidRDefault="00C4504E" w:rsidP="00675915">
            <w:pPr>
              <w:spacing w:after="60"/>
              <w:jc w:val="right"/>
              <w:rPr>
                <w:sz w:val="20"/>
                <w:szCs w:val="20"/>
              </w:rPr>
            </w:pPr>
            <w:r w:rsidRPr="00FF62EA">
              <w:rPr>
                <w:sz w:val="20"/>
                <w:szCs w:val="20"/>
              </w:rPr>
              <w:t>9572,7</w:t>
            </w:r>
          </w:p>
        </w:tc>
        <w:tc>
          <w:tcPr>
            <w:tcW w:w="752" w:type="dxa"/>
            <w:shd w:val="clear" w:color="auto" w:fill="auto"/>
            <w:noWrap/>
            <w:vAlign w:val="bottom"/>
            <w:hideMark/>
          </w:tcPr>
          <w:p w14:paraId="516CFC3E" w14:textId="77777777" w:rsidR="00C4504E" w:rsidRPr="00FF62EA" w:rsidRDefault="00C4504E" w:rsidP="00675915">
            <w:pPr>
              <w:spacing w:after="60"/>
              <w:jc w:val="right"/>
              <w:rPr>
                <w:sz w:val="20"/>
                <w:szCs w:val="20"/>
              </w:rPr>
            </w:pPr>
            <w:r w:rsidRPr="00FF62EA">
              <w:rPr>
                <w:sz w:val="20"/>
                <w:szCs w:val="20"/>
              </w:rPr>
              <w:t>104,7</w:t>
            </w:r>
          </w:p>
        </w:tc>
        <w:tc>
          <w:tcPr>
            <w:tcW w:w="666" w:type="dxa"/>
            <w:shd w:val="clear" w:color="auto" w:fill="auto"/>
            <w:noWrap/>
            <w:vAlign w:val="bottom"/>
            <w:hideMark/>
          </w:tcPr>
          <w:p w14:paraId="5D15A50C" w14:textId="77777777" w:rsidR="00C4504E" w:rsidRPr="00FF62EA" w:rsidRDefault="00C4504E" w:rsidP="00675915">
            <w:pPr>
              <w:spacing w:after="60"/>
              <w:jc w:val="right"/>
              <w:rPr>
                <w:sz w:val="20"/>
                <w:szCs w:val="20"/>
              </w:rPr>
            </w:pPr>
            <w:r w:rsidRPr="00FF62EA">
              <w:rPr>
                <w:sz w:val="20"/>
                <w:szCs w:val="20"/>
              </w:rPr>
              <w:t>103,1</w:t>
            </w:r>
          </w:p>
        </w:tc>
        <w:tc>
          <w:tcPr>
            <w:tcW w:w="666" w:type="dxa"/>
            <w:shd w:val="clear" w:color="auto" w:fill="auto"/>
            <w:noWrap/>
            <w:vAlign w:val="bottom"/>
            <w:hideMark/>
          </w:tcPr>
          <w:p w14:paraId="2269A4FD" w14:textId="77777777" w:rsidR="00C4504E" w:rsidRPr="00FF62EA" w:rsidRDefault="00C4504E" w:rsidP="00675915">
            <w:pPr>
              <w:spacing w:after="60"/>
              <w:jc w:val="right"/>
              <w:rPr>
                <w:sz w:val="20"/>
                <w:szCs w:val="20"/>
              </w:rPr>
            </w:pPr>
            <w:r w:rsidRPr="00FF62EA">
              <w:rPr>
                <w:sz w:val="20"/>
                <w:szCs w:val="20"/>
              </w:rPr>
              <w:t>104,1</w:t>
            </w:r>
          </w:p>
        </w:tc>
        <w:tc>
          <w:tcPr>
            <w:tcW w:w="766" w:type="dxa"/>
            <w:shd w:val="clear" w:color="auto" w:fill="auto"/>
            <w:noWrap/>
            <w:vAlign w:val="bottom"/>
            <w:hideMark/>
          </w:tcPr>
          <w:p w14:paraId="49EB3967" w14:textId="77777777" w:rsidR="00C4504E" w:rsidRPr="00FF62EA" w:rsidRDefault="00C4504E" w:rsidP="00675915">
            <w:pPr>
              <w:spacing w:after="60"/>
              <w:jc w:val="right"/>
              <w:rPr>
                <w:sz w:val="20"/>
                <w:szCs w:val="20"/>
              </w:rPr>
            </w:pPr>
            <w:r w:rsidRPr="00FF62EA">
              <w:rPr>
                <w:sz w:val="20"/>
                <w:szCs w:val="20"/>
              </w:rPr>
              <w:t>101,7</w:t>
            </w:r>
          </w:p>
        </w:tc>
        <w:tc>
          <w:tcPr>
            <w:tcW w:w="766" w:type="dxa"/>
            <w:shd w:val="clear" w:color="auto" w:fill="auto"/>
            <w:noWrap/>
            <w:vAlign w:val="bottom"/>
            <w:hideMark/>
          </w:tcPr>
          <w:p w14:paraId="600606CC" w14:textId="77777777" w:rsidR="00C4504E" w:rsidRPr="00FF62EA" w:rsidRDefault="00C4504E" w:rsidP="00675915">
            <w:pPr>
              <w:spacing w:after="60"/>
              <w:jc w:val="right"/>
              <w:rPr>
                <w:sz w:val="20"/>
                <w:szCs w:val="20"/>
              </w:rPr>
            </w:pPr>
            <w:r w:rsidRPr="00FF62EA">
              <w:rPr>
                <w:sz w:val="20"/>
                <w:szCs w:val="20"/>
              </w:rPr>
              <w:t>99,5</w:t>
            </w:r>
          </w:p>
        </w:tc>
        <w:tc>
          <w:tcPr>
            <w:tcW w:w="766" w:type="dxa"/>
            <w:shd w:val="clear" w:color="auto" w:fill="auto"/>
            <w:noWrap/>
            <w:vAlign w:val="bottom"/>
            <w:hideMark/>
          </w:tcPr>
          <w:p w14:paraId="623FACE7" w14:textId="77777777" w:rsidR="00C4504E" w:rsidRPr="00FF62EA" w:rsidRDefault="00C4504E" w:rsidP="00675915">
            <w:pPr>
              <w:spacing w:after="60"/>
              <w:jc w:val="right"/>
              <w:rPr>
                <w:sz w:val="20"/>
                <w:szCs w:val="20"/>
              </w:rPr>
            </w:pPr>
            <w:r w:rsidRPr="00FF62EA">
              <w:rPr>
                <w:sz w:val="20"/>
                <w:szCs w:val="20"/>
              </w:rPr>
              <w:t>100,1</w:t>
            </w:r>
          </w:p>
        </w:tc>
        <w:tc>
          <w:tcPr>
            <w:tcW w:w="686" w:type="dxa"/>
            <w:shd w:val="clear" w:color="auto" w:fill="auto"/>
            <w:noWrap/>
            <w:vAlign w:val="bottom"/>
            <w:hideMark/>
          </w:tcPr>
          <w:p w14:paraId="3FD9103B" w14:textId="77777777" w:rsidR="00C4504E" w:rsidRPr="00FF62EA" w:rsidRDefault="00C4504E" w:rsidP="00675915">
            <w:pPr>
              <w:spacing w:after="60"/>
              <w:jc w:val="right"/>
              <w:rPr>
                <w:sz w:val="20"/>
                <w:szCs w:val="20"/>
              </w:rPr>
            </w:pPr>
            <w:r w:rsidRPr="00FF62EA">
              <w:rPr>
                <w:sz w:val="20"/>
                <w:szCs w:val="20"/>
              </w:rPr>
              <w:t>7,86</w:t>
            </w:r>
          </w:p>
        </w:tc>
        <w:tc>
          <w:tcPr>
            <w:tcW w:w="686" w:type="dxa"/>
            <w:shd w:val="clear" w:color="auto" w:fill="auto"/>
            <w:noWrap/>
            <w:vAlign w:val="bottom"/>
            <w:hideMark/>
          </w:tcPr>
          <w:p w14:paraId="05507A02" w14:textId="77777777" w:rsidR="00C4504E" w:rsidRPr="00FF62EA" w:rsidRDefault="00C4504E" w:rsidP="00675915">
            <w:pPr>
              <w:spacing w:after="60"/>
              <w:jc w:val="right"/>
              <w:rPr>
                <w:sz w:val="20"/>
                <w:szCs w:val="20"/>
              </w:rPr>
            </w:pPr>
            <w:r w:rsidRPr="00FF62EA">
              <w:rPr>
                <w:sz w:val="20"/>
                <w:szCs w:val="20"/>
              </w:rPr>
              <w:t>7,90</w:t>
            </w:r>
          </w:p>
        </w:tc>
        <w:tc>
          <w:tcPr>
            <w:tcW w:w="686" w:type="dxa"/>
            <w:shd w:val="clear" w:color="auto" w:fill="auto"/>
            <w:noWrap/>
            <w:vAlign w:val="bottom"/>
            <w:hideMark/>
          </w:tcPr>
          <w:p w14:paraId="7B6558A5" w14:textId="77777777" w:rsidR="00C4504E" w:rsidRPr="00FF62EA" w:rsidRDefault="00C4504E" w:rsidP="00675915">
            <w:pPr>
              <w:spacing w:after="60"/>
              <w:jc w:val="right"/>
              <w:rPr>
                <w:sz w:val="20"/>
                <w:szCs w:val="20"/>
              </w:rPr>
            </w:pPr>
            <w:r w:rsidRPr="00FF62EA">
              <w:rPr>
                <w:sz w:val="20"/>
                <w:szCs w:val="20"/>
              </w:rPr>
              <w:t>7,64</w:t>
            </w:r>
          </w:p>
        </w:tc>
        <w:tc>
          <w:tcPr>
            <w:tcW w:w="686" w:type="dxa"/>
            <w:shd w:val="clear" w:color="auto" w:fill="auto"/>
            <w:noWrap/>
            <w:vAlign w:val="bottom"/>
            <w:hideMark/>
          </w:tcPr>
          <w:p w14:paraId="7A069B70" w14:textId="77777777" w:rsidR="00C4504E" w:rsidRPr="00FF62EA" w:rsidRDefault="00C4504E" w:rsidP="00675915">
            <w:pPr>
              <w:spacing w:after="60"/>
              <w:jc w:val="right"/>
              <w:rPr>
                <w:sz w:val="20"/>
                <w:szCs w:val="20"/>
              </w:rPr>
            </w:pPr>
            <w:r w:rsidRPr="00FF62EA">
              <w:rPr>
                <w:sz w:val="20"/>
                <w:szCs w:val="20"/>
              </w:rPr>
              <w:t>7,45</w:t>
            </w:r>
          </w:p>
        </w:tc>
      </w:tr>
      <w:tr w:rsidR="00C4504E" w:rsidRPr="00FF62EA" w14:paraId="3477E206" w14:textId="77777777" w:rsidTr="003660E4">
        <w:trPr>
          <w:cantSplit/>
          <w:trHeight w:val="295"/>
        </w:trPr>
        <w:tc>
          <w:tcPr>
            <w:tcW w:w="4604" w:type="dxa"/>
            <w:shd w:val="clear" w:color="auto" w:fill="auto"/>
            <w:noWrap/>
            <w:vAlign w:val="bottom"/>
            <w:hideMark/>
          </w:tcPr>
          <w:p w14:paraId="33DF6821" w14:textId="77777777" w:rsidR="00C4504E" w:rsidRPr="00FF62EA" w:rsidRDefault="00C4504E" w:rsidP="00675915">
            <w:pPr>
              <w:spacing w:after="60"/>
              <w:rPr>
                <w:sz w:val="20"/>
                <w:szCs w:val="20"/>
              </w:rPr>
            </w:pPr>
            <w:r w:rsidRPr="00FF62EA">
              <w:rPr>
                <w:sz w:val="20"/>
                <w:szCs w:val="20"/>
              </w:rPr>
              <w:t>Пенсионное обеспечение</w:t>
            </w:r>
          </w:p>
        </w:tc>
        <w:tc>
          <w:tcPr>
            <w:tcW w:w="766" w:type="dxa"/>
            <w:shd w:val="clear" w:color="auto" w:fill="auto"/>
            <w:noWrap/>
            <w:vAlign w:val="bottom"/>
            <w:hideMark/>
          </w:tcPr>
          <w:p w14:paraId="1CAA90C2" w14:textId="77777777" w:rsidR="00C4504E" w:rsidRPr="00FF62EA" w:rsidRDefault="00C4504E" w:rsidP="00675915">
            <w:pPr>
              <w:spacing w:after="60"/>
              <w:jc w:val="right"/>
              <w:rPr>
                <w:sz w:val="20"/>
                <w:szCs w:val="20"/>
              </w:rPr>
            </w:pPr>
            <w:r w:rsidRPr="00FF62EA">
              <w:rPr>
                <w:sz w:val="20"/>
                <w:szCs w:val="20"/>
              </w:rPr>
              <w:t>7587,9</w:t>
            </w:r>
          </w:p>
        </w:tc>
        <w:tc>
          <w:tcPr>
            <w:tcW w:w="766" w:type="dxa"/>
            <w:shd w:val="clear" w:color="auto" w:fill="auto"/>
            <w:noWrap/>
            <w:vAlign w:val="bottom"/>
            <w:hideMark/>
          </w:tcPr>
          <w:p w14:paraId="568022FD" w14:textId="77777777" w:rsidR="00C4504E" w:rsidRPr="00FF62EA" w:rsidRDefault="00C4504E" w:rsidP="00675915">
            <w:pPr>
              <w:spacing w:after="60"/>
              <w:jc w:val="right"/>
              <w:rPr>
                <w:sz w:val="20"/>
                <w:szCs w:val="20"/>
              </w:rPr>
            </w:pPr>
            <w:r w:rsidRPr="00FF62EA">
              <w:rPr>
                <w:sz w:val="20"/>
                <w:szCs w:val="20"/>
              </w:rPr>
              <w:t>8022,0</w:t>
            </w:r>
          </w:p>
        </w:tc>
        <w:tc>
          <w:tcPr>
            <w:tcW w:w="766" w:type="dxa"/>
            <w:shd w:val="clear" w:color="auto" w:fill="auto"/>
            <w:noWrap/>
            <w:vAlign w:val="bottom"/>
            <w:hideMark/>
          </w:tcPr>
          <w:p w14:paraId="0CCB2CD0" w14:textId="77777777" w:rsidR="00C4504E" w:rsidRPr="00FF62EA" w:rsidRDefault="00C4504E" w:rsidP="00675915">
            <w:pPr>
              <w:spacing w:after="60"/>
              <w:jc w:val="right"/>
              <w:rPr>
                <w:sz w:val="20"/>
                <w:szCs w:val="20"/>
              </w:rPr>
            </w:pPr>
            <w:r w:rsidRPr="00FF62EA">
              <w:rPr>
                <w:sz w:val="20"/>
                <w:szCs w:val="20"/>
              </w:rPr>
              <w:t>8275,1</w:t>
            </w:r>
          </w:p>
        </w:tc>
        <w:tc>
          <w:tcPr>
            <w:tcW w:w="766" w:type="dxa"/>
            <w:shd w:val="clear" w:color="auto" w:fill="auto"/>
            <w:noWrap/>
            <w:vAlign w:val="bottom"/>
            <w:hideMark/>
          </w:tcPr>
          <w:p w14:paraId="6982E66D" w14:textId="77777777" w:rsidR="00C4504E" w:rsidRPr="00FF62EA" w:rsidRDefault="00C4504E" w:rsidP="00675915">
            <w:pPr>
              <w:spacing w:after="60"/>
              <w:jc w:val="right"/>
              <w:rPr>
                <w:sz w:val="20"/>
                <w:szCs w:val="20"/>
              </w:rPr>
            </w:pPr>
            <w:r w:rsidRPr="00FF62EA">
              <w:rPr>
                <w:sz w:val="20"/>
                <w:szCs w:val="20"/>
              </w:rPr>
              <w:t>8662,8</w:t>
            </w:r>
          </w:p>
        </w:tc>
        <w:tc>
          <w:tcPr>
            <w:tcW w:w="752" w:type="dxa"/>
            <w:shd w:val="clear" w:color="auto" w:fill="auto"/>
            <w:noWrap/>
            <w:vAlign w:val="bottom"/>
            <w:hideMark/>
          </w:tcPr>
          <w:p w14:paraId="5DCECCA5" w14:textId="77777777" w:rsidR="00C4504E" w:rsidRPr="00FF62EA" w:rsidRDefault="00C4504E" w:rsidP="00675915">
            <w:pPr>
              <w:spacing w:after="60"/>
              <w:jc w:val="right"/>
              <w:rPr>
                <w:sz w:val="20"/>
                <w:szCs w:val="20"/>
              </w:rPr>
            </w:pPr>
            <w:r w:rsidRPr="00FF62EA">
              <w:rPr>
                <w:sz w:val="20"/>
                <w:szCs w:val="20"/>
              </w:rPr>
              <w:t>105,7</w:t>
            </w:r>
          </w:p>
        </w:tc>
        <w:tc>
          <w:tcPr>
            <w:tcW w:w="666" w:type="dxa"/>
            <w:shd w:val="clear" w:color="auto" w:fill="auto"/>
            <w:noWrap/>
            <w:vAlign w:val="bottom"/>
            <w:hideMark/>
          </w:tcPr>
          <w:p w14:paraId="618DC91B" w14:textId="77777777" w:rsidR="00C4504E" w:rsidRPr="00FF62EA" w:rsidRDefault="00C4504E" w:rsidP="00675915">
            <w:pPr>
              <w:spacing w:after="60"/>
              <w:jc w:val="right"/>
              <w:rPr>
                <w:sz w:val="20"/>
                <w:szCs w:val="20"/>
              </w:rPr>
            </w:pPr>
            <w:r w:rsidRPr="00FF62EA">
              <w:rPr>
                <w:sz w:val="20"/>
                <w:szCs w:val="20"/>
              </w:rPr>
              <w:t>103,2</w:t>
            </w:r>
          </w:p>
        </w:tc>
        <w:tc>
          <w:tcPr>
            <w:tcW w:w="666" w:type="dxa"/>
            <w:shd w:val="clear" w:color="auto" w:fill="auto"/>
            <w:noWrap/>
            <w:vAlign w:val="bottom"/>
            <w:hideMark/>
          </w:tcPr>
          <w:p w14:paraId="1768F19E" w14:textId="77777777" w:rsidR="00C4504E" w:rsidRPr="00FF62EA" w:rsidRDefault="00C4504E" w:rsidP="00675915">
            <w:pPr>
              <w:spacing w:after="60"/>
              <w:jc w:val="right"/>
              <w:rPr>
                <w:sz w:val="20"/>
                <w:szCs w:val="20"/>
              </w:rPr>
            </w:pPr>
            <w:r w:rsidRPr="00FF62EA">
              <w:rPr>
                <w:sz w:val="20"/>
                <w:szCs w:val="20"/>
              </w:rPr>
              <w:t>104,7</w:t>
            </w:r>
          </w:p>
        </w:tc>
        <w:tc>
          <w:tcPr>
            <w:tcW w:w="766" w:type="dxa"/>
            <w:shd w:val="clear" w:color="auto" w:fill="auto"/>
            <w:noWrap/>
            <w:vAlign w:val="bottom"/>
            <w:hideMark/>
          </w:tcPr>
          <w:p w14:paraId="300A07F3" w14:textId="77777777" w:rsidR="00C4504E" w:rsidRPr="00FF62EA" w:rsidRDefault="00C4504E" w:rsidP="00675915">
            <w:pPr>
              <w:spacing w:after="60"/>
              <w:jc w:val="right"/>
              <w:rPr>
                <w:sz w:val="20"/>
                <w:szCs w:val="20"/>
              </w:rPr>
            </w:pPr>
            <w:r w:rsidRPr="00FF62EA">
              <w:rPr>
                <w:sz w:val="20"/>
                <w:szCs w:val="20"/>
              </w:rPr>
              <w:t>102,6</w:t>
            </w:r>
          </w:p>
        </w:tc>
        <w:tc>
          <w:tcPr>
            <w:tcW w:w="766" w:type="dxa"/>
            <w:shd w:val="clear" w:color="auto" w:fill="auto"/>
            <w:noWrap/>
            <w:vAlign w:val="bottom"/>
            <w:hideMark/>
          </w:tcPr>
          <w:p w14:paraId="0BDFCF0C" w14:textId="77777777" w:rsidR="00C4504E" w:rsidRPr="00FF62EA" w:rsidRDefault="00C4504E" w:rsidP="00675915">
            <w:pPr>
              <w:spacing w:after="60"/>
              <w:jc w:val="right"/>
              <w:rPr>
                <w:sz w:val="20"/>
                <w:szCs w:val="20"/>
              </w:rPr>
            </w:pPr>
            <w:r w:rsidRPr="00FF62EA">
              <w:rPr>
                <w:sz w:val="20"/>
                <w:szCs w:val="20"/>
              </w:rPr>
              <w:t>99,5</w:t>
            </w:r>
          </w:p>
        </w:tc>
        <w:tc>
          <w:tcPr>
            <w:tcW w:w="766" w:type="dxa"/>
            <w:shd w:val="clear" w:color="auto" w:fill="auto"/>
            <w:noWrap/>
            <w:vAlign w:val="bottom"/>
            <w:hideMark/>
          </w:tcPr>
          <w:p w14:paraId="2416A3B4" w14:textId="77777777" w:rsidR="00C4504E" w:rsidRPr="00FF62EA" w:rsidRDefault="00C4504E" w:rsidP="00675915">
            <w:pPr>
              <w:spacing w:after="60"/>
              <w:jc w:val="right"/>
              <w:rPr>
                <w:sz w:val="20"/>
                <w:szCs w:val="20"/>
              </w:rPr>
            </w:pPr>
            <w:r w:rsidRPr="00FF62EA">
              <w:rPr>
                <w:sz w:val="20"/>
                <w:szCs w:val="20"/>
              </w:rPr>
              <w:t>100,7</w:t>
            </w:r>
          </w:p>
        </w:tc>
        <w:tc>
          <w:tcPr>
            <w:tcW w:w="686" w:type="dxa"/>
            <w:shd w:val="clear" w:color="auto" w:fill="auto"/>
            <w:noWrap/>
            <w:vAlign w:val="bottom"/>
            <w:hideMark/>
          </w:tcPr>
          <w:p w14:paraId="1392E78A" w14:textId="77777777" w:rsidR="00C4504E" w:rsidRPr="00FF62EA" w:rsidRDefault="00C4504E" w:rsidP="00675915">
            <w:pPr>
              <w:spacing w:after="60"/>
              <w:jc w:val="right"/>
              <w:rPr>
                <w:sz w:val="20"/>
                <w:szCs w:val="20"/>
              </w:rPr>
            </w:pPr>
            <w:r w:rsidRPr="00FF62EA">
              <w:rPr>
                <w:sz w:val="20"/>
                <w:szCs w:val="20"/>
              </w:rPr>
              <w:t>7,00</w:t>
            </w:r>
          </w:p>
        </w:tc>
        <w:tc>
          <w:tcPr>
            <w:tcW w:w="686" w:type="dxa"/>
            <w:shd w:val="clear" w:color="auto" w:fill="auto"/>
            <w:noWrap/>
            <w:vAlign w:val="bottom"/>
            <w:hideMark/>
          </w:tcPr>
          <w:p w14:paraId="05C966FD" w14:textId="77777777" w:rsidR="00C4504E" w:rsidRPr="00FF62EA" w:rsidRDefault="00C4504E" w:rsidP="00675915">
            <w:pPr>
              <w:spacing w:after="60"/>
              <w:jc w:val="right"/>
              <w:rPr>
                <w:sz w:val="20"/>
                <w:szCs w:val="20"/>
              </w:rPr>
            </w:pPr>
            <w:r w:rsidRPr="00FF62EA">
              <w:rPr>
                <w:sz w:val="20"/>
                <w:szCs w:val="20"/>
              </w:rPr>
              <w:t>7,11</w:t>
            </w:r>
          </w:p>
        </w:tc>
        <w:tc>
          <w:tcPr>
            <w:tcW w:w="686" w:type="dxa"/>
            <w:shd w:val="clear" w:color="auto" w:fill="auto"/>
            <w:noWrap/>
            <w:vAlign w:val="bottom"/>
            <w:hideMark/>
          </w:tcPr>
          <w:p w14:paraId="1A80A0D3" w14:textId="77777777" w:rsidR="00C4504E" w:rsidRPr="00FF62EA" w:rsidRDefault="00C4504E" w:rsidP="00675915">
            <w:pPr>
              <w:spacing w:after="60"/>
              <w:jc w:val="right"/>
              <w:rPr>
                <w:sz w:val="20"/>
                <w:szCs w:val="20"/>
              </w:rPr>
            </w:pPr>
            <w:r w:rsidRPr="00FF62EA">
              <w:rPr>
                <w:sz w:val="20"/>
                <w:szCs w:val="20"/>
              </w:rPr>
              <w:t>6,88</w:t>
            </w:r>
          </w:p>
        </w:tc>
        <w:tc>
          <w:tcPr>
            <w:tcW w:w="686" w:type="dxa"/>
            <w:shd w:val="clear" w:color="auto" w:fill="auto"/>
            <w:noWrap/>
            <w:vAlign w:val="bottom"/>
            <w:hideMark/>
          </w:tcPr>
          <w:p w14:paraId="53A678DF" w14:textId="77777777" w:rsidR="00C4504E" w:rsidRPr="00FF62EA" w:rsidRDefault="00C4504E" w:rsidP="00675915">
            <w:pPr>
              <w:spacing w:after="60"/>
              <w:jc w:val="right"/>
              <w:rPr>
                <w:sz w:val="20"/>
                <w:szCs w:val="20"/>
              </w:rPr>
            </w:pPr>
            <w:r w:rsidRPr="00FF62EA">
              <w:rPr>
                <w:sz w:val="20"/>
                <w:szCs w:val="20"/>
              </w:rPr>
              <w:t>6,74</w:t>
            </w:r>
          </w:p>
        </w:tc>
      </w:tr>
      <w:tr w:rsidR="00C4504E" w:rsidRPr="00FF62EA" w14:paraId="00633A53" w14:textId="77777777" w:rsidTr="003660E4">
        <w:trPr>
          <w:cantSplit/>
          <w:trHeight w:val="295"/>
        </w:trPr>
        <w:tc>
          <w:tcPr>
            <w:tcW w:w="4604" w:type="dxa"/>
            <w:shd w:val="clear" w:color="auto" w:fill="auto"/>
            <w:noWrap/>
            <w:vAlign w:val="bottom"/>
            <w:hideMark/>
          </w:tcPr>
          <w:p w14:paraId="7626BFF1" w14:textId="77777777" w:rsidR="00C4504E" w:rsidRPr="00FF62EA" w:rsidRDefault="00C4504E" w:rsidP="00675915">
            <w:pPr>
              <w:spacing w:after="60"/>
              <w:rPr>
                <w:sz w:val="20"/>
                <w:szCs w:val="20"/>
              </w:rPr>
            </w:pPr>
            <w:r w:rsidRPr="00FF62EA">
              <w:rPr>
                <w:sz w:val="20"/>
                <w:szCs w:val="20"/>
              </w:rPr>
              <w:t>Социальное обеспечение населения</w:t>
            </w:r>
          </w:p>
        </w:tc>
        <w:tc>
          <w:tcPr>
            <w:tcW w:w="766" w:type="dxa"/>
            <w:shd w:val="clear" w:color="auto" w:fill="auto"/>
            <w:noWrap/>
            <w:vAlign w:val="bottom"/>
            <w:hideMark/>
          </w:tcPr>
          <w:p w14:paraId="479E707E" w14:textId="77777777" w:rsidR="00C4504E" w:rsidRPr="00FF62EA" w:rsidRDefault="00C4504E" w:rsidP="00675915">
            <w:pPr>
              <w:spacing w:after="60"/>
              <w:jc w:val="right"/>
              <w:rPr>
                <w:sz w:val="20"/>
                <w:szCs w:val="20"/>
              </w:rPr>
            </w:pPr>
            <w:r w:rsidRPr="00FF62EA">
              <w:rPr>
                <w:sz w:val="20"/>
                <w:szCs w:val="20"/>
              </w:rPr>
              <w:t>545,0</w:t>
            </w:r>
          </w:p>
        </w:tc>
        <w:tc>
          <w:tcPr>
            <w:tcW w:w="766" w:type="dxa"/>
            <w:shd w:val="clear" w:color="auto" w:fill="auto"/>
            <w:noWrap/>
            <w:vAlign w:val="bottom"/>
            <w:hideMark/>
          </w:tcPr>
          <w:p w14:paraId="244E7A00" w14:textId="77777777" w:rsidR="00C4504E" w:rsidRPr="00FF62EA" w:rsidRDefault="00C4504E" w:rsidP="00675915">
            <w:pPr>
              <w:spacing w:after="60"/>
              <w:jc w:val="right"/>
              <w:rPr>
                <w:sz w:val="20"/>
                <w:szCs w:val="20"/>
              </w:rPr>
            </w:pPr>
            <w:r w:rsidRPr="00FF62EA">
              <w:rPr>
                <w:sz w:val="20"/>
                <w:szCs w:val="20"/>
              </w:rPr>
              <w:t>554,6</w:t>
            </w:r>
          </w:p>
        </w:tc>
        <w:tc>
          <w:tcPr>
            <w:tcW w:w="766" w:type="dxa"/>
            <w:shd w:val="clear" w:color="auto" w:fill="auto"/>
            <w:noWrap/>
            <w:vAlign w:val="bottom"/>
            <w:hideMark/>
          </w:tcPr>
          <w:p w14:paraId="71AB1EE0" w14:textId="77777777" w:rsidR="00C4504E" w:rsidRPr="00FF62EA" w:rsidRDefault="00C4504E" w:rsidP="00675915">
            <w:pPr>
              <w:spacing w:after="60"/>
              <w:jc w:val="right"/>
              <w:rPr>
                <w:sz w:val="20"/>
                <w:szCs w:val="20"/>
              </w:rPr>
            </w:pPr>
            <w:r w:rsidRPr="00FF62EA">
              <w:rPr>
                <w:sz w:val="20"/>
                <w:szCs w:val="20"/>
              </w:rPr>
              <w:t>561,8</w:t>
            </w:r>
          </w:p>
        </w:tc>
        <w:tc>
          <w:tcPr>
            <w:tcW w:w="766" w:type="dxa"/>
            <w:shd w:val="clear" w:color="auto" w:fill="auto"/>
            <w:noWrap/>
            <w:vAlign w:val="bottom"/>
            <w:hideMark/>
          </w:tcPr>
          <w:p w14:paraId="4CCC5F26" w14:textId="77777777" w:rsidR="00C4504E" w:rsidRPr="00FF62EA" w:rsidRDefault="00C4504E" w:rsidP="00675915">
            <w:pPr>
              <w:spacing w:after="60"/>
              <w:jc w:val="right"/>
              <w:rPr>
                <w:sz w:val="20"/>
                <w:szCs w:val="20"/>
              </w:rPr>
            </w:pPr>
            <w:r w:rsidRPr="00FF62EA">
              <w:rPr>
                <w:sz w:val="20"/>
                <w:szCs w:val="20"/>
              </w:rPr>
              <w:t>582,6</w:t>
            </w:r>
          </w:p>
        </w:tc>
        <w:tc>
          <w:tcPr>
            <w:tcW w:w="752" w:type="dxa"/>
            <w:shd w:val="clear" w:color="auto" w:fill="auto"/>
            <w:noWrap/>
            <w:vAlign w:val="bottom"/>
            <w:hideMark/>
          </w:tcPr>
          <w:p w14:paraId="576B24AC" w14:textId="77777777" w:rsidR="00C4504E" w:rsidRPr="00FF62EA" w:rsidRDefault="00C4504E" w:rsidP="00675915">
            <w:pPr>
              <w:spacing w:after="60"/>
              <w:jc w:val="right"/>
              <w:rPr>
                <w:sz w:val="20"/>
                <w:szCs w:val="20"/>
              </w:rPr>
            </w:pPr>
            <w:r w:rsidRPr="00FF62EA">
              <w:rPr>
                <w:sz w:val="20"/>
                <w:szCs w:val="20"/>
              </w:rPr>
              <w:t>101,8</w:t>
            </w:r>
          </w:p>
        </w:tc>
        <w:tc>
          <w:tcPr>
            <w:tcW w:w="666" w:type="dxa"/>
            <w:shd w:val="clear" w:color="auto" w:fill="auto"/>
            <w:noWrap/>
            <w:vAlign w:val="bottom"/>
            <w:hideMark/>
          </w:tcPr>
          <w:p w14:paraId="446ABB97" w14:textId="77777777" w:rsidR="00C4504E" w:rsidRPr="00FF62EA" w:rsidRDefault="00C4504E" w:rsidP="00675915">
            <w:pPr>
              <w:spacing w:after="60"/>
              <w:jc w:val="right"/>
              <w:rPr>
                <w:sz w:val="20"/>
                <w:szCs w:val="20"/>
              </w:rPr>
            </w:pPr>
            <w:r w:rsidRPr="00FF62EA">
              <w:rPr>
                <w:sz w:val="20"/>
                <w:szCs w:val="20"/>
              </w:rPr>
              <w:t>101,3</w:t>
            </w:r>
          </w:p>
        </w:tc>
        <w:tc>
          <w:tcPr>
            <w:tcW w:w="666" w:type="dxa"/>
            <w:shd w:val="clear" w:color="auto" w:fill="auto"/>
            <w:noWrap/>
            <w:vAlign w:val="bottom"/>
            <w:hideMark/>
          </w:tcPr>
          <w:p w14:paraId="4DAB7947" w14:textId="77777777" w:rsidR="00C4504E" w:rsidRPr="00FF62EA" w:rsidRDefault="00C4504E" w:rsidP="00675915">
            <w:pPr>
              <w:spacing w:after="60"/>
              <w:jc w:val="right"/>
              <w:rPr>
                <w:sz w:val="20"/>
                <w:szCs w:val="20"/>
              </w:rPr>
            </w:pPr>
            <w:r w:rsidRPr="00FF62EA">
              <w:rPr>
                <w:sz w:val="20"/>
                <w:szCs w:val="20"/>
              </w:rPr>
              <w:t>103,7</w:t>
            </w:r>
          </w:p>
        </w:tc>
        <w:tc>
          <w:tcPr>
            <w:tcW w:w="766" w:type="dxa"/>
            <w:shd w:val="clear" w:color="auto" w:fill="auto"/>
            <w:noWrap/>
            <w:vAlign w:val="bottom"/>
            <w:hideMark/>
          </w:tcPr>
          <w:p w14:paraId="46588870" w14:textId="77777777" w:rsidR="00C4504E" w:rsidRPr="00FF62EA" w:rsidRDefault="00C4504E" w:rsidP="00675915">
            <w:pPr>
              <w:spacing w:after="60"/>
              <w:jc w:val="right"/>
              <w:rPr>
                <w:sz w:val="20"/>
                <w:szCs w:val="20"/>
              </w:rPr>
            </w:pPr>
            <w:r w:rsidRPr="00FF62EA">
              <w:rPr>
                <w:sz w:val="20"/>
                <w:szCs w:val="20"/>
              </w:rPr>
              <w:t>98,8</w:t>
            </w:r>
          </w:p>
        </w:tc>
        <w:tc>
          <w:tcPr>
            <w:tcW w:w="766" w:type="dxa"/>
            <w:shd w:val="clear" w:color="auto" w:fill="auto"/>
            <w:noWrap/>
            <w:vAlign w:val="bottom"/>
            <w:hideMark/>
          </w:tcPr>
          <w:p w14:paraId="4D76FCE4" w14:textId="77777777" w:rsidR="00C4504E" w:rsidRPr="00FF62EA" w:rsidRDefault="00C4504E" w:rsidP="00675915">
            <w:pPr>
              <w:spacing w:after="60"/>
              <w:jc w:val="right"/>
              <w:rPr>
                <w:sz w:val="20"/>
                <w:szCs w:val="20"/>
              </w:rPr>
            </w:pPr>
            <w:r w:rsidRPr="00FF62EA">
              <w:rPr>
                <w:sz w:val="20"/>
                <w:szCs w:val="20"/>
              </w:rPr>
              <w:t>97,7</w:t>
            </w:r>
          </w:p>
        </w:tc>
        <w:tc>
          <w:tcPr>
            <w:tcW w:w="766" w:type="dxa"/>
            <w:shd w:val="clear" w:color="auto" w:fill="auto"/>
            <w:noWrap/>
            <w:vAlign w:val="bottom"/>
            <w:hideMark/>
          </w:tcPr>
          <w:p w14:paraId="68D08640" w14:textId="77777777" w:rsidR="00C4504E" w:rsidRPr="00FF62EA" w:rsidRDefault="00C4504E" w:rsidP="00675915">
            <w:pPr>
              <w:spacing w:after="60"/>
              <w:jc w:val="right"/>
              <w:rPr>
                <w:sz w:val="20"/>
                <w:szCs w:val="20"/>
              </w:rPr>
            </w:pPr>
            <w:r w:rsidRPr="00FF62EA">
              <w:rPr>
                <w:sz w:val="20"/>
                <w:szCs w:val="20"/>
              </w:rPr>
              <w:t>99,7</w:t>
            </w:r>
          </w:p>
        </w:tc>
        <w:tc>
          <w:tcPr>
            <w:tcW w:w="686" w:type="dxa"/>
            <w:shd w:val="clear" w:color="auto" w:fill="auto"/>
            <w:noWrap/>
            <w:vAlign w:val="bottom"/>
            <w:hideMark/>
          </w:tcPr>
          <w:p w14:paraId="22BB33C5" w14:textId="77777777" w:rsidR="00C4504E" w:rsidRPr="00FF62EA" w:rsidRDefault="00C4504E" w:rsidP="00675915">
            <w:pPr>
              <w:spacing w:after="60"/>
              <w:jc w:val="right"/>
              <w:rPr>
                <w:sz w:val="20"/>
                <w:szCs w:val="20"/>
              </w:rPr>
            </w:pPr>
            <w:r w:rsidRPr="00FF62EA">
              <w:rPr>
                <w:sz w:val="20"/>
                <w:szCs w:val="20"/>
              </w:rPr>
              <w:t>0,50</w:t>
            </w:r>
          </w:p>
        </w:tc>
        <w:tc>
          <w:tcPr>
            <w:tcW w:w="686" w:type="dxa"/>
            <w:shd w:val="clear" w:color="auto" w:fill="auto"/>
            <w:noWrap/>
            <w:vAlign w:val="bottom"/>
            <w:hideMark/>
          </w:tcPr>
          <w:p w14:paraId="02BDE356" w14:textId="77777777" w:rsidR="00C4504E" w:rsidRPr="00FF62EA" w:rsidRDefault="00C4504E" w:rsidP="00675915">
            <w:pPr>
              <w:spacing w:after="60"/>
              <w:jc w:val="right"/>
              <w:rPr>
                <w:sz w:val="20"/>
                <w:szCs w:val="20"/>
              </w:rPr>
            </w:pPr>
            <w:r w:rsidRPr="00FF62EA">
              <w:rPr>
                <w:sz w:val="20"/>
                <w:szCs w:val="20"/>
              </w:rPr>
              <w:t>0,49</w:t>
            </w:r>
          </w:p>
        </w:tc>
        <w:tc>
          <w:tcPr>
            <w:tcW w:w="686" w:type="dxa"/>
            <w:shd w:val="clear" w:color="auto" w:fill="auto"/>
            <w:noWrap/>
            <w:vAlign w:val="bottom"/>
            <w:hideMark/>
          </w:tcPr>
          <w:p w14:paraId="49C71AC1" w14:textId="77777777" w:rsidR="00C4504E" w:rsidRPr="00FF62EA" w:rsidRDefault="00C4504E" w:rsidP="00675915">
            <w:pPr>
              <w:spacing w:after="60"/>
              <w:jc w:val="right"/>
              <w:rPr>
                <w:sz w:val="20"/>
                <w:szCs w:val="20"/>
              </w:rPr>
            </w:pPr>
            <w:r w:rsidRPr="00FF62EA">
              <w:rPr>
                <w:sz w:val="20"/>
                <w:szCs w:val="20"/>
              </w:rPr>
              <w:t>0,47</w:t>
            </w:r>
          </w:p>
        </w:tc>
        <w:tc>
          <w:tcPr>
            <w:tcW w:w="686" w:type="dxa"/>
            <w:shd w:val="clear" w:color="auto" w:fill="auto"/>
            <w:noWrap/>
            <w:vAlign w:val="bottom"/>
            <w:hideMark/>
          </w:tcPr>
          <w:p w14:paraId="765A4703" w14:textId="77777777" w:rsidR="00C4504E" w:rsidRPr="00FF62EA" w:rsidRDefault="00C4504E" w:rsidP="00675915">
            <w:pPr>
              <w:spacing w:after="60"/>
              <w:jc w:val="right"/>
              <w:rPr>
                <w:sz w:val="20"/>
                <w:szCs w:val="20"/>
              </w:rPr>
            </w:pPr>
            <w:r w:rsidRPr="00FF62EA">
              <w:rPr>
                <w:sz w:val="20"/>
                <w:szCs w:val="20"/>
              </w:rPr>
              <w:t>0,45</w:t>
            </w:r>
          </w:p>
        </w:tc>
      </w:tr>
      <w:tr w:rsidR="00C4504E" w:rsidRPr="00FF62EA" w14:paraId="64329E61" w14:textId="77777777" w:rsidTr="003660E4">
        <w:trPr>
          <w:cantSplit/>
          <w:trHeight w:val="295"/>
        </w:trPr>
        <w:tc>
          <w:tcPr>
            <w:tcW w:w="4604" w:type="dxa"/>
            <w:shd w:val="clear" w:color="auto" w:fill="auto"/>
            <w:noWrap/>
            <w:vAlign w:val="bottom"/>
            <w:hideMark/>
          </w:tcPr>
          <w:p w14:paraId="79C13BEB" w14:textId="77777777" w:rsidR="00C4504E" w:rsidRPr="00FF62EA" w:rsidRDefault="00C4504E" w:rsidP="00675915">
            <w:pPr>
              <w:spacing w:after="60"/>
              <w:rPr>
                <w:sz w:val="20"/>
                <w:szCs w:val="20"/>
              </w:rPr>
            </w:pPr>
            <w:r w:rsidRPr="00FF62EA">
              <w:rPr>
                <w:sz w:val="20"/>
                <w:szCs w:val="20"/>
              </w:rPr>
              <w:t>Охрана семьи и детства</w:t>
            </w:r>
          </w:p>
        </w:tc>
        <w:tc>
          <w:tcPr>
            <w:tcW w:w="766" w:type="dxa"/>
            <w:shd w:val="clear" w:color="auto" w:fill="auto"/>
            <w:noWrap/>
            <w:vAlign w:val="bottom"/>
            <w:hideMark/>
          </w:tcPr>
          <w:p w14:paraId="0524A84D" w14:textId="77777777" w:rsidR="00C4504E" w:rsidRPr="00FF62EA" w:rsidRDefault="00C4504E" w:rsidP="00675915">
            <w:pPr>
              <w:spacing w:after="60"/>
              <w:jc w:val="right"/>
              <w:rPr>
                <w:sz w:val="20"/>
                <w:szCs w:val="20"/>
              </w:rPr>
            </w:pPr>
            <w:r w:rsidRPr="00FF62EA">
              <w:rPr>
                <w:sz w:val="20"/>
                <w:szCs w:val="20"/>
              </w:rPr>
              <w:t>325,4</w:t>
            </w:r>
          </w:p>
        </w:tc>
        <w:tc>
          <w:tcPr>
            <w:tcW w:w="766" w:type="dxa"/>
            <w:shd w:val="clear" w:color="auto" w:fill="auto"/>
            <w:noWrap/>
            <w:vAlign w:val="bottom"/>
            <w:hideMark/>
          </w:tcPr>
          <w:p w14:paraId="6A59527C" w14:textId="77777777" w:rsidR="00C4504E" w:rsidRPr="00FF62EA" w:rsidRDefault="00C4504E" w:rsidP="00675915">
            <w:pPr>
              <w:spacing w:after="60"/>
              <w:jc w:val="right"/>
              <w:rPr>
                <w:sz w:val="20"/>
                <w:szCs w:val="20"/>
              </w:rPr>
            </w:pPr>
            <w:r w:rsidRPr="00FF62EA">
              <w:rPr>
                <w:sz w:val="20"/>
                <w:szCs w:val="20"/>
              </w:rPr>
              <w:t>316,2</w:t>
            </w:r>
          </w:p>
        </w:tc>
        <w:tc>
          <w:tcPr>
            <w:tcW w:w="766" w:type="dxa"/>
            <w:shd w:val="clear" w:color="auto" w:fill="auto"/>
            <w:noWrap/>
            <w:vAlign w:val="bottom"/>
            <w:hideMark/>
          </w:tcPr>
          <w:p w14:paraId="7FBE47F1" w14:textId="77777777" w:rsidR="00C4504E" w:rsidRPr="00FF62EA" w:rsidRDefault="00C4504E" w:rsidP="00675915">
            <w:pPr>
              <w:spacing w:after="60"/>
              <w:jc w:val="right"/>
              <w:rPr>
                <w:sz w:val="20"/>
                <w:szCs w:val="20"/>
              </w:rPr>
            </w:pPr>
            <w:r w:rsidRPr="00FF62EA">
              <w:rPr>
                <w:sz w:val="20"/>
                <w:szCs w:val="20"/>
              </w:rPr>
              <w:t>329,0</w:t>
            </w:r>
          </w:p>
        </w:tc>
        <w:tc>
          <w:tcPr>
            <w:tcW w:w="766" w:type="dxa"/>
            <w:shd w:val="clear" w:color="auto" w:fill="auto"/>
            <w:noWrap/>
            <w:vAlign w:val="bottom"/>
            <w:hideMark/>
          </w:tcPr>
          <w:p w14:paraId="41DAF424" w14:textId="77777777" w:rsidR="00C4504E" w:rsidRPr="00FF62EA" w:rsidRDefault="00C4504E" w:rsidP="00675915">
            <w:pPr>
              <w:spacing w:after="60"/>
              <w:jc w:val="right"/>
              <w:rPr>
                <w:sz w:val="20"/>
                <w:szCs w:val="20"/>
              </w:rPr>
            </w:pPr>
            <w:r w:rsidRPr="00FF62EA">
              <w:rPr>
                <w:sz w:val="20"/>
                <w:szCs w:val="20"/>
              </w:rPr>
              <w:t>299,5</w:t>
            </w:r>
          </w:p>
        </w:tc>
        <w:tc>
          <w:tcPr>
            <w:tcW w:w="752" w:type="dxa"/>
            <w:shd w:val="clear" w:color="auto" w:fill="auto"/>
            <w:noWrap/>
            <w:vAlign w:val="bottom"/>
            <w:hideMark/>
          </w:tcPr>
          <w:p w14:paraId="07D4F235" w14:textId="77777777" w:rsidR="00C4504E" w:rsidRPr="00FF62EA" w:rsidRDefault="00C4504E" w:rsidP="00675915">
            <w:pPr>
              <w:spacing w:after="60"/>
              <w:jc w:val="right"/>
              <w:rPr>
                <w:sz w:val="20"/>
                <w:szCs w:val="20"/>
              </w:rPr>
            </w:pPr>
            <w:r w:rsidRPr="00FF62EA">
              <w:rPr>
                <w:sz w:val="20"/>
                <w:szCs w:val="20"/>
              </w:rPr>
              <w:t>97,2</w:t>
            </w:r>
          </w:p>
        </w:tc>
        <w:tc>
          <w:tcPr>
            <w:tcW w:w="666" w:type="dxa"/>
            <w:shd w:val="clear" w:color="auto" w:fill="auto"/>
            <w:noWrap/>
            <w:vAlign w:val="bottom"/>
            <w:hideMark/>
          </w:tcPr>
          <w:p w14:paraId="0F5C88AA" w14:textId="77777777" w:rsidR="00C4504E" w:rsidRPr="00FF62EA" w:rsidRDefault="00C4504E" w:rsidP="00675915">
            <w:pPr>
              <w:spacing w:after="60"/>
              <w:jc w:val="right"/>
              <w:rPr>
                <w:sz w:val="20"/>
                <w:szCs w:val="20"/>
              </w:rPr>
            </w:pPr>
            <w:r w:rsidRPr="00FF62EA">
              <w:rPr>
                <w:sz w:val="20"/>
                <w:szCs w:val="20"/>
              </w:rPr>
              <w:t>104,0</w:t>
            </w:r>
          </w:p>
        </w:tc>
        <w:tc>
          <w:tcPr>
            <w:tcW w:w="666" w:type="dxa"/>
            <w:shd w:val="clear" w:color="auto" w:fill="auto"/>
            <w:noWrap/>
            <w:vAlign w:val="bottom"/>
            <w:hideMark/>
          </w:tcPr>
          <w:p w14:paraId="6BF39814" w14:textId="77777777" w:rsidR="00C4504E" w:rsidRPr="00FF62EA" w:rsidRDefault="00C4504E" w:rsidP="00675915">
            <w:pPr>
              <w:spacing w:after="60"/>
              <w:jc w:val="right"/>
              <w:rPr>
                <w:sz w:val="20"/>
                <w:szCs w:val="20"/>
              </w:rPr>
            </w:pPr>
            <w:r w:rsidRPr="00FF62EA">
              <w:rPr>
                <w:sz w:val="20"/>
                <w:szCs w:val="20"/>
              </w:rPr>
              <w:t>91,0</w:t>
            </w:r>
          </w:p>
        </w:tc>
        <w:tc>
          <w:tcPr>
            <w:tcW w:w="766" w:type="dxa"/>
            <w:shd w:val="clear" w:color="auto" w:fill="auto"/>
            <w:noWrap/>
            <w:vAlign w:val="bottom"/>
            <w:hideMark/>
          </w:tcPr>
          <w:p w14:paraId="7B1E2B8D" w14:textId="77777777" w:rsidR="00C4504E" w:rsidRPr="00FF62EA" w:rsidRDefault="00C4504E" w:rsidP="00675915">
            <w:pPr>
              <w:spacing w:after="60"/>
              <w:jc w:val="right"/>
              <w:rPr>
                <w:sz w:val="20"/>
                <w:szCs w:val="20"/>
              </w:rPr>
            </w:pPr>
            <w:r w:rsidRPr="00FF62EA">
              <w:rPr>
                <w:sz w:val="20"/>
                <w:szCs w:val="20"/>
              </w:rPr>
              <w:t>94,3</w:t>
            </w:r>
          </w:p>
        </w:tc>
        <w:tc>
          <w:tcPr>
            <w:tcW w:w="766" w:type="dxa"/>
            <w:shd w:val="clear" w:color="auto" w:fill="auto"/>
            <w:noWrap/>
            <w:vAlign w:val="bottom"/>
            <w:hideMark/>
          </w:tcPr>
          <w:p w14:paraId="4F79BCD4" w14:textId="77777777" w:rsidR="00C4504E" w:rsidRPr="00FF62EA" w:rsidRDefault="00C4504E" w:rsidP="00675915">
            <w:pPr>
              <w:spacing w:after="60"/>
              <w:jc w:val="right"/>
              <w:rPr>
                <w:sz w:val="20"/>
                <w:szCs w:val="20"/>
              </w:rPr>
            </w:pPr>
            <w:r w:rsidRPr="00FF62EA">
              <w:rPr>
                <w:sz w:val="20"/>
                <w:szCs w:val="20"/>
              </w:rPr>
              <w:t>100,3</w:t>
            </w:r>
          </w:p>
        </w:tc>
        <w:tc>
          <w:tcPr>
            <w:tcW w:w="766" w:type="dxa"/>
            <w:shd w:val="clear" w:color="auto" w:fill="auto"/>
            <w:noWrap/>
            <w:vAlign w:val="bottom"/>
            <w:hideMark/>
          </w:tcPr>
          <w:p w14:paraId="0C4DED8E" w14:textId="77777777" w:rsidR="00C4504E" w:rsidRPr="00FF62EA" w:rsidRDefault="00C4504E" w:rsidP="00675915">
            <w:pPr>
              <w:spacing w:after="60"/>
              <w:jc w:val="right"/>
              <w:rPr>
                <w:sz w:val="20"/>
                <w:szCs w:val="20"/>
              </w:rPr>
            </w:pPr>
            <w:r w:rsidRPr="00FF62EA">
              <w:rPr>
                <w:sz w:val="20"/>
                <w:szCs w:val="20"/>
              </w:rPr>
              <w:t>87,5</w:t>
            </w:r>
          </w:p>
        </w:tc>
        <w:tc>
          <w:tcPr>
            <w:tcW w:w="686" w:type="dxa"/>
            <w:shd w:val="clear" w:color="auto" w:fill="auto"/>
            <w:noWrap/>
            <w:vAlign w:val="bottom"/>
            <w:hideMark/>
          </w:tcPr>
          <w:p w14:paraId="249F2094" w14:textId="77777777" w:rsidR="00C4504E" w:rsidRPr="00FF62EA" w:rsidRDefault="00C4504E" w:rsidP="00675915">
            <w:pPr>
              <w:spacing w:after="60"/>
              <w:jc w:val="right"/>
              <w:rPr>
                <w:sz w:val="20"/>
                <w:szCs w:val="20"/>
              </w:rPr>
            </w:pPr>
            <w:r w:rsidRPr="00FF62EA">
              <w:rPr>
                <w:sz w:val="20"/>
                <w:szCs w:val="20"/>
              </w:rPr>
              <w:t>0,30</w:t>
            </w:r>
          </w:p>
        </w:tc>
        <w:tc>
          <w:tcPr>
            <w:tcW w:w="686" w:type="dxa"/>
            <w:shd w:val="clear" w:color="auto" w:fill="auto"/>
            <w:noWrap/>
            <w:vAlign w:val="bottom"/>
            <w:hideMark/>
          </w:tcPr>
          <w:p w14:paraId="07B185E4" w14:textId="77777777" w:rsidR="00C4504E" w:rsidRPr="00FF62EA" w:rsidRDefault="00C4504E" w:rsidP="00675915">
            <w:pPr>
              <w:spacing w:after="60"/>
              <w:jc w:val="right"/>
              <w:rPr>
                <w:sz w:val="20"/>
                <w:szCs w:val="20"/>
              </w:rPr>
            </w:pPr>
            <w:r w:rsidRPr="00FF62EA">
              <w:rPr>
                <w:sz w:val="20"/>
                <w:szCs w:val="20"/>
              </w:rPr>
              <w:t>0,28</w:t>
            </w:r>
          </w:p>
        </w:tc>
        <w:tc>
          <w:tcPr>
            <w:tcW w:w="686" w:type="dxa"/>
            <w:shd w:val="clear" w:color="auto" w:fill="auto"/>
            <w:noWrap/>
            <w:vAlign w:val="bottom"/>
            <w:hideMark/>
          </w:tcPr>
          <w:p w14:paraId="406A312D" w14:textId="77777777" w:rsidR="00C4504E" w:rsidRPr="00FF62EA" w:rsidRDefault="00C4504E" w:rsidP="00675915">
            <w:pPr>
              <w:spacing w:after="60"/>
              <w:jc w:val="right"/>
              <w:rPr>
                <w:sz w:val="20"/>
                <w:szCs w:val="20"/>
              </w:rPr>
            </w:pPr>
            <w:r w:rsidRPr="00FF62EA">
              <w:rPr>
                <w:sz w:val="20"/>
                <w:szCs w:val="20"/>
              </w:rPr>
              <w:t>0,27</w:t>
            </w:r>
          </w:p>
        </w:tc>
        <w:tc>
          <w:tcPr>
            <w:tcW w:w="686" w:type="dxa"/>
            <w:shd w:val="clear" w:color="auto" w:fill="auto"/>
            <w:noWrap/>
            <w:vAlign w:val="bottom"/>
            <w:hideMark/>
          </w:tcPr>
          <w:p w14:paraId="44ED71C6" w14:textId="77777777" w:rsidR="00C4504E" w:rsidRPr="00FF62EA" w:rsidRDefault="00C4504E" w:rsidP="00675915">
            <w:pPr>
              <w:spacing w:after="60"/>
              <w:jc w:val="right"/>
              <w:rPr>
                <w:sz w:val="20"/>
                <w:szCs w:val="20"/>
              </w:rPr>
            </w:pPr>
            <w:r w:rsidRPr="00FF62EA">
              <w:rPr>
                <w:sz w:val="20"/>
                <w:szCs w:val="20"/>
              </w:rPr>
              <w:t>0,23</w:t>
            </w:r>
          </w:p>
        </w:tc>
      </w:tr>
      <w:tr w:rsidR="00C4504E" w:rsidRPr="00FF62EA" w14:paraId="03C80A9E" w14:textId="77777777" w:rsidTr="003660E4">
        <w:trPr>
          <w:cantSplit/>
          <w:trHeight w:val="295"/>
        </w:trPr>
        <w:tc>
          <w:tcPr>
            <w:tcW w:w="4604" w:type="dxa"/>
            <w:shd w:val="clear" w:color="auto" w:fill="auto"/>
            <w:noWrap/>
            <w:vAlign w:val="bottom"/>
            <w:hideMark/>
          </w:tcPr>
          <w:p w14:paraId="04F2ED32" w14:textId="77777777" w:rsidR="00C4504E" w:rsidRPr="00FF62EA" w:rsidRDefault="00C4504E" w:rsidP="00675915">
            <w:pPr>
              <w:spacing w:after="60"/>
              <w:rPr>
                <w:sz w:val="20"/>
                <w:szCs w:val="20"/>
              </w:rPr>
            </w:pPr>
            <w:r w:rsidRPr="00FF62EA">
              <w:rPr>
                <w:sz w:val="20"/>
                <w:szCs w:val="20"/>
              </w:rPr>
              <w:t>Прикладные научные исследования в области социальной политики</w:t>
            </w:r>
          </w:p>
        </w:tc>
        <w:tc>
          <w:tcPr>
            <w:tcW w:w="766" w:type="dxa"/>
            <w:shd w:val="clear" w:color="auto" w:fill="auto"/>
            <w:noWrap/>
            <w:vAlign w:val="bottom"/>
            <w:hideMark/>
          </w:tcPr>
          <w:p w14:paraId="76825799" w14:textId="77777777" w:rsidR="00C4504E" w:rsidRPr="00FF62EA" w:rsidRDefault="00C4504E" w:rsidP="00675915">
            <w:pPr>
              <w:spacing w:after="60"/>
              <w:jc w:val="right"/>
              <w:rPr>
                <w:sz w:val="20"/>
                <w:szCs w:val="20"/>
              </w:rPr>
            </w:pPr>
            <w:r w:rsidRPr="00FF62EA">
              <w:rPr>
                <w:sz w:val="20"/>
                <w:szCs w:val="20"/>
              </w:rPr>
              <w:t>0,1</w:t>
            </w:r>
          </w:p>
        </w:tc>
        <w:tc>
          <w:tcPr>
            <w:tcW w:w="766" w:type="dxa"/>
            <w:shd w:val="clear" w:color="auto" w:fill="auto"/>
            <w:noWrap/>
            <w:vAlign w:val="bottom"/>
            <w:hideMark/>
          </w:tcPr>
          <w:p w14:paraId="016790E1" w14:textId="77777777" w:rsidR="00C4504E" w:rsidRPr="00FF62EA" w:rsidRDefault="00C4504E" w:rsidP="00675915">
            <w:pPr>
              <w:spacing w:after="60"/>
              <w:jc w:val="right"/>
              <w:rPr>
                <w:sz w:val="20"/>
                <w:szCs w:val="20"/>
              </w:rPr>
            </w:pPr>
            <w:r w:rsidRPr="00FF62EA">
              <w:rPr>
                <w:sz w:val="20"/>
                <w:szCs w:val="20"/>
              </w:rPr>
              <w:t>0,0</w:t>
            </w:r>
          </w:p>
        </w:tc>
        <w:tc>
          <w:tcPr>
            <w:tcW w:w="766" w:type="dxa"/>
            <w:shd w:val="clear" w:color="auto" w:fill="auto"/>
            <w:noWrap/>
            <w:vAlign w:val="bottom"/>
            <w:hideMark/>
          </w:tcPr>
          <w:p w14:paraId="7D2DCACC" w14:textId="77777777" w:rsidR="00C4504E" w:rsidRPr="00FF62EA" w:rsidRDefault="00C4504E" w:rsidP="00675915">
            <w:pPr>
              <w:spacing w:after="60"/>
              <w:jc w:val="right"/>
              <w:rPr>
                <w:sz w:val="20"/>
                <w:szCs w:val="20"/>
              </w:rPr>
            </w:pPr>
            <w:r w:rsidRPr="00FF62EA">
              <w:rPr>
                <w:sz w:val="20"/>
                <w:szCs w:val="20"/>
              </w:rPr>
              <w:t>0,0</w:t>
            </w:r>
          </w:p>
        </w:tc>
        <w:tc>
          <w:tcPr>
            <w:tcW w:w="766" w:type="dxa"/>
            <w:shd w:val="clear" w:color="auto" w:fill="auto"/>
            <w:noWrap/>
            <w:vAlign w:val="bottom"/>
            <w:hideMark/>
          </w:tcPr>
          <w:p w14:paraId="60C9E3C1" w14:textId="77777777" w:rsidR="00C4504E" w:rsidRPr="00FF62EA" w:rsidRDefault="00C4504E" w:rsidP="00675915">
            <w:pPr>
              <w:spacing w:after="60"/>
              <w:jc w:val="right"/>
              <w:rPr>
                <w:sz w:val="20"/>
                <w:szCs w:val="20"/>
              </w:rPr>
            </w:pPr>
            <w:r w:rsidRPr="00FF62EA">
              <w:rPr>
                <w:sz w:val="20"/>
                <w:szCs w:val="20"/>
              </w:rPr>
              <w:t>0,0</w:t>
            </w:r>
          </w:p>
        </w:tc>
        <w:tc>
          <w:tcPr>
            <w:tcW w:w="752" w:type="dxa"/>
            <w:shd w:val="clear" w:color="auto" w:fill="auto"/>
            <w:noWrap/>
            <w:vAlign w:val="bottom"/>
            <w:hideMark/>
          </w:tcPr>
          <w:p w14:paraId="3C333ADB" w14:textId="77777777" w:rsidR="00C4504E" w:rsidRPr="00FF62EA" w:rsidRDefault="00C4504E" w:rsidP="00675915">
            <w:pPr>
              <w:spacing w:after="60"/>
              <w:jc w:val="right"/>
              <w:rPr>
                <w:sz w:val="20"/>
                <w:szCs w:val="20"/>
              </w:rPr>
            </w:pPr>
            <w:r w:rsidRPr="00FF62EA">
              <w:rPr>
                <w:sz w:val="20"/>
                <w:szCs w:val="20"/>
              </w:rPr>
              <w:t>74,9</w:t>
            </w:r>
          </w:p>
        </w:tc>
        <w:tc>
          <w:tcPr>
            <w:tcW w:w="666" w:type="dxa"/>
            <w:shd w:val="clear" w:color="auto" w:fill="auto"/>
            <w:noWrap/>
            <w:vAlign w:val="bottom"/>
            <w:hideMark/>
          </w:tcPr>
          <w:p w14:paraId="1465B1F0" w14:textId="77777777" w:rsidR="00C4504E" w:rsidRPr="00FF62EA" w:rsidRDefault="00C4504E" w:rsidP="00675915">
            <w:pPr>
              <w:spacing w:after="60"/>
              <w:jc w:val="right"/>
              <w:rPr>
                <w:sz w:val="20"/>
                <w:szCs w:val="20"/>
              </w:rPr>
            </w:pPr>
            <w:r w:rsidRPr="00FF62EA">
              <w:rPr>
                <w:sz w:val="20"/>
                <w:szCs w:val="20"/>
              </w:rPr>
              <w:t>100,0</w:t>
            </w:r>
          </w:p>
        </w:tc>
        <w:tc>
          <w:tcPr>
            <w:tcW w:w="666" w:type="dxa"/>
            <w:shd w:val="clear" w:color="auto" w:fill="auto"/>
            <w:noWrap/>
            <w:vAlign w:val="bottom"/>
            <w:hideMark/>
          </w:tcPr>
          <w:p w14:paraId="1C67F784" w14:textId="77777777" w:rsidR="00C4504E" w:rsidRPr="00FF62EA" w:rsidRDefault="00C4504E" w:rsidP="00675915">
            <w:pPr>
              <w:spacing w:after="60"/>
              <w:jc w:val="right"/>
              <w:rPr>
                <w:sz w:val="20"/>
                <w:szCs w:val="20"/>
              </w:rPr>
            </w:pPr>
            <w:r w:rsidRPr="00FF62EA">
              <w:rPr>
                <w:sz w:val="20"/>
                <w:szCs w:val="20"/>
              </w:rPr>
              <w:t>100,0</w:t>
            </w:r>
          </w:p>
        </w:tc>
        <w:tc>
          <w:tcPr>
            <w:tcW w:w="766" w:type="dxa"/>
            <w:shd w:val="clear" w:color="auto" w:fill="auto"/>
            <w:noWrap/>
            <w:vAlign w:val="bottom"/>
            <w:hideMark/>
          </w:tcPr>
          <w:p w14:paraId="5B8F46B0" w14:textId="77777777" w:rsidR="00C4504E" w:rsidRPr="00FF62EA" w:rsidRDefault="00C4504E" w:rsidP="00675915">
            <w:pPr>
              <w:spacing w:after="60"/>
              <w:jc w:val="right"/>
              <w:rPr>
                <w:sz w:val="20"/>
                <w:szCs w:val="20"/>
              </w:rPr>
            </w:pPr>
            <w:r w:rsidRPr="00FF62EA">
              <w:rPr>
                <w:sz w:val="20"/>
                <w:szCs w:val="20"/>
              </w:rPr>
              <w:t>72,7</w:t>
            </w:r>
          </w:p>
        </w:tc>
        <w:tc>
          <w:tcPr>
            <w:tcW w:w="766" w:type="dxa"/>
            <w:shd w:val="clear" w:color="auto" w:fill="auto"/>
            <w:noWrap/>
            <w:vAlign w:val="bottom"/>
            <w:hideMark/>
          </w:tcPr>
          <w:p w14:paraId="2297AF92" w14:textId="77777777" w:rsidR="00C4504E" w:rsidRPr="00FF62EA" w:rsidRDefault="00C4504E" w:rsidP="00675915">
            <w:pPr>
              <w:spacing w:after="60"/>
              <w:jc w:val="right"/>
              <w:rPr>
                <w:sz w:val="20"/>
                <w:szCs w:val="20"/>
              </w:rPr>
            </w:pPr>
            <w:r w:rsidRPr="00FF62EA">
              <w:rPr>
                <w:sz w:val="20"/>
                <w:szCs w:val="20"/>
              </w:rPr>
              <w:t>96,4</w:t>
            </w:r>
          </w:p>
        </w:tc>
        <w:tc>
          <w:tcPr>
            <w:tcW w:w="766" w:type="dxa"/>
            <w:shd w:val="clear" w:color="auto" w:fill="auto"/>
            <w:noWrap/>
            <w:vAlign w:val="bottom"/>
            <w:hideMark/>
          </w:tcPr>
          <w:p w14:paraId="30374184" w14:textId="77777777" w:rsidR="00C4504E" w:rsidRPr="00FF62EA" w:rsidRDefault="00C4504E" w:rsidP="00675915">
            <w:pPr>
              <w:spacing w:after="60"/>
              <w:jc w:val="right"/>
              <w:rPr>
                <w:sz w:val="20"/>
                <w:szCs w:val="20"/>
              </w:rPr>
            </w:pPr>
            <w:r w:rsidRPr="00FF62EA">
              <w:rPr>
                <w:sz w:val="20"/>
                <w:szCs w:val="20"/>
              </w:rPr>
              <w:t>96,2</w:t>
            </w:r>
          </w:p>
        </w:tc>
        <w:tc>
          <w:tcPr>
            <w:tcW w:w="686" w:type="dxa"/>
            <w:shd w:val="clear" w:color="auto" w:fill="auto"/>
            <w:noWrap/>
            <w:vAlign w:val="bottom"/>
            <w:hideMark/>
          </w:tcPr>
          <w:p w14:paraId="52D937C0" w14:textId="77777777" w:rsidR="00C4504E" w:rsidRPr="00FF62EA" w:rsidRDefault="00C4504E" w:rsidP="00675915">
            <w:pPr>
              <w:spacing w:after="60"/>
              <w:jc w:val="right"/>
              <w:rPr>
                <w:sz w:val="20"/>
                <w:szCs w:val="20"/>
              </w:rPr>
            </w:pPr>
            <w:r w:rsidRPr="00FF62EA">
              <w:rPr>
                <w:sz w:val="20"/>
                <w:szCs w:val="20"/>
              </w:rPr>
              <w:t>0,00</w:t>
            </w:r>
          </w:p>
        </w:tc>
        <w:tc>
          <w:tcPr>
            <w:tcW w:w="686" w:type="dxa"/>
            <w:shd w:val="clear" w:color="auto" w:fill="auto"/>
            <w:noWrap/>
            <w:vAlign w:val="bottom"/>
            <w:hideMark/>
          </w:tcPr>
          <w:p w14:paraId="723C8F92" w14:textId="77777777" w:rsidR="00C4504E" w:rsidRPr="00FF62EA" w:rsidRDefault="00C4504E" w:rsidP="00675915">
            <w:pPr>
              <w:spacing w:after="60"/>
              <w:jc w:val="right"/>
              <w:rPr>
                <w:sz w:val="20"/>
                <w:szCs w:val="20"/>
              </w:rPr>
            </w:pPr>
            <w:r w:rsidRPr="00FF62EA">
              <w:rPr>
                <w:sz w:val="20"/>
                <w:szCs w:val="20"/>
              </w:rPr>
              <w:t>0,00</w:t>
            </w:r>
          </w:p>
        </w:tc>
        <w:tc>
          <w:tcPr>
            <w:tcW w:w="686" w:type="dxa"/>
            <w:shd w:val="clear" w:color="auto" w:fill="auto"/>
            <w:noWrap/>
            <w:vAlign w:val="bottom"/>
            <w:hideMark/>
          </w:tcPr>
          <w:p w14:paraId="185CD78A" w14:textId="77777777" w:rsidR="00C4504E" w:rsidRPr="00FF62EA" w:rsidRDefault="00C4504E" w:rsidP="00675915">
            <w:pPr>
              <w:spacing w:after="60"/>
              <w:jc w:val="right"/>
              <w:rPr>
                <w:sz w:val="20"/>
                <w:szCs w:val="20"/>
              </w:rPr>
            </w:pPr>
            <w:r w:rsidRPr="00FF62EA">
              <w:rPr>
                <w:sz w:val="20"/>
                <w:szCs w:val="20"/>
              </w:rPr>
              <w:t>0,00</w:t>
            </w:r>
          </w:p>
        </w:tc>
        <w:tc>
          <w:tcPr>
            <w:tcW w:w="686" w:type="dxa"/>
            <w:shd w:val="clear" w:color="auto" w:fill="auto"/>
            <w:noWrap/>
            <w:vAlign w:val="bottom"/>
            <w:hideMark/>
          </w:tcPr>
          <w:p w14:paraId="3CC59A95" w14:textId="77777777" w:rsidR="00C4504E" w:rsidRPr="00FF62EA" w:rsidRDefault="00C4504E" w:rsidP="00675915">
            <w:pPr>
              <w:spacing w:after="60"/>
              <w:jc w:val="right"/>
              <w:rPr>
                <w:sz w:val="20"/>
                <w:szCs w:val="20"/>
              </w:rPr>
            </w:pPr>
            <w:r w:rsidRPr="00FF62EA">
              <w:rPr>
                <w:sz w:val="20"/>
                <w:szCs w:val="20"/>
              </w:rPr>
              <w:t>0,00</w:t>
            </w:r>
          </w:p>
        </w:tc>
      </w:tr>
      <w:tr w:rsidR="00C4504E" w:rsidRPr="00FF62EA" w14:paraId="410EBF6F" w14:textId="77777777" w:rsidTr="003660E4">
        <w:trPr>
          <w:cantSplit/>
          <w:trHeight w:val="295"/>
        </w:trPr>
        <w:tc>
          <w:tcPr>
            <w:tcW w:w="4604" w:type="dxa"/>
            <w:shd w:val="clear" w:color="auto" w:fill="auto"/>
            <w:noWrap/>
            <w:vAlign w:val="bottom"/>
            <w:hideMark/>
          </w:tcPr>
          <w:p w14:paraId="2C4C03A0" w14:textId="77777777" w:rsidR="00C4504E" w:rsidRPr="00FF62EA" w:rsidRDefault="00C4504E" w:rsidP="00675915">
            <w:pPr>
              <w:spacing w:after="60"/>
              <w:rPr>
                <w:sz w:val="20"/>
                <w:szCs w:val="20"/>
              </w:rPr>
            </w:pPr>
            <w:r w:rsidRPr="00FF62EA">
              <w:rPr>
                <w:sz w:val="20"/>
                <w:szCs w:val="20"/>
              </w:rPr>
              <w:t>Другие вопросы в области социальной политики</w:t>
            </w:r>
          </w:p>
        </w:tc>
        <w:tc>
          <w:tcPr>
            <w:tcW w:w="766" w:type="dxa"/>
            <w:shd w:val="clear" w:color="auto" w:fill="auto"/>
            <w:noWrap/>
            <w:vAlign w:val="bottom"/>
            <w:hideMark/>
          </w:tcPr>
          <w:p w14:paraId="7B33DBC0" w14:textId="77777777" w:rsidR="00C4504E" w:rsidRPr="00FF62EA" w:rsidRDefault="00C4504E" w:rsidP="00675915">
            <w:pPr>
              <w:spacing w:after="60"/>
              <w:jc w:val="right"/>
              <w:rPr>
                <w:sz w:val="20"/>
                <w:szCs w:val="20"/>
              </w:rPr>
            </w:pPr>
            <w:r w:rsidRPr="00FF62EA">
              <w:rPr>
                <w:sz w:val="20"/>
                <w:szCs w:val="20"/>
              </w:rPr>
              <w:t>58,4</w:t>
            </w:r>
          </w:p>
        </w:tc>
        <w:tc>
          <w:tcPr>
            <w:tcW w:w="766" w:type="dxa"/>
            <w:shd w:val="clear" w:color="auto" w:fill="auto"/>
            <w:noWrap/>
            <w:vAlign w:val="bottom"/>
            <w:hideMark/>
          </w:tcPr>
          <w:p w14:paraId="0F8251A9" w14:textId="77777777" w:rsidR="00C4504E" w:rsidRPr="00FF62EA" w:rsidRDefault="00C4504E" w:rsidP="00675915">
            <w:pPr>
              <w:spacing w:after="60"/>
              <w:jc w:val="right"/>
              <w:rPr>
                <w:sz w:val="20"/>
                <w:szCs w:val="20"/>
              </w:rPr>
            </w:pPr>
            <w:r w:rsidRPr="00FF62EA">
              <w:rPr>
                <w:sz w:val="20"/>
                <w:szCs w:val="20"/>
              </w:rPr>
              <w:t>27,0</w:t>
            </w:r>
          </w:p>
        </w:tc>
        <w:tc>
          <w:tcPr>
            <w:tcW w:w="766" w:type="dxa"/>
            <w:shd w:val="clear" w:color="auto" w:fill="auto"/>
            <w:noWrap/>
            <w:vAlign w:val="bottom"/>
            <w:hideMark/>
          </w:tcPr>
          <w:p w14:paraId="15836C15" w14:textId="77777777" w:rsidR="00C4504E" w:rsidRPr="00FF62EA" w:rsidRDefault="00C4504E" w:rsidP="00675915">
            <w:pPr>
              <w:spacing w:after="60"/>
              <w:jc w:val="right"/>
              <w:rPr>
                <w:sz w:val="20"/>
                <w:szCs w:val="20"/>
              </w:rPr>
            </w:pPr>
            <w:r w:rsidRPr="00FF62EA">
              <w:rPr>
                <w:sz w:val="20"/>
                <w:szCs w:val="20"/>
              </w:rPr>
              <w:t>33,3</w:t>
            </w:r>
          </w:p>
        </w:tc>
        <w:tc>
          <w:tcPr>
            <w:tcW w:w="766" w:type="dxa"/>
            <w:shd w:val="clear" w:color="auto" w:fill="auto"/>
            <w:noWrap/>
            <w:vAlign w:val="bottom"/>
            <w:hideMark/>
          </w:tcPr>
          <w:p w14:paraId="6DD61122" w14:textId="77777777" w:rsidR="00C4504E" w:rsidRPr="00FF62EA" w:rsidRDefault="00C4504E" w:rsidP="00675915">
            <w:pPr>
              <w:spacing w:after="60"/>
              <w:jc w:val="right"/>
              <w:rPr>
                <w:sz w:val="20"/>
                <w:szCs w:val="20"/>
              </w:rPr>
            </w:pPr>
            <w:r w:rsidRPr="00FF62EA">
              <w:rPr>
                <w:sz w:val="20"/>
                <w:szCs w:val="20"/>
              </w:rPr>
              <w:t>27,8</w:t>
            </w:r>
          </w:p>
        </w:tc>
        <w:tc>
          <w:tcPr>
            <w:tcW w:w="752" w:type="dxa"/>
            <w:shd w:val="clear" w:color="auto" w:fill="auto"/>
            <w:noWrap/>
            <w:vAlign w:val="bottom"/>
            <w:hideMark/>
          </w:tcPr>
          <w:p w14:paraId="485C2556" w14:textId="77777777" w:rsidR="00C4504E" w:rsidRPr="00FF62EA" w:rsidRDefault="00C4504E" w:rsidP="00675915">
            <w:pPr>
              <w:spacing w:after="60"/>
              <w:jc w:val="right"/>
              <w:rPr>
                <w:sz w:val="20"/>
                <w:szCs w:val="20"/>
              </w:rPr>
            </w:pPr>
            <w:r w:rsidRPr="00FF62EA">
              <w:rPr>
                <w:sz w:val="20"/>
                <w:szCs w:val="20"/>
              </w:rPr>
              <w:t>46,2</w:t>
            </w:r>
          </w:p>
        </w:tc>
        <w:tc>
          <w:tcPr>
            <w:tcW w:w="666" w:type="dxa"/>
            <w:shd w:val="clear" w:color="auto" w:fill="auto"/>
            <w:noWrap/>
            <w:vAlign w:val="bottom"/>
            <w:hideMark/>
          </w:tcPr>
          <w:p w14:paraId="121121F2" w14:textId="77777777" w:rsidR="00C4504E" w:rsidRPr="00FF62EA" w:rsidRDefault="00C4504E" w:rsidP="00675915">
            <w:pPr>
              <w:spacing w:after="60"/>
              <w:jc w:val="right"/>
              <w:rPr>
                <w:sz w:val="20"/>
                <w:szCs w:val="20"/>
              </w:rPr>
            </w:pPr>
            <w:r w:rsidRPr="00FF62EA">
              <w:rPr>
                <w:sz w:val="20"/>
                <w:szCs w:val="20"/>
              </w:rPr>
              <w:t>123,4</w:t>
            </w:r>
          </w:p>
        </w:tc>
        <w:tc>
          <w:tcPr>
            <w:tcW w:w="666" w:type="dxa"/>
            <w:shd w:val="clear" w:color="auto" w:fill="auto"/>
            <w:noWrap/>
            <w:vAlign w:val="bottom"/>
            <w:hideMark/>
          </w:tcPr>
          <w:p w14:paraId="36500241" w14:textId="77777777" w:rsidR="00C4504E" w:rsidRPr="00FF62EA" w:rsidRDefault="00C4504E" w:rsidP="00675915">
            <w:pPr>
              <w:spacing w:after="60"/>
              <w:jc w:val="right"/>
              <w:rPr>
                <w:sz w:val="20"/>
                <w:szCs w:val="20"/>
              </w:rPr>
            </w:pPr>
            <w:r w:rsidRPr="00FF62EA">
              <w:rPr>
                <w:sz w:val="20"/>
                <w:szCs w:val="20"/>
              </w:rPr>
              <w:t>83,3</w:t>
            </w:r>
          </w:p>
        </w:tc>
        <w:tc>
          <w:tcPr>
            <w:tcW w:w="766" w:type="dxa"/>
            <w:shd w:val="clear" w:color="auto" w:fill="auto"/>
            <w:noWrap/>
            <w:vAlign w:val="bottom"/>
            <w:hideMark/>
          </w:tcPr>
          <w:p w14:paraId="36733A13" w14:textId="77777777" w:rsidR="00C4504E" w:rsidRPr="00FF62EA" w:rsidRDefault="00C4504E" w:rsidP="00675915">
            <w:pPr>
              <w:spacing w:after="60"/>
              <w:jc w:val="right"/>
              <w:rPr>
                <w:sz w:val="20"/>
                <w:szCs w:val="20"/>
              </w:rPr>
            </w:pPr>
            <w:r w:rsidRPr="00FF62EA">
              <w:rPr>
                <w:sz w:val="20"/>
                <w:szCs w:val="20"/>
              </w:rPr>
              <w:t>44,9</w:t>
            </w:r>
          </w:p>
        </w:tc>
        <w:tc>
          <w:tcPr>
            <w:tcW w:w="766" w:type="dxa"/>
            <w:shd w:val="clear" w:color="auto" w:fill="auto"/>
            <w:noWrap/>
            <w:vAlign w:val="bottom"/>
            <w:hideMark/>
          </w:tcPr>
          <w:p w14:paraId="7D87C929" w14:textId="77777777" w:rsidR="00C4504E" w:rsidRPr="00FF62EA" w:rsidRDefault="00C4504E" w:rsidP="00675915">
            <w:pPr>
              <w:spacing w:after="60"/>
              <w:jc w:val="right"/>
              <w:rPr>
                <w:sz w:val="20"/>
                <w:szCs w:val="20"/>
              </w:rPr>
            </w:pPr>
            <w:r w:rsidRPr="00FF62EA">
              <w:rPr>
                <w:sz w:val="20"/>
                <w:szCs w:val="20"/>
              </w:rPr>
              <w:t>119,0</w:t>
            </w:r>
          </w:p>
        </w:tc>
        <w:tc>
          <w:tcPr>
            <w:tcW w:w="766" w:type="dxa"/>
            <w:shd w:val="clear" w:color="auto" w:fill="auto"/>
            <w:noWrap/>
            <w:vAlign w:val="bottom"/>
            <w:hideMark/>
          </w:tcPr>
          <w:p w14:paraId="5D3D1710" w14:textId="77777777" w:rsidR="00C4504E" w:rsidRPr="00FF62EA" w:rsidRDefault="00C4504E" w:rsidP="00675915">
            <w:pPr>
              <w:spacing w:after="60"/>
              <w:jc w:val="right"/>
              <w:rPr>
                <w:sz w:val="20"/>
                <w:szCs w:val="20"/>
              </w:rPr>
            </w:pPr>
            <w:r w:rsidRPr="00FF62EA">
              <w:rPr>
                <w:sz w:val="20"/>
                <w:szCs w:val="20"/>
              </w:rPr>
              <w:t>80,1</w:t>
            </w:r>
          </w:p>
        </w:tc>
        <w:tc>
          <w:tcPr>
            <w:tcW w:w="686" w:type="dxa"/>
            <w:shd w:val="clear" w:color="auto" w:fill="auto"/>
            <w:noWrap/>
            <w:vAlign w:val="bottom"/>
            <w:hideMark/>
          </w:tcPr>
          <w:p w14:paraId="0BAAB3AE" w14:textId="77777777" w:rsidR="00C4504E" w:rsidRPr="00FF62EA" w:rsidRDefault="00C4504E" w:rsidP="00675915">
            <w:pPr>
              <w:spacing w:after="60"/>
              <w:jc w:val="right"/>
              <w:rPr>
                <w:sz w:val="20"/>
                <w:szCs w:val="20"/>
              </w:rPr>
            </w:pPr>
            <w:r w:rsidRPr="00FF62EA">
              <w:rPr>
                <w:sz w:val="20"/>
                <w:szCs w:val="20"/>
              </w:rPr>
              <w:t>0,05</w:t>
            </w:r>
          </w:p>
        </w:tc>
        <w:tc>
          <w:tcPr>
            <w:tcW w:w="686" w:type="dxa"/>
            <w:shd w:val="clear" w:color="auto" w:fill="auto"/>
            <w:noWrap/>
            <w:vAlign w:val="bottom"/>
            <w:hideMark/>
          </w:tcPr>
          <w:p w14:paraId="2EBBDF25" w14:textId="77777777" w:rsidR="00C4504E" w:rsidRPr="00FF62EA" w:rsidRDefault="00C4504E" w:rsidP="00675915">
            <w:pPr>
              <w:spacing w:after="60"/>
              <w:jc w:val="right"/>
              <w:rPr>
                <w:sz w:val="20"/>
                <w:szCs w:val="20"/>
              </w:rPr>
            </w:pPr>
            <w:r w:rsidRPr="00FF62EA">
              <w:rPr>
                <w:sz w:val="20"/>
                <w:szCs w:val="20"/>
              </w:rPr>
              <w:t>0,02</w:t>
            </w:r>
          </w:p>
        </w:tc>
        <w:tc>
          <w:tcPr>
            <w:tcW w:w="686" w:type="dxa"/>
            <w:shd w:val="clear" w:color="auto" w:fill="auto"/>
            <w:noWrap/>
            <w:vAlign w:val="bottom"/>
            <w:hideMark/>
          </w:tcPr>
          <w:p w14:paraId="786C6C79" w14:textId="77777777" w:rsidR="00C4504E" w:rsidRPr="00FF62EA" w:rsidRDefault="00C4504E" w:rsidP="00675915">
            <w:pPr>
              <w:spacing w:after="60"/>
              <w:jc w:val="right"/>
              <w:rPr>
                <w:sz w:val="20"/>
                <w:szCs w:val="20"/>
              </w:rPr>
            </w:pPr>
            <w:r w:rsidRPr="00FF62EA">
              <w:rPr>
                <w:sz w:val="20"/>
                <w:szCs w:val="20"/>
              </w:rPr>
              <w:t>0,03</w:t>
            </w:r>
          </w:p>
        </w:tc>
        <w:tc>
          <w:tcPr>
            <w:tcW w:w="686" w:type="dxa"/>
            <w:shd w:val="clear" w:color="auto" w:fill="auto"/>
            <w:noWrap/>
            <w:vAlign w:val="bottom"/>
            <w:hideMark/>
          </w:tcPr>
          <w:p w14:paraId="728A5C95" w14:textId="77777777" w:rsidR="00C4504E" w:rsidRPr="00FF62EA" w:rsidRDefault="00C4504E" w:rsidP="00675915">
            <w:pPr>
              <w:spacing w:after="60"/>
              <w:jc w:val="right"/>
              <w:rPr>
                <w:sz w:val="20"/>
                <w:szCs w:val="20"/>
              </w:rPr>
            </w:pPr>
            <w:r w:rsidRPr="00FF62EA">
              <w:rPr>
                <w:sz w:val="20"/>
                <w:szCs w:val="20"/>
              </w:rPr>
              <w:t>0,02</w:t>
            </w:r>
          </w:p>
        </w:tc>
      </w:tr>
    </w:tbl>
    <w:p w14:paraId="6DD2D02D" w14:textId="46F56E4D" w:rsidR="00C4504E" w:rsidRPr="007073CC" w:rsidRDefault="00675915" w:rsidP="00C4504E">
      <w:pPr>
        <w:pStyle w:val="af0"/>
        <w:spacing w:after="60"/>
        <w:ind w:firstLine="709"/>
        <w:rPr>
          <w:snapToGrid w:val="0"/>
          <w:sz w:val="20"/>
        </w:rPr>
      </w:pPr>
      <w:r w:rsidRPr="00675915">
        <w:rPr>
          <w:i/>
          <w:snapToGrid w:val="0"/>
          <w:sz w:val="20"/>
        </w:rPr>
        <w:t>Источники</w:t>
      </w:r>
      <w:r w:rsidR="00C4504E" w:rsidRPr="007073CC">
        <w:rPr>
          <w:snapToGrid w:val="0"/>
          <w:sz w:val="20"/>
        </w:rPr>
        <w:t>: 2019 г. - расчёты на данных Федерального закона от 28.11.2018 N 432-ФЗ "О бюджете Пенсионного фонда Российской Федерации на 2019 год и на плановый период 2020 и 2021 годов"; 2020-2022 гг. – расчеты на данных проекта Федерального закона " О бюджете Пенсионного фонда Российской Федерации на 2020 год и на плановый период 2021 и 2022 годов". Данные об индексе цен и ВВП – базовый вариант Прогноза социально-экономического развития Российской Федерации до 2024 г.</w:t>
      </w:r>
    </w:p>
    <w:p w14:paraId="7606C11D" w14:textId="0B7D8563" w:rsidR="008742A2" w:rsidRPr="008E6B24" w:rsidRDefault="008742A2" w:rsidP="00675915">
      <w:pPr>
        <w:spacing w:after="60"/>
        <w:jc w:val="both"/>
        <w:rPr>
          <w:snapToGrid w:val="0"/>
        </w:rPr>
        <w:sectPr w:rsidR="008742A2" w:rsidRPr="008E6B24" w:rsidSect="00F249D3">
          <w:pgSz w:w="16838" w:h="11906" w:orient="landscape"/>
          <w:pgMar w:top="964" w:right="1134" w:bottom="964" w:left="1134" w:header="709" w:footer="709" w:gutter="567"/>
          <w:cols w:space="708"/>
          <w:docGrid w:linePitch="360"/>
        </w:sectPr>
      </w:pPr>
    </w:p>
    <w:p w14:paraId="45DA5B44" w14:textId="1E89733B" w:rsidR="00675915" w:rsidRPr="00BA5A86" w:rsidRDefault="00675915" w:rsidP="00675915">
      <w:pPr>
        <w:spacing w:after="60"/>
        <w:ind w:firstLine="709"/>
        <w:jc w:val="both"/>
        <w:rPr>
          <w:snapToGrid w:val="0"/>
        </w:rPr>
      </w:pPr>
      <w:bookmarkStart w:id="79" w:name="_Toc465959032"/>
      <w:r w:rsidRPr="004A7E51">
        <w:rPr>
          <w:snapToGrid w:val="0"/>
        </w:rPr>
        <w:t>По сравнению с 2019 г. в 2020 г. объем расходов бюджета Пенсионного фонда РФ на выплату федеральной социальной доплаты к пенсии сократи</w:t>
      </w:r>
      <w:r>
        <w:rPr>
          <w:snapToGrid w:val="0"/>
        </w:rPr>
        <w:t>т</w:t>
      </w:r>
      <w:r w:rsidRPr="004A7E51">
        <w:rPr>
          <w:snapToGrid w:val="0"/>
        </w:rPr>
        <w:t xml:space="preserve">ся </w:t>
      </w:r>
      <w:r>
        <w:rPr>
          <w:snapToGrid w:val="0"/>
        </w:rPr>
        <w:t>в 1,4 раза, что связано</w:t>
      </w:r>
      <w:r w:rsidR="007501E9">
        <w:rPr>
          <w:snapToGrid w:val="0"/>
        </w:rPr>
        <w:t>, как уже отмечалось выше,</w:t>
      </w:r>
      <w:r w:rsidR="00875694">
        <w:rPr>
          <w:snapToGrid w:val="0"/>
        </w:rPr>
        <w:t xml:space="preserve"> </w:t>
      </w:r>
      <w:r w:rsidRPr="00BA5A86">
        <w:rPr>
          <w:snapToGrid w:val="0"/>
        </w:rPr>
        <w:t xml:space="preserve">с изменением механизма определения уровня прожиточного минимума пенсионера в регионах </w:t>
      </w:r>
      <w:r w:rsidR="007501E9">
        <w:rPr>
          <w:snapToGrid w:val="0"/>
        </w:rPr>
        <w:t>(</w:t>
      </w:r>
      <w:r w:rsidRPr="00BA5A86">
        <w:rPr>
          <w:snapToGrid w:val="0"/>
        </w:rPr>
        <w:t>Постановлени</w:t>
      </w:r>
      <w:r w:rsidR="007501E9">
        <w:rPr>
          <w:snapToGrid w:val="0"/>
        </w:rPr>
        <w:t>е</w:t>
      </w:r>
      <w:r w:rsidRPr="00BA5A86">
        <w:rPr>
          <w:snapToGrid w:val="0"/>
        </w:rPr>
        <w:t xml:space="preserve"> Правительства РФ N 975</w:t>
      </w:r>
      <w:r w:rsidR="007501E9">
        <w:rPr>
          <w:snapToGrid w:val="0"/>
        </w:rPr>
        <w:t>)</w:t>
      </w:r>
      <w:r w:rsidR="00875694">
        <w:rPr>
          <w:snapToGrid w:val="0"/>
        </w:rPr>
        <w:t xml:space="preserve"> </w:t>
      </w:r>
      <w:r w:rsidRPr="00BA5A86">
        <w:rPr>
          <w:snapToGrid w:val="0"/>
        </w:rPr>
        <w:t xml:space="preserve">и </w:t>
      </w:r>
      <w:r w:rsidR="007501E9">
        <w:rPr>
          <w:snapToGrid w:val="0"/>
        </w:rPr>
        <w:t xml:space="preserve">более чем двукратным </w:t>
      </w:r>
      <w:r w:rsidRPr="00BA5A86">
        <w:rPr>
          <w:snapToGrid w:val="0"/>
        </w:rPr>
        <w:t xml:space="preserve">увеличением числа </w:t>
      </w:r>
      <w:r w:rsidR="007501E9">
        <w:rPr>
          <w:snapToGrid w:val="0"/>
        </w:rPr>
        <w:t>субъектов Федерации</w:t>
      </w:r>
      <w:r w:rsidRPr="00BA5A86">
        <w:rPr>
          <w:snapToGrid w:val="0"/>
        </w:rPr>
        <w:t xml:space="preserve">, </w:t>
      </w:r>
      <w:r w:rsidR="007501E9">
        <w:rPr>
          <w:snapToGrid w:val="0"/>
        </w:rPr>
        <w:t xml:space="preserve">которые </w:t>
      </w:r>
      <w:r w:rsidR="007501E9" w:rsidRPr="00BA5A86">
        <w:rPr>
          <w:snapToGrid w:val="0"/>
        </w:rPr>
        <w:t>предоставляю</w:t>
      </w:r>
      <w:r w:rsidR="007501E9">
        <w:rPr>
          <w:snapToGrid w:val="0"/>
        </w:rPr>
        <w:t>т</w:t>
      </w:r>
      <w:r w:rsidR="007501E9" w:rsidRPr="00BA5A86">
        <w:rPr>
          <w:snapToGrid w:val="0"/>
        </w:rPr>
        <w:t xml:space="preserve"> </w:t>
      </w:r>
      <w:r w:rsidRPr="00BA5A86">
        <w:rPr>
          <w:snapToGrid w:val="0"/>
        </w:rPr>
        <w:t>региональную социальную доплату к пенсии</w:t>
      </w:r>
      <w:r w:rsidR="007501E9">
        <w:rPr>
          <w:snapToGrid w:val="0"/>
        </w:rPr>
        <w:t>.</w:t>
      </w:r>
    </w:p>
    <w:p w14:paraId="64EC0F0D" w14:textId="3D20B47F" w:rsidR="00675915" w:rsidRDefault="00675915" w:rsidP="00675915">
      <w:pPr>
        <w:spacing w:after="60"/>
        <w:ind w:firstLine="709"/>
        <w:jc w:val="both"/>
        <w:rPr>
          <w:snapToGrid w:val="0"/>
        </w:rPr>
      </w:pPr>
      <w:r w:rsidRPr="00996480">
        <w:rPr>
          <w:snapToGrid w:val="0"/>
        </w:rPr>
        <w:t xml:space="preserve">Как </w:t>
      </w:r>
      <w:r w:rsidR="007501E9">
        <w:rPr>
          <w:snapToGrid w:val="0"/>
        </w:rPr>
        <w:t>указано</w:t>
      </w:r>
      <w:r w:rsidR="007501E9" w:rsidRPr="00996480">
        <w:rPr>
          <w:snapToGrid w:val="0"/>
        </w:rPr>
        <w:t xml:space="preserve"> </w:t>
      </w:r>
      <w:r w:rsidRPr="00996480">
        <w:rPr>
          <w:snapToGrid w:val="0"/>
        </w:rPr>
        <w:t xml:space="preserve">в Пояснительной записке к Проекту бюджета Пенсионного фонда РФ, среднегодовой размер страховой пенсии </w:t>
      </w:r>
      <w:r>
        <w:rPr>
          <w:snapToGrid w:val="0"/>
        </w:rPr>
        <w:t xml:space="preserve">по старости </w:t>
      </w:r>
      <w:r w:rsidRPr="00996480">
        <w:rPr>
          <w:snapToGrid w:val="0"/>
        </w:rPr>
        <w:t>неработающих пенсионеров увеличится относительно прожиточного минимума пенсионера в период с 2020 г. по 2022 г. на 8,2 п.п. (с 176% до 185%) (</w:t>
      </w:r>
      <w:r w:rsidR="007501E9">
        <w:rPr>
          <w:i/>
          <w:snapToGrid w:val="0"/>
        </w:rPr>
        <w:t>таблица</w:t>
      </w:r>
      <w:r w:rsidRPr="00996480">
        <w:rPr>
          <w:i/>
          <w:snapToGrid w:val="0"/>
        </w:rPr>
        <w:t xml:space="preserve"> </w:t>
      </w:r>
      <w:r w:rsidR="008529A6" w:rsidRPr="008529A6">
        <w:rPr>
          <w:i/>
          <w:noProof/>
        </w:rPr>
        <w:t>37</w:t>
      </w:r>
      <w:r w:rsidRPr="00996480">
        <w:rPr>
          <w:snapToGrid w:val="0"/>
        </w:rPr>
        <w:t xml:space="preserve">). При этом среднегодовой размер страховой пенсии в указанный период увеличится относительно прожиточного минимума пенсионера лишь на 4,9 п.п. в силу неиндексации пенсии работающим пенсионерам. </w:t>
      </w:r>
      <w:r>
        <w:rPr>
          <w:snapToGrid w:val="0"/>
        </w:rPr>
        <w:t xml:space="preserve">Размер социальной пенсии практически не увеличится в рассматриваемый период относительно </w:t>
      </w:r>
      <w:r w:rsidRPr="00996480">
        <w:rPr>
          <w:snapToGrid w:val="0"/>
        </w:rPr>
        <w:t>прожиточного минимума пенсионера</w:t>
      </w:r>
      <w:r>
        <w:rPr>
          <w:snapToGrid w:val="0"/>
        </w:rPr>
        <w:t xml:space="preserve">, что связано с более низким уровнем индексации социальных пенсий в 2021-2022 гг., определяемым ростом прожиточного минимума пенсионера за предыдущий год. Средний размер накопительной </w:t>
      </w:r>
      <w:r w:rsidR="007501E9">
        <w:rPr>
          <w:snapToGrid w:val="0"/>
        </w:rPr>
        <w:t xml:space="preserve">пенсии </w:t>
      </w:r>
      <w:r>
        <w:rPr>
          <w:snapToGrid w:val="0"/>
        </w:rPr>
        <w:t xml:space="preserve">в 2020-2022 гг. будет крайне небольшим и составит лишь 10,9-15,7% от величины прожиточного минимума. </w:t>
      </w:r>
    </w:p>
    <w:p w14:paraId="4F0A4D46" w14:textId="091063DD" w:rsidR="00675915" w:rsidRPr="00283859" w:rsidRDefault="00675915" w:rsidP="00675915">
      <w:pPr>
        <w:spacing w:after="60"/>
        <w:ind w:firstLine="709"/>
        <w:jc w:val="both"/>
        <w:rPr>
          <w:snapToGrid w:val="0"/>
        </w:rPr>
      </w:pPr>
      <w:r>
        <w:rPr>
          <w:snapToGrid w:val="0"/>
        </w:rPr>
        <w:t>В 2022 г. среднегодовой размер страховой пенсии по старости неработающих пенсионеров увеличится в реальном выражении относительно 2020 г. на 3,3%, среднегодовой размер страховой пенсии – лишь на 1,6%, в то время как среднегодовой размер социальной пенсии сократится на 1,0%.</w:t>
      </w:r>
    </w:p>
    <w:p w14:paraId="59435151" w14:textId="0A8DF9CA" w:rsidR="00675915" w:rsidRPr="006B666E" w:rsidRDefault="00675915" w:rsidP="00675915">
      <w:pPr>
        <w:pStyle w:val="aff8"/>
        <w:keepNext/>
        <w:spacing w:before="0" w:after="60"/>
      </w:pPr>
      <w:r w:rsidRPr="006B666E">
        <w:t xml:space="preserve">Таблица </w:t>
      </w:r>
      <w:bookmarkStart w:id="80" w:name="_Ref21255675"/>
      <w:r w:rsidR="008529A6">
        <w:rPr>
          <w:noProof/>
        </w:rPr>
        <w:t>37</w:t>
      </w:r>
      <w:bookmarkEnd w:id="80"/>
    </w:p>
    <w:p w14:paraId="069376EE" w14:textId="77777777" w:rsidR="00675915" w:rsidRPr="002D1ACD" w:rsidRDefault="00675915" w:rsidP="00675915">
      <w:pPr>
        <w:spacing w:after="60"/>
        <w:ind w:firstLine="709"/>
        <w:jc w:val="center"/>
        <w:rPr>
          <w:b/>
          <w:snapToGrid w:val="0"/>
          <w:szCs w:val="20"/>
        </w:rPr>
      </w:pPr>
      <w:r>
        <w:rPr>
          <w:b/>
          <w:snapToGrid w:val="0"/>
          <w:szCs w:val="20"/>
        </w:rPr>
        <w:t xml:space="preserve">Размеры пенсий и их индексация </w:t>
      </w:r>
      <w:r w:rsidRPr="002D1ACD">
        <w:rPr>
          <w:b/>
          <w:snapToGrid w:val="0"/>
          <w:szCs w:val="20"/>
        </w:rPr>
        <w:t>в 20</w:t>
      </w:r>
      <w:r>
        <w:rPr>
          <w:b/>
          <w:snapToGrid w:val="0"/>
          <w:szCs w:val="20"/>
        </w:rPr>
        <w:t>20</w:t>
      </w:r>
      <w:r w:rsidRPr="002D1ACD">
        <w:rPr>
          <w:b/>
          <w:snapToGrid w:val="0"/>
          <w:szCs w:val="20"/>
        </w:rPr>
        <w:t>-2022 гг.</w:t>
      </w:r>
    </w:p>
    <w:tbl>
      <w:tblPr>
        <w:tblW w:w="9212" w:type="dxa"/>
        <w:tblLook w:val="04A0" w:firstRow="1" w:lastRow="0" w:firstColumn="1" w:lastColumn="0" w:noHBand="0" w:noVBand="1"/>
      </w:tblPr>
      <w:tblGrid>
        <w:gridCol w:w="6232"/>
        <w:gridCol w:w="993"/>
        <w:gridCol w:w="992"/>
        <w:gridCol w:w="995"/>
      </w:tblGrid>
      <w:tr w:rsidR="00675915" w:rsidRPr="007501E9" w14:paraId="7F997125" w14:textId="77777777" w:rsidTr="00875694">
        <w:trPr>
          <w:trHeight w:val="295"/>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64E84" w14:textId="77777777" w:rsidR="00675915" w:rsidRPr="007501E9" w:rsidRDefault="00675915" w:rsidP="00675915">
            <w:pPr>
              <w:spacing w:after="60"/>
              <w:rPr>
                <w:b/>
                <w:sz w:val="20"/>
                <w:szCs w:val="20"/>
              </w:rPr>
            </w:pPr>
            <w:r w:rsidRPr="007501E9">
              <w:rPr>
                <w:b/>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E3F17C9" w14:textId="2B0A8CAF" w:rsidR="00675915" w:rsidRPr="007501E9" w:rsidRDefault="00675915" w:rsidP="00675915">
            <w:pPr>
              <w:spacing w:after="60"/>
              <w:jc w:val="center"/>
              <w:rPr>
                <w:b/>
                <w:sz w:val="20"/>
                <w:szCs w:val="20"/>
              </w:rPr>
            </w:pPr>
            <w:r w:rsidRPr="007501E9">
              <w:rPr>
                <w:b/>
                <w:sz w:val="20"/>
                <w:szCs w:val="20"/>
              </w:rPr>
              <w:t>2020</w:t>
            </w:r>
            <w:r w:rsidR="007501E9">
              <w:rPr>
                <w:b/>
                <w:sz w:val="20"/>
                <w:szCs w:val="20"/>
              </w:rPr>
              <w:t xml:space="preserve">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806133" w14:textId="5DCB2B6D" w:rsidR="00675915" w:rsidRPr="007501E9" w:rsidRDefault="00675915" w:rsidP="00675915">
            <w:pPr>
              <w:spacing w:after="60"/>
              <w:jc w:val="center"/>
              <w:rPr>
                <w:b/>
                <w:sz w:val="20"/>
                <w:szCs w:val="20"/>
              </w:rPr>
            </w:pPr>
            <w:r w:rsidRPr="007501E9">
              <w:rPr>
                <w:b/>
                <w:sz w:val="20"/>
                <w:szCs w:val="20"/>
              </w:rPr>
              <w:t>2021</w:t>
            </w:r>
            <w:r w:rsidR="007501E9">
              <w:rPr>
                <w:b/>
                <w:sz w:val="20"/>
                <w:szCs w:val="20"/>
              </w:rPr>
              <w:t xml:space="preserve"> г.</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791D9992" w14:textId="5A010763" w:rsidR="00675915" w:rsidRPr="007501E9" w:rsidRDefault="00675915" w:rsidP="00675915">
            <w:pPr>
              <w:spacing w:after="60"/>
              <w:jc w:val="center"/>
              <w:rPr>
                <w:b/>
                <w:sz w:val="20"/>
                <w:szCs w:val="20"/>
              </w:rPr>
            </w:pPr>
            <w:r w:rsidRPr="007501E9">
              <w:rPr>
                <w:b/>
                <w:sz w:val="20"/>
                <w:szCs w:val="20"/>
              </w:rPr>
              <w:t>2022</w:t>
            </w:r>
            <w:r w:rsidR="007501E9">
              <w:rPr>
                <w:b/>
                <w:sz w:val="20"/>
                <w:szCs w:val="20"/>
              </w:rPr>
              <w:t xml:space="preserve"> г.</w:t>
            </w:r>
          </w:p>
        </w:tc>
      </w:tr>
      <w:tr w:rsidR="00675915" w:rsidRPr="006B666E" w14:paraId="23AAF6C9" w14:textId="77777777" w:rsidTr="00875694">
        <w:trPr>
          <w:trHeight w:val="29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C968311" w14:textId="77777777" w:rsidR="00675915" w:rsidRPr="006B666E" w:rsidRDefault="00675915" w:rsidP="00675915">
            <w:pPr>
              <w:spacing w:after="60"/>
              <w:rPr>
                <w:sz w:val="20"/>
                <w:szCs w:val="20"/>
              </w:rPr>
            </w:pPr>
            <w:r w:rsidRPr="006B666E">
              <w:rPr>
                <w:sz w:val="20"/>
                <w:szCs w:val="20"/>
              </w:rPr>
              <w:t> </w:t>
            </w:r>
          </w:p>
        </w:tc>
        <w:tc>
          <w:tcPr>
            <w:tcW w:w="2980" w:type="dxa"/>
            <w:gridSpan w:val="3"/>
            <w:tcBorders>
              <w:top w:val="nil"/>
              <w:left w:val="nil"/>
              <w:bottom w:val="single" w:sz="4" w:space="0" w:color="auto"/>
              <w:right w:val="single" w:sz="4" w:space="0" w:color="auto"/>
            </w:tcBorders>
            <w:shd w:val="clear" w:color="auto" w:fill="auto"/>
            <w:noWrap/>
            <w:vAlign w:val="center"/>
            <w:hideMark/>
          </w:tcPr>
          <w:p w14:paraId="752EE8EE" w14:textId="77777777" w:rsidR="00675915" w:rsidRPr="006B666E" w:rsidRDefault="00675915" w:rsidP="00675915">
            <w:pPr>
              <w:spacing w:after="60"/>
              <w:jc w:val="center"/>
              <w:rPr>
                <w:sz w:val="20"/>
                <w:szCs w:val="20"/>
              </w:rPr>
            </w:pPr>
            <w:r>
              <w:rPr>
                <w:sz w:val="20"/>
                <w:szCs w:val="20"/>
              </w:rPr>
              <w:t>руб.</w:t>
            </w:r>
          </w:p>
        </w:tc>
      </w:tr>
      <w:tr w:rsidR="00675915" w:rsidRPr="006B666E" w14:paraId="7E2656C2" w14:textId="77777777" w:rsidTr="00875694">
        <w:trPr>
          <w:trHeight w:val="29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70CA4E77" w14:textId="77777777" w:rsidR="00675915" w:rsidRPr="006B666E" w:rsidRDefault="00675915" w:rsidP="00675915">
            <w:pPr>
              <w:spacing w:after="60"/>
              <w:rPr>
                <w:sz w:val="20"/>
                <w:szCs w:val="20"/>
              </w:rPr>
            </w:pPr>
            <w:r w:rsidRPr="006B666E">
              <w:rPr>
                <w:sz w:val="20"/>
                <w:szCs w:val="20"/>
              </w:rPr>
              <w:t>Среднегодовой размер страховой пенсии</w:t>
            </w:r>
          </w:p>
        </w:tc>
        <w:tc>
          <w:tcPr>
            <w:tcW w:w="993" w:type="dxa"/>
            <w:tcBorders>
              <w:top w:val="nil"/>
              <w:left w:val="nil"/>
              <w:bottom w:val="single" w:sz="4" w:space="0" w:color="auto"/>
              <w:right w:val="single" w:sz="4" w:space="0" w:color="auto"/>
            </w:tcBorders>
            <w:shd w:val="clear" w:color="auto" w:fill="auto"/>
            <w:noWrap/>
            <w:vAlign w:val="center"/>
            <w:hideMark/>
          </w:tcPr>
          <w:p w14:paraId="1C311615" w14:textId="77777777" w:rsidR="00675915" w:rsidRPr="006B666E" w:rsidRDefault="00675915" w:rsidP="00675915">
            <w:pPr>
              <w:spacing w:after="60"/>
              <w:jc w:val="center"/>
              <w:rPr>
                <w:sz w:val="20"/>
                <w:szCs w:val="20"/>
              </w:rPr>
            </w:pPr>
            <w:r w:rsidRPr="006B666E">
              <w:rPr>
                <w:sz w:val="20"/>
                <w:szCs w:val="20"/>
              </w:rPr>
              <w:t>15 345</w:t>
            </w:r>
          </w:p>
        </w:tc>
        <w:tc>
          <w:tcPr>
            <w:tcW w:w="992" w:type="dxa"/>
            <w:tcBorders>
              <w:top w:val="nil"/>
              <w:left w:val="nil"/>
              <w:bottom w:val="single" w:sz="4" w:space="0" w:color="auto"/>
              <w:right w:val="single" w:sz="4" w:space="0" w:color="auto"/>
            </w:tcBorders>
            <w:shd w:val="clear" w:color="auto" w:fill="auto"/>
            <w:noWrap/>
            <w:vAlign w:val="center"/>
            <w:hideMark/>
          </w:tcPr>
          <w:p w14:paraId="2228D802" w14:textId="77777777" w:rsidR="00675915" w:rsidRPr="006B666E" w:rsidRDefault="00675915" w:rsidP="00675915">
            <w:pPr>
              <w:spacing w:after="60"/>
              <w:jc w:val="center"/>
              <w:rPr>
                <w:sz w:val="20"/>
                <w:szCs w:val="20"/>
              </w:rPr>
            </w:pPr>
            <w:r w:rsidRPr="006B666E">
              <w:rPr>
                <w:sz w:val="20"/>
                <w:szCs w:val="20"/>
              </w:rPr>
              <w:t>16 072</w:t>
            </w:r>
          </w:p>
        </w:tc>
        <w:tc>
          <w:tcPr>
            <w:tcW w:w="995" w:type="dxa"/>
            <w:tcBorders>
              <w:top w:val="nil"/>
              <w:left w:val="nil"/>
              <w:bottom w:val="single" w:sz="4" w:space="0" w:color="auto"/>
              <w:right w:val="single" w:sz="4" w:space="0" w:color="auto"/>
            </w:tcBorders>
            <w:shd w:val="clear" w:color="auto" w:fill="auto"/>
            <w:noWrap/>
            <w:vAlign w:val="center"/>
            <w:hideMark/>
          </w:tcPr>
          <w:p w14:paraId="13F376EE" w14:textId="77777777" w:rsidR="00675915" w:rsidRPr="006B666E" w:rsidRDefault="00675915" w:rsidP="00675915">
            <w:pPr>
              <w:spacing w:after="60"/>
              <w:jc w:val="center"/>
              <w:rPr>
                <w:sz w:val="20"/>
                <w:szCs w:val="20"/>
              </w:rPr>
            </w:pPr>
            <w:r w:rsidRPr="006B666E">
              <w:rPr>
                <w:sz w:val="20"/>
                <w:szCs w:val="20"/>
              </w:rPr>
              <w:t>16 814</w:t>
            </w:r>
          </w:p>
        </w:tc>
      </w:tr>
      <w:tr w:rsidR="00675915" w:rsidRPr="006B666E" w14:paraId="26E742C6" w14:textId="77777777" w:rsidTr="00875694">
        <w:trPr>
          <w:trHeight w:val="29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FDB4990" w14:textId="77777777" w:rsidR="00675915" w:rsidRPr="006B666E" w:rsidRDefault="00675915" w:rsidP="00675915">
            <w:pPr>
              <w:spacing w:after="60"/>
              <w:rPr>
                <w:sz w:val="20"/>
                <w:szCs w:val="20"/>
              </w:rPr>
            </w:pPr>
            <w:r w:rsidRPr="006B666E">
              <w:rPr>
                <w:sz w:val="20"/>
                <w:szCs w:val="20"/>
              </w:rPr>
              <w:t>Среднегодовой размер страховой пенсии по старости неработающих пенсионеров</w:t>
            </w:r>
          </w:p>
        </w:tc>
        <w:tc>
          <w:tcPr>
            <w:tcW w:w="993" w:type="dxa"/>
            <w:tcBorders>
              <w:top w:val="nil"/>
              <w:left w:val="nil"/>
              <w:bottom w:val="single" w:sz="4" w:space="0" w:color="auto"/>
              <w:right w:val="single" w:sz="4" w:space="0" w:color="auto"/>
            </w:tcBorders>
            <w:shd w:val="clear" w:color="auto" w:fill="auto"/>
            <w:noWrap/>
            <w:vAlign w:val="center"/>
            <w:hideMark/>
          </w:tcPr>
          <w:p w14:paraId="3AA1E12B" w14:textId="77777777" w:rsidR="00675915" w:rsidRPr="006B666E" w:rsidRDefault="00675915" w:rsidP="00675915">
            <w:pPr>
              <w:spacing w:after="60"/>
              <w:jc w:val="center"/>
              <w:rPr>
                <w:sz w:val="20"/>
                <w:szCs w:val="20"/>
              </w:rPr>
            </w:pPr>
            <w:r w:rsidRPr="006B666E">
              <w:rPr>
                <w:sz w:val="20"/>
                <w:szCs w:val="20"/>
              </w:rPr>
              <w:t>16 425</w:t>
            </w:r>
          </w:p>
        </w:tc>
        <w:tc>
          <w:tcPr>
            <w:tcW w:w="992" w:type="dxa"/>
            <w:tcBorders>
              <w:top w:val="nil"/>
              <w:left w:val="nil"/>
              <w:bottom w:val="single" w:sz="4" w:space="0" w:color="auto"/>
              <w:right w:val="single" w:sz="4" w:space="0" w:color="auto"/>
            </w:tcBorders>
            <w:shd w:val="clear" w:color="auto" w:fill="auto"/>
            <w:noWrap/>
            <w:vAlign w:val="center"/>
            <w:hideMark/>
          </w:tcPr>
          <w:p w14:paraId="6F480FE0" w14:textId="77777777" w:rsidR="00675915" w:rsidRPr="006B666E" w:rsidRDefault="00675915" w:rsidP="00675915">
            <w:pPr>
              <w:spacing w:after="60"/>
              <w:jc w:val="center"/>
              <w:rPr>
                <w:sz w:val="20"/>
                <w:szCs w:val="20"/>
              </w:rPr>
            </w:pPr>
            <w:r w:rsidRPr="006B666E">
              <w:rPr>
                <w:sz w:val="20"/>
                <w:szCs w:val="20"/>
              </w:rPr>
              <w:t>17 367</w:t>
            </w:r>
          </w:p>
        </w:tc>
        <w:tc>
          <w:tcPr>
            <w:tcW w:w="995" w:type="dxa"/>
            <w:tcBorders>
              <w:top w:val="nil"/>
              <w:left w:val="nil"/>
              <w:bottom w:val="single" w:sz="4" w:space="0" w:color="auto"/>
              <w:right w:val="single" w:sz="4" w:space="0" w:color="auto"/>
            </w:tcBorders>
            <w:shd w:val="clear" w:color="auto" w:fill="auto"/>
            <w:noWrap/>
            <w:vAlign w:val="center"/>
            <w:hideMark/>
          </w:tcPr>
          <w:p w14:paraId="3A95FBBD" w14:textId="77777777" w:rsidR="00675915" w:rsidRPr="006B666E" w:rsidRDefault="00675915" w:rsidP="00675915">
            <w:pPr>
              <w:spacing w:after="60"/>
              <w:jc w:val="center"/>
              <w:rPr>
                <w:sz w:val="20"/>
                <w:szCs w:val="20"/>
              </w:rPr>
            </w:pPr>
            <w:r w:rsidRPr="006B666E">
              <w:rPr>
                <w:sz w:val="20"/>
                <w:szCs w:val="20"/>
              </w:rPr>
              <w:t>18 290</w:t>
            </w:r>
          </w:p>
        </w:tc>
      </w:tr>
      <w:tr w:rsidR="00675915" w:rsidRPr="006B666E" w14:paraId="25EB6B62" w14:textId="77777777" w:rsidTr="00875694">
        <w:trPr>
          <w:trHeight w:val="29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0F979DA" w14:textId="77777777" w:rsidR="00675915" w:rsidRPr="006B666E" w:rsidRDefault="00675915" w:rsidP="00675915">
            <w:pPr>
              <w:spacing w:after="60"/>
              <w:rPr>
                <w:sz w:val="20"/>
                <w:szCs w:val="20"/>
              </w:rPr>
            </w:pPr>
            <w:r w:rsidRPr="006B666E">
              <w:rPr>
                <w:sz w:val="20"/>
                <w:szCs w:val="20"/>
              </w:rPr>
              <w:t>Среднегодовой размер социальной пенсии</w:t>
            </w:r>
          </w:p>
        </w:tc>
        <w:tc>
          <w:tcPr>
            <w:tcW w:w="993" w:type="dxa"/>
            <w:tcBorders>
              <w:top w:val="nil"/>
              <w:left w:val="nil"/>
              <w:bottom w:val="single" w:sz="4" w:space="0" w:color="auto"/>
              <w:right w:val="single" w:sz="4" w:space="0" w:color="auto"/>
            </w:tcBorders>
            <w:shd w:val="clear" w:color="auto" w:fill="auto"/>
            <w:noWrap/>
            <w:vAlign w:val="center"/>
            <w:hideMark/>
          </w:tcPr>
          <w:p w14:paraId="4DC46474" w14:textId="77777777" w:rsidR="00675915" w:rsidRPr="006B666E" w:rsidRDefault="00675915" w:rsidP="00675915">
            <w:pPr>
              <w:spacing w:after="60"/>
              <w:jc w:val="center"/>
              <w:rPr>
                <w:sz w:val="20"/>
                <w:szCs w:val="20"/>
              </w:rPr>
            </w:pPr>
            <w:r w:rsidRPr="006B666E">
              <w:rPr>
                <w:sz w:val="20"/>
                <w:szCs w:val="20"/>
              </w:rPr>
              <w:t>9 767</w:t>
            </w:r>
          </w:p>
        </w:tc>
        <w:tc>
          <w:tcPr>
            <w:tcW w:w="992" w:type="dxa"/>
            <w:tcBorders>
              <w:top w:val="nil"/>
              <w:left w:val="nil"/>
              <w:bottom w:val="single" w:sz="4" w:space="0" w:color="auto"/>
              <w:right w:val="single" w:sz="4" w:space="0" w:color="auto"/>
            </w:tcBorders>
            <w:shd w:val="clear" w:color="auto" w:fill="auto"/>
            <w:noWrap/>
            <w:vAlign w:val="center"/>
            <w:hideMark/>
          </w:tcPr>
          <w:p w14:paraId="024EA231" w14:textId="77777777" w:rsidR="00675915" w:rsidRPr="006B666E" w:rsidRDefault="00675915" w:rsidP="00675915">
            <w:pPr>
              <w:spacing w:after="60"/>
              <w:jc w:val="center"/>
              <w:rPr>
                <w:sz w:val="20"/>
                <w:szCs w:val="20"/>
              </w:rPr>
            </w:pPr>
            <w:r w:rsidRPr="006B666E">
              <w:rPr>
                <w:sz w:val="20"/>
                <w:szCs w:val="20"/>
              </w:rPr>
              <w:t>10 123</w:t>
            </w:r>
          </w:p>
        </w:tc>
        <w:tc>
          <w:tcPr>
            <w:tcW w:w="995" w:type="dxa"/>
            <w:tcBorders>
              <w:top w:val="nil"/>
              <w:left w:val="nil"/>
              <w:bottom w:val="single" w:sz="4" w:space="0" w:color="auto"/>
              <w:right w:val="single" w:sz="4" w:space="0" w:color="auto"/>
            </w:tcBorders>
            <w:shd w:val="clear" w:color="auto" w:fill="auto"/>
            <w:noWrap/>
            <w:vAlign w:val="center"/>
            <w:hideMark/>
          </w:tcPr>
          <w:p w14:paraId="1DB0E26F" w14:textId="77777777" w:rsidR="00675915" w:rsidRPr="006B666E" w:rsidRDefault="00675915" w:rsidP="00675915">
            <w:pPr>
              <w:spacing w:after="60"/>
              <w:jc w:val="center"/>
              <w:rPr>
                <w:sz w:val="20"/>
                <w:szCs w:val="20"/>
              </w:rPr>
            </w:pPr>
            <w:r w:rsidRPr="006B666E">
              <w:rPr>
                <w:sz w:val="20"/>
                <w:szCs w:val="20"/>
              </w:rPr>
              <w:t>10 423</w:t>
            </w:r>
          </w:p>
        </w:tc>
      </w:tr>
      <w:tr w:rsidR="00675915" w:rsidRPr="006B666E" w14:paraId="2C13DC98" w14:textId="77777777" w:rsidTr="00875694">
        <w:trPr>
          <w:trHeight w:val="29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3835BC7" w14:textId="77777777" w:rsidR="00675915" w:rsidRPr="006B666E" w:rsidRDefault="00675915" w:rsidP="00675915">
            <w:pPr>
              <w:spacing w:after="60"/>
              <w:rPr>
                <w:sz w:val="20"/>
                <w:szCs w:val="20"/>
              </w:rPr>
            </w:pPr>
            <w:r w:rsidRPr="006B666E">
              <w:rPr>
                <w:sz w:val="20"/>
                <w:szCs w:val="20"/>
              </w:rPr>
              <w:t>Среднегодовой размер накопительной пенсии</w:t>
            </w:r>
          </w:p>
        </w:tc>
        <w:tc>
          <w:tcPr>
            <w:tcW w:w="993" w:type="dxa"/>
            <w:tcBorders>
              <w:top w:val="nil"/>
              <w:left w:val="nil"/>
              <w:bottom w:val="single" w:sz="4" w:space="0" w:color="auto"/>
              <w:right w:val="single" w:sz="4" w:space="0" w:color="auto"/>
            </w:tcBorders>
            <w:shd w:val="clear" w:color="auto" w:fill="auto"/>
            <w:noWrap/>
            <w:vAlign w:val="center"/>
            <w:hideMark/>
          </w:tcPr>
          <w:p w14:paraId="7164BE93" w14:textId="77777777" w:rsidR="00675915" w:rsidRPr="006B666E" w:rsidRDefault="00675915" w:rsidP="00675915">
            <w:pPr>
              <w:spacing w:after="60"/>
              <w:jc w:val="center"/>
              <w:rPr>
                <w:sz w:val="20"/>
                <w:szCs w:val="20"/>
              </w:rPr>
            </w:pPr>
            <w:r w:rsidRPr="006B666E">
              <w:rPr>
                <w:sz w:val="20"/>
                <w:szCs w:val="20"/>
              </w:rPr>
              <w:t>1 014</w:t>
            </w:r>
          </w:p>
        </w:tc>
        <w:tc>
          <w:tcPr>
            <w:tcW w:w="992" w:type="dxa"/>
            <w:tcBorders>
              <w:top w:val="nil"/>
              <w:left w:val="nil"/>
              <w:bottom w:val="single" w:sz="4" w:space="0" w:color="auto"/>
              <w:right w:val="single" w:sz="4" w:space="0" w:color="auto"/>
            </w:tcBorders>
            <w:shd w:val="clear" w:color="auto" w:fill="auto"/>
            <w:noWrap/>
            <w:vAlign w:val="center"/>
            <w:hideMark/>
          </w:tcPr>
          <w:p w14:paraId="40F01313" w14:textId="77777777" w:rsidR="00675915" w:rsidRPr="006B666E" w:rsidRDefault="00675915" w:rsidP="00675915">
            <w:pPr>
              <w:spacing w:after="60"/>
              <w:jc w:val="center"/>
              <w:rPr>
                <w:sz w:val="20"/>
                <w:szCs w:val="20"/>
              </w:rPr>
            </w:pPr>
            <w:r w:rsidRPr="006B666E">
              <w:rPr>
                <w:sz w:val="20"/>
                <w:szCs w:val="20"/>
              </w:rPr>
              <w:t>1 075</w:t>
            </w:r>
          </w:p>
        </w:tc>
        <w:tc>
          <w:tcPr>
            <w:tcW w:w="995" w:type="dxa"/>
            <w:tcBorders>
              <w:top w:val="nil"/>
              <w:left w:val="nil"/>
              <w:bottom w:val="single" w:sz="4" w:space="0" w:color="auto"/>
              <w:right w:val="single" w:sz="4" w:space="0" w:color="auto"/>
            </w:tcBorders>
            <w:shd w:val="clear" w:color="auto" w:fill="auto"/>
            <w:noWrap/>
            <w:vAlign w:val="center"/>
            <w:hideMark/>
          </w:tcPr>
          <w:p w14:paraId="55189B8A" w14:textId="77777777" w:rsidR="00675915" w:rsidRPr="006B666E" w:rsidRDefault="00675915" w:rsidP="00675915">
            <w:pPr>
              <w:spacing w:after="60"/>
              <w:jc w:val="center"/>
              <w:rPr>
                <w:sz w:val="20"/>
                <w:szCs w:val="20"/>
              </w:rPr>
            </w:pPr>
            <w:r w:rsidRPr="006B666E">
              <w:rPr>
                <w:sz w:val="20"/>
                <w:szCs w:val="20"/>
              </w:rPr>
              <w:t>1 551</w:t>
            </w:r>
          </w:p>
        </w:tc>
      </w:tr>
      <w:tr w:rsidR="00675915" w:rsidRPr="006B666E" w14:paraId="051975AD" w14:textId="77777777" w:rsidTr="00875694">
        <w:trPr>
          <w:trHeight w:val="29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102766F" w14:textId="77777777" w:rsidR="00675915" w:rsidRPr="006B666E" w:rsidRDefault="00675915" w:rsidP="00675915">
            <w:pPr>
              <w:spacing w:after="60"/>
              <w:rPr>
                <w:sz w:val="20"/>
                <w:szCs w:val="20"/>
              </w:rPr>
            </w:pPr>
            <w:r w:rsidRPr="006B666E">
              <w:rPr>
                <w:sz w:val="20"/>
                <w:szCs w:val="20"/>
              </w:rPr>
              <w:t> </w:t>
            </w:r>
          </w:p>
        </w:tc>
        <w:tc>
          <w:tcPr>
            <w:tcW w:w="2980" w:type="dxa"/>
            <w:gridSpan w:val="3"/>
            <w:tcBorders>
              <w:top w:val="nil"/>
              <w:left w:val="nil"/>
              <w:bottom w:val="single" w:sz="4" w:space="0" w:color="auto"/>
              <w:right w:val="single" w:sz="4" w:space="0" w:color="auto"/>
            </w:tcBorders>
            <w:shd w:val="clear" w:color="auto" w:fill="auto"/>
            <w:noWrap/>
            <w:vAlign w:val="center"/>
            <w:hideMark/>
          </w:tcPr>
          <w:p w14:paraId="2686312E" w14:textId="77777777" w:rsidR="00675915" w:rsidRPr="006B666E" w:rsidRDefault="00675915" w:rsidP="00675915">
            <w:pPr>
              <w:spacing w:after="60"/>
              <w:jc w:val="center"/>
              <w:rPr>
                <w:sz w:val="20"/>
                <w:szCs w:val="20"/>
              </w:rPr>
            </w:pPr>
            <w:r>
              <w:rPr>
                <w:sz w:val="20"/>
                <w:szCs w:val="20"/>
              </w:rPr>
              <w:t>%</w:t>
            </w:r>
          </w:p>
        </w:tc>
      </w:tr>
      <w:tr w:rsidR="00675915" w:rsidRPr="006B666E" w14:paraId="6AAF61DB" w14:textId="77777777" w:rsidTr="00875694">
        <w:trPr>
          <w:trHeight w:val="29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3CC417A8" w14:textId="77777777" w:rsidR="00675915" w:rsidRPr="006B666E" w:rsidRDefault="00675915" w:rsidP="00675915">
            <w:pPr>
              <w:spacing w:after="60"/>
              <w:rPr>
                <w:sz w:val="20"/>
                <w:szCs w:val="20"/>
              </w:rPr>
            </w:pPr>
            <w:r w:rsidRPr="006B666E">
              <w:rPr>
                <w:sz w:val="20"/>
                <w:szCs w:val="20"/>
              </w:rPr>
              <w:t>Соотношение среднегодового размера страховой пенсии с ПМП</w:t>
            </w:r>
          </w:p>
        </w:tc>
        <w:tc>
          <w:tcPr>
            <w:tcW w:w="993" w:type="dxa"/>
            <w:tcBorders>
              <w:top w:val="nil"/>
              <w:left w:val="nil"/>
              <w:bottom w:val="single" w:sz="4" w:space="0" w:color="auto"/>
              <w:right w:val="single" w:sz="4" w:space="0" w:color="auto"/>
            </w:tcBorders>
            <w:shd w:val="clear" w:color="auto" w:fill="auto"/>
            <w:noWrap/>
            <w:vAlign w:val="center"/>
            <w:hideMark/>
          </w:tcPr>
          <w:p w14:paraId="49CC6F82" w14:textId="77777777" w:rsidR="00675915" w:rsidRPr="006B666E" w:rsidRDefault="00675915" w:rsidP="00675915">
            <w:pPr>
              <w:spacing w:after="60"/>
              <w:jc w:val="center"/>
              <w:rPr>
                <w:sz w:val="20"/>
                <w:szCs w:val="20"/>
              </w:rPr>
            </w:pPr>
            <w:r w:rsidRPr="006B666E">
              <w:rPr>
                <w:sz w:val="20"/>
                <w:szCs w:val="20"/>
              </w:rPr>
              <w:t>164,8</w:t>
            </w:r>
          </w:p>
        </w:tc>
        <w:tc>
          <w:tcPr>
            <w:tcW w:w="992" w:type="dxa"/>
            <w:tcBorders>
              <w:top w:val="nil"/>
              <w:left w:val="nil"/>
              <w:bottom w:val="single" w:sz="4" w:space="0" w:color="auto"/>
              <w:right w:val="single" w:sz="4" w:space="0" w:color="auto"/>
            </w:tcBorders>
            <w:shd w:val="clear" w:color="auto" w:fill="auto"/>
            <w:noWrap/>
            <w:vAlign w:val="center"/>
            <w:hideMark/>
          </w:tcPr>
          <w:p w14:paraId="42DEA225" w14:textId="77777777" w:rsidR="00675915" w:rsidRPr="006B666E" w:rsidRDefault="00675915" w:rsidP="00675915">
            <w:pPr>
              <w:spacing w:after="60"/>
              <w:jc w:val="center"/>
              <w:rPr>
                <w:sz w:val="20"/>
                <w:szCs w:val="20"/>
              </w:rPr>
            </w:pPr>
            <w:r w:rsidRPr="006B666E">
              <w:rPr>
                <w:sz w:val="20"/>
                <w:szCs w:val="20"/>
              </w:rPr>
              <w:t>167,5</w:t>
            </w:r>
          </w:p>
        </w:tc>
        <w:tc>
          <w:tcPr>
            <w:tcW w:w="995" w:type="dxa"/>
            <w:tcBorders>
              <w:top w:val="nil"/>
              <w:left w:val="nil"/>
              <w:bottom w:val="single" w:sz="4" w:space="0" w:color="auto"/>
              <w:right w:val="single" w:sz="4" w:space="0" w:color="auto"/>
            </w:tcBorders>
            <w:shd w:val="clear" w:color="auto" w:fill="auto"/>
            <w:noWrap/>
            <w:vAlign w:val="center"/>
            <w:hideMark/>
          </w:tcPr>
          <w:p w14:paraId="71FF5010" w14:textId="77777777" w:rsidR="00675915" w:rsidRPr="006B666E" w:rsidRDefault="00675915" w:rsidP="00675915">
            <w:pPr>
              <w:spacing w:after="60"/>
              <w:jc w:val="center"/>
              <w:rPr>
                <w:sz w:val="20"/>
                <w:szCs w:val="20"/>
              </w:rPr>
            </w:pPr>
            <w:r w:rsidRPr="006B666E">
              <w:rPr>
                <w:sz w:val="20"/>
                <w:szCs w:val="20"/>
              </w:rPr>
              <w:t>169,7</w:t>
            </w:r>
          </w:p>
        </w:tc>
      </w:tr>
      <w:tr w:rsidR="00675915" w:rsidRPr="006B666E" w14:paraId="30FC879D" w14:textId="77777777" w:rsidTr="00875694">
        <w:trPr>
          <w:trHeight w:val="29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54A0C10" w14:textId="77777777" w:rsidR="00675915" w:rsidRPr="006B666E" w:rsidRDefault="00675915" w:rsidP="00675915">
            <w:pPr>
              <w:spacing w:after="60"/>
              <w:rPr>
                <w:sz w:val="20"/>
                <w:szCs w:val="20"/>
              </w:rPr>
            </w:pPr>
            <w:r w:rsidRPr="006B666E">
              <w:rPr>
                <w:sz w:val="20"/>
                <w:szCs w:val="20"/>
              </w:rPr>
              <w:t>Соотношение среднегодового размера страховой пенсии по старости неработающих пенсионеров с ПМП</w:t>
            </w:r>
          </w:p>
        </w:tc>
        <w:tc>
          <w:tcPr>
            <w:tcW w:w="993" w:type="dxa"/>
            <w:tcBorders>
              <w:top w:val="nil"/>
              <w:left w:val="nil"/>
              <w:bottom w:val="single" w:sz="4" w:space="0" w:color="auto"/>
              <w:right w:val="single" w:sz="4" w:space="0" w:color="auto"/>
            </w:tcBorders>
            <w:shd w:val="clear" w:color="auto" w:fill="auto"/>
            <w:noWrap/>
            <w:vAlign w:val="center"/>
            <w:hideMark/>
          </w:tcPr>
          <w:p w14:paraId="64BDA52A" w14:textId="77777777" w:rsidR="00675915" w:rsidRPr="006B666E" w:rsidRDefault="00675915" w:rsidP="00675915">
            <w:pPr>
              <w:spacing w:after="60"/>
              <w:jc w:val="center"/>
              <w:rPr>
                <w:sz w:val="20"/>
                <w:szCs w:val="20"/>
              </w:rPr>
            </w:pPr>
            <w:r w:rsidRPr="006B666E">
              <w:rPr>
                <w:sz w:val="20"/>
                <w:szCs w:val="20"/>
              </w:rPr>
              <w:t>176,4</w:t>
            </w:r>
          </w:p>
        </w:tc>
        <w:tc>
          <w:tcPr>
            <w:tcW w:w="992" w:type="dxa"/>
            <w:tcBorders>
              <w:top w:val="nil"/>
              <w:left w:val="nil"/>
              <w:bottom w:val="single" w:sz="4" w:space="0" w:color="auto"/>
              <w:right w:val="single" w:sz="4" w:space="0" w:color="auto"/>
            </w:tcBorders>
            <w:shd w:val="clear" w:color="auto" w:fill="auto"/>
            <w:noWrap/>
            <w:vAlign w:val="center"/>
            <w:hideMark/>
          </w:tcPr>
          <w:p w14:paraId="5A7636EA" w14:textId="77777777" w:rsidR="00675915" w:rsidRPr="006B666E" w:rsidRDefault="00675915" w:rsidP="00675915">
            <w:pPr>
              <w:spacing w:after="60"/>
              <w:jc w:val="center"/>
              <w:rPr>
                <w:sz w:val="20"/>
                <w:szCs w:val="20"/>
              </w:rPr>
            </w:pPr>
            <w:r w:rsidRPr="006B666E">
              <w:rPr>
                <w:sz w:val="20"/>
                <w:szCs w:val="20"/>
              </w:rPr>
              <w:t>181,0</w:t>
            </w:r>
          </w:p>
        </w:tc>
        <w:tc>
          <w:tcPr>
            <w:tcW w:w="995" w:type="dxa"/>
            <w:tcBorders>
              <w:top w:val="nil"/>
              <w:left w:val="nil"/>
              <w:bottom w:val="single" w:sz="4" w:space="0" w:color="auto"/>
              <w:right w:val="single" w:sz="4" w:space="0" w:color="auto"/>
            </w:tcBorders>
            <w:shd w:val="clear" w:color="auto" w:fill="auto"/>
            <w:noWrap/>
            <w:vAlign w:val="center"/>
            <w:hideMark/>
          </w:tcPr>
          <w:p w14:paraId="0425961D" w14:textId="77777777" w:rsidR="00675915" w:rsidRPr="006B666E" w:rsidRDefault="00675915" w:rsidP="00675915">
            <w:pPr>
              <w:spacing w:after="60"/>
              <w:jc w:val="center"/>
              <w:rPr>
                <w:sz w:val="20"/>
                <w:szCs w:val="20"/>
              </w:rPr>
            </w:pPr>
            <w:r w:rsidRPr="006B666E">
              <w:rPr>
                <w:sz w:val="20"/>
                <w:szCs w:val="20"/>
              </w:rPr>
              <w:t>184,6</w:t>
            </w:r>
          </w:p>
        </w:tc>
      </w:tr>
      <w:tr w:rsidR="00675915" w:rsidRPr="006B666E" w14:paraId="30C390C7" w14:textId="77777777" w:rsidTr="00875694">
        <w:trPr>
          <w:trHeight w:val="29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2EB6AE6" w14:textId="77777777" w:rsidR="00675915" w:rsidRPr="006B666E" w:rsidRDefault="00675915" w:rsidP="00675915">
            <w:pPr>
              <w:spacing w:after="60"/>
              <w:rPr>
                <w:sz w:val="20"/>
                <w:szCs w:val="20"/>
              </w:rPr>
            </w:pPr>
            <w:r w:rsidRPr="006B666E">
              <w:rPr>
                <w:sz w:val="20"/>
                <w:szCs w:val="20"/>
              </w:rPr>
              <w:t>Соотношение среднегодового размера социальной пенсии с ПМП</w:t>
            </w:r>
          </w:p>
        </w:tc>
        <w:tc>
          <w:tcPr>
            <w:tcW w:w="993" w:type="dxa"/>
            <w:tcBorders>
              <w:top w:val="nil"/>
              <w:left w:val="nil"/>
              <w:bottom w:val="single" w:sz="4" w:space="0" w:color="auto"/>
              <w:right w:val="single" w:sz="4" w:space="0" w:color="auto"/>
            </w:tcBorders>
            <w:shd w:val="clear" w:color="auto" w:fill="auto"/>
            <w:noWrap/>
            <w:vAlign w:val="center"/>
            <w:hideMark/>
          </w:tcPr>
          <w:p w14:paraId="7C70E3BA" w14:textId="77777777" w:rsidR="00675915" w:rsidRPr="006B666E" w:rsidRDefault="00675915" w:rsidP="00675915">
            <w:pPr>
              <w:spacing w:after="60"/>
              <w:jc w:val="center"/>
              <w:rPr>
                <w:sz w:val="20"/>
                <w:szCs w:val="20"/>
              </w:rPr>
            </w:pPr>
            <w:r w:rsidRPr="006B666E">
              <w:rPr>
                <w:sz w:val="20"/>
                <w:szCs w:val="20"/>
              </w:rPr>
              <w:t>104,9</w:t>
            </w:r>
          </w:p>
        </w:tc>
        <w:tc>
          <w:tcPr>
            <w:tcW w:w="992" w:type="dxa"/>
            <w:tcBorders>
              <w:top w:val="nil"/>
              <w:left w:val="nil"/>
              <w:bottom w:val="single" w:sz="4" w:space="0" w:color="auto"/>
              <w:right w:val="single" w:sz="4" w:space="0" w:color="auto"/>
            </w:tcBorders>
            <w:shd w:val="clear" w:color="auto" w:fill="auto"/>
            <w:noWrap/>
            <w:vAlign w:val="center"/>
            <w:hideMark/>
          </w:tcPr>
          <w:p w14:paraId="11DD3F2C" w14:textId="77777777" w:rsidR="00675915" w:rsidRPr="006B666E" w:rsidRDefault="00675915" w:rsidP="00675915">
            <w:pPr>
              <w:spacing w:after="60"/>
              <w:jc w:val="center"/>
              <w:rPr>
                <w:sz w:val="20"/>
                <w:szCs w:val="20"/>
              </w:rPr>
            </w:pPr>
            <w:r w:rsidRPr="006B666E">
              <w:rPr>
                <w:sz w:val="20"/>
                <w:szCs w:val="20"/>
              </w:rPr>
              <w:t>105,5</w:t>
            </w:r>
          </w:p>
        </w:tc>
        <w:tc>
          <w:tcPr>
            <w:tcW w:w="995" w:type="dxa"/>
            <w:tcBorders>
              <w:top w:val="nil"/>
              <w:left w:val="nil"/>
              <w:bottom w:val="single" w:sz="4" w:space="0" w:color="auto"/>
              <w:right w:val="single" w:sz="4" w:space="0" w:color="auto"/>
            </w:tcBorders>
            <w:shd w:val="clear" w:color="auto" w:fill="auto"/>
            <w:noWrap/>
            <w:vAlign w:val="center"/>
            <w:hideMark/>
          </w:tcPr>
          <w:p w14:paraId="6FCD4456" w14:textId="77777777" w:rsidR="00675915" w:rsidRPr="006B666E" w:rsidRDefault="00675915" w:rsidP="00675915">
            <w:pPr>
              <w:spacing w:after="60"/>
              <w:jc w:val="center"/>
              <w:rPr>
                <w:sz w:val="20"/>
                <w:szCs w:val="20"/>
              </w:rPr>
            </w:pPr>
            <w:r w:rsidRPr="006B666E">
              <w:rPr>
                <w:sz w:val="20"/>
                <w:szCs w:val="20"/>
              </w:rPr>
              <w:t>105,2</w:t>
            </w:r>
          </w:p>
        </w:tc>
      </w:tr>
      <w:tr w:rsidR="00675915" w:rsidRPr="006B666E" w14:paraId="68D74D9B" w14:textId="77777777" w:rsidTr="00875694">
        <w:trPr>
          <w:trHeight w:val="295"/>
        </w:trPr>
        <w:tc>
          <w:tcPr>
            <w:tcW w:w="6232" w:type="dxa"/>
            <w:tcBorders>
              <w:top w:val="nil"/>
              <w:left w:val="single" w:sz="4" w:space="0" w:color="auto"/>
              <w:bottom w:val="single" w:sz="4" w:space="0" w:color="auto"/>
              <w:right w:val="single" w:sz="4" w:space="0" w:color="auto"/>
            </w:tcBorders>
            <w:shd w:val="clear" w:color="auto" w:fill="auto"/>
            <w:noWrap/>
            <w:vAlign w:val="bottom"/>
          </w:tcPr>
          <w:p w14:paraId="5995EDBF" w14:textId="77777777" w:rsidR="00675915" w:rsidRPr="006B666E" w:rsidRDefault="00675915" w:rsidP="00675915">
            <w:pPr>
              <w:spacing w:after="60"/>
              <w:rPr>
                <w:sz w:val="20"/>
                <w:szCs w:val="20"/>
              </w:rPr>
            </w:pPr>
            <w:r w:rsidRPr="006B666E">
              <w:rPr>
                <w:sz w:val="20"/>
                <w:szCs w:val="20"/>
              </w:rPr>
              <w:t xml:space="preserve">Соотношение среднегодового размера </w:t>
            </w:r>
            <w:r>
              <w:rPr>
                <w:sz w:val="20"/>
                <w:szCs w:val="20"/>
              </w:rPr>
              <w:t>накопительной</w:t>
            </w:r>
            <w:r w:rsidRPr="006B666E">
              <w:rPr>
                <w:sz w:val="20"/>
                <w:szCs w:val="20"/>
              </w:rPr>
              <w:t xml:space="preserve"> пенсии с ПМП</w:t>
            </w:r>
          </w:p>
        </w:tc>
        <w:tc>
          <w:tcPr>
            <w:tcW w:w="993" w:type="dxa"/>
            <w:tcBorders>
              <w:top w:val="nil"/>
              <w:left w:val="nil"/>
              <w:bottom w:val="single" w:sz="4" w:space="0" w:color="auto"/>
              <w:right w:val="single" w:sz="4" w:space="0" w:color="auto"/>
            </w:tcBorders>
            <w:shd w:val="clear" w:color="auto" w:fill="auto"/>
            <w:noWrap/>
            <w:vAlign w:val="center"/>
          </w:tcPr>
          <w:p w14:paraId="67CE8EDA" w14:textId="77777777" w:rsidR="00675915" w:rsidRPr="006B666E" w:rsidRDefault="00675915" w:rsidP="00675915">
            <w:pPr>
              <w:spacing w:after="60"/>
              <w:jc w:val="center"/>
              <w:rPr>
                <w:sz w:val="20"/>
                <w:szCs w:val="20"/>
              </w:rPr>
            </w:pPr>
            <w:r w:rsidRPr="00E5624B">
              <w:rPr>
                <w:sz w:val="20"/>
                <w:szCs w:val="20"/>
              </w:rPr>
              <w:t>10,9</w:t>
            </w:r>
          </w:p>
        </w:tc>
        <w:tc>
          <w:tcPr>
            <w:tcW w:w="992" w:type="dxa"/>
            <w:tcBorders>
              <w:top w:val="nil"/>
              <w:left w:val="nil"/>
              <w:bottom w:val="single" w:sz="4" w:space="0" w:color="auto"/>
              <w:right w:val="single" w:sz="4" w:space="0" w:color="auto"/>
            </w:tcBorders>
            <w:shd w:val="clear" w:color="auto" w:fill="auto"/>
            <w:noWrap/>
            <w:vAlign w:val="center"/>
          </w:tcPr>
          <w:p w14:paraId="7A4B328F" w14:textId="77777777" w:rsidR="00675915" w:rsidRPr="006B666E" w:rsidRDefault="00675915" w:rsidP="00675915">
            <w:pPr>
              <w:spacing w:after="60"/>
              <w:jc w:val="center"/>
              <w:rPr>
                <w:sz w:val="20"/>
                <w:szCs w:val="20"/>
              </w:rPr>
            </w:pPr>
            <w:r w:rsidRPr="00E5624B">
              <w:rPr>
                <w:sz w:val="20"/>
                <w:szCs w:val="20"/>
              </w:rPr>
              <w:t>11,2</w:t>
            </w:r>
          </w:p>
        </w:tc>
        <w:tc>
          <w:tcPr>
            <w:tcW w:w="995" w:type="dxa"/>
            <w:tcBorders>
              <w:top w:val="nil"/>
              <w:left w:val="nil"/>
              <w:bottom w:val="single" w:sz="4" w:space="0" w:color="auto"/>
              <w:right w:val="single" w:sz="4" w:space="0" w:color="auto"/>
            </w:tcBorders>
            <w:shd w:val="clear" w:color="auto" w:fill="auto"/>
            <w:noWrap/>
            <w:vAlign w:val="center"/>
          </w:tcPr>
          <w:p w14:paraId="31DF9156" w14:textId="77777777" w:rsidR="00675915" w:rsidRPr="006B666E" w:rsidRDefault="00675915" w:rsidP="00675915">
            <w:pPr>
              <w:spacing w:after="60"/>
              <w:jc w:val="center"/>
              <w:rPr>
                <w:sz w:val="20"/>
                <w:szCs w:val="20"/>
              </w:rPr>
            </w:pPr>
            <w:r w:rsidRPr="00E5624B">
              <w:rPr>
                <w:sz w:val="20"/>
                <w:szCs w:val="20"/>
              </w:rPr>
              <w:t>15,7</w:t>
            </w:r>
          </w:p>
        </w:tc>
      </w:tr>
      <w:tr w:rsidR="00675915" w:rsidRPr="006B666E" w14:paraId="334AA8F6" w14:textId="77777777" w:rsidTr="00875694">
        <w:trPr>
          <w:trHeight w:val="29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6C92A72" w14:textId="77777777" w:rsidR="00675915" w:rsidRPr="006B666E" w:rsidRDefault="00675915" w:rsidP="00675915">
            <w:pPr>
              <w:spacing w:after="60"/>
              <w:rPr>
                <w:sz w:val="20"/>
                <w:szCs w:val="20"/>
              </w:rPr>
            </w:pPr>
            <w:r w:rsidRPr="006B666E">
              <w:rPr>
                <w:sz w:val="20"/>
                <w:szCs w:val="20"/>
              </w:rPr>
              <w:t> </w:t>
            </w:r>
          </w:p>
        </w:tc>
        <w:tc>
          <w:tcPr>
            <w:tcW w:w="2980" w:type="dxa"/>
            <w:gridSpan w:val="3"/>
            <w:tcBorders>
              <w:top w:val="nil"/>
              <w:left w:val="nil"/>
              <w:bottom w:val="single" w:sz="4" w:space="0" w:color="auto"/>
              <w:right w:val="single" w:sz="4" w:space="0" w:color="auto"/>
            </w:tcBorders>
            <w:shd w:val="clear" w:color="auto" w:fill="auto"/>
            <w:noWrap/>
            <w:vAlign w:val="center"/>
            <w:hideMark/>
          </w:tcPr>
          <w:p w14:paraId="0E6E29EA" w14:textId="77777777" w:rsidR="00675915" w:rsidRPr="006B666E" w:rsidRDefault="00675915" w:rsidP="00675915">
            <w:pPr>
              <w:spacing w:after="60"/>
              <w:jc w:val="center"/>
              <w:rPr>
                <w:sz w:val="20"/>
                <w:szCs w:val="20"/>
              </w:rPr>
            </w:pPr>
            <w:r>
              <w:rPr>
                <w:sz w:val="20"/>
                <w:szCs w:val="20"/>
              </w:rPr>
              <w:t>%</w:t>
            </w:r>
          </w:p>
        </w:tc>
      </w:tr>
      <w:tr w:rsidR="00675915" w:rsidRPr="006B666E" w14:paraId="616E1874" w14:textId="77777777" w:rsidTr="00875694">
        <w:trPr>
          <w:trHeight w:val="29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240ACA0" w14:textId="77777777" w:rsidR="00675915" w:rsidRPr="006B666E" w:rsidRDefault="00675915" w:rsidP="00675915">
            <w:pPr>
              <w:spacing w:after="60"/>
              <w:rPr>
                <w:sz w:val="20"/>
                <w:szCs w:val="20"/>
              </w:rPr>
            </w:pPr>
            <w:r w:rsidRPr="006B666E">
              <w:rPr>
                <w:sz w:val="20"/>
                <w:szCs w:val="20"/>
              </w:rPr>
              <w:t>Индексация социальных пенсий, пенсий по государственному пенсионному обеспечению</w:t>
            </w:r>
          </w:p>
        </w:tc>
        <w:tc>
          <w:tcPr>
            <w:tcW w:w="993" w:type="dxa"/>
            <w:tcBorders>
              <w:top w:val="nil"/>
              <w:left w:val="nil"/>
              <w:bottom w:val="single" w:sz="4" w:space="0" w:color="auto"/>
              <w:right w:val="single" w:sz="4" w:space="0" w:color="auto"/>
            </w:tcBorders>
            <w:shd w:val="clear" w:color="auto" w:fill="auto"/>
            <w:noWrap/>
            <w:vAlign w:val="center"/>
            <w:hideMark/>
          </w:tcPr>
          <w:p w14:paraId="162B4600" w14:textId="77777777" w:rsidR="00675915" w:rsidRPr="006B666E" w:rsidRDefault="00675915" w:rsidP="00675915">
            <w:pPr>
              <w:spacing w:after="60"/>
              <w:jc w:val="center"/>
              <w:rPr>
                <w:sz w:val="20"/>
                <w:szCs w:val="20"/>
              </w:rPr>
            </w:pPr>
            <w:r w:rsidRPr="006B666E">
              <w:rPr>
                <w:sz w:val="20"/>
                <w:szCs w:val="20"/>
              </w:rPr>
              <w:t>7,0</w:t>
            </w:r>
          </w:p>
        </w:tc>
        <w:tc>
          <w:tcPr>
            <w:tcW w:w="992" w:type="dxa"/>
            <w:tcBorders>
              <w:top w:val="nil"/>
              <w:left w:val="nil"/>
              <w:bottom w:val="single" w:sz="4" w:space="0" w:color="auto"/>
              <w:right w:val="single" w:sz="4" w:space="0" w:color="auto"/>
            </w:tcBorders>
            <w:shd w:val="clear" w:color="auto" w:fill="auto"/>
            <w:noWrap/>
            <w:vAlign w:val="center"/>
            <w:hideMark/>
          </w:tcPr>
          <w:p w14:paraId="1529399B" w14:textId="77777777" w:rsidR="00675915" w:rsidRPr="006B666E" w:rsidRDefault="00675915" w:rsidP="00675915">
            <w:pPr>
              <w:spacing w:after="60"/>
              <w:jc w:val="center"/>
              <w:rPr>
                <w:sz w:val="20"/>
                <w:szCs w:val="20"/>
              </w:rPr>
            </w:pPr>
            <w:r w:rsidRPr="006B666E">
              <w:rPr>
                <w:sz w:val="20"/>
                <w:szCs w:val="20"/>
              </w:rPr>
              <w:t>2,6</w:t>
            </w:r>
          </w:p>
        </w:tc>
        <w:tc>
          <w:tcPr>
            <w:tcW w:w="995" w:type="dxa"/>
            <w:tcBorders>
              <w:top w:val="nil"/>
              <w:left w:val="nil"/>
              <w:bottom w:val="single" w:sz="4" w:space="0" w:color="auto"/>
              <w:right w:val="single" w:sz="4" w:space="0" w:color="auto"/>
            </w:tcBorders>
            <w:shd w:val="clear" w:color="auto" w:fill="auto"/>
            <w:noWrap/>
            <w:vAlign w:val="center"/>
            <w:hideMark/>
          </w:tcPr>
          <w:p w14:paraId="6993AD59" w14:textId="77777777" w:rsidR="00675915" w:rsidRPr="006B666E" w:rsidRDefault="00675915" w:rsidP="00675915">
            <w:pPr>
              <w:spacing w:after="60"/>
              <w:jc w:val="center"/>
              <w:rPr>
                <w:sz w:val="20"/>
                <w:szCs w:val="20"/>
              </w:rPr>
            </w:pPr>
            <w:r w:rsidRPr="006B666E">
              <w:rPr>
                <w:sz w:val="20"/>
                <w:szCs w:val="20"/>
              </w:rPr>
              <w:t>3,1</w:t>
            </w:r>
          </w:p>
        </w:tc>
      </w:tr>
      <w:tr w:rsidR="00675915" w:rsidRPr="006B666E" w14:paraId="785C13BA" w14:textId="77777777" w:rsidTr="00875694">
        <w:trPr>
          <w:trHeight w:val="295"/>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57AD1446" w14:textId="77777777" w:rsidR="00675915" w:rsidRPr="006B666E" w:rsidRDefault="00675915" w:rsidP="00675915">
            <w:pPr>
              <w:spacing w:after="60"/>
              <w:rPr>
                <w:sz w:val="20"/>
                <w:szCs w:val="20"/>
              </w:rPr>
            </w:pPr>
            <w:r w:rsidRPr="006B666E">
              <w:rPr>
                <w:sz w:val="20"/>
                <w:szCs w:val="20"/>
              </w:rPr>
              <w:t>Индексация страховой пенсии и фиксированной выплаты к ней</w:t>
            </w:r>
          </w:p>
        </w:tc>
        <w:tc>
          <w:tcPr>
            <w:tcW w:w="993" w:type="dxa"/>
            <w:tcBorders>
              <w:top w:val="nil"/>
              <w:left w:val="nil"/>
              <w:bottom w:val="single" w:sz="4" w:space="0" w:color="auto"/>
              <w:right w:val="single" w:sz="4" w:space="0" w:color="auto"/>
            </w:tcBorders>
            <w:shd w:val="clear" w:color="auto" w:fill="auto"/>
            <w:noWrap/>
            <w:vAlign w:val="center"/>
            <w:hideMark/>
          </w:tcPr>
          <w:p w14:paraId="25EF9E1E" w14:textId="77777777" w:rsidR="00675915" w:rsidRPr="006B666E" w:rsidRDefault="00675915" w:rsidP="00675915">
            <w:pPr>
              <w:spacing w:after="60"/>
              <w:jc w:val="center"/>
              <w:rPr>
                <w:sz w:val="20"/>
                <w:szCs w:val="20"/>
              </w:rPr>
            </w:pPr>
            <w:r w:rsidRPr="006B666E">
              <w:rPr>
                <w:sz w:val="20"/>
                <w:szCs w:val="20"/>
              </w:rPr>
              <w:t>6,6</w:t>
            </w:r>
          </w:p>
        </w:tc>
        <w:tc>
          <w:tcPr>
            <w:tcW w:w="992" w:type="dxa"/>
            <w:tcBorders>
              <w:top w:val="nil"/>
              <w:left w:val="nil"/>
              <w:bottom w:val="single" w:sz="4" w:space="0" w:color="auto"/>
              <w:right w:val="single" w:sz="4" w:space="0" w:color="auto"/>
            </w:tcBorders>
            <w:shd w:val="clear" w:color="auto" w:fill="auto"/>
            <w:noWrap/>
            <w:vAlign w:val="center"/>
            <w:hideMark/>
          </w:tcPr>
          <w:p w14:paraId="7491B2D2" w14:textId="77777777" w:rsidR="00675915" w:rsidRPr="006B666E" w:rsidRDefault="00675915" w:rsidP="00675915">
            <w:pPr>
              <w:spacing w:after="60"/>
              <w:jc w:val="center"/>
              <w:rPr>
                <w:sz w:val="20"/>
                <w:szCs w:val="20"/>
              </w:rPr>
            </w:pPr>
            <w:r w:rsidRPr="006B666E">
              <w:rPr>
                <w:sz w:val="20"/>
                <w:szCs w:val="20"/>
              </w:rPr>
              <w:t>6,3</w:t>
            </w:r>
          </w:p>
        </w:tc>
        <w:tc>
          <w:tcPr>
            <w:tcW w:w="995" w:type="dxa"/>
            <w:tcBorders>
              <w:top w:val="nil"/>
              <w:left w:val="nil"/>
              <w:bottom w:val="single" w:sz="4" w:space="0" w:color="auto"/>
              <w:right w:val="single" w:sz="4" w:space="0" w:color="auto"/>
            </w:tcBorders>
            <w:shd w:val="clear" w:color="auto" w:fill="auto"/>
            <w:noWrap/>
            <w:vAlign w:val="center"/>
            <w:hideMark/>
          </w:tcPr>
          <w:p w14:paraId="14861EE6" w14:textId="77777777" w:rsidR="00675915" w:rsidRPr="006B666E" w:rsidRDefault="00675915" w:rsidP="00675915">
            <w:pPr>
              <w:spacing w:after="60"/>
              <w:jc w:val="center"/>
              <w:rPr>
                <w:sz w:val="20"/>
                <w:szCs w:val="20"/>
              </w:rPr>
            </w:pPr>
            <w:r w:rsidRPr="006B666E">
              <w:rPr>
                <w:sz w:val="20"/>
                <w:szCs w:val="20"/>
              </w:rPr>
              <w:t>5,9</w:t>
            </w:r>
          </w:p>
        </w:tc>
      </w:tr>
    </w:tbl>
    <w:p w14:paraId="7F6DACEB" w14:textId="569E8F72" w:rsidR="00675915" w:rsidRPr="006461D7" w:rsidRDefault="007501E9" w:rsidP="00675915">
      <w:pPr>
        <w:spacing w:after="60"/>
        <w:ind w:firstLine="709"/>
        <w:jc w:val="both"/>
        <w:rPr>
          <w:snapToGrid w:val="0"/>
          <w:color w:val="215868" w:themeColor="accent5" w:themeShade="80"/>
        </w:rPr>
      </w:pPr>
      <w:r>
        <w:rPr>
          <w:i/>
          <w:snapToGrid w:val="0"/>
          <w:sz w:val="20"/>
        </w:rPr>
        <w:t>Источник</w:t>
      </w:r>
      <w:r w:rsidR="00675915" w:rsidRPr="007073CC">
        <w:rPr>
          <w:snapToGrid w:val="0"/>
          <w:sz w:val="20"/>
        </w:rPr>
        <w:t>: расчёты на данных</w:t>
      </w:r>
      <w:r w:rsidR="00675915" w:rsidRPr="006B666E">
        <w:t xml:space="preserve"> </w:t>
      </w:r>
      <w:r w:rsidR="00675915" w:rsidRPr="00576768">
        <w:rPr>
          <w:snapToGrid w:val="0"/>
          <w:sz w:val="20"/>
        </w:rPr>
        <w:t xml:space="preserve">Пояснительной записки к </w:t>
      </w:r>
      <w:r w:rsidR="00675915" w:rsidRPr="006B666E">
        <w:rPr>
          <w:snapToGrid w:val="0"/>
          <w:sz w:val="20"/>
        </w:rPr>
        <w:t>Проект</w:t>
      </w:r>
      <w:r w:rsidR="00675915">
        <w:rPr>
          <w:snapToGrid w:val="0"/>
          <w:sz w:val="20"/>
        </w:rPr>
        <w:t>у</w:t>
      </w:r>
      <w:r w:rsidR="00675915" w:rsidRPr="006B666E">
        <w:rPr>
          <w:snapToGrid w:val="0"/>
          <w:sz w:val="20"/>
        </w:rPr>
        <w:t xml:space="preserve"> бюджета ПФР</w:t>
      </w:r>
      <w:r w:rsidR="00675915">
        <w:rPr>
          <w:snapToGrid w:val="0"/>
          <w:sz w:val="20"/>
        </w:rPr>
        <w:t>.</w:t>
      </w:r>
    </w:p>
    <w:p w14:paraId="5D7A0E30" w14:textId="77777777" w:rsidR="00D01064" w:rsidRDefault="00675915" w:rsidP="00675915">
      <w:pPr>
        <w:spacing w:after="60"/>
        <w:ind w:firstLine="709"/>
        <w:jc w:val="both"/>
        <w:rPr>
          <w:snapToGrid w:val="0"/>
        </w:rPr>
      </w:pPr>
      <w:r w:rsidRPr="00C21B31">
        <w:rPr>
          <w:snapToGrid w:val="0"/>
        </w:rPr>
        <w:t xml:space="preserve">В целом, в период 2020-2022 гг. в результате сокращения численности получателей страховых пенсий по старости под влиянием повышения пенсионного возраста будет снижаться зависимость бюджета Пенсионного фонда РФ от трансфертов из федерального бюджета. В то же время рост среднего размера страховой пенсии в реальном выражении в период с 2020 г. по 2022 г. будет </w:t>
      </w:r>
      <w:r w:rsidR="00D01064">
        <w:rPr>
          <w:snapToGrid w:val="0"/>
        </w:rPr>
        <w:t>незначительным</w:t>
      </w:r>
      <w:r w:rsidRPr="00C21B31">
        <w:rPr>
          <w:snapToGrid w:val="0"/>
        </w:rPr>
        <w:t xml:space="preserve"> </w:t>
      </w:r>
      <w:r w:rsidR="007501E9">
        <w:rPr>
          <w:snapToGrid w:val="0"/>
        </w:rPr>
        <w:t>–</w:t>
      </w:r>
      <w:r w:rsidRPr="00C21B31">
        <w:rPr>
          <w:snapToGrid w:val="0"/>
        </w:rPr>
        <w:t xml:space="preserve"> лишь 1,6%. </w:t>
      </w:r>
      <w:r w:rsidR="00D01064">
        <w:rPr>
          <w:snapToGrid w:val="0"/>
        </w:rPr>
        <w:t>Такой</w:t>
      </w:r>
      <w:r w:rsidRPr="00C21B31">
        <w:rPr>
          <w:snapToGrid w:val="0"/>
        </w:rPr>
        <w:t xml:space="preserve"> рост страховой пенсии и снижение в реальном выражении среднегодового размера социальной пенсии будет сдерживать </w:t>
      </w:r>
      <w:r w:rsidR="00D01064">
        <w:rPr>
          <w:snapToGrid w:val="0"/>
        </w:rPr>
        <w:t>увеличение</w:t>
      </w:r>
      <w:r w:rsidRPr="00C21B31">
        <w:rPr>
          <w:snapToGrid w:val="0"/>
        </w:rPr>
        <w:t xml:space="preserve"> реальных денежных доходов населения и ограничит возможности для снижения уровня бедности. </w:t>
      </w:r>
    </w:p>
    <w:p w14:paraId="38008F70" w14:textId="77777777" w:rsidR="00D01064" w:rsidRDefault="00675915" w:rsidP="00675915">
      <w:pPr>
        <w:spacing w:after="60"/>
        <w:ind w:firstLine="709"/>
        <w:jc w:val="both"/>
        <w:rPr>
          <w:snapToGrid w:val="0"/>
        </w:rPr>
      </w:pPr>
      <w:r w:rsidRPr="00C21B31">
        <w:rPr>
          <w:snapToGrid w:val="0"/>
        </w:rPr>
        <w:t>В связи с этим представляется важным ввести индексацию пенсий работающим пенсионерам. Важно существенным образом увеличить размер выплат лицам, осуществляющим уход за нетрудоспособными гражданами, а также выплат прочим лицам, осуществляющим уход за детьми-инвалидами и инвалидами с детства I группы.</w:t>
      </w:r>
      <w:r>
        <w:rPr>
          <w:snapToGrid w:val="0"/>
        </w:rPr>
        <w:t xml:space="preserve"> </w:t>
      </w:r>
    </w:p>
    <w:p w14:paraId="2D8FB85F" w14:textId="4E9C7471" w:rsidR="00675915" w:rsidRPr="00C21B31" w:rsidRDefault="00675915" w:rsidP="00675915">
      <w:pPr>
        <w:spacing w:after="60"/>
        <w:ind w:firstLine="709"/>
        <w:jc w:val="both"/>
        <w:rPr>
          <w:snapToGrid w:val="0"/>
        </w:rPr>
      </w:pPr>
      <w:r>
        <w:rPr>
          <w:snapToGrid w:val="0"/>
        </w:rPr>
        <w:t xml:space="preserve">Кроме того, следует отметить, что переход от федеральной к региональной социальной доплате до прожиточного минимума пенсионера в 15 регионах в 2020 г. в результате </w:t>
      </w:r>
      <w:r w:rsidRPr="00BA5A86">
        <w:rPr>
          <w:snapToGrid w:val="0"/>
        </w:rPr>
        <w:t>изменени</w:t>
      </w:r>
      <w:r>
        <w:rPr>
          <w:snapToGrid w:val="0"/>
        </w:rPr>
        <w:t>я</w:t>
      </w:r>
      <w:r w:rsidRPr="00BA5A86">
        <w:rPr>
          <w:snapToGrid w:val="0"/>
        </w:rPr>
        <w:t xml:space="preserve"> механизма определения прожиточного минимума пенсионера</w:t>
      </w:r>
      <w:r>
        <w:rPr>
          <w:snapToGrid w:val="0"/>
        </w:rPr>
        <w:t xml:space="preserve"> в целях доплаты существенным образом увеличит нагрузку на региональные бюджеты и ограничит возможности </w:t>
      </w:r>
      <w:r w:rsidR="00D01064">
        <w:rPr>
          <w:snapToGrid w:val="0"/>
        </w:rPr>
        <w:t xml:space="preserve">соответствующих </w:t>
      </w:r>
      <w:r>
        <w:rPr>
          <w:snapToGrid w:val="0"/>
        </w:rPr>
        <w:t>регионов по увеличению региональных социальных выплат в целях повышения доходов населения и снижения бедности.</w:t>
      </w:r>
    </w:p>
    <w:p w14:paraId="30B3CE66" w14:textId="275A01FE" w:rsidR="00285A2F" w:rsidRDefault="00285A2F">
      <w:pPr>
        <w:rPr>
          <w:b/>
          <w:szCs w:val="20"/>
        </w:rPr>
      </w:pPr>
      <w:r>
        <w:rPr>
          <w:b/>
          <w:szCs w:val="20"/>
        </w:rPr>
        <w:br w:type="page"/>
      </w:r>
    </w:p>
    <w:p w14:paraId="49221A32" w14:textId="3C6B62A3" w:rsidR="00995E45" w:rsidRPr="008E6B24" w:rsidRDefault="002D146E" w:rsidP="002E7591">
      <w:pPr>
        <w:keepNext/>
        <w:spacing w:before="240" w:after="360"/>
        <w:jc w:val="center"/>
        <w:outlineLvl w:val="0"/>
        <w:rPr>
          <w:b/>
          <w:kern w:val="28"/>
          <w:sz w:val="28"/>
          <w:szCs w:val="20"/>
        </w:rPr>
      </w:pPr>
      <w:bookmarkStart w:id="81" w:name="_Toc465959034"/>
      <w:bookmarkStart w:id="82" w:name="_Toc21436758"/>
      <w:bookmarkEnd w:id="79"/>
      <w:r>
        <w:rPr>
          <w:b/>
          <w:kern w:val="28"/>
          <w:sz w:val="28"/>
          <w:szCs w:val="20"/>
        </w:rPr>
        <w:t>7</w:t>
      </w:r>
      <w:r w:rsidR="00995E45" w:rsidRPr="00BE65E2">
        <w:rPr>
          <w:b/>
          <w:kern w:val="28"/>
          <w:sz w:val="28"/>
          <w:szCs w:val="20"/>
        </w:rPr>
        <w:t xml:space="preserve"> Финансовые взаимоотношения с регионами</w:t>
      </w:r>
      <w:bookmarkEnd w:id="81"/>
      <w:bookmarkEnd w:id="82"/>
    </w:p>
    <w:p w14:paraId="3C53DF22" w14:textId="77777777" w:rsidR="008742A2" w:rsidRPr="00645600" w:rsidRDefault="008742A2" w:rsidP="0002614E">
      <w:pPr>
        <w:spacing w:after="60"/>
        <w:ind w:firstLine="709"/>
        <w:jc w:val="both"/>
        <w:rPr>
          <w:b/>
          <w:i/>
          <w:szCs w:val="20"/>
        </w:rPr>
      </w:pPr>
      <w:r w:rsidRPr="00645600">
        <w:rPr>
          <w:b/>
          <w:i/>
          <w:szCs w:val="20"/>
        </w:rPr>
        <w:t>Сбалансированность региональных бюджетов</w:t>
      </w:r>
    </w:p>
    <w:p w14:paraId="045D3F39" w14:textId="1BE0D79E" w:rsidR="00EA69F4" w:rsidRDefault="00EA69F4" w:rsidP="00EA69F4">
      <w:pPr>
        <w:spacing w:after="60"/>
        <w:ind w:firstLine="709"/>
        <w:jc w:val="both"/>
        <w:rPr>
          <w:szCs w:val="20"/>
        </w:rPr>
      </w:pPr>
      <w:r>
        <w:rPr>
          <w:szCs w:val="20"/>
        </w:rPr>
        <w:t xml:space="preserve">С 2016 г. наблюдается устойчивая тенденция к сокращению дефицита консолидированного бюджета субъектов Российской Федерации </w:t>
      </w:r>
      <w:r w:rsidRPr="00BE4072">
        <w:rPr>
          <w:szCs w:val="20"/>
        </w:rPr>
        <w:t>(</w:t>
      </w:r>
      <w:r w:rsidRPr="006675C2">
        <w:rPr>
          <w:i/>
          <w:szCs w:val="20"/>
        </w:rPr>
        <w:t>рис.</w:t>
      </w:r>
      <w:r w:rsidR="00BE4072" w:rsidRPr="006675C2">
        <w:rPr>
          <w:i/>
          <w:szCs w:val="20"/>
        </w:rPr>
        <w:t xml:space="preserve"> 3</w:t>
      </w:r>
      <w:r w:rsidRPr="00BE4072">
        <w:rPr>
          <w:szCs w:val="20"/>
        </w:rPr>
        <w:t>). В 2018 г. регионы исполнили бюджет с суммарным профицитом, составившим 0,5% ВВП, а в 2019 г. ожидается профицит на уровне 0,1% ВВП.  В 2020 г. и 2021 г. консолидированные</w:t>
      </w:r>
      <w:r>
        <w:rPr>
          <w:szCs w:val="20"/>
        </w:rPr>
        <w:t xml:space="preserve"> бюджеты субъектов будут практически сбалансированными, а на 2022 г. </w:t>
      </w:r>
      <w:r w:rsidR="006675C2">
        <w:rPr>
          <w:szCs w:val="20"/>
        </w:rPr>
        <w:t>даже</w:t>
      </w:r>
      <w:r>
        <w:rPr>
          <w:szCs w:val="20"/>
        </w:rPr>
        <w:t xml:space="preserve"> прогнозируется профицит в 0,1% ВВП.</w:t>
      </w:r>
    </w:p>
    <w:p w14:paraId="084F0D7B" w14:textId="77777777" w:rsidR="00EA69F4" w:rsidRDefault="00EA69F4" w:rsidP="00EA69F4">
      <w:pPr>
        <w:spacing w:after="60"/>
        <w:ind w:firstLine="709"/>
        <w:jc w:val="both"/>
        <w:rPr>
          <w:szCs w:val="20"/>
        </w:rPr>
      </w:pPr>
    </w:p>
    <w:p w14:paraId="5BC4DBC2" w14:textId="77777777" w:rsidR="00EA69F4" w:rsidRDefault="00EA69F4" w:rsidP="00EA69F4">
      <w:pPr>
        <w:spacing w:after="60"/>
        <w:ind w:firstLine="709"/>
        <w:jc w:val="both"/>
        <w:rPr>
          <w:szCs w:val="20"/>
        </w:rPr>
      </w:pPr>
      <w:r>
        <w:rPr>
          <w:noProof/>
        </w:rPr>
        <w:drawing>
          <wp:inline distT="0" distB="0" distL="0" distR="0" wp14:anchorId="68BF137F" wp14:editId="055BE1B5">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2F8489" w14:textId="77777777" w:rsidR="00EA69F4" w:rsidRDefault="00EA69F4" w:rsidP="00EA69F4">
      <w:pPr>
        <w:spacing w:after="60"/>
        <w:ind w:firstLine="709"/>
        <w:jc w:val="both"/>
        <w:rPr>
          <w:szCs w:val="20"/>
        </w:rPr>
      </w:pPr>
    </w:p>
    <w:p w14:paraId="156B0D07" w14:textId="77777777" w:rsidR="00EA69F4" w:rsidRPr="0084205B" w:rsidRDefault="00EA69F4" w:rsidP="00EA69F4">
      <w:pPr>
        <w:pStyle w:val="ae"/>
        <w:spacing w:before="0"/>
        <w:ind w:firstLine="708"/>
        <w:rPr>
          <w:rFonts w:eastAsia="Calibri"/>
          <w:sz w:val="20"/>
          <w:lang w:eastAsia="en-US"/>
        </w:rPr>
      </w:pPr>
      <w:r w:rsidRPr="0084205B">
        <w:rPr>
          <w:i/>
          <w:sz w:val="20"/>
        </w:rPr>
        <w:t>Источник:</w:t>
      </w:r>
      <w:r w:rsidRPr="0084205B">
        <w:rPr>
          <w:sz w:val="20"/>
        </w:rPr>
        <w:t xml:space="preserve"> Федеральное казначейство, </w:t>
      </w:r>
      <w:r>
        <w:rPr>
          <w:sz w:val="20"/>
        </w:rPr>
        <w:t>«</w:t>
      </w:r>
      <w:r w:rsidRPr="00BE6696">
        <w:rPr>
          <w:sz w:val="20"/>
        </w:rPr>
        <w:t>Основные направления бюджетной, налоговой и таможенно-тарифной политики на 2020 год и на плановый период 2021 и 2022 годов</w:t>
      </w:r>
      <w:r>
        <w:rPr>
          <w:sz w:val="20"/>
        </w:rPr>
        <w:t>»</w:t>
      </w:r>
      <w:r w:rsidRPr="0084205B">
        <w:rPr>
          <w:sz w:val="20"/>
        </w:rPr>
        <w:t>, расчеты авторов.</w:t>
      </w:r>
    </w:p>
    <w:p w14:paraId="059D0D38" w14:textId="5847981E" w:rsidR="00EA69F4" w:rsidRDefault="00EA69F4" w:rsidP="00A7415B">
      <w:pPr>
        <w:pStyle w:val="af9"/>
        <w:spacing w:before="120" w:after="120"/>
        <w:rPr>
          <w:b/>
        </w:rPr>
      </w:pPr>
      <w:r w:rsidRPr="000F48C1">
        <w:rPr>
          <w:rStyle w:val="afa"/>
          <w:b/>
        </w:rPr>
        <w:t>Рис</w:t>
      </w:r>
      <w:r w:rsidR="00BE4072" w:rsidRPr="004C1FDD">
        <w:rPr>
          <w:rStyle w:val="afa"/>
          <w:b/>
        </w:rPr>
        <w:t>.</w:t>
      </w:r>
      <w:r w:rsidRPr="000F48C1">
        <w:rPr>
          <w:rStyle w:val="afa"/>
          <w:b/>
        </w:rPr>
        <w:t xml:space="preserve"> </w:t>
      </w:r>
      <w:r w:rsidR="00BE4072">
        <w:rPr>
          <w:rStyle w:val="afa"/>
          <w:b/>
        </w:rPr>
        <w:t>3</w:t>
      </w:r>
      <w:r w:rsidRPr="000F48C1">
        <w:rPr>
          <w:rStyle w:val="afa"/>
          <w:b/>
        </w:rPr>
        <w:t>.</w:t>
      </w:r>
      <w:r w:rsidRPr="000F48C1">
        <w:rPr>
          <w:b/>
        </w:rPr>
        <w:t xml:space="preserve"> Доходы и расходы КБ субъектов Р</w:t>
      </w:r>
      <w:r w:rsidR="00B94957">
        <w:rPr>
          <w:b/>
        </w:rPr>
        <w:t xml:space="preserve">оссийской </w:t>
      </w:r>
      <w:r w:rsidRPr="000F48C1">
        <w:rPr>
          <w:b/>
        </w:rPr>
        <w:t>Ф</w:t>
      </w:r>
      <w:r w:rsidR="00B94957">
        <w:rPr>
          <w:b/>
        </w:rPr>
        <w:t>едерации</w:t>
      </w:r>
      <w:r w:rsidRPr="000F48C1">
        <w:rPr>
          <w:b/>
        </w:rPr>
        <w:t>, % ВВП</w:t>
      </w:r>
    </w:p>
    <w:p w14:paraId="0B4A9624" w14:textId="6650FE41" w:rsidR="005E5D90" w:rsidRPr="0033726B" w:rsidRDefault="005E5D90" w:rsidP="005E5D90">
      <w:pPr>
        <w:spacing w:after="60"/>
        <w:ind w:firstLine="709"/>
        <w:jc w:val="both"/>
      </w:pPr>
      <w:r>
        <w:t xml:space="preserve">Отметим, что </w:t>
      </w:r>
      <w:r w:rsidRPr="0033726B">
        <w:t xml:space="preserve">в 2018 г. </w:t>
      </w:r>
      <w:r>
        <w:t>н</w:t>
      </w:r>
      <w:r w:rsidRPr="0033726B">
        <w:t>а фоне низкого у</w:t>
      </w:r>
      <w:r w:rsidR="006675C2">
        <w:t>ровня реальных доходов бюджетов</w:t>
      </w:r>
      <w:r w:rsidRPr="0033726B">
        <w:t xml:space="preserve"> </w:t>
      </w:r>
      <w:r w:rsidR="006675C2">
        <w:t xml:space="preserve">хорошие </w:t>
      </w:r>
      <w:r w:rsidRPr="0033726B">
        <w:t xml:space="preserve">показатели исполнения региональных бюджетов были достигнуты во многом за счет ручного управления параметрами бюджетных правил для регионов через подписание соглашений по реструктуризации бюджетных кредитов и предоставление выравнивающих дотаций из федерального бюджета. </w:t>
      </w:r>
      <w:r w:rsidR="00A661AF">
        <w:t xml:space="preserve">В предстоящие годы </w:t>
      </w:r>
      <w:r w:rsidR="000F4235">
        <w:t>ф</w:t>
      </w:r>
      <w:r w:rsidRPr="0033726B">
        <w:t>едеральный центр</w:t>
      </w:r>
      <w:r w:rsidR="00A661AF">
        <w:t xml:space="preserve">, скорее всего, продолжит </w:t>
      </w:r>
      <w:r w:rsidR="000F4235">
        <w:t>активно</w:t>
      </w:r>
      <w:r w:rsidR="00A661AF">
        <w:t>е вмешательство в бюджетную политику регионов,</w:t>
      </w:r>
      <w:r w:rsidRPr="0033726B">
        <w:t xml:space="preserve"> что явно противоречит логике децентрализации в бюджетной системе и самостоятельности регионов к проведению собственной бюджетной политики (по опросам регионов, до 95% все расходных полномочий регионов так или иначе определяются требования</w:t>
      </w:r>
      <w:r>
        <w:t>ми</w:t>
      </w:r>
      <w:r w:rsidRPr="0033726B">
        <w:t xml:space="preserve"> федеральных стандартов, регламентов, решений).</w:t>
      </w:r>
    </w:p>
    <w:p w14:paraId="7510C07B" w14:textId="1812C890" w:rsidR="00EA69F4" w:rsidRDefault="00EA69F4" w:rsidP="00EA69F4">
      <w:pPr>
        <w:spacing w:after="60"/>
        <w:ind w:firstLine="709"/>
        <w:jc w:val="both"/>
        <w:rPr>
          <w:szCs w:val="20"/>
        </w:rPr>
      </w:pPr>
      <w:r>
        <w:rPr>
          <w:szCs w:val="20"/>
        </w:rPr>
        <w:t>Объем</w:t>
      </w:r>
      <w:r w:rsidR="00402377">
        <w:rPr>
          <w:szCs w:val="20"/>
        </w:rPr>
        <w:t>ы</w:t>
      </w:r>
      <w:r>
        <w:rPr>
          <w:szCs w:val="20"/>
        </w:rPr>
        <w:t xml:space="preserve"> доходов и расходов консолидированных бюджетов регионов в 2020-2022 годах будут находиться в диапазоне 12,1% – 12,5% ВВП, что близко к максимальным значениям за период с 2012 г. При этом если в 2020 г. ожидается небольшой рост как доходной, так и расходной частей бюджета, то в 2021-2022 гг. доходы и расходы консолидированных бюджетов субъектов несколько снизятся и вернутся на уровень 2019 г. Предполагается, что </w:t>
      </w:r>
      <w:r w:rsidRPr="00E655EF">
        <w:rPr>
          <w:szCs w:val="20"/>
        </w:rPr>
        <w:t xml:space="preserve">профицит консолидированных бюджетов субъектов Российской Федерации будет </w:t>
      </w:r>
      <w:r>
        <w:rPr>
          <w:szCs w:val="20"/>
        </w:rPr>
        <w:t>в первую очередь</w:t>
      </w:r>
      <w:r w:rsidRPr="00E655EF">
        <w:rPr>
          <w:szCs w:val="20"/>
        </w:rPr>
        <w:t xml:space="preserve"> направляться на выкуп ценных бумаг, </w:t>
      </w:r>
      <w:r>
        <w:rPr>
          <w:szCs w:val="20"/>
        </w:rPr>
        <w:t xml:space="preserve">а также </w:t>
      </w:r>
      <w:r w:rsidRPr="00E655EF">
        <w:rPr>
          <w:szCs w:val="20"/>
        </w:rPr>
        <w:t>погашение кредитов от кредитных организаций и бюджетных кредитов</w:t>
      </w:r>
      <w:r>
        <w:rPr>
          <w:rStyle w:val="aa"/>
          <w:szCs w:val="20"/>
        </w:rPr>
        <w:footnoteReference w:id="20"/>
      </w:r>
      <w:r>
        <w:rPr>
          <w:szCs w:val="20"/>
        </w:rPr>
        <w:t>.</w:t>
      </w:r>
      <w:r w:rsidRPr="007C0569">
        <w:rPr>
          <w:szCs w:val="20"/>
        </w:rPr>
        <w:t xml:space="preserve"> </w:t>
      </w:r>
      <w:r>
        <w:rPr>
          <w:szCs w:val="20"/>
        </w:rPr>
        <w:t>Относительно высокие показатели доходов консолидированных бюджетов регионов при сбалансированных бюджетах в 2017-2019 гг. позволяют говорить о реалистичности данного прогнозного сценария.</w:t>
      </w:r>
    </w:p>
    <w:p w14:paraId="38DDB293" w14:textId="77777777" w:rsidR="006675C2" w:rsidRDefault="00EA69F4" w:rsidP="00EA69F4">
      <w:pPr>
        <w:spacing w:after="60"/>
        <w:ind w:firstLine="709"/>
        <w:jc w:val="both"/>
        <w:rPr>
          <w:szCs w:val="20"/>
        </w:rPr>
      </w:pPr>
      <w:r>
        <w:rPr>
          <w:szCs w:val="20"/>
        </w:rPr>
        <w:t xml:space="preserve">Стоит отметить, что ожидаемый по итогам 2019 г. объем доходов консолидированных бюджетов регионов на 0,6% ВВП выше прогнозных значений, указанных в материалах к проекту закона о федеральном бюджете на 2019-2021 гг. Скорректированный прогноз по расходам на 0,3% ВВП выше ожидаемого годом ранее, а вместо бюджетного дефицита ожидается профицит в размере 0,1% ВВП. </w:t>
      </w:r>
    </w:p>
    <w:p w14:paraId="1EB53628" w14:textId="65924E96" w:rsidR="00EA69F4" w:rsidRDefault="00EA69F4" w:rsidP="00EA69F4">
      <w:pPr>
        <w:spacing w:after="60"/>
        <w:ind w:firstLine="709"/>
        <w:jc w:val="both"/>
        <w:rPr>
          <w:szCs w:val="20"/>
        </w:rPr>
      </w:pPr>
      <w:r>
        <w:rPr>
          <w:szCs w:val="20"/>
        </w:rPr>
        <w:t>Обратим внимание, что</w:t>
      </w:r>
      <w:r w:rsidR="00402377">
        <w:rPr>
          <w:szCs w:val="20"/>
        </w:rPr>
        <w:t xml:space="preserve"> в</w:t>
      </w:r>
      <w:r>
        <w:rPr>
          <w:szCs w:val="20"/>
        </w:rPr>
        <w:t xml:space="preserve"> законопроекте на 2020-2022 гг. прогноз ВВП в текущих ценах также более оптимистичен, чем ожидаемые значения этого показателя в предшествующем законе о федеральном бюджете. Таким образом, реальный рост региональных доходов и расходов в 2020 г. будет обусловлен не корректировкой ВВП, а именно увеличением абсолютных значений соответствующих показателей.</w:t>
      </w:r>
    </w:p>
    <w:p w14:paraId="28EB5F98" w14:textId="77777777" w:rsidR="00EA69F4" w:rsidRDefault="00EA69F4" w:rsidP="00EA69F4">
      <w:pPr>
        <w:rPr>
          <w:i/>
          <w:szCs w:val="20"/>
        </w:rPr>
      </w:pPr>
    </w:p>
    <w:p w14:paraId="5C0BCB80" w14:textId="77777777" w:rsidR="007C0AD2" w:rsidRPr="00645600" w:rsidRDefault="007C0AD2" w:rsidP="0002614E">
      <w:pPr>
        <w:spacing w:after="60"/>
        <w:ind w:firstLine="709"/>
        <w:jc w:val="both"/>
        <w:rPr>
          <w:b/>
          <w:i/>
          <w:szCs w:val="20"/>
        </w:rPr>
      </w:pPr>
      <w:r w:rsidRPr="00645600">
        <w:rPr>
          <w:b/>
          <w:i/>
          <w:szCs w:val="20"/>
        </w:rPr>
        <w:t>Трансферты регионам</w:t>
      </w:r>
    </w:p>
    <w:p w14:paraId="3A2A1918" w14:textId="315F280F" w:rsidR="00EA69F4" w:rsidRDefault="00EA69F4" w:rsidP="00EA69F4">
      <w:pPr>
        <w:spacing w:after="60"/>
        <w:ind w:firstLine="709"/>
        <w:jc w:val="both"/>
        <w:rPr>
          <w:szCs w:val="20"/>
        </w:rPr>
      </w:pPr>
      <w:r>
        <w:rPr>
          <w:szCs w:val="20"/>
        </w:rPr>
        <w:t xml:space="preserve">В </w:t>
      </w:r>
      <w:r w:rsidRPr="00A7415B">
        <w:rPr>
          <w:i/>
          <w:szCs w:val="20"/>
        </w:rPr>
        <w:t>табл</w:t>
      </w:r>
      <w:r w:rsidR="00402377" w:rsidRPr="00A7415B">
        <w:rPr>
          <w:i/>
          <w:szCs w:val="20"/>
        </w:rPr>
        <w:t>ице</w:t>
      </w:r>
      <w:r w:rsidRPr="00A7415B">
        <w:rPr>
          <w:i/>
          <w:szCs w:val="20"/>
        </w:rPr>
        <w:t xml:space="preserve"> </w:t>
      </w:r>
      <w:r w:rsidR="008529A6" w:rsidRPr="008529A6">
        <w:rPr>
          <w:i/>
          <w:noProof/>
        </w:rPr>
        <w:t>38</w:t>
      </w:r>
      <w:r>
        <w:rPr>
          <w:szCs w:val="20"/>
        </w:rPr>
        <w:t xml:space="preserve"> представлены данные по структуре и динамике межбюджетных трансфертов регионам из федерального бюджета, которые демонстрируют, что в 2020 г. реальный объем трансфертов (в долях ВВП) возрастет, а их доля в общей сумме расходов федерального бюджета останется примерно на том же уровне. В 2021–2022 гг. объем трансфертов сократится как в долях ВВП, так и в долях расходов федерального бюджета. Если же не учитывать субвенции, то объем трансфертов сокращается в 2020–2022 гг. как в долях ВВП, так и в долях расходов федерального бюджета.</w:t>
      </w:r>
    </w:p>
    <w:p w14:paraId="7C11836F" w14:textId="47029CD5" w:rsidR="00EA69F4" w:rsidRPr="008E6B24" w:rsidRDefault="00EA69F4" w:rsidP="00A7415B">
      <w:pPr>
        <w:pStyle w:val="aff8"/>
      </w:pPr>
      <w:r w:rsidRPr="00A7415B">
        <w:t>Таблица</w:t>
      </w:r>
      <w:r w:rsidR="00A7415B">
        <w:t xml:space="preserve"> </w:t>
      </w:r>
      <w:bookmarkStart w:id="83" w:name="_Ref21352000"/>
      <w:r w:rsidR="008529A6">
        <w:rPr>
          <w:noProof/>
        </w:rPr>
        <w:t>38</w:t>
      </w:r>
      <w:bookmarkEnd w:id="83"/>
    </w:p>
    <w:p w14:paraId="46EC31BC" w14:textId="77777777" w:rsidR="00EA69F4" w:rsidRPr="008E6B24" w:rsidRDefault="00EA69F4" w:rsidP="00EA69F4">
      <w:pPr>
        <w:pStyle w:val="af7"/>
      </w:pPr>
      <w:r w:rsidRPr="008E6B24">
        <w:t>Межбюджетные трансферты в 201</w:t>
      </w:r>
      <w:r>
        <w:t>4</w:t>
      </w:r>
      <w:r w:rsidRPr="008E6B24">
        <w:t>–202</w:t>
      </w:r>
      <w:r>
        <w:t>2</w:t>
      </w:r>
      <w:r w:rsidRPr="008E6B24">
        <w:t xml:space="preserve">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6"/>
        <w:gridCol w:w="730"/>
        <w:gridCol w:w="730"/>
        <w:gridCol w:w="730"/>
        <w:gridCol w:w="730"/>
        <w:gridCol w:w="730"/>
        <w:gridCol w:w="730"/>
        <w:gridCol w:w="730"/>
        <w:gridCol w:w="730"/>
        <w:gridCol w:w="711"/>
      </w:tblGrid>
      <w:tr w:rsidR="00EA69F4" w:rsidRPr="008E6B24" w14:paraId="507AF5D1" w14:textId="77777777" w:rsidTr="00B94957">
        <w:trPr>
          <w:tblHeader/>
        </w:trPr>
        <w:tc>
          <w:tcPr>
            <w:tcW w:w="1473" w:type="pct"/>
            <w:shd w:val="clear" w:color="auto" w:fill="auto"/>
            <w:noWrap/>
            <w:vAlign w:val="bottom"/>
            <w:hideMark/>
          </w:tcPr>
          <w:p w14:paraId="6E3CCF3D" w14:textId="77777777" w:rsidR="00EA69F4" w:rsidRPr="008E6B24" w:rsidRDefault="00EA69F4" w:rsidP="00C1771D">
            <w:pPr>
              <w:pStyle w:val="af4"/>
              <w:spacing w:after="60"/>
            </w:pPr>
          </w:p>
        </w:tc>
        <w:tc>
          <w:tcPr>
            <w:tcW w:w="393" w:type="pct"/>
            <w:shd w:val="clear" w:color="auto" w:fill="auto"/>
            <w:noWrap/>
            <w:vAlign w:val="bottom"/>
            <w:hideMark/>
          </w:tcPr>
          <w:p w14:paraId="2DE73E1D" w14:textId="77777777" w:rsidR="00EA69F4" w:rsidRPr="008E6B24" w:rsidRDefault="00EA69F4" w:rsidP="00C1771D">
            <w:pPr>
              <w:pStyle w:val="af4"/>
              <w:spacing w:after="60"/>
            </w:pPr>
            <w:r w:rsidRPr="008E6B24">
              <w:t>201</w:t>
            </w:r>
            <w:r>
              <w:t>4</w:t>
            </w:r>
          </w:p>
        </w:tc>
        <w:tc>
          <w:tcPr>
            <w:tcW w:w="393" w:type="pct"/>
            <w:shd w:val="clear" w:color="auto" w:fill="auto"/>
            <w:noWrap/>
            <w:vAlign w:val="bottom"/>
            <w:hideMark/>
          </w:tcPr>
          <w:p w14:paraId="1B46A831" w14:textId="77777777" w:rsidR="00EA69F4" w:rsidRPr="008E6B24" w:rsidRDefault="00EA69F4" w:rsidP="00C1771D">
            <w:pPr>
              <w:pStyle w:val="af4"/>
              <w:spacing w:after="60"/>
            </w:pPr>
            <w:r w:rsidRPr="008E6B24">
              <w:t>201</w:t>
            </w:r>
            <w:r>
              <w:t>5</w:t>
            </w:r>
          </w:p>
        </w:tc>
        <w:tc>
          <w:tcPr>
            <w:tcW w:w="393" w:type="pct"/>
            <w:shd w:val="clear" w:color="auto" w:fill="auto"/>
            <w:noWrap/>
            <w:vAlign w:val="bottom"/>
            <w:hideMark/>
          </w:tcPr>
          <w:p w14:paraId="00AF287C" w14:textId="77777777" w:rsidR="00EA69F4" w:rsidRPr="008E6B24" w:rsidRDefault="00EA69F4" w:rsidP="00C1771D">
            <w:pPr>
              <w:pStyle w:val="af4"/>
              <w:spacing w:after="60"/>
            </w:pPr>
            <w:r w:rsidRPr="008E6B24">
              <w:t>201</w:t>
            </w:r>
            <w:r>
              <w:t>6</w:t>
            </w:r>
          </w:p>
        </w:tc>
        <w:tc>
          <w:tcPr>
            <w:tcW w:w="393" w:type="pct"/>
            <w:shd w:val="clear" w:color="auto" w:fill="auto"/>
            <w:noWrap/>
            <w:vAlign w:val="bottom"/>
            <w:hideMark/>
          </w:tcPr>
          <w:p w14:paraId="5AB0D7DD" w14:textId="77777777" w:rsidR="00EA69F4" w:rsidRPr="008E6B24" w:rsidRDefault="00EA69F4" w:rsidP="00C1771D">
            <w:pPr>
              <w:pStyle w:val="af4"/>
              <w:spacing w:after="60"/>
            </w:pPr>
            <w:r w:rsidRPr="008E6B24">
              <w:t>201</w:t>
            </w:r>
            <w:r>
              <w:t>7</w:t>
            </w:r>
          </w:p>
        </w:tc>
        <w:tc>
          <w:tcPr>
            <w:tcW w:w="393" w:type="pct"/>
            <w:shd w:val="clear" w:color="auto" w:fill="auto"/>
            <w:noWrap/>
            <w:vAlign w:val="bottom"/>
            <w:hideMark/>
          </w:tcPr>
          <w:p w14:paraId="4D5629AE" w14:textId="77777777" w:rsidR="00EA69F4" w:rsidRPr="008E6B24" w:rsidRDefault="00EA69F4" w:rsidP="00C1771D">
            <w:pPr>
              <w:pStyle w:val="af4"/>
              <w:spacing w:after="60"/>
            </w:pPr>
            <w:r w:rsidRPr="008E6B24">
              <w:t>201</w:t>
            </w:r>
            <w:r>
              <w:t>8</w:t>
            </w:r>
          </w:p>
        </w:tc>
        <w:tc>
          <w:tcPr>
            <w:tcW w:w="393" w:type="pct"/>
            <w:shd w:val="clear" w:color="auto" w:fill="auto"/>
            <w:noWrap/>
            <w:vAlign w:val="bottom"/>
            <w:hideMark/>
          </w:tcPr>
          <w:p w14:paraId="7D89C8D5" w14:textId="77777777" w:rsidR="00EA69F4" w:rsidRPr="008E6B24" w:rsidRDefault="00EA69F4" w:rsidP="00C1771D">
            <w:pPr>
              <w:pStyle w:val="af4"/>
              <w:spacing w:after="60"/>
            </w:pPr>
            <w:r w:rsidRPr="008E6B24">
              <w:t>201</w:t>
            </w:r>
            <w:r>
              <w:t>9</w:t>
            </w:r>
          </w:p>
        </w:tc>
        <w:tc>
          <w:tcPr>
            <w:tcW w:w="393" w:type="pct"/>
            <w:shd w:val="clear" w:color="auto" w:fill="auto"/>
            <w:noWrap/>
            <w:vAlign w:val="bottom"/>
            <w:hideMark/>
          </w:tcPr>
          <w:p w14:paraId="29EA7E4E" w14:textId="77777777" w:rsidR="00EA69F4" w:rsidRPr="008E6B24" w:rsidRDefault="00EA69F4" w:rsidP="00C1771D">
            <w:pPr>
              <w:pStyle w:val="af4"/>
              <w:spacing w:after="60"/>
            </w:pPr>
            <w:r w:rsidRPr="008E6B24">
              <w:t>20</w:t>
            </w:r>
            <w:r>
              <w:t>20</w:t>
            </w:r>
          </w:p>
        </w:tc>
        <w:tc>
          <w:tcPr>
            <w:tcW w:w="393" w:type="pct"/>
            <w:shd w:val="clear" w:color="auto" w:fill="auto"/>
            <w:noWrap/>
            <w:vAlign w:val="bottom"/>
            <w:hideMark/>
          </w:tcPr>
          <w:p w14:paraId="23FC319B" w14:textId="77777777" w:rsidR="00EA69F4" w:rsidRPr="008E6B24" w:rsidRDefault="00EA69F4" w:rsidP="00C1771D">
            <w:pPr>
              <w:pStyle w:val="af4"/>
              <w:spacing w:after="60"/>
            </w:pPr>
            <w:r>
              <w:t>2021</w:t>
            </w:r>
          </w:p>
        </w:tc>
        <w:tc>
          <w:tcPr>
            <w:tcW w:w="383" w:type="pct"/>
            <w:shd w:val="clear" w:color="auto" w:fill="auto"/>
            <w:noWrap/>
            <w:vAlign w:val="bottom"/>
            <w:hideMark/>
          </w:tcPr>
          <w:p w14:paraId="1D07D4C9" w14:textId="77777777" w:rsidR="00EA69F4" w:rsidRPr="008E6B24" w:rsidRDefault="00EA69F4" w:rsidP="00C1771D">
            <w:pPr>
              <w:pStyle w:val="af4"/>
              <w:spacing w:after="60"/>
            </w:pPr>
            <w:r w:rsidRPr="008E6B24">
              <w:t>202</w:t>
            </w:r>
            <w:r>
              <w:t>2</w:t>
            </w:r>
          </w:p>
        </w:tc>
      </w:tr>
      <w:tr w:rsidR="00EA69F4" w:rsidRPr="008E6B24" w14:paraId="495C9FE3" w14:textId="77777777" w:rsidTr="00B94957">
        <w:tc>
          <w:tcPr>
            <w:tcW w:w="5000" w:type="pct"/>
            <w:gridSpan w:val="10"/>
            <w:shd w:val="clear" w:color="auto" w:fill="auto"/>
            <w:noWrap/>
            <w:vAlign w:val="center"/>
            <w:hideMark/>
          </w:tcPr>
          <w:p w14:paraId="183521C1" w14:textId="77777777" w:rsidR="00EA69F4" w:rsidRPr="008E6B24" w:rsidRDefault="00EA69F4" w:rsidP="00C1771D">
            <w:pPr>
              <w:pStyle w:val="af3"/>
              <w:spacing w:after="60"/>
              <w:rPr>
                <w:b/>
              </w:rPr>
            </w:pPr>
            <w:r w:rsidRPr="008E6B24">
              <w:rPr>
                <w:b/>
              </w:rPr>
              <w:t xml:space="preserve">% </w:t>
            </w:r>
            <w:r>
              <w:rPr>
                <w:b/>
              </w:rPr>
              <w:t xml:space="preserve">к </w:t>
            </w:r>
            <w:r w:rsidRPr="008E6B24">
              <w:rPr>
                <w:b/>
              </w:rPr>
              <w:t>ВВП</w:t>
            </w:r>
          </w:p>
        </w:tc>
      </w:tr>
      <w:tr w:rsidR="00EA69F4" w:rsidRPr="00402377" w14:paraId="410349B9" w14:textId="77777777" w:rsidTr="00B94957">
        <w:tc>
          <w:tcPr>
            <w:tcW w:w="1473" w:type="pct"/>
            <w:shd w:val="clear" w:color="auto" w:fill="auto"/>
            <w:noWrap/>
            <w:vAlign w:val="center"/>
            <w:hideMark/>
          </w:tcPr>
          <w:p w14:paraId="016E98D7" w14:textId="77777777" w:rsidR="00EA69F4" w:rsidRPr="00BE65E2" w:rsidRDefault="00EA69F4" w:rsidP="00C1771D">
            <w:pPr>
              <w:pStyle w:val="af2"/>
              <w:spacing w:after="60"/>
              <w:rPr>
                <w:b/>
              </w:rPr>
            </w:pPr>
            <w:r w:rsidRPr="00BE65E2">
              <w:rPr>
                <w:b/>
              </w:rPr>
              <w:t>ВСЕГО</w:t>
            </w:r>
          </w:p>
        </w:tc>
        <w:tc>
          <w:tcPr>
            <w:tcW w:w="393" w:type="pct"/>
            <w:shd w:val="clear" w:color="auto" w:fill="auto"/>
            <w:noWrap/>
          </w:tcPr>
          <w:p w14:paraId="0AEA2DA0" w14:textId="77777777" w:rsidR="00EA69F4" w:rsidRPr="00BE65E2" w:rsidRDefault="00EA69F4" w:rsidP="00C1771D">
            <w:pPr>
              <w:pStyle w:val="af3"/>
              <w:spacing w:after="60"/>
              <w:rPr>
                <w:b/>
              </w:rPr>
            </w:pPr>
            <w:r w:rsidRPr="00BE65E2">
              <w:rPr>
                <w:b/>
              </w:rPr>
              <w:t>2,03</w:t>
            </w:r>
          </w:p>
        </w:tc>
        <w:tc>
          <w:tcPr>
            <w:tcW w:w="393" w:type="pct"/>
            <w:shd w:val="clear" w:color="auto" w:fill="auto"/>
            <w:noWrap/>
          </w:tcPr>
          <w:p w14:paraId="54E50B79" w14:textId="77777777" w:rsidR="00EA69F4" w:rsidRPr="00BE65E2" w:rsidRDefault="00EA69F4" w:rsidP="00C1771D">
            <w:pPr>
              <w:pStyle w:val="af3"/>
              <w:spacing w:after="60"/>
              <w:rPr>
                <w:b/>
              </w:rPr>
            </w:pPr>
            <w:r w:rsidRPr="00BE65E2">
              <w:rPr>
                <w:b/>
              </w:rPr>
              <w:t>1,93</w:t>
            </w:r>
          </w:p>
        </w:tc>
        <w:tc>
          <w:tcPr>
            <w:tcW w:w="393" w:type="pct"/>
            <w:shd w:val="clear" w:color="auto" w:fill="auto"/>
            <w:noWrap/>
          </w:tcPr>
          <w:p w14:paraId="71F5F6B6" w14:textId="77777777" w:rsidR="00EA69F4" w:rsidRPr="00BE65E2" w:rsidRDefault="00EA69F4" w:rsidP="00C1771D">
            <w:pPr>
              <w:pStyle w:val="af3"/>
              <w:spacing w:after="60"/>
              <w:rPr>
                <w:b/>
              </w:rPr>
            </w:pPr>
            <w:r w:rsidRPr="00BE65E2">
              <w:rPr>
                <w:b/>
              </w:rPr>
              <w:t>1,82</w:t>
            </w:r>
          </w:p>
        </w:tc>
        <w:tc>
          <w:tcPr>
            <w:tcW w:w="393" w:type="pct"/>
            <w:shd w:val="clear" w:color="auto" w:fill="auto"/>
            <w:noWrap/>
          </w:tcPr>
          <w:p w14:paraId="04068CDF" w14:textId="77777777" w:rsidR="00EA69F4" w:rsidRPr="00BE65E2" w:rsidRDefault="00EA69F4" w:rsidP="00C1771D">
            <w:pPr>
              <w:pStyle w:val="af3"/>
              <w:spacing w:after="60"/>
              <w:rPr>
                <w:b/>
              </w:rPr>
            </w:pPr>
            <w:r w:rsidRPr="00BE65E2">
              <w:rPr>
                <w:b/>
              </w:rPr>
              <w:t>1,84</w:t>
            </w:r>
          </w:p>
        </w:tc>
        <w:tc>
          <w:tcPr>
            <w:tcW w:w="393" w:type="pct"/>
            <w:shd w:val="clear" w:color="auto" w:fill="auto"/>
            <w:noWrap/>
          </w:tcPr>
          <w:p w14:paraId="0A56F818" w14:textId="77777777" w:rsidR="00EA69F4" w:rsidRPr="00BE65E2" w:rsidRDefault="00EA69F4" w:rsidP="00C1771D">
            <w:pPr>
              <w:pStyle w:val="af3"/>
              <w:spacing w:after="60"/>
              <w:rPr>
                <w:b/>
              </w:rPr>
            </w:pPr>
            <w:r w:rsidRPr="00BE65E2">
              <w:rPr>
                <w:b/>
              </w:rPr>
              <w:t>1,97</w:t>
            </w:r>
          </w:p>
        </w:tc>
        <w:tc>
          <w:tcPr>
            <w:tcW w:w="393" w:type="pct"/>
            <w:shd w:val="clear" w:color="auto" w:fill="auto"/>
            <w:noWrap/>
          </w:tcPr>
          <w:p w14:paraId="45786338" w14:textId="77777777" w:rsidR="00EA69F4" w:rsidRPr="00BE65E2" w:rsidRDefault="00EA69F4" w:rsidP="00C1771D">
            <w:pPr>
              <w:pStyle w:val="af3"/>
              <w:spacing w:after="60"/>
              <w:rPr>
                <w:b/>
              </w:rPr>
            </w:pPr>
            <w:r w:rsidRPr="00BE65E2">
              <w:rPr>
                <w:b/>
              </w:rPr>
              <w:t>2,22</w:t>
            </w:r>
          </w:p>
        </w:tc>
        <w:tc>
          <w:tcPr>
            <w:tcW w:w="393" w:type="pct"/>
            <w:shd w:val="clear" w:color="auto" w:fill="auto"/>
            <w:noWrap/>
          </w:tcPr>
          <w:p w14:paraId="36834585" w14:textId="77777777" w:rsidR="00EA69F4" w:rsidRPr="00BE65E2" w:rsidRDefault="00EA69F4" w:rsidP="00C1771D">
            <w:pPr>
              <w:pStyle w:val="af3"/>
              <w:spacing w:after="60"/>
              <w:rPr>
                <w:b/>
              </w:rPr>
            </w:pPr>
            <w:r w:rsidRPr="00BE65E2">
              <w:rPr>
                <w:b/>
              </w:rPr>
              <w:t>2,26</w:t>
            </w:r>
          </w:p>
        </w:tc>
        <w:tc>
          <w:tcPr>
            <w:tcW w:w="393" w:type="pct"/>
            <w:shd w:val="clear" w:color="auto" w:fill="auto"/>
            <w:noWrap/>
          </w:tcPr>
          <w:p w14:paraId="650EC18D" w14:textId="77777777" w:rsidR="00EA69F4" w:rsidRPr="00BE65E2" w:rsidRDefault="00EA69F4" w:rsidP="00C1771D">
            <w:pPr>
              <w:pStyle w:val="af3"/>
              <w:spacing w:after="60"/>
              <w:rPr>
                <w:b/>
              </w:rPr>
            </w:pPr>
            <w:r w:rsidRPr="00BE65E2">
              <w:rPr>
                <w:b/>
              </w:rPr>
              <w:t>2,13</w:t>
            </w:r>
          </w:p>
        </w:tc>
        <w:tc>
          <w:tcPr>
            <w:tcW w:w="383" w:type="pct"/>
            <w:shd w:val="clear" w:color="auto" w:fill="auto"/>
            <w:noWrap/>
          </w:tcPr>
          <w:p w14:paraId="02242DF2" w14:textId="77777777" w:rsidR="00EA69F4" w:rsidRPr="00BE65E2" w:rsidRDefault="00EA69F4" w:rsidP="00C1771D">
            <w:pPr>
              <w:pStyle w:val="af3"/>
              <w:spacing w:after="60"/>
              <w:rPr>
                <w:b/>
              </w:rPr>
            </w:pPr>
            <w:r w:rsidRPr="00BE65E2">
              <w:rPr>
                <w:b/>
              </w:rPr>
              <w:t>1,93</w:t>
            </w:r>
          </w:p>
        </w:tc>
      </w:tr>
      <w:tr w:rsidR="00EA69F4" w:rsidRPr="00402377" w14:paraId="4CBEE4A4" w14:textId="77777777" w:rsidTr="00B94957">
        <w:tc>
          <w:tcPr>
            <w:tcW w:w="1473" w:type="pct"/>
            <w:shd w:val="clear" w:color="auto" w:fill="auto"/>
            <w:noWrap/>
            <w:vAlign w:val="center"/>
            <w:hideMark/>
          </w:tcPr>
          <w:p w14:paraId="36300983" w14:textId="77777777" w:rsidR="00EA69F4" w:rsidRPr="00BE65E2" w:rsidRDefault="00EA69F4" w:rsidP="00C1771D">
            <w:pPr>
              <w:pStyle w:val="af2"/>
              <w:spacing w:after="60"/>
              <w:rPr>
                <w:i/>
              </w:rPr>
            </w:pPr>
            <w:r w:rsidRPr="00BE65E2">
              <w:rPr>
                <w:i/>
              </w:rPr>
              <w:t>Дотации, в т.ч.:</w:t>
            </w:r>
          </w:p>
        </w:tc>
        <w:tc>
          <w:tcPr>
            <w:tcW w:w="393" w:type="pct"/>
            <w:shd w:val="clear" w:color="auto" w:fill="auto"/>
            <w:noWrap/>
          </w:tcPr>
          <w:p w14:paraId="6BE9C61F" w14:textId="77777777" w:rsidR="00EA69F4" w:rsidRPr="00BE65E2" w:rsidRDefault="00EA69F4" w:rsidP="00C1771D">
            <w:pPr>
              <w:pStyle w:val="af3"/>
              <w:spacing w:after="60"/>
              <w:rPr>
                <w:i/>
              </w:rPr>
            </w:pPr>
            <w:r w:rsidRPr="00BE65E2">
              <w:rPr>
                <w:i/>
              </w:rPr>
              <w:t>0,98</w:t>
            </w:r>
          </w:p>
        </w:tc>
        <w:tc>
          <w:tcPr>
            <w:tcW w:w="393" w:type="pct"/>
            <w:shd w:val="clear" w:color="auto" w:fill="auto"/>
            <w:noWrap/>
          </w:tcPr>
          <w:p w14:paraId="026283CF" w14:textId="77777777" w:rsidR="00EA69F4" w:rsidRPr="00BE65E2" w:rsidRDefault="00EA69F4" w:rsidP="00C1771D">
            <w:pPr>
              <w:pStyle w:val="af3"/>
              <w:spacing w:after="60"/>
              <w:rPr>
                <w:i/>
              </w:rPr>
            </w:pPr>
            <w:r w:rsidRPr="00BE65E2">
              <w:rPr>
                <w:i/>
              </w:rPr>
              <w:t>0,78</w:t>
            </w:r>
          </w:p>
        </w:tc>
        <w:tc>
          <w:tcPr>
            <w:tcW w:w="393" w:type="pct"/>
            <w:shd w:val="clear" w:color="auto" w:fill="auto"/>
            <w:noWrap/>
          </w:tcPr>
          <w:p w14:paraId="18674916" w14:textId="77777777" w:rsidR="00EA69F4" w:rsidRPr="00BE65E2" w:rsidRDefault="00EA69F4" w:rsidP="00C1771D">
            <w:pPr>
              <w:pStyle w:val="af3"/>
              <w:spacing w:after="60"/>
              <w:rPr>
                <w:i/>
              </w:rPr>
            </w:pPr>
            <w:r w:rsidRPr="00BE65E2">
              <w:rPr>
                <w:i/>
              </w:rPr>
              <w:t>0,76</w:t>
            </w:r>
          </w:p>
        </w:tc>
        <w:tc>
          <w:tcPr>
            <w:tcW w:w="393" w:type="pct"/>
            <w:shd w:val="clear" w:color="auto" w:fill="auto"/>
            <w:noWrap/>
          </w:tcPr>
          <w:p w14:paraId="4D6B7CE7" w14:textId="77777777" w:rsidR="00EA69F4" w:rsidRPr="00BE65E2" w:rsidRDefault="00EA69F4" w:rsidP="00C1771D">
            <w:pPr>
              <w:pStyle w:val="af3"/>
              <w:spacing w:after="60"/>
              <w:rPr>
                <w:i/>
              </w:rPr>
            </w:pPr>
            <w:r w:rsidRPr="00BE65E2">
              <w:rPr>
                <w:i/>
              </w:rPr>
              <w:t>0,82</w:t>
            </w:r>
          </w:p>
        </w:tc>
        <w:tc>
          <w:tcPr>
            <w:tcW w:w="393" w:type="pct"/>
            <w:shd w:val="clear" w:color="auto" w:fill="auto"/>
            <w:noWrap/>
          </w:tcPr>
          <w:p w14:paraId="2FA38555" w14:textId="77777777" w:rsidR="00EA69F4" w:rsidRPr="00BE65E2" w:rsidRDefault="00EA69F4" w:rsidP="00C1771D">
            <w:pPr>
              <w:pStyle w:val="af3"/>
              <w:spacing w:after="60"/>
              <w:rPr>
                <w:i/>
              </w:rPr>
            </w:pPr>
            <w:r w:rsidRPr="00BE65E2">
              <w:rPr>
                <w:i/>
              </w:rPr>
              <w:t>1,00</w:t>
            </w:r>
          </w:p>
        </w:tc>
        <w:tc>
          <w:tcPr>
            <w:tcW w:w="393" w:type="pct"/>
            <w:shd w:val="clear" w:color="auto" w:fill="auto"/>
            <w:noWrap/>
          </w:tcPr>
          <w:p w14:paraId="2F3ED86F" w14:textId="77777777" w:rsidR="00EA69F4" w:rsidRPr="00BE65E2" w:rsidRDefault="00EA69F4" w:rsidP="00C1771D">
            <w:pPr>
              <w:pStyle w:val="af3"/>
              <w:spacing w:after="60"/>
              <w:rPr>
                <w:i/>
              </w:rPr>
            </w:pPr>
            <w:r w:rsidRPr="00BE65E2">
              <w:rPr>
                <w:i/>
              </w:rPr>
              <w:t>0,88</w:t>
            </w:r>
          </w:p>
        </w:tc>
        <w:tc>
          <w:tcPr>
            <w:tcW w:w="393" w:type="pct"/>
            <w:shd w:val="clear" w:color="auto" w:fill="auto"/>
            <w:noWrap/>
          </w:tcPr>
          <w:p w14:paraId="1901E9E7" w14:textId="77777777" w:rsidR="00EA69F4" w:rsidRPr="00BE65E2" w:rsidRDefault="00EA69F4" w:rsidP="00C1771D">
            <w:pPr>
              <w:pStyle w:val="af3"/>
              <w:spacing w:after="60"/>
              <w:rPr>
                <w:i/>
              </w:rPr>
            </w:pPr>
            <w:r w:rsidRPr="00BE65E2">
              <w:rPr>
                <w:i/>
              </w:rPr>
              <w:t>0,83</w:t>
            </w:r>
          </w:p>
        </w:tc>
        <w:tc>
          <w:tcPr>
            <w:tcW w:w="393" w:type="pct"/>
            <w:shd w:val="clear" w:color="auto" w:fill="auto"/>
            <w:noWrap/>
          </w:tcPr>
          <w:p w14:paraId="7976F2A5" w14:textId="77777777" w:rsidR="00EA69F4" w:rsidRPr="00BE65E2" w:rsidRDefault="00EA69F4" w:rsidP="00C1771D">
            <w:pPr>
              <w:pStyle w:val="af3"/>
              <w:spacing w:after="60"/>
              <w:rPr>
                <w:i/>
              </w:rPr>
            </w:pPr>
            <w:r w:rsidRPr="00BE65E2">
              <w:rPr>
                <w:i/>
              </w:rPr>
              <w:t>0,78</w:t>
            </w:r>
          </w:p>
        </w:tc>
        <w:tc>
          <w:tcPr>
            <w:tcW w:w="383" w:type="pct"/>
            <w:shd w:val="clear" w:color="auto" w:fill="auto"/>
            <w:noWrap/>
          </w:tcPr>
          <w:p w14:paraId="634798D4" w14:textId="77777777" w:rsidR="00EA69F4" w:rsidRPr="00BE65E2" w:rsidRDefault="00EA69F4" w:rsidP="00C1771D">
            <w:pPr>
              <w:pStyle w:val="af3"/>
              <w:spacing w:after="60"/>
              <w:rPr>
                <w:i/>
              </w:rPr>
            </w:pPr>
            <w:r w:rsidRPr="00BE65E2">
              <w:rPr>
                <w:i/>
              </w:rPr>
              <w:t>0,74</w:t>
            </w:r>
          </w:p>
        </w:tc>
      </w:tr>
      <w:tr w:rsidR="00EA69F4" w:rsidRPr="008E6B24" w14:paraId="27642E25" w14:textId="77777777" w:rsidTr="00B94957">
        <w:tc>
          <w:tcPr>
            <w:tcW w:w="1473" w:type="pct"/>
            <w:shd w:val="clear" w:color="auto" w:fill="auto"/>
            <w:noWrap/>
            <w:vAlign w:val="center"/>
            <w:hideMark/>
          </w:tcPr>
          <w:p w14:paraId="5256496F" w14:textId="77777777" w:rsidR="00EA69F4" w:rsidRPr="008E6B24" w:rsidRDefault="00EA69F4" w:rsidP="00C1771D">
            <w:pPr>
              <w:pStyle w:val="af2"/>
              <w:spacing w:after="60"/>
              <w:ind w:left="171"/>
            </w:pPr>
            <w:r w:rsidRPr="008E6B24">
              <w:t>на выравнивание бюджетной обеспеченности</w:t>
            </w:r>
          </w:p>
        </w:tc>
        <w:tc>
          <w:tcPr>
            <w:tcW w:w="393" w:type="pct"/>
            <w:shd w:val="clear" w:color="auto" w:fill="auto"/>
            <w:noWrap/>
          </w:tcPr>
          <w:p w14:paraId="534C09B4" w14:textId="77777777" w:rsidR="00EA69F4" w:rsidRPr="006D5E7C" w:rsidRDefault="00EA69F4" w:rsidP="00C1771D">
            <w:pPr>
              <w:pStyle w:val="af3"/>
              <w:spacing w:after="60"/>
            </w:pPr>
            <w:r w:rsidRPr="00552FA0">
              <w:t>0,56</w:t>
            </w:r>
          </w:p>
        </w:tc>
        <w:tc>
          <w:tcPr>
            <w:tcW w:w="393" w:type="pct"/>
            <w:shd w:val="clear" w:color="auto" w:fill="auto"/>
            <w:noWrap/>
          </w:tcPr>
          <w:p w14:paraId="271D2B30" w14:textId="77777777" w:rsidR="00EA69F4" w:rsidRPr="006D5E7C" w:rsidRDefault="00EA69F4" w:rsidP="00C1771D">
            <w:pPr>
              <w:pStyle w:val="af3"/>
              <w:spacing w:after="60"/>
            </w:pPr>
            <w:r w:rsidRPr="00552FA0">
              <w:t>0,59</w:t>
            </w:r>
          </w:p>
        </w:tc>
        <w:tc>
          <w:tcPr>
            <w:tcW w:w="393" w:type="pct"/>
            <w:shd w:val="clear" w:color="auto" w:fill="auto"/>
            <w:noWrap/>
          </w:tcPr>
          <w:p w14:paraId="250EA063" w14:textId="77777777" w:rsidR="00EA69F4" w:rsidRPr="006D5E7C" w:rsidRDefault="00EA69F4" w:rsidP="00C1771D">
            <w:pPr>
              <w:pStyle w:val="af3"/>
              <w:spacing w:after="60"/>
            </w:pPr>
            <w:r w:rsidRPr="00552FA0">
              <w:t>0,60</w:t>
            </w:r>
          </w:p>
        </w:tc>
        <w:tc>
          <w:tcPr>
            <w:tcW w:w="393" w:type="pct"/>
            <w:shd w:val="clear" w:color="auto" w:fill="auto"/>
            <w:noWrap/>
          </w:tcPr>
          <w:p w14:paraId="3D2BC889" w14:textId="77777777" w:rsidR="00EA69F4" w:rsidRPr="006D5E7C" w:rsidRDefault="00EA69F4" w:rsidP="00C1771D">
            <w:pPr>
              <w:pStyle w:val="af3"/>
              <w:spacing w:after="60"/>
            </w:pPr>
            <w:r w:rsidRPr="00552FA0">
              <w:t>0,67</w:t>
            </w:r>
          </w:p>
        </w:tc>
        <w:tc>
          <w:tcPr>
            <w:tcW w:w="393" w:type="pct"/>
            <w:shd w:val="clear" w:color="auto" w:fill="auto"/>
            <w:noWrap/>
          </w:tcPr>
          <w:p w14:paraId="53B9100D" w14:textId="77777777" w:rsidR="00EA69F4" w:rsidRPr="006D5E7C" w:rsidRDefault="00EA69F4" w:rsidP="00C1771D">
            <w:pPr>
              <w:pStyle w:val="af3"/>
              <w:spacing w:after="60"/>
            </w:pPr>
            <w:r w:rsidRPr="00552FA0">
              <w:t>0,62</w:t>
            </w:r>
          </w:p>
        </w:tc>
        <w:tc>
          <w:tcPr>
            <w:tcW w:w="393" w:type="pct"/>
            <w:shd w:val="clear" w:color="auto" w:fill="auto"/>
            <w:noWrap/>
          </w:tcPr>
          <w:p w14:paraId="7DA9AC38" w14:textId="77777777" w:rsidR="00EA69F4" w:rsidRPr="006D5E7C" w:rsidRDefault="00EA69F4" w:rsidP="00C1771D">
            <w:pPr>
              <w:pStyle w:val="af3"/>
              <w:spacing w:after="60"/>
            </w:pPr>
            <w:r w:rsidRPr="00552FA0">
              <w:t>0,62</w:t>
            </w:r>
          </w:p>
        </w:tc>
        <w:tc>
          <w:tcPr>
            <w:tcW w:w="393" w:type="pct"/>
            <w:shd w:val="clear" w:color="auto" w:fill="auto"/>
            <w:noWrap/>
          </w:tcPr>
          <w:p w14:paraId="7140D6F4" w14:textId="77777777" w:rsidR="00EA69F4" w:rsidRPr="006D5E7C" w:rsidRDefault="00EA69F4" w:rsidP="00C1771D">
            <w:pPr>
              <w:pStyle w:val="af3"/>
              <w:spacing w:after="60"/>
            </w:pPr>
            <w:r w:rsidRPr="00552FA0">
              <w:t>0,64</w:t>
            </w:r>
          </w:p>
        </w:tc>
        <w:tc>
          <w:tcPr>
            <w:tcW w:w="393" w:type="pct"/>
            <w:shd w:val="clear" w:color="auto" w:fill="auto"/>
            <w:noWrap/>
          </w:tcPr>
          <w:p w14:paraId="5F833D29" w14:textId="77777777" w:rsidR="00EA69F4" w:rsidRPr="006D5E7C" w:rsidRDefault="00EA69F4" w:rsidP="00C1771D">
            <w:pPr>
              <w:pStyle w:val="af3"/>
              <w:spacing w:after="60"/>
            </w:pPr>
            <w:r w:rsidRPr="00552FA0">
              <w:t>0,61</w:t>
            </w:r>
          </w:p>
        </w:tc>
        <w:tc>
          <w:tcPr>
            <w:tcW w:w="383" w:type="pct"/>
            <w:shd w:val="clear" w:color="auto" w:fill="auto"/>
            <w:noWrap/>
          </w:tcPr>
          <w:p w14:paraId="48CE24BC" w14:textId="77777777" w:rsidR="00EA69F4" w:rsidRPr="006D5E7C" w:rsidRDefault="00EA69F4" w:rsidP="00C1771D">
            <w:pPr>
              <w:pStyle w:val="af3"/>
              <w:spacing w:after="60"/>
            </w:pPr>
            <w:r w:rsidRPr="00552FA0">
              <w:t>0,58</w:t>
            </w:r>
          </w:p>
        </w:tc>
      </w:tr>
      <w:tr w:rsidR="00EA69F4" w:rsidRPr="008E6B24" w14:paraId="4161016B" w14:textId="77777777" w:rsidTr="00B94957">
        <w:tc>
          <w:tcPr>
            <w:tcW w:w="1473" w:type="pct"/>
            <w:shd w:val="clear" w:color="auto" w:fill="auto"/>
            <w:noWrap/>
            <w:vAlign w:val="center"/>
            <w:hideMark/>
          </w:tcPr>
          <w:p w14:paraId="494AFFDB" w14:textId="77777777" w:rsidR="00EA69F4" w:rsidRPr="008E6B24" w:rsidRDefault="00EA69F4" w:rsidP="00C1771D">
            <w:pPr>
              <w:pStyle w:val="af2"/>
              <w:spacing w:after="60"/>
              <w:ind w:left="171"/>
            </w:pPr>
            <w:r w:rsidRPr="008E6B24">
              <w:t>на обеспечение сбалансированности бюджетов</w:t>
            </w:r>
          </w:p>
        </w:tc>
        <w:tc>
          <w:tcPr>
            <w:tcW w:w="393" w:type="pct"/>
            <w:shd w:val="clear" w:color="auto" w:fill="auto"/>
            <w:noWrap/>
          </w:tcPr>
          <w:p w14:paraId="5D465A29" w14:textId="77777777" w:rsidR="00EA69F4" w:rsidRPr="006D5E7C" w:rsidRDefault="00EA69F4" w:rsidP="00C1771D">
            <w:pPr>
              <w:pStyle w:val="af3"/>
              <w:spacing w:after="60"/>
            </w:pPr>
            <w:r w:rsidRPr="00552FA0">
              <w:t>0,41</w:t>
            </w:r>
          </w:p>
        </w:tc>
        <w:tc>
          <w:tcPr>
            <w:tcW w:w="393" w:type="pct"/>
            <w:shd w:val="clear" w:color="auto" w:fill="auto"/>
            <w:noWrap/>
          </w:tcPr>
          <w:p w14:paraId="6EFDBC6B" w14:textId="77777777" w:rsidR="00EA69F4" w:rsidRPr="006D5E7C" w:rsidRDefault="00EA69F4" w:rsidP="00C1771D">
            <w:pPr>
              <w:pStyle w:val="af3"/>
              <w:spacing w:after="60"/>
            </w:pPr>
            <w:r w:rsidRPr="00552FA0">
              <w:t>0,18</w:t>
            </w:r>
          </w:p>
        </w:tc>
        <w:tc>
          <w:tcPr>
            <w:tcW w:w="393" w:type="pct"/>
            <w:shd w:val="clear" w:color="auto" w:fill="auto"/>
            <w:noWrap/>
          </w:tcPr>
          <w:p w14:paraId="173259CC" w14:textId="77777777" w:rsidR="00EA69F4" w:rsidRPr="006D5E7C" w:rsidRDefault="00EA69F4" w:rsidP="00C1771D">
            <w:pPr>
              <w:pStyle w:val="af3"/>
              <w:spacing w:after="60"/>
            </w:pPr>
            <w:r w:rsidRPr="00552FA0">
              <w:t>0,15</w:t>
            </w:r>
          </w:p>
        </w:tc>
        <w:tc>
          <w:tcPr>
            <w:tcW w:w="393" w:type="pct"/>
            <w:shd w:val="clear" w:color="auto" w:fill="auto"/>
            <w:noWrap/>
          </w:tcPr>
          <w:p w14:paraId="01ABA395" w14:textId="77777777" w:rsidR="00EA69F4" w:rsidRPr="006D5E7C" w:rsidRDefault="00EA69F4" w:rsidP="00C1771D">
            <w:pPr>
              <w:pStyle w:val="af3"/>
              <w:spacing w:after="60"/>
            </w:pPr>
            <w:r w:rsidRPr="00552FA0">
              <w:t>0,15</w:t>
            </w:r>
          </w:p>
        </w:tc>
        <w:tc>
          <w:tcPr>
            <w:tcW w:w="393" w:type="pct"/>
            <w:shd w:val="clear" w:color="auto" w:fill="auto"/>
            <w:noWrap/>
          </w:tcPr>
          <w:p w14:paraId="30AF2EA5" w14:textId="77777777" w:rsidR="00EA69F4" w:rsidRPr="006D5E7C" w:rsidRDefault="00EA69F4" w:rsidP="00C1771D">
            <w:pPr>
              <w:pStyle w:val="af3"/>
              <w:spacing w:after="60"/>
            </w:pPr>
            <w:r w:rsidRPr="00552FA0">
              <w:t>0,37</w:t>
            </w:r>
          </w:p>
        </w:tc>
        <w:tc>
          <w:tcPr>
            <w:tcW w:w="393" w:type="pct"/>
            <w:shd w:val="clear" w:color="auto" w:fill="auto"/>
            <w:noWrap/>
          </w:tcPr>
          <w:p w14:paraId="4B9D4D87" w14:textId="77777777" w:rsidR="00EA69F4" w:rsidRPr="006D5E7C" w:rsidRDefault="00EA69F4" w:rsidP="00C1771D">
            <w:pPr>
              <w:pStyle w:val="af3"/>
              <w:spacing w:after="60"/>
            </w:pPr>
            <w:r w:rsidRPr="00552FA0">
              <w:t>0,</w:t>
            </w:r>
            <w:r>
              <w:t>19</w:t>
            </w:r>
          </w:p>
        </w:tc>
        <w:tc>
          <w:tcPr>
            <w:tcW w:w="393" w:type="pct"/>
            <w:shd w:val="clear" w:color="auto" w:fill="auto"/>
            <w:noWrap/>
          </w:tcPr>
          <w:p w14:paraId="6CB41FDD" w14:textId="77777777" w:rsidR="00EA69F4" w:rsidRPr="006D5E7C" w:rsidRDefault="00EA69F4" w:rsidP="00C1771D">
            <w:pPr>
              <w:pStyle w:val="af3"/>
              <w:spacing w:after="60"/>
            </w:pPr>
            <w:r w:rsidRPr="00552FA0">
              <w:t>0,1</w:t>
            </w:r>
            <w:r>
              <w:t>8</w:t>
            </w:r>
          </w:p>
        </w:tc>
        <w:tc>
          <w:tcPr>
            <w:tcW w:w="393" w:type="pct"/>
            <w:shd w:val="clear" w:color="auto" w:fill="auto"/>
            <w:noWrap/>
          </w:tcPr>
          <w:p w14:paraId="553749BC" w14:textId="77777777" w:rsidR="00EA69F4" w:rsidRPr="006D5E7C" w:rsidRDefault="00EA69F4" w:rsidP="00C1771D">
            <w:pPr>
              <w:pStyle w:val="af3"/>
              <w:spacing w:after="60"/>
            </w:pPr>
            <w:r w:rsidRPr="00552FA0">
              <w:t>0,1</w:t>
            </w:r>
            <w:r>
              <w:t>6</w:t>
            </w:r>
          </w:p>
        </w:tc>
        <w:tc>
          <w:tcPr>
            <w:tcW w:w="383" w:type="pct"/>
            <w:shd w:val="clear" w:color="auto" w:fill="auto"/>
            <w:noWrap/>
          </w:tcPr>
          <w:p w14:paraId="4514933A" w14:textId="77777777" w:rsidR="00EA69F4" w:rsidRPr="006D5E7C" w:rsidRDefault="00EA69F4" w:rsidP="00C1771D">
            <w:pPr>
              <w:pStyle w:val="af3"/>
              <w:spacing w:after="60"/>
            </w:pPr>
            <w:r w:rsidRPr="00552FA0">
              <w:t>0,1</w:t>
            </w:r>
            <w:r>
              <w:t>5</w:t>
            </w:r>
          </w:p>
        </w:tc>
      </w:tr>
      <w:tr w:rsidR="00EA69F4" w:rsidRPr="00402377" w14:paraId="018DB2A1" w14:textId="77777777" w:rsidTr="00B94957">
        <w:tc>
          <w:tcPr>
            <w:tcW w:w="1473" w:type="pct"/>
            <w:shd w:val="clear" w:color="auto" w:fill="auto"/>
            <w:noWrap/>
            <w:vAlign w:val="center"/>
            <w:hideMark/>
          </w:tcPr>
          <w:p w14:paraId="41804E8C" w14:textId="77777777" w:rsidR="00EA69F4" w:rsidRPr="00BE65E2" w:rsidRDefault="00EA69F4" w:rsidP="00C1771D">
            <w:pPr>
              <w:pStyle w:val="af2"/>
              <w:spacing w:after="60"/>
              <w:rPr>
                <w:i/>
              </w:rPr>
            </w:pPr>
            <w:r w:rsidRPr="00BE65E2">
              <w:rPr>
                <w:i/>
              </w:rPr>
              <w:t>Субсидии</w:t>
            </w:r>
          </w:p>
        </w:tc>
        <w:tc>
          <w:tcPr>
            <w:tcW w:w="393" w:type="pct"/>
            <w:shd w:val="clear" w:color="auto" w:fill="auto"/>
            <w:noWrap/>
          </w:tcPr>
          <w:p w14:paraId="7252212E" w14:textId="77777777" w:rsidR="00EA69F4" w:rsidRPr="00BE65E2" w:rsidRDefault="00EA69F4" w:rsidP="00C1771D">
            <w:pPr>
              <w:pStyle w:val="af3"/>
              <w:spacing w:after="60"/>
              <w:rPr>
                <w:i/>
              </w:rPr>
            </w:pPr>
            <w:r w:rsidRPr="00BE65E2">
              <w:rPr>
                <w:i/>
              </w:rPr>
              <w:t>0,52</w:t>
            </w:r>
          </w:p>
        </w:tc>
        <w:tc>
          <w:tcPr>
            <w:tcW w:w="393" w:type="pct"/>
            <w:shd w:val="clear" w:color="auto" w:fill="auto"/>
            <w:noWrap/>
          </w:tcPr>
          <w:p w14:paraId="53CFD71F" w14:textId="77777777" w:rsidR="00EA69F4" w:rsidRPr="00BE65E2" w:rsidRDefault="00EA69F4" w:rsidP="00C1771D">
            <w:pPr>
              <w:pStyle w:val="af3"/>
              <w:spacing w:after="60"/>
              <w:rPr>
                <w:i/>
              </w:rPr>
            </w:pPr>
            <w:r w:rsidRPr="00BE65E2">
              <w:rPr>
                <w:i/>
              </w:rPr>
              <w:t>0,48</w:t>
            </w:r>
          </w:p>
        </w:tc>
        <w:tc>
          <w:tcPr>
            <w:tcW w:w="393" w:type="pct"/>
            <w:shd w:val="clear" w:color="auto" w:fill="auto"/>
            <w:noWrap/>
          </w:tcPr>
          <w:p w14:paraId="677CB260" w14:textId="77777777" w:rsidR="00EA69F4" w:rsidRPr="00BE65E2" w:rsidRDefault="00EA69F4" w:rsidP="00C1771D">
            <w:pPr>
              <w:pStyle w:val="af3"/>
              <w:spacing w:after="60"/>
              <w:rPr>
                <w:i/>
              </w:rPr>
            </w:pPr>
            <w:r w:rsidRPr="00BE65E2">
              <w:rPr>
                <w:i/>
              </w:rPr>
              <w:t>0,41</w:t>
            </w:r>
          </w:p>
        </w:tc>
        <w:tc>
          <w:tcPr>
            <w:tcW w:w="393" w:type="pct"/>
            <w:shd w:val="clear" w:color="auto" w:fill="auto"/>
            <w:noWrap/>
          </w:tcPr>
          <w:p w14:paraId="35D3FF37" w14:textId="77777777" w:rsidR="00EA69F4" w:rsidRPr="00BE65E2" w:rsidRDefault="00EA69F4" w:rsidP="00C1771D">
            <w:pPr>
              <w:pStyle w:val="af3"/>
              <w:spacing w:after="60"/>
              <w:rPr>
                <w:i/>
              </w:rPr>
            </w:pPr>
            <w:r w:rsidRPr="00BE65E2">
              <w:rPr>
                <w:i/>
              </w:rPr>
              <w:t>0,46</w:t>
            </w:r>
          </w:p>
        </w:tc>
        <w:tc>
          <w:tcPr>
            <w:tcW w:w="393" w:type="pct"/>
            <w:shd w:val="clear" w:color="auto" w:fill="auto"/>
            <w:noWrap/>
          </w:tcPr>
          <w:p w14:paraId="20F2C1DD" w14:textId="77777777" w:rsidR="00EA69F4" w:rsidRPr="00BE65E2" w:rsidRDefault="00EA69F4" w:rsidP="00C1771D">
            <w:pPr>
              <w:pStyle w:val="af3"/>
              <w:spacing w:after="60"/>
              <w:rPr>
                <w:i/>
              </w:rPr>
            </w:pPr>
            <w:r w:rsidRPr="00BE65E2">
              <w:rPr>
                <w:i/>
              </w:rPr>
              <w:t>0,37</w:t>
            </w:r>
          </w:p>
        </w:tc>
        <w:tc>
          <w:tcPr>
            <w:tcW w:w="393" w:type="pct"/>
            <w:shd w:val="clear" w:color="auto" w:fill="auto"/>
            <w:noWrap/>
          </w:tcPr>
          <w:p w14:paraId="1C040FCF" w14:textId="77777777" w:rsidR="00EA69F4" w:rsidRPr="00BE65E2" w:rsidRDefault="00EA69F4" w:rsidP="00C1771D">
            <w:pPr>
              <w:pStyle w:val="af3"/>
              <w:spacing w:after="60"/>
              <w:rPr>
                <w:i/>
              </w:rPr>
            </w:pPr>
            <w:r w:rsidRPr="00BE65E2">
              <w:rPr>
                <w:i/>
              </w:rPr>
              <w:t>0,58</w:t>
            </w:r>
          </w:p>
        </w:tc>
        <w:tc>
          <w:tcPr>
            <w:tcW w:w="393" w:type="pct"/>
            <w:shd w:val="clear" w:color="auto" w:fill="auto"/>
            <w:noWrap/>
          </w:tcPr>
          <w:p w14:paraId="62DF277A" w14:textId="77777777" w:rsidR="00EA69F4" w:rsidRPr="00BE65E2" w:rsidRDefault="00EA69F4" w:rsidP="00C1771D">
            <w:pPr>
              <w:pStyle w:val="af3"/>
              <w:spacing w:after="60"/>
              <w:rPr>
                <w:i/>
              </w:rPr>
            </w:pPr>
            <w:r w:rsidRPr="00BE65E2">
              <w:rPr>
                <w:i/>
              </w:rPr>
              <w:t>0,68</w:t>
            </w:r>
          </w:p>
        </w:tc>
        <w:tc>
          <w:tcPr>
            <w:tcW w:w="393" w:type="pct"/>
            <w:shd w:val="clear" w:color="auto" w:fill="auto"/>
            <w:noWrap/>
          </w:tcPr>
          <w:p w14:paraId="25FA64C3" w14:textId="77777777" w:rsidR="00EA69F4" w:rsidRPr="00BE65E2" w:rsidRDefault="00EA69F4" w:rsidP="00C1771D">
            <w:pPr>
              <w:pStyle w:val="af3"/>
              <w:spacing w:after="60"/>
              <w:rPr>
                <w:i/>
              </w:rPr>
            </w:pPr>
            <w:r w:rsidRPr="00BE65E2">
              <w:rPr>
                <w:i/>
              </w:rPr>
              <w:t>0,60</w:t>
            </w:r>
          </w:p>
        </w:tc>
        <w:tc>
          <w:tcPr>
            <w:tcW w:w="383" w:type="pct"/>
            <w:shd w:val="clear" w:color="auto" w:fill="auto"/>
            <w:noWrap/>
          </w:tcPr>
          <w:p w14:paraId="11F866D5" w14:textId="77777777" w:rsidR="00EA69F4" w:rsidRPr="00BE65E2" w:rsidRDefault="00EA69F4" w:rsidP="00C1771D">
            <w:pPr>
              <w:pStyle w:val="af3"/>
              <w:spacing w:after="60"/>
              <w:rPr>
                <w:i/>
              </w:rPr>
            </w:pPr>
            <w:r w:rsidRPr="00BE65E2">
              <w:rPr>
                <w:i/>
              </w:rPr>
              <w:t>0,56</w:t>
            </w:r>
          </w:p>
        </w:tc>
      </w:tr>
      <w:tr w:rsidR="00EA69F4" w:rsidRPr="00402377" w14:paraId="48161D1A" w14:textId="77777777" w:rsidTr="00B94957">
        <w:tc>
          <w:tcPr>
            <w:tcW w:w="1473" w:type="pct"/>
            <w:shd w:val="clear" w:color="auto" w:fill="auto"/>
            <w:noWrap/>
            <w:vAlign w:val="center"/>
            <w:hideMark/>
          </w:tcPr>
          <w:p w14:paraId="340A7546" w14:textId="77777777" w:rsidR="00EA69F4" w:rsidRPr="00BE65E2" w:rsidRDefault="00EA69F4" w:rsidP="00C1771D">
            <w:pPr>
              <w:pStyle w:val="af2"/>
              <w:spacing w:after="60"/>
              <w:rPr>
                <w:i/>
              </w:rPr>
            </w:pPr>
            <w:r w:rsidRPr="00BE65E2">
              <w:rPr>
                <w:i/>
              </w:rPr>
              <w:t>Субвенции</w:t>
            </w:r>
          </w:p>
        </w:tc>
        <w:tc>
          <w:tcPr>
            <w:tcW w:w="393" w:type="pct"/>
            <w:shd w:val="clear" w:color="auto" w:fill="auto"/>
            <w:noWrap/>
          </w:tcPr>
          <w:p w14:paraId="1041CD69" w14:textId="77777777" w:rsidR="00EA69F4" w:rsidRPr="00BE65E2" w:rsidRDefault="00EA69F4" w:rsidP="00C1771D">
            <w:pPr>
              <w:pStyle w:val="af3"/>
              <w:spacing w:after="60"/>
              <w:rPr>
                <w:i/>
              </w:rPr>
            </w:pPr>
            <w:r w:rsidRPr="00BE65E2">
              <w:rPr>
                <w:i/>
              </w:rPr>
              <w:t>0,39</w:t>
            </w:r>
          </w:p>
        </w:tc>
        <w:tc>
          <w:tcPr>
            <w:tcW w:w="393" w:type="pct"/>
            <w:shd w:val="clear" w:color="auto" w:fill="auto"/>
            <w:noWrap/>
          </w:tcPr>
          <w:p w14:paraId="4771DEFE" w14:textId="77777777" w:rsidR="00EA69F4" w:rsidRPr="00BE65E2" w:rsidRDefault="00EA69F4" w:rsidP="00C1771D">
            <w:pPr>
              <w:pStyle w:val="af3"/>
              <w:spacing w:after="60"/>
              <w:rPr>
                <w:i/>
              </w:rPr>
            </w:pPr>
            <w:r w:rsidRPr="00BE65E2">
              <w:rPr>
                <w:i/>
              </w:rPr>
              <w:t>0,41</w:t>
            </w:r>
          </w:p>
        </w:tc>
        <w:tc>
          <w:tcPr>
            <w:tcW w:w="393" w:type="pct"/>
            <w:shd w:val="clear" w:color="auto" w:fill="auto"/>
            <w:noWrap/>
          </w:tcPr>
          <w:p w14:paraId="76848E0D" w14:textId="77777777" w:rsidR="00EA69F4" w:rsidRPr="00BE65E2" w:rsidRDefault="00EA69F4" w:rsidP="00C1771D">
            <w:pPr>
              <w:pStyle w:val="af3"/>
              <w:spacing w:after="60"/>
              <w:rPr>
                <w:i/>
              </w:rPr>
            </w:pPr>
            <w:r w:rsidRPr="00BE65E2">
              <w:rPr>
                <w:i/>
              </w:rPr>
              <w:t>0,39</w:t>
            </w:r>
          </w:p>
        </w:tc>
        <w:tc>
          <w:tcPr>
            <w:tcW w:w="393" w:type="pct"/>
            <w:shd w:val="clear" w:color="auto" w:fill="auto"/>
            <w:noWrap/>
          </w:tcPr>
          <w:p w14:paraId="564A6DBA" w14:textId="77777777" w:rsidR="00EA69F4" w:rsidRPr="00BE65E2" w:rsidRDefault="00EA69F4" w:rsidP="00C1771D">
            <w:pPr>
              <w:pStyle w:val="af3"/>
              <w:spacing w:after="60"/>
              <w:rPr>
                <w:i/>
              </w:rPr>
            </w:pPr>
            <w:r w:rsidRPr="00BE65E2">
              <w:rPr>
                <w:i/>
              </w:rPr>
              <w:t>0,35</w:t>
            </w:r>
          </w:p>
        </w:tc>
        <w:tc>
          <w:tcPr>
            <w:tcW w:w="393" w:type="pct"/>
            <w:shd w:val="clear" w:color="auto" w:fill="auto"/>
            <w:noWrap/>
          </w:tcPr>
          <w:p w14:paraId="00604CB8" w14:textId="77777777" w:rsidR="00EA69F4" w:rsidRPr="00BE65E2" w:rsidRDefault="00EA69F4" w:rsidP="00C1771D">
            <w:pPr>
              <w:pStyle w:val="af3"/>
              <w:spacing w:after="60"/>
              <w:rPr>
                <w:i/>
              </w:rPr>
            </w:pPr>
            <w:r w:rsidRPr="00BE65E2">
              <w:rPr>
                <w:i/>
              </w:rPr>
              <w:t>0,32</w:t>
            </w:r>
          </w:p>
        </w:tc>
        <w:tc>
          <w:tcPr>
            <w:tcW w:w="393" w:type="pct"/>
            <w:shd w:val="clear" w:color="auto" w:fill="auto"/>
            <w:noWrap/>
          </w:tcPr>
          <w:p w14:paraId="096BE1A6" w14:textId="77777777" w:rsidR="00EA69F4" w:rsidRPr="00BE65E2" w:rsidRDefault="00EA69F4" w:rsidP="00C1771D">
            <w:pPr>
              <w:pStyle w:val="af3"/>
              <w:spacing w:after="60"/>
              <w:rPr>
                <w:i/>
              </w:rPr>
            </w:pPr>
            <w:r w:rsidRPr="00BE65E2">
              <w:rPr>
                <w:i/>
              </w:rPr>
              <w:t>0,35</w:t>
            </w:r>
          </w:p>
        </w:tc>
        <w:tc>
          <w:tcPr>
            <w:tcW w:w="393" w:type="pct"/>
            <w:shd w:val="clear" w:color="auto" w:fill="auto"/>
            <w:noWrap/>
          </w:tcPr>
          <w:p w14:paraId="0ABC56A1" w14:textId="77777777" w:rsidR="00EA69F4" w:rsidRPr="00BE65E2" w:rsidRDefault="00EA69F4" w:rsidP="00C1771D">
            <w:pPr>
              <w:pStyle w:val="af3"/>
              <w:spacing w:after="60"/>
              <w:rPr>
                <w:i/>
              </w:rPr>
            </w:pPr>
            <w:r w:rsidRPr="00BE65E2">
              <w:rPr>
                <w:i/>
              </w:rPr>
              <w:t>0,46</w:t>
            </w:r>
          </w:p>
        </w:tc>
        <w:tc>
          <w:tcPr>
            <w:tcW w:w="393" w:type="pct"/>
            <w:shd w:val="clear" w:color="auto" w:fill="auto"/>
            <w:noWrap/>
          </w:tcPr>
          <w:p w14:paraId="76541E9D" w14:textId="77777777" w:rsidR="00EA69F4" w:rsidRPr="00BE65E2" w:rsidRDefault="00EA69F4" w:rsidP="00C1771D">
            <w:pPr>
              <w:pStyle w:val="af3"/>
              <w:spacing w:after="60"/>
              <w:rPr>
                <w:i/>
              </w:rPr>
            </w:pPr>
            <w:r w:rsidRPr="00BE65E2">
              <w:rPr>
                <w:i/>
              </w:rPr>
              <w:t>0,43</w:t>
            </w:r>
          </w:p>
        </w:tc>
        <w:tc>
          <w:tcPr>
            <w:tcW w:w="383" w:type="pct"/>
            <w:shd w:val="clear" w:color="auto" w:fill="auto"/>
            <w:noWrap/>
          </w:tcPr>
          <w:p w14:paraId="14277091" w14:textId="77777777" w:rsidR="00EA69F4" w:rsidRPr="00BE65E2" w:rsidRDefault="00EA69F4" w:rsidP="00C1771D">
            <w:pPr>
              <w:pStyle w:val="af3"/>
              <w:spacing w:after="60"/>
              <w:rPr>
                <w:i/>
              </w:rPr>
            </w:pPr>
            <w:r w:rsidRPr="00BE65E2">
              <w:rPr>
                <w:i/>
              </w:rPr>
              <w:t>0,41</w:t>
            </w:r>
          </w:p>
        </w:tc>
      </w:tr>
      <w:tr w:rsidR="00EA69F4" w:rsidRPr="00402377" w14:paraId="30270B65" w14:textId="77777777" w:rsidTr="00B94957">
        <w:tc>
          <w:tcPr>
            <w:tcW w:w="1473" w:type="pct"/>
            <w:shd w:val="clear" w:color="auto" w:fill="auto"/>
            <w:noWrap/>
            <w:vAlign w:val="center"/>
            <w:hideMark/>
          </w:tcPr>
          <w:p w14:paraId="136751A7" w14:textId="77777777" w:rsidR="00EA69F4" w:rsidRPr="00BE65E2" w:rsidRDefault="00EA69F4" w:rsidP="00C1771D">
            <w:pPr>
              <w:pStyle w:val="af2"/>
              <w:spacing w:after="60"/>
              <w:rPr>
                <w:i/>
              </w:rPr>
            </w:pPr>
            <w:r w:rsidRPr="00BE65E2">
              <w:rPr>
                <w:i/>
              </w:rPr>
              <w:t>Иные межбюджетные трансферты</w:t>
            </w:r>
          </w:p>
        </w:tc>
        <w:tc>
          <w:tcPr>
            <w:tcW w:w="393" w:type="pct"/>
            <w:shd w:val="clear" w:color="auto" w:fill="auto"/>
            <w:noWrap/>
          </w:tcPr>
          <w:p w14:paraId="7DB43A06" w14:textId="77777777" w:rsidR="00EA69F4" w:rsidRPr="00BE65E2" w:rsidRDefault="00EA69F4" w:rsidP="00C1771D">
            <w:pPr>
              <w:pStyle w:val="af3"/>
              <w:spacing w:after="60"/>
              <w:rPr>
                <w:i/>
              </w:rPr>
            </w:pPr>
            <w:r w:rsidRPr="00BE65E2">
              <w:rPr>
                <w:i/>
              </w:rPr>
              <w:t>0,14</w:t>
            </w:r>
          </w:p>
        </w:tc>
        <w:tc>
          <w:tcPr>
            <w:tcW w:w="393" w:type="pct"/>
            <w:shd w:val="clear" w:color="auto" w:fill="auto"/>
            <w:noWrap/>
          </w:tcPr>
          <w:p w14:paraId="0622E787" w14:textId="77777777" w:rsidR="00EA69F4" w:rsidRPr="00BE65E2" w:rsidRDefault="00EA69F4" w:rsidP="00C1771D">
            <w:pPr>
              <w:pStyle w:val="af3"/>
              <w:spacing w:after="60"/>
              <w:rPr>
                <w:i/>
              </w:rPr>
            </w:pPr>
            <w:r w:rsidRPr="00BE65E2">
              <w:rPr>
                <w:i/>
              </w:rPr>
              <w:t>0,26</w:t>
            </w:r>
          </w:p>
        </w:tc>
        <w:tc>
          <w:tcPr>
            <w:tcW w:w="393" w:type="pct"/>
            <w:shd w:val="clear" w:color="auto" w:fill="auto"/>
            <w:noWrap/>
          </w:tcPr>
          <w:p w14:paraId="0418D687" w14:textId="77777777" w:rsidR="00EA69F4" w:rsidRPr="00BE65E2" w:rsidRDefault="00EA69F4" w:rsidP="00C1771D">
            <w:pPr>
              <w:pStyle w:val="af3"/>
              <w:spacing w:after="60"/>
              <w:rPr>
                <w:i/>
              </w:rPr>
            </w:pPr>
            <w:r w:rsidRPr="00BE65E2">
              <w:rPr>
                <w:i/>
              </w:rPr>
              <w:t>0,26</w:t>
            </w:r>
          </w:p>
        </w:tc>
        <w:tc>
          <w:tcPr>
            <w:tcW w:w="393" w:type="pct"/>
            <w:shd w:val="clear" w:color="auto" w:fill="auto"/>
            <w:noWrap/>
          </w:tcPr>
          <w:p w14:paraId="47EA9A29" w14:textId="77777777" w:rsidR="00EA69F4" w:rsidRPr="00BE65E2" w:rsidRDefault="00EA69F4" w:rsidP="00C1771D">
            <w:pPr>
              <w:pStyle w:val="af3"/>
              <w:spacing w:after="60"/>
              <w:rPr>
                <w:i/>
              </w:rPr>
            </w:pPr>
            <w:r w:rsidRPr="00BE65E2">
              <w:rPr>
                <w:i/>
              </w:rPr>
              <w:t>0,20</w:t>
            </w:r>
          </w:p>
        </w:tc>
        <w:tc>
          <w:tcPr>
            <w:tcW w:w="393" w:type="pct"/>
            <w:shd w:val="clear" w:color="auto" w:fill="auto"/>
            <w:noWrap/>
          </w:tcPr>
          <w:p w14:paraId="0E28FBAD" w14:textId="77777777" w:rsidR="00EA69F4" w:rsidRPr="00BE65E2" w:rsidRDefault="00EA69F4" w:rsidP="00C1771D">
            <w:pPr>
              <w:pStyle w:val="af3"/>
              <w:spacing w:after="60"/>
              <w:rPr>
                <w:i/>
              </w:rPr>
            </w:pPr>
            <w:r w:rsidRPr="00BE65E2">
              <w:rPr>
                <w:i/>
              </w:rPr>
              <w:t>0,28</w:t>
            </w:r>
          </w:p>
        </w:tc>
        <w:tc>
          <w:tcPr>
            <w:tcW w:w="393" w:type="pct"/>
            <w:shd w:val="clear" w:color="auto" w:fill="auto"/>
            <w:noWrap/>
          </w:tcPr>
          <w:p w14:paraId="554BDB16" w14:textId="77777777" w:rsidR="00EA69F4" w:rsidRPr="00BE65E2" w:rsidRDefault="00EA69F4" w:rsidP="00C1771D">
            <w:pPr>
              <w:pStyle w:val="af3"/>
              <w:spacing w:after="60"/>
              <w:rPr>
                <w:i/>
              </w:rPr>
            </w:pPr>
            <w:r w:rsidRPr="00BE65E2">
              <w:rPr>
                <w:i/>
              </w:rPr>
              <w:t>0,41</w:t>
            </w:r>
          </w:p>
        </w:tc>
        <w:tc>
          <w:tcPr>
            <w:tcW w:w="393" w:type="pct"/>
            <w:shd w:val="clear" w:color="auto" w:fill="auto"/>
            <w:noWrap/>
          </w:tcPr>
          <w:p w14:paraId="5A20C085" w14:textId="77777777" w:rsidR="00EA69F4" w:rsidRPr="00BE65E2" w:rsidRDefault="00EA69F4" w:rsidP="00C1771D">
            <w:pPr>
              <w:pStyle w:val="af3"/>
              <w:spacing w:after="60"/>
              <w:rPr>
                <w:i/>
              </w:rPr>
            </w:pPr>
            <w:r w:rsidRPr="00BE65E2">
              <w:rPr>
                <w:i/>
              </w:rPr>
              <w:t>0,30</w:t>
            </w:r>
          </w:p>
        </w:tc>
        <w:tc>
          <w:tcPr>
            <w:tcW w:w="393" w:type="pct"/>
            <w:shd w:val="clear" w:color="auto" w:fill="auto"/>
            <w:noWrap/>
          </w:tcPr>
          <w:p w14:paraId="35868CE0" w14:textId="77777777" w:rsidR="00EA69F4" w:rsidRPr="00BE65E2" w:rsidRDefault="00EA69F4" w:rsidP="00C1771D">
            <w:pPr>
              <w:pStyle w:val="af3"/>
              <w:spacing w:after="60"/>
              <w:rPr>
                <w:i/>
              </w:rPr>
            </w:pPr>
            <w:r w:rsidRPr="00BE65E2">
              <w:rPr>
                <w:i/>
              </w:rPr>
              <w:t>0,33</w:t>
            </w:r>
          </w:p>
        </w:tc>
        <w:tc>
          <w:tcPr>
            <w:tcW w:w="383" w:type="pct"/>
            <w:shd w:val="clear" w:color="auto" w:fill="auto"/>
            <w:noWrap/>
          </w:tcPr>
          <w:p w14:paraId="05D7500F" w14:textId="77777777" w:rsidR="00EA69F4" w:rsidRPr="00BE65E2" w:rsidRDefault="00EA69F4" w:rsidP="00C1771D">
            <w:pPr>
              <w:pStyle w:val="af3"/>
              <w:spacing w:after="60"/>
              <w:rPr>
                <w:i/>
              </w:rPr>
            </w:pPr>
            <w:r w:rsidRPr="00BE65E2">
              <w:rPr>
                <w:i/>
              </w:rPr>
              <w:t>0,21</w:t>
            </w:r>
          </w:p>
        </w:tc>
      </w:tr>
      <w:tr w:rsidR="00EA69F4" w:rsidRPr="00402377" w14:paraId="29CDD861" w14:textId="77777777" w:rsidTr="00B94957">
        <w:tc>
          <w:tcPr>
            <w:tcW w:w="1473" w:type="pct"/>
            <w:shd w:val="clear" w:color="auto" w:fill="auto"/>
            <w:noWrap/>
            <w:vAlign w:val="center"/>
          </w:tcPr>
          <w:p w14:paraId="64ECE127" w14:textId="77777777" w:rsidR="00EA69F4" w:rsidRPr="00BE65E2" w:rsidRDefault="00EA69F4" w:rsidP="00C1771D">
            <w:pPr>
              <w:pStyle w:val="af2"/>
              <w:spacing w:after="60"/>
              <w:rPr>
                <w:b/>
              </w:rPr>
            </w:pPr>
            <w:r w:rsidRPr="00BE65E2">
              <w:rPr>
                <w:b/>
              </w:rPr>
              <w:t>ВСЕГО без субвенций</w:t>
            </w:r>
          </w:p>
        </w:tc>
        <w:tc>
          <w:tcPr>
            <w:tcW w:w="393" w:type="pct"/>
            <w:shd w:val="clear" w:color="auto" w:fill="auto"/>
            <w:noWrap/>
          </w:tcPr>
          <w:p w14:paraId="6E868F99" w14:textId="77777777" w:rsidR="00EA69F4" w:rsidRPr="00BE65E2" w:rsidRDefault="00EA69F4" w:rsidP="00C1771D">
            <w:pPr>
              <w:pStyle w:val="af3"/>
              <w:spacing w:after="60"/>
              <w:rPr>
                <w:b/>
              </w:rPr>
            </w:pPr>
            <w:r w:rsidRPr="00BE65E2">
              <w:rPr>
                <w:b/>
              </w:rPr>
              <w:t>1,64</w:t>
            </w:r>
          </w:p>
        </w:tc>
        <w:tc>
          <w:tcPr>
            <w:tcW w:w="393" w:type="pct"/>
            <w:shd w:val="clear" w:color="auto" w:fill="auto"/>
            <w:noWrap/>
          </w:tcPr>
          <w:p w14:paraId="3B3FD924" w14:textId="77777777" w:rsidR="00EA69F4" w:rsidRPr="00BE65E2" w:rsidRDefault="00EA69F4" w:rsidP="00C1771D">
            <w:pPr>
              <w:pStyle w:val="af3"/>
              <w:spacing w:after="60"/>
              <w:rPr>
                <w:b/>
              </w:rPr>
            </w:pPr>
            <w:r w:rsidRPr="00BE65E2">
              <w:rPr>
                <w:b/>
              </w:rPr>
              <w:t>1,52</w:t>
            </w:r>
          </w:p>
        </w:tc>
        <w:tc>
          <w:tcPr>
            <w:tcW w:w="393" w:type="pct"/>
            <w:shd w:val="clear" w:color="auto" w:fill="auto"/>
            <w:noWrap/>
          </w:tcPr>
          <w:p w14:paraId="1B7A1DF6" w14:textId="77777777" w:rsidR="00EA69F4" w:rsidRPr="00BE65E2" w:rsidRDefault="00EA69F4" w:rsidP="00C1771D">
            <w:pPr>
              <w:pStyle w:val="af3"/>
              <w:spacing w:after="60"/>
              <w:rPr>
                <w:b/>
              </w:rPr>
            </w:pPr>
            <w:r w:rsidRPr="00BE65E2">
              <w:rPr>
                <w:b/>
              </w:rPr>
              <w:t>1,43</w:t>
            </w:r>
          </w:p>
        </w:tc>
        <w:tc>
          <w:tcPr>
            <w:tcW w:w="393" w:type="pct"/>
            <w:shd w:val="clear" w:color="auto" w:fill="auto"/>
            <w:noWrap/>
          </w:tcPr>
          <w:p w14:paraId="36DC1EB7" w14:textId="77777777" w:rsidR="00EA69F4" w:rsidRPr="00BE65E2" w:rsidRDefault="00EA69F4" w:rsidP="00C1771D">
            <w:pPr>
              <w:pStyle w:val="af3"/>
              <w:spacing w:after="60"/>
              <w:rPr>
                <w:b/>
              </w:rPr>
            </w:pPr>
            <w:r w:rsidRPr="00BE65E2">
              <w:rPr>
                <w:b/>
              </w:rPr>
              <w:t>1,48</w:t>
            </w:r>
          </w:p>
        </w:tc>
        <w:tc>
          <w:tcPr>
            <w:tcW w:w="393" w:type="pct"/>
            <w:shd w:val="clear" w:color="auto" w:fill="auto"/>
            <w:noWrap/>
          </w:tcPr>
          <w:p w14:paraId="35931CBC" w14:textId="77777777" w:rsidR="00EA69F4" w:rsidRPr="00BE65E2" w:rsidRDefault="00EA69F4" w:rsidP="00C1771D">
            <w:pPr>
              <w:pStyle w:val="af3"/>
              <w:spacing w:after="60"/>
              <w:rPr>
                <w:b/>
              </w:rPr>
            </w:pPr>
            <w:r w:rsidRPr="00BE65E2">
              <w:rPr>
                <w:b/>
              </w:rPr>
              <w:t>1,65</w:t>
            </w:r>
          </w:p>
        </w:tc>
        <w:tc>
          <w:tcPr>
            <w:tcW w:w="393" w:type="pct"/>
            <w:shd w:val="clear" w:color="auto" w:fill="auto"/>
            <w:noWrap/>
          </w:tcPr>
          <w:p w14:paraId="67C2325C" w14:textId="77777777" w:rsidR="00EA69F4" w:rsidRPr="00BE65E2" w:rsidRDefault="00EA69F4" w:rsidP="00C1771D">
            <w:pPr>
              <w:pStyle w:val="af3"/>
              <w:spacing w:after="60"/>
              <w:rPr>
                <w:b/>
              </w:rPr>
            </w:pPr>
            <w:r w:rsidRPr="00BE65E2">
              <w:rPr>
                <w:b/>
              </w:rPr>
              <w:t>1,86</w:t>
            </w:r>
          </w:p>
        </w:tc>
        <w:tc>
          <w:tcPr>
            <w:tcW w:w="393" w:type="pct"/>
            <w:shd w:val="clear" w:color="auto" w:fill="auto"/>
            <w:noWrap/>
          </w:tcPr>
          <w:p w14:paraId="2012DA00" w14:textId="77777777" w:rsidR="00EA69F4" w:rsidRPr="00BE65E2" w:rsidRDefault="00EA69F4" w:rsidP="00C1771D">
            <w:pPr>
              <w:pStyle w:val="af3"/>
              <w:spacing w:after="60"/>
              <w:rPr>
                <w:b/>
              </w:rPr>
            </w:pPr>
            <w:r w:rsidRPr="00BE65E2">
              <w:rPr>
                <w:b/>
              </w:rPr>
              <w:t>1,81</w:t>
            </w:r>
          </w:p>
        </w:tc>
        <w:tc>
          <w:tcPr>
            <w:tcW w:w="393" w:type="pct"/>
            <w:shd w:val="clear" w:color="auto" w:fill="auto"/>
            <w:noWrap/>
          </w:tcPr>
          <w:p w14:paraId="0E41FF08" w14:textId="77777777" w:rsidR="00EA69F4" w:rsidRPr="00BE65E2" w:rsidRDefault="00EA69F4" w:rsidP="00C1771D">
            <w:pPr>
              <w:pStyle w:val="af3"/>
              <w:spacing w:after="60"/>
              <w:rPr>
                <w:b/>
              </w:rPr>
            </w:pPr>
            <w:r w:rsidRPr="00BE65E2">
              <w:rPr>
                <w:b/>
              </w:rPr>
              <w:t>1,70</w:t>
            </w:r>
          </w:p>
        </w:tc>
        <w:tc>
          <w:tcPr>
            <w:tcW w:w="383" w:type="pct"/>
            <w:shd w:val="clear" w:color="auto" w:fill="auto"/>
            <w:noWrap/>
          </w:tcPr>
          <w:p w14:paraId="14E17EE5" w14:textId="77777777" w:rsidR="00EA69F4" w:rsidRPr="00BE65E2" w:rsidRDefault="00EA69F4" w:rsidP="00C1771D">
            <w:pPr>
              <w:pStyle w:val="af3"/>
              <w:spacing w:after="60"/>
              <w:rPr>
                <w:b/>
              </w:rPr>
            </w:pPr>
            <w:r w:rsidRPr="00BE65E2">
              <w:rPr>
                <w:b/>
              </w:rPr>
              <w:t>1,52</w:t>
            </w:r>
          </w:p>
        </w:tc>
      </w:tr>
      <w:tr w:rsidR="00EA69F4" w:rsidRPr="008E6B24" w14:paraId="77F39E20" w14:textId="77777777" w:rsidTr="00B94957">
        <w:tc>
          <w:tcPr>
            <w:tcW w:w="5000" w:type="pct"/>
            <w:gridSpan w:val="10"/>
            <w:shd w:val="clear" w:color="auto" w:fill="auto"/>
            <w:noWrap/>
            <w:vAlign w:val="center"/>
            <w:hideMark/>
          </w:tcPr>
          <w:p w14:paraId="58F2DC20" w14:textId="77777777" w:rsidR="00EA69F4" w:rsidRPr="008E6B24" w:rsidRDefault="00EA69F4" w:rsidP="00C1771D">
            <w:pPr>
              <w:pStyle w:val="af3"/>
              <w:spacing w:after="60"/>
              <w:rPr>
                <w:b/>
              </w:rPr>
            </w:pPr>
            <w:r w:rsidRPr="008E6B24">
              <w:rPr>
                <w:b/>
              </w:rPr>
              <w:t xml:space="preserve">% </w:t>
            </w:r>
            <w:r>
              <w:rPr>
                <w:b/>
              </w:rPr>
              <w:t xml:space="preserve">от </w:t>
            </w:r>
            <w:r w:rsidRPr="008E6B24">
              <w:rPr>
                <w:b/>
              </w:rPr>
              <w:t>общего объема расходов федерального бюджета</w:t>
            </w:r>
          </w:p>
        </w:tc>
      </w:tr>
      <w:tr w:rsidR="00EA69F4" w:rsidRPr="00402377" w14:paraId="5BA05199" w14:textId="77777777" w:rsidTr="00B94957">
        <w:tc>
          <w:tcPr>
            <w:tcW w:w="1473" w:type="pct"/>
            <w:shd w:val="clear" w:color="auto" w:fill="auto"/>
            <w:noWrap/>
            <w:vAlign w:val="center"/>
            <w:hideMark/>
          </w:tcPr>
          <w:p w14:paraId="58061E0C" w14:textId="77777777" w:rsidR="00EA69F4" w:rsidRPr="00BE65E2" w:rsidRDefault="00EA69F4" w:rsidP="00C1771D">
            <w:pPr>
              <w:pStyle w:val="af2"/>
              <w:spacing w:after="60"/>
              <w:rPr>
                <w:b/>
              </w:rPr>
            </w:pPr>
            <w:r w:rsidRPr="00BE65E2">
              <w:rPr>
                <w:b/>
              </w:rPr>
              <w:t>ВСЕГО</w:t>
            </w:r>
          </w:p>
        </w:tc>
        <w:tc>
          <w:tcPr>
            <w:tcW w:w="393" w:type="pct"/>
            <w:shd w:val="clear" w:color="auto" w:fill="auto"/>
            <w:noWrap/>
          </w:tcPr>
          <w:p w14:paraId="7DBB85E7" w14:textId="77777777" w:rsidR="00EA69F4" w:rsidRPr="00BE65E2" w:rsidRDefault="00EA69F4" w:rsidP="00C1771D">
            <w:pPr>
              <w:pStyle w:val="af3"/>
              <w:spacing w:after="60"/>
              <w:rPr>
                <w:b/>
              </w:rPr>
            </w:pPr>
            <w:r w:rsidRPr="00BE65E2">
              <w:rPr>
                <w:b/>
              </w:rPr>
              <w:t>10,8</w:t>
            </w:r>
          </w:p>
        </w:tc>
        <w:tc>
          <w:tcPr>
            <w:tcW w:w="393" w:type="pct"/>
            <w:shd w:val="clear" w:color="auto" w:fill="auto"/>
            <w:noWrap/>
          </w:tcPr>
          <w:p w14:paraId="1E0CDD11" w14:textId="77777777" w:rsidR="00EA69F4" w:rsidRPr="00BE65E2" w:rsidRDefault="00EA69F4" w:rsidP="00C1771D">
            <w:pPr>
              <w:pStyle w:val="af3"/>
              <w:spacing w:after="60"/>
              <w:rPr>
                <w:b/>
              </w:rPr>
            </w:pPr>
            <w:r w:rsidRPr="00BE65E2">
              <w:rPr>
                <w:b/>
              </w:rPr>
              <w:t>10,3</w:t>
            </w:r>
          </w:p>
        </w:tc>
        <w:tc>
          <w:tcPr>
            <w:tcW w:w="393" w:type="pct"/>
            <w:shd w:val="clear" w:color="auto" w:fill="auto"/>
            <w:noWrap/>
          </w:tcPr>
          <w:p w14:paraId="6E898940" w14:textId="77777777" w:rsidR="00EA69F4" w:rsidRPr="00BE65E2" w:rsidRDefault="00EA69F4" w:rsidP="00C1771D">
            <w:pPr>
              <w:pStyle w:val="af3"/>
              <w:spacing w:after="60"/>
              <w:rPr>
                <w:b/>
              </w:rPr>
            </w:pPr>
            <w:r w:rsidRPr="00BE65E2">
              <w:rPr>
                <w:b/>
              </w:rPr>
              <w:t>9,5</w:t>
            </w:r>
          </w:p>
        </w:tc>
        <w:tc>
          <w:tcPr>
            <w:tcW w:w="393" w:type="pct"/>
            <w:shd w:val="clear" w:color="auto" w:fill="auto"/>
            <w:noWrap/>
          </w:tcPr>
          <w:p w14:paraId="2D633F4F" w14:textId="77777777" w:rsidR="00EA69F4" w:rsidRPr="00BE65E2" w:rsidRDefault="00EA69F4" w:rsidP="00C1771D">
            <w:pPr>
              <w:pStyle w:val="af3"/>
              <w:spacing w:after="60"/>
              <w:rPr>
                <w:b/>
              </w:rPr>
            </w:pPr>
            <w:r w:rsidRPr="00BE65E2">
              <w:rPr>
                <w:b/>
              </w:rPr>
              <w:t>10,3</w:t>
            </w:r>
          </w:p>
        </w:tc>
        <w:tc>
          <w:tcPr>
            <w:tcW w:w="393" w:type="pct"/>
            <w:shd w:val="clear" w:color="auto" w:fill="auto"/>
            <w:noWrap/>
          </w:tcPr>
          <w:p w14:paraId="53807245" w14:textId="77777777" w:rsidR="00EA69F4" w:rsidRPr="00BE65E2" w:rsidRDefault="00EA69F4" w:rsidP="00C1771D">
            <w:pPr>
              <w:pStyle w:val="af3"/>
              <w:spacing w:after="60"/>
              <w:rPr>
                <w:b/>
              </w:rPr>
            </w:pPr>
            <w:r w:rsidRPr="00BE65E2">
              <w:rPr>
                <w:b/>
              </w:rPr>
              <w:t>12,2</w:t>
            </w:r>
          </w:p>
        </w:tc>
        <w:tc>
          <w:tcPr>
            <w:tcW w:w="393" w:type="pct"/>
            <w:shd w:val="clear" w:color="auto" w:fill="auto"/>
            <w:noWrap/>
          </w:tcPr>
          <w:p w14:paraId="01ACA03B" w14:textId="77777777" w:rsidR="00EA69F4" w:rsidRPr="00BE65E2" w:rsidRDefault="00EA69F4" w:rsidP="00C1771D">
            <w:pPr>
              <w:pStyle w:val="af3"/>
              <w:spacing w:after="60"/>
              <w:rPr>
                <w:b/>
              </w:rPr>
            </w:pPr>
            <w:r w:rsidRPr="00BE65E2">
              <w:rPr>
                <w:b/>
              </w:rPr>
              <w:t>13,1</w:t>
            </w:r>
          </w:p>
        </w:tc>
        <w:tc>
          <w:tcPr>
            <w:tcW w:w="393" w:type="pct"/>
            <w:shd w:val="clear" w:color="auto" w:fill="auto"/>
            <w:noWrap/>
          </w:tcPr>
          <w:p w14:paraId="568B9EC5" w14:textId="77777777" w:rsidR="00EA69F4" w:rsidRPr="00BE65E2" w:rsidRDefault="00EA69F4" w:rsidP="00C1771D">
            <w:pPr>
              <w:pStyle w:val="af3"/>
              <w:spacing w:after="60"/>
              <w:rPr>
                <w:b/>
              </w:rPr>
            </w:pPr>
            <w:r w:rsidRPr="00BE65E2">
              <w:rPr>
                <w:b/>
              </w:rPr>
              <w:t>13,1</w:t>
            </w:r>
          </w:p>
        </w:tc>
        <w:tc>
          <w:tcPr>
            <w:tcW w:w="393" w:type="pct"/>
            <w:shd w:val="clear" w:color="auto" w:fill="auto"/>
            <w:noWrap/>
          </w:tcPr>
          <w:p w14:paraId="4556D345" w14:textId="77777777" w:rsidR="00EA69F4" w:rsidRPr="00BE65E2" w:rsidRDefault="00EA69F4" w:rsidP="00C1771D">
            <w:pPr>
              <w:pStyle w:val="af3"/>
              <w:spacing w:after="60"/>
              <w:rPr>
                <w:b/>
              </w:rPr>
            </w:pPr>
            <w:r w:rsidRPr="00BE65E2">
              <w:rPr>
                <w:b/>
              </w:rPr>
              <w:t>12,4</w:t>
            </w:r>
          </w:p>
        </w:tc>
        <w:tc>
          <w:tcPr>
            <w:tcW w:w="383" w:type="pct"/>
            <w:shd w:val="clear" w:color="auto" w:fill="auto"/>
            <w:noWrap/>
          </w:tcPr>
          <w:p w14:paraId="2EF3D788" w14:textId="77777777" w:rsidR="00EA69F4" w:rsidRPr="00BE65E2" w:rsidRDefault="00EA69F4" w:rsidP="00C1771D">
            <w:pPr>
              <w:pStyle w:val="af3"/>
              <w:spacing w:after="60"/>
              <w:rPr>
                <w:b/>
              </w:rPr>
            </w:pPr>
            <w:r w:rsidRPr="00BE65E2">
              <w:rPr>
                <w:b/>
              </w:rPr>
              <w:t>11,4</w:t>
            </w:r>
          </w:p>
        </w:tc>
      </w:tr>
      <w:tr w:rsidR="00EA69F4" w:rsidRPr="00402377" w14:paraId="32CED5C9" w14:textId="77777777" w:rsidTr="00B94957">
        <w:tc>
          <w:tcPr>
            <w:tcW w:w="1473" w:type="pct"/>
            <w:shd w:val="clear" w:color="auto" w:fill="auto"/>
            <w:noWrap/>
            <w:vAlign w:val="center"/>
            <w:hideMark/>
          </w:tcPr>
          <w:p w14:paraId="30674894" w14:textId="77777777" w:rsidR="00EA69F4" w:rsidRPr="00BE65E2" w:rsidRDefault="00EA69F4" w:rsidP="00C1771D">
            <w:pPr>
              <w:pStyle w:val="af2"/>
              <w:spacing w:after="60"/>
              <w:rPr>
                <w:i/>
              </w:rPr>
            </w:pPr>
            <w:r w:rsidRPr="00BE65E2">
              <w:rPr>
                <w:i/>
              </w:rPr>
              <w:t>Дотации, в т.ч.:</w:t>
            </w:r>
          </w:p>
        </w:tc>
        <w:tc>
          <w:tcPr>
            <w:tcW w:w="393" w:type="pct"/>
            <w:shd w:val="clear" w:color="auto" w:fill="auto"/>
            <w:noWrap/>
          </w:tcPr>
          <w:p w14:paraId="0558221F" w14:textId="77777777" w:rsidR="00EA69F4" w:rsidRPr="00BE65E2" w:rsidRDefault="00EA69F4" w:rsidP="00C1771D">
            <w:pPr>
              <w:pStyle w:val="af3"/>
              <w:spacing w:after="60"/>
              <w:rPr>
                <w:i/>
              </w:rPr>
            </w:pPr>
            <w:r w:rsidRPr="00BE65E2">
              <w:rPr>
                <w:i/>
              </w:rPr>
              <w:t>5,2</w:t>
            </w:r>
          </w:p>
        </w:tc>
        <w:tc>
          <w:tcPr>
            <w:tcW w:w="393" w:type="pct"/>
            <w:shd w:val="clear" w:color="auto" w:fill="auto"/>
            <w:noWrap/>
          </w:tcPr>
          <w:p w14:paraId="2121B643" w14:textId="77777777" w:rsidR="00EA69F4" w:rsidRPr="00BE65E2" w:rsidRDefault="00EA69F4" w:rsidP="00C1771D">
            <w:pPr>
              <w:pStyle w:val="af3"/>
              <w:spacing w:after="60"/>
              <w:rPr>
                <w:i/>
              </w:rPr>
            </w:pPr>
            <w:r w:rsidRPr="00BE65E2">
              <w:rPr>
                <w:i/>
              </w:rPr>
              <w:t>4,2</w:t>
            </w:r>
          </w:p>
        </w:tc>
        <w:tc>
          <w:tcPr>
            <w:tcW w:w="393" w:type="pct"/>
            <w:shd w:val="clear" w:color="auto" w:fill="auto"/>
            <w:noWrap/>
          </w:tcPr>
          <w:p w14:paraId="2559E841" w14:textId="77777777" w:rsidR="00EA69F4" w:rsidRPr="00BE65E2" w:rsidRDefault="00EA69F4" w:rsidP="00C1771D">
            <w:pPr>
              <w:pStyle w:val="af3"/>
              <w:spacing w:after="60"/>
              <w:rPr>
                <w:i/>
              </w:rPr>
            </w:pPr>
            <w:r w:rsidRPr="00BE65E2">
              <w:rPr>
                <w:i/>
              </w:rPr>
              <w:t>4,0</w:t>
            </w:r>
          </w:p>
        </w:tc>
        <w:tc>
          <w:tcPr>
            <w:tcW w:w="393" w:type="pct"/>
            <w:shd w:val="clear" w:color="auto" w:fill="auto"/>
            <w:noWrap/>
          </w:tcPr>
          <w:p w14:paraId="052FDD22" w14:textId="77777777" w:rsidR="00EA69F4" w:rsidRPr="00BE65E2" w:rsidRDefault="00EA69F4" w:rsidP="00C1771D">
            <w:pPr>
              <w:pStyle w:val="af3"/>
              <w:spacing w:after="60"/>
              <w:rPr>
                <w:i/>
              </w:rPr>
            </w:pPr>
            <w:r w:rsidRPr="00BE65E2">
              <w:rPr>
                <w:i/>
              </w:rPr>
              <w:t>4,6</w:t>
            </w:r>
          </w:p>
        </w:tc>
        <w:tc>
          <w:tcPr>
            <w:tcW w:w="393" w:type="pct"/>
            <w:shd w:val="clear" w:color="auto" w:fill="auto"/>
            <w:noWrap/>
          </w:tcPr>
          <w:p w14:paraId="18431AD3" w14:textId="77777777" w:rsidR="00EA69F4" w:rsidRPr="00BE65E2" w:rsidRDefault="00EA69F4" w:rsidP="00C1771D">
            <w:pPr>
              <w:pStyle w:val="af3"/>
              <w:spacing w:after="60"/>
              <w:rPr>
                <w:i/>
              </w:rPr>
            </w:pPr>
            <w:r w:rsidRPr="00BE65E2">
              <w:rPr>
                <w:i/>
              </w:rPr>
              <w:t>6,2</w:t>
            </w:r>
          </w:p>
        </w:tc>
        <w:tc>
          <w:tcPr>
            <w:tcW w:w="393" w:type="pct"/>
            <w:shd w:val="clear" w:color="auto" w:fill="auto"/>
            <w:noWrap/>
          </w:tcPr>
          <w:p w14:paraId="6168D057" w14:textId="77777777" w:rsidR="00EA69F4" w:rsidRPr="00BE65E2" w:rsidRDefault="00EA69F4" w:rsidP="00C1771D">
            <w:pPr>
              <w:pStyle w:val="af3"/>
              <w:spacing w:after="60"/>
              <w:rPr>
                <w:i/>
              </w:rPr>
            </w:pPr>
            <w:r w:rsidRPr="00BE65E2">
              <w:rPr>
                <w:i/>
              </w:rPr>
              <w:t>5,2</w:t>
            </w:r>
          </w:p>
        </w:tc>
        <w:tc>
          <w:tcPr>
            <w:tcW w:w="393" w:type="pct"/>
            <w:shd w:val="clear" w:color="auto" w:fill="auto"/>
            <w:noWrap/>
          </w:tcPr>
          <w:p w14:paraId="0D0D8295" w14:textId="77777777" w:rsidR="00EA69F4" w:rsidRPr="00BE65E2" w:rsidRDefault="00EA69F4" w:rsidP="00C1771D">
            <w:pPr>
              <w:pStyle w:val="af3"/>
              <w:spacing w:after="60"/>
              <w:rPr>
                <w:i/>
              </w:rPr>
            </w:pPr>
            <w:r w:rsidRPr="00BE65E2">
              <w:rPr>
                <w:i/>
              </w:rPr>
              <w:t>4,8</w:t>
            </w:r>
          </w:p>
        </w:tc>
        <w:tc>
          <w:tcPr>
            <w:tcW w:w="393" w:type="pct"/>
            <w:shd w:val="clear" w:color="auto" w:fill="auto"/>
            <w:noWrap/>
          </w:tcPr>
          <w:p w14:paraId="5A5753F6" w14:textId="77777777" w:rsidR="00EA69F4" w:rsidRPr="00BE65E2" w:rsidRDefault="00EA69F4" w:rsidP="00C1771D">
            <w:pPr>
              <w:pStyle w:val="af3"/>
              <w:spacing w:after="60"/>
              <w:rPr>
                <w:i/>
              </w:rPr>
            </w:pPr>
            <w:r w:rsidRPr="00BE65E2">
              <w:rPr>
                <w:i/>
              </w:rPr>
              <w:t>4,6</w:t>
            </w:r>
          </w:p>
        </w:tc>
        <w:tc>
          <w:tcPr>
            <w:tcW w:w="383" w:type="pct"/>
            <w:shd w:val="clear" w:color="auto" w:fill="auto"/>
            <w:noWrap/>
          </w:tcPr>
          <w:p w14:paraId="633CE94B" w14:textId="77777777" w:rsidR="00EA69F4" w:rsidRPr="00BE65E2" w:rsidRDefault="00EA69F4" w:rsidP="00C1771D">
            <w:pPr>
              <w:pStyle w:val="af3"/>
              <w:spacing w:after="60"/>
              <w:rPr>
                <w:i/>
              </w:rPr>
            </w:pPr>
            <w:r w:rsidRPr="00BE65E2">
              <w:rPr>
                <w:i/>
              </w:rPr>
              <w:t>4,4</w:t>
            </w:r>
          </w:p>
        </w:tc>
      </w:tr>
      <w:tr w:rsidR="00EA69F4" w:rsidRPr="008E6B24" w14:paraId="1846E324" w14:textId="77777777" w:rsidTr="00B94957">
        <w:tc>
          <w:tcPr>
            <w:tcW w:w="1473" w:type="pct"/>
            <w:shd w:val="clear" w:color="auto" w:fill="auto"/>
            <w:noWrap/>
            <w:vAlign w:val="center"/>
            <w:hideMark/>
          </w:tcPr>
          <w:p w14:paraId="43EC5D4E" w14:textId="77777777" w:rsidR="00EA69F4" w:rsidRPr="008E6B24" w:rsidRDefault="00EA69F4" w:rsidP="00C1771D">
            <w:pPr>
              <w:pStyle w:val="af2"/>
              <w:spacing w:after="60"/>
              <w:ind w:left="171"/>
            </w:pPr>
            <w:r w:rsidRPr="008E6B24">
              <w:t>на выравнивание бюджетной обеспеченности</w:t>
            </w:r>
          </w:p>
        </w:tc>
        <w:tc>
          <w:tcPr>
            <w:tcW w:w="393" w:type="pct"/>
            <w:shd w:val="clear" w:color="auto" w:fill="auto"/>
            <w:noWrap/>
          </w:tcPr>
          <w:p w14:paraId="5DC458A5" w14:textId="77777777" w:rsidR="00EA69F4" w:rsidRPr="006D5E7C" w:rsidRDefault="00EA69F4" w:rsidP="00C1771D">
            <w:pPr>
              <w:pStyle w:val="af3"/>
              <w:spacing w:after="60"/>
            </w:pPr>
            <w:r w:rsidRPr="004B2208">
              <w:t>3,0</w:t>
            </w:r>
          </w:p>
        </w:tc>
        <w:tc>
          <w:tcPr>
            <w:tcW w:w="393" w:type="pct"/>
            <w:shd w:val="clear" w:color="auto" w:fill="auto"/>
            <w:noWrap/>
          </w:tcPr>
          <w:p w14:paraId="50898D94" w14:textId="77777777" w:rsidR="00EA69F4" w:rsidRPr="006D5E7C" w:rsidRDefault="00EA69F4" w:rsidP="00C1771D">
            <w:pPr>
              <w:pStyle w:val="af3"/>
              <w:spacing w:after="60"/>
            </w:pPr>
            <w:r w:rsidRPr="004B2208">
              <w:t>3,1</w:t>
            </w:r>
          </w:p>
        </w:tc>
        <w:tc>
          <w:tcPr>
            <w:tcW w:w="393" w:type="pct"/>
            <w:shd w:val="clear" w:color="auto" w:fill="auto"/>
            <w:noWrap/>
          </w:tcPr>
          <w:p w14:paraId="48094639" w14:textId="77777777" w:rsidR="00EA69F4" w:rsidRPr="006D5E7C" w:rsidRDefault="00EA69F4" w:rsidP="00C1771D">
            <w:pPr>
              <w:pStyle w:val="af3"/>
              <w:spacing w:after="60"/>
            </w:pPr>
            <w:r w:rsidRPr="004B2208">
              <w:t>3,1</w:t>
            </w:r>
          </w:p>
        </w:tc>
        <w:tc>
          <w:tcPr>
            <w:tcW w:w="393" w:type="pct"/>
            <w:shd w:val="clear" w:color="auto" w:fill="auto"/>
            <w:noWrap/>
          </w:tcPr>
          <w:p w14:paraId="26D7E248" w14:textId="77777777" w:rsidR="00EA69F4" w:rsidRPr="006D5E7C" w:rsidRDefault="00EA69F4" w:rsidP="00C1771D">
            <w:pPr>
              <w:pStyle w:val="af3"/>
              <w:spacing w:after="60"/>
            </w:pPr>
            <w:r w:rsidRPr="004B2208">
              <w:t>3,7</w:t>
            </w:r>
          </w:p>
        </w:tc>
        <w:tc>
          <w:tcPr>
            <w:tcW w:w="393" w:type="pct"/>
            <w:shd w:val="clear" w:color="auto" w:fill="auto"/>
            <w:noWrap/>
          </w:tcPr>
          <w:p w14:paraId="4310BB5F" w14:textId="77777777" w:rsidR="00EA69F4" w:rsidRPr="006D5E7C" w:rsidRDefault="00EA69F4" w:rsidP="00C1771D">
            <w:pPr>
              <w:pStyle w:val="af3"/>
              <w:spacing w:after="60"/>
            </w:pPr>
            <w:r w:rsidRPr="004B2208">
              <w:t>3,9</w:t>
            </w:r>
          </w:p>
        </w:tc>
        <w:tc>
          <w:tcPr>
            <w:tcW w:w="393" w:type="pct"/>
            <w:shd w:val="clear" w:color="auto" w:fill="auto"/>
            <w:noWrap/>
          </w:tcPr>
          <w:p w14:paraId="73F115D5" w14:textId="77777777" w:rsidR="00EA69F4" w:rsidRPr="006D5E7C" w:rsidRDefault="00EA69F4" w:rsidP="00C1771D">
            <w:pPr>
              <w:pStyle w:val="af3"/>
              <w:spacing w:after="60"/>
            </w:pPr>
            <w:r w:rsidRPr="004B2208">
              <w:t>3,7</w:t>
            </w:r>
          </w:p>
        </w:tc>
        <w:tc>
          <w:tcPr>
            <w:tcW w:w="393" w:type="pct"/>
            <w:shd w:val="clear" w:color="auto" w:fill="auto"/>
            <w:noWrap/>
          </w:tcPr>
          <w:p w14:paraId="02DF82EB" w14:textId="77777777" w:rsidR="00EA69F4" w:rsidRPr="006D5E7C" w:rsidRDefault="00EA69F4" w:rsidP="00C1771D">
            <w:pPr>
              <w:pStyle w:val="af3"/>
              <w:spacing w:after="60"/>
            </w:pPr>
            <w:r w:rsidRPr="004B2208">
              <w:t>3,7</w:t>
            </w:r>
          </w:p>
        </w:tc>
        <w:tc>
          <w:tcPr>
            <w:tcW w:w="393" w:type="pct"/>
            <w:shd w:val="clear" w:color="auto" w:fill="auto"/>
            <w:noWrap/>
          </w:tcPr>
          <w:p w14:paraId="53AE32A2" w14:textId="77777777" w:rsidR="00EA69F4" w:rsidRPr="006D5E7C" w:rsidRDefault="00EA69F4" w:rsidP="00C1771D">
            <w:pPr>
              <w:pStyle w:val="af3"/>
              <w:spacing w:after="60"/>
            </w:pPr>
            <w:r w:rsidRPr="004B2208">
              <w:t>3,5</w:t>
            </w:r>
          </w:p>
        </w:tc>
        <w:tc>
          <w:tcPr>
            <w:tcW w:w="383" w:type="pct"/>
            <w:shd w:val="clear" w:color="auto" w:fill="auto"/>
            <w:noWrap/>
          </w:tcPr>
          <w:p w14:paraId="5CD952B5" w14:textId="77777777" w:rsidR="00EA69F4" w:rsidRPr="006D5E7C" w:rsidRDefault="00EA69F4" w:rsidP="00C1771D">
            <w:pPr>
              <w:pStyle w:val="af3"/>
              <w:spacing w:after="60"/>
            </w:pPr>
            <w:r w:rsidRPr="004B2208">
              <w:t>3,4</w:t>
            </w:r>
          </w:p>
        </w:tc>
      </w:tr>
      <w:tr w:rsidR="00EA69F4" w:rsidRPr="008E6B24" w14:paraId="4ECC866E" w14:textId="77777777" w:rsidTr="00B94957">
        <w:tc>
          <w:tcPr>
            <w:tcW w:w="1473" w:type="pct"/>
            <w:shd w:val="clear" w:color="auto" w:fill="auto"/>
            <w:noWrap/>
            <w:vAlign w:val="center"/>
            <w:hideMark/>
          </w:tcPr>
          <w:p w14:paraId="72849971" w14:textId="77777777" w:rsidR="00EA69F4" w:rsidRPr="008E6B24" w:rsidRDefault="00EA69F4" w:rsidP="00C1771D">
            <w:pPr>
              <w:pStyle w:val="af2"/>
              <w:spacing w:after="60"/>
              <w:ind w:left="171"/>
            </w:pPr>
            <w:r w:rsidRPr="008E6B24">
              <w:t>на обеспечение сбалансированности бюджетов</w:t>
            </w:r>
          </w:p>
        </w:tc>
        <w:tc>
          <w:tcPr>
            <w:tcW w:w="393" w:type="pct"/>
            <w:shd w:val="clear" w:color="auto" w:fill="auto"/>
            <w:noWrap/>
          </w:tcPr>
          <w:p w14:paraId="63FF7B2F" w14:textId="77777777" w:rsidR="00EA69F4" w:rsidRPr="006D5E7C" w:rsidRDefault="00EA69F4" w:rsidP="00C1771D">
            <w:pPr>
              <w:pStyle w:val="af3"/>
              <w:spacing w:after="60"/>
            </w:pPr>
            <w:r w:rsidRPr="004B2208">
              <w:t>2,2</w:t>
            </w:r>
          </w:p>
        </w:tc>
        <w:tc>
          <w:tcPr>
            <w:tcW w:w="393" w:type="pct"/>
            <w:shd w:val="clear" w:color="auto" w:fill="auto"/>
            <w:noWrap/>
          </w:tcPr>
          <w:p w14:paraId="5B25B315" w14:textId="77777777" w:rsidR="00EA69F4" w:rsidRPr="006D5E7C" w:rsidRDefault="00EA69F4" w:rsidP="00C1771D">
            <w:pPr>
              <w:pStyle w:val="af3"/>
              <w:spacing w:after="60"/>
            </w:pPr>
            <w:r w:rsidRPr="004B2208">
              <w:t>1,0</w:t>
            </w:r>
          </w:p>
        </w:tc>
        <w:tc>
          <w:tcPr>
            <w:tcW w:w="393" w:type="pct"/>
            <w:shd w:val="clear" w:color="auto" w:fill="auto"/>
            <w:noWrap/>
          </w:tcPr>
          <w:p w14:paraId="505413E1" w14:textId="77777777" w:rsidR="00EA69F4" w:rsidRPr="006D5E7C" w:rsidRDefault="00EA69F4" w:rsidP="00C1771D">
            <w:pPr>
              <w:pStyle w:val="af3"/>
              <w:spacing w:after="60"/>
            </w:pPr>
            <w:r w:rsidRPr="004B2208">
              <w:t>0,8</w:t>
            </w:r>
          </w:p>
        </w:tc>
        <w:tc>
          <w:tcPr>
            <w:tcW w:w="393" w:type="pct"/>
            <w:shd w:val="clear" w:color="auto" w:fill="auto"/>
            <w:noWrap/>
          </w:tcPr>
          <w:p w14:paraId="448B841E" w14:textId="77777777" w:rsidR="00EA69F4" w:rsidRPr="006D5E7C" w:rsidRDefault="00EA69F4" w:rsidP="00C1771D">
            <w:pPr>
              <w:pStyle w:val="af3"/>
              <w:spacing w:after="60"/>
            </w:pPr>
            <w:r w:rsidRPr="004B2208">
              <w:t>0,8</w:t>
            </w:r>
          </w:p>
        </w:tc>
        <w:tc>
          <w:tcPr>
            <w:tcW w:w="393" w:type="pct"/>
            <w:shd w:val="clear" w:color="auto" w:fill="auto"/>
            <w:noWrap/>
          </w:tcPr>
          <w:p w14:paraId="37584386" w14:textId="77777777" w:rsidR="00EA69F4" w:rsidRPr="006D5E7C" w:rsidRDefault="00EA69F4" w:rsidP="00C1771D">
            <w:pPr>
              <w:pStyle w:val="af3"/>
              <w:spacing w:after="60"/>
            </w:pPr>
            <w:r w:rsidRPr="004B2208">
              <w:t>2,3</w:t>
            </w:r>
          </w:p>
        </w:tc>
        <w:tc>
          <w:tcPr>
            <w:tcW w:w="393" w:type="pct"/>
            <w:shd w:val="clear" w:color="auto" w:fill="auto"/>
            <w:noWrap/>
          </w:tcPr>
          <w:p w14:paraId="5023303D" w14:textId="77777777" w:rsidR="00EA69F4" w:rsidRPr="006D5E7C" w:rsidRDefault="00EA69F4" w:rsidP="00C1771D">
            <w:pPr>
              <w:pStyle w:val="af3"/>
              <w:spacing w:after="60"/>
            </w:pPr>
            <w:r w:rsidRPr="004B2208">
              <w:t>1,</w:t>
            </w:r>
            <w:r>
              <w:t>1</w:t>
            </w:r>
          </w:p>
        </w:tc>
        <w:tc>
          <w:tcPr>
            <w:tcW w:w="393" w:type="pct"/>
            <w:shd w:val="clear" w:color="auto" w:fill="auto"/>
            <w:noWrap/>
          </w:tcPr>
          <w:p w14:paraId="70FE75B7" w14:textId="77777777" w:rsidR="00EA69F4" w:rsidRPr="006D5E7C" w:rsidRDefault="00EA69F4" w:rsidP="00C1771D">
            <w:pPr>
              <w:pStyle w:val="af3"/>
              <w:spacing w:after="60"/>
            </w:pPr>
            <w:r>
              <w:t>1</w:t>
            </w:r>
            <w:r w:rsidRPr="004B2208">
              <w:t>,</w:t>
            </w:r>
            <w:r>
              <w:t>0</w:t>
            </w:r>
          </w:p>
        </w:tc>
        <w:tc>
          <w:tcPr>
            <w:tcW w:w="393" w:type="pct"/>
            <w:shd w:val="clear" w:color="auto" w:fill="auto"/>
            <w:noWrap/>
          </w:tcPr>
          <w:p w14:paraId="6CF6DA59" w14:textId="77777777" w:rsidR="00EA69F4" w:rsidRPr="006D5E7C" w:rsidRDefault="00EA69F4" w:rsidP="00C1771D">
            <w:pPr>
              <w:pStyle w:val="af3"/>
              <w:spacing w:after="60"/>
            </w:pPr>
            <w:r>
              <w:t>1</w:t>
            </w:r>
            <w:r w:rsidRPr="004B2208">
              <w:t>,</w:t>
            </w:r>
            <w:r>
              <w:t>0</w:t>
            </w:r>
          </w:p>
        </w:tc>
        <w:tc>
          <w:tcPr>
            <w:tcW w:w="383" w:type="pct"/>
            <w:shd w:val="clear" w:color="auto" w:fill="auto"/>
            <w:noWrap/>
          </w:tcPr>
          <w:p w14:paraId="552385B0" w14:textId="77777777" w:rsidR="00EA69F4" w:rsidRPr="006D5E7C" w:rsidRDefault="00EA69F4" w:rsidP="00C1771D">
            <w:pPr>
              <w:pStyle w:val="af3"/>
              <w:spacing w:after="60"/>
            </w:pPr>
            <w:r w:rsidRPr="004B2208">
              <w:t>0,</w:t>
            </w:r>
            <w:r>
              <w:t>9</w:t>
            </w:r>
          </w:p>
        </w:tc>
      </w:tr>
      <w:tr w:rsidR="00EA69F4" w:rsidRPr="00402377" w14:paraId="0D772215" w14:textId="77777777" w:rsidTr="00B94957">
        <w:tc>
          <w:tcPr>
            <w:tcW w:w="1473" w:type="pct"/>
            <w:shd w:val="clear" w:color="auto" w:fill="auto"/>
            <w:noWrap/>
            <w:vAlign w:val="center"/>
            <w:hideMark/>
          </w:tcPr>
          <w:p w14:paraId="174E0D78" w14:textId="77777777" w:rsidR="00EA69F4" w:rsidRPr="00BE65E2" w:rsidRDefault="00EA69F4" w:rsidP="00C1771D">
            <w:pPr>
              <w:pStyle w:val="af2"/>
              <w:spacing w:after="60"/>
              <w:rPr>
                <w:i/>
              </w:rPr>
            </w:pPr>
            <w:r w:rsidRPr="00BE65E2">
              <w:rPr>
                <w:i/>
              </w:rPr>
              <w:t>Субсидии</w:t>
            </w:r>
          </w:p>
        </w:tc>
        <w:tc>
          <w:tcPr>
            <w:tcW w:w="393" w:type="pct"/>
            <w:shd w:val="clear" w:color="auto" w:fill="auto"/>
            <w:noWrap/>
          </w:tcPr>
          <w:p w14:paraId="28677077" w14:textId="77777777" w:rsidR="00EA69F4" w:rsidRPr="00BE65E2" w:rsidRDefault="00EA69F4" w:rsidP="00C1771D">
            <w:pPr>
              <w:pStyle w:val="af3"/>
              <w:spacing w:after="60"/>
              <w:rPr>
                <w:i/>
              </w:rPr>
            </w:pPr>
            <w:r w:rsidRPr="00BE65E2">
              <w:rPr>
                <w:i/>
              </w:rPr>
              <w:t>2,8</w:t>
            </w:r>
          </w:p>
        </w:tc>
        <w:tc>
          <w:tcPr>
            <w:tcW w:w="393" w:type="pct"/>
            <w:shd w:val="clear" w:color="auto" w:fill="auto"/>
            <w:noWrap/>
          </w:tcPr>
          <w:p w14:paraId="23523DBA" w14:textId="77777777" w:rsidR="00EA69F4" w:rsidRPr="00BE65E2" w:rsidRDefault="00EA69F4" w:rsidP="00C1771D">
            <w:pPr>
              <w:pStyle w:val="af3"/>
              <w:spacing w:after="60"/>
              <w:rPr>
                <w:i/>
              </w:rPr>
            </w:pPr>
            <w:r w:rsidRPr="00BE65E2">
              <w:rPr>
                <w:i/>
              </w:rPr>
              <w:t>2,6</w:t>
            </w:r>
          </w:p>
        </w:tc>
        <w:tc>
          <w:tcPr>
            <w:tcW w:w="393" w:type="pct"/>
            <w:shd w:val="clear" w:color="auto" w:fill="auto"/>
            <w:noWrap/>
          </w:tcPr>
          <w:p w14:paraId="2516E0C3" w14:textId="77777777" w:rsidR="00EA69F4" w:rsidRPr="00BE65E2" w:rsidRDefault="00EA69F4" w:rsidP="00C1771D">
            <w:pPr>
              <w:pStyle w:val="af3"/>
              <w:spacing w:after="60"/>
              <w:rPr>
                <w:i/>
              </w:rPr>
            </w:pPr>
            <w:r w:rsidRPr="00BE65E2">
              <w:rPr>
                <w:i/>
              </w:rPr>
              <w:t>2,2</w:t>
            </w:r>
          </w:p>
        </w:tc>
        <w:tc>
          <w:tcPr>
            <w:tcW w:w="393" w:type="pct"/>
            <w:shd w:val="clear" w:color="auto" w:fill="auto"/>
            <w:noWrap/>
          </w:tcPr>
          <w:p w14:paraId="79B96AA9" w14:textId="77777777" w:rsidR="00EA69F4" w:rsidRPr="00BE65E2" w:rsidRDefault="00EA69F4" w:rsidP="00C1771D">
            <w:pPr>
              <w:pStyle w:val="af3"/>
              <w:spacing w:after="60"/>
              <w:rPr>
                <w:i/>
              </w:rPr>
            </w:pPr>
            <w:r w:rsidRPr="00BE65E2">
              <w:rPr>
                <w:i/>
              </w:rPr>
              <w:t>2,6</w:t>
            </w:r>
          </w:p>
        </w:tc>
        <w:tc>
          <w:tcPr>
            <w:tcW w:w="393" w:type="pct"/>
            <w:shd w:val="clear" w:color="auto" w:fill="auto"/>
            <w:noWrap/>
          </w:tcPr>
          <w:p w14:paraId="593DBCB8" w14:textId="77777777" w:rsidR="00EA69F4" w:rsidRPr="00BE65E2" w:rsidRDefault="00EA69F4" w:rsidP="00C1771D">
            <w:pPr>
              <w:pStyle w:val="af3"/>
              <w:spacing w:after="60"/>
              <w:rPr>
                <w:i/>
              </w:rPr>
            </w:pPr>
            <w:r w:rsidRPr="00BE65E2">
              <w:rPr>
                <w:i/>
              </w:rPr>
              <w:t>2,3</w:t>
            </w:r>
          </w:p>
        </w:tc>
        <w:tc>
          <w:tcPr>
            <w:tcW w:w="393" w:type="pct"/>
            <w:shd w:val="clear" w:color="auto" w:fill="auto"/>
            <w:noWrap/>
          </w:tcPr>
          <w:p w14:paraId="307DCB44" w14:textId="77777777" w:rsidR="00EA69F4" w:rsidRPr="00BE65E2" w:rsidRDefault="00EA69F4" w:rsidP="00C1771D">
            <w:pPr>
              <w:pStyle w:val="af3"/>
              <w:spacing w:after="60"/>
              <w:rPr>
                <w:i/>
              </w:rPr>
            </w:pPr>
            <w:r w:rsidRPr="00BE65E2">
              <w:rPr>
                <w:i/>
              </w:rPr>
              <w:t>3,4</w:t>
            </w:r>
          </w:p>
        </w:tc>
        <w:tc>
          <w:tcPr>
            <w:tcW w:w="393" w:type="pct"/>
            <w:shd w:val="clear" w:color="auto" w:fill="auto"/>
            <w:noWrap/>
          </w:tcPr>
          <w:p w14:paraId="64EBC32C" w14:textId="77777777" w:rsidR="00EA69F4" w:rsidRPr="00BE65E2" w:rsidRDefault="00EA69F4" w:rsidP="00C1771D">
            <w:pPr>
              <w:pStyle w:val="af3"/>
              <w:spacing w:after="60"/>
              <w:rPr>
                <w:i/>
              </w:rPr>
            </w:pPr>
            <w:r w:rsidRPr="00BE65E2">
              <w:rPr>
                <w:i/>
              </w:rPr>
              <w:t>3,9</w:t>
            </w:r>
          </w:p>
        </w:tc>
        <w:tc>
          <w:tcPr>
            <w:tcW w:w="393" w:type="pct"/>
            <w:shd w:val="clear" w:color="auto" w:fill="auto"/>
            <w:noWrap/>
          </w:tcPr>
          <w:p w14:paraId="43AB5629" w14:textId="77777777" w:rsidR="00EA69F4" w:rsidRPr="00BE65E2" w:rsidRDefault="00EA69F4" w:rsidP="00C1771D">
            <w:pPr>
              <w:pStyle w:val="af3"/>
              <w:spacing w:after="60"/>
              <w:rPr>
                <w:i/>
              </w:rPr>
            </w:pPr>
            <w:r w:rsidRPr="00BE65E2">
              <w:rPr>
                <w:i/>
              </w:rPr>
              <w:t>3,5</w:t>
            </w:r>
          </w:p>
        </w:tc>
        <w:tc>
          <w:tcPr>
            <w:tcW w:w="383" w:type="pct"/>
            <w:shd w:val="clear" w:color="auto" w:fill="auto"/>
            <w:noWrap/>
          </w:tcPr>
          <w:p w14:paraId="1F15414E" w14:textId="77777777" w:rsidR="00EA69F4" w:rsidRPr="00BE65E2" w:rsidRDefault="00EA69F4" w:rsidP="00C1771D">
            <w:pPr>
              <w:pStyle w:val="af3"/>
              <w:spacing w:after="60"/>
              <w:rPr>
                <w:i/>
              </w:rPr>
            </w:pPr>
            <w:r w:rsidRPr="00BE65E2">
              <w:rPr>
                <w:i/>
              </w:rPr>
              <w:t>3,3</w:t>
            </w:r>
          </w:p>
        </w:tc>
      </w:tr>
      <w:tr w:rsidR="00EA69F4" w:rsidRPr="00402377" w14:paraId="0F636553" w14:textId="77777777" w:rsidTr="00B94957">
        <w:tc>
          <w:tcPr>
            <w:tcW w:w="1473" w:type="pct"/>
            <w:shd w:val="clear" w:color="auto" w:fill="auto"/>
            <w:noWrap/>
            <w:vAlign w:val="center"/>
            <w:hideMark/>
          </w:tcPr>
          <w:p w14:paraId="2E6343D1" w14:textId="77777777" w:rsidR="00EA69F4" w:rsidRPr="00BE65E2" w:rsidRDefault="00EA69F4" w:rsidP="00C1771D">
            <w:pPr>
              <w:pStyle w:val="af2"/>
              <w:spacing w:after="60"/>
              <w:rPr>
                <w:i/>
              </w:rPr>
            </w:pPr>
            <w:r w:rsidRPr="00BE65E2">
              <w:rPr>
                <w:i/>
              </w:rPr>
              <w:t>Субвенции</w:t>
            </w:r>
          </w:p>
        </w:tc>
        <w:tc>
          <w:tcPr>
            <w:tcW w:w="393" w:type="pct"/>
            <w:shd w:val="clear" w:color="auto" w:fill="auto"/>
            <w:noWrap/>
          </w:tcPr>
          <w:p w14:paraId="312D67A4" w14:textId="77777777" w:rsidR="00EA69F4" w:rsidRPr="00BE65E2" w:rsidRDefault="00EA69F4" w:rsidP="00C1771D">
            <w:pPr>
              <w:pStyle w:val="af3"/>
              <w:spacing w:after="60"/>
              <w:rPr>
                <w:i/>
              </w:rPr>
            </w:pPr>
            <w:r w:rsidRPr="00BE65E2">
              <w:rPr>
                <w:i/>
              </w:rPr>
              <w:t>2,1</w:t>
            </w:r>
          </w:p>
        </w:tc>
        <w:tc>
          <w:tcPr>
            <w:tcW w:w="393" w:type="pct"/>
            <w:shd w:val="clear" w:color="auto" w:fill="auto"/>
            <w:noWrap/>
          </w:tcPr>
          <w:p w14:paraId="35EDD9B1" w14:textId="77777777" w:rsidR="00EA69F4" w:rsidRPr="00BE65E2" w:rsidRDefault="00EA69F4" w:rsidP="00C1771D">
            <w:pPr>
              <w:pStyle w:val="af3"/>
              <w:spacing w:after="60"/>
              <w:rPr>
                <w:i/>
              </w:rPr>
            </w:pPr>
            <w:r w:rsidRPr="00BE65E2">
              <w:rPr>
                <w:i/>
              </w:rPr>
              <w:t>2,2</w:t>
            </w:r>
          </w:p>
        </w:tc>
        <w:tc>
          <w:tcPr>
            <w:tcW w:w="393" w:type="pct"/>
            <w:shd w:val="clear" w:color="auto" w:fill="auto"/>
            <w:noWrap/>
          </w:tcPr>
          <w:p w14:paraId="00C53059" w14:textId="77777777" w:rsidR="00EA69F4" w:rsidRPr="00BE65E2" w:rsidRDefault="00EA69F4" w:rsidP="00C1771D">
            <w:pPr>
              <w:pStyle w:val="af3"/>
              <w:spacing w:after="60"/>
              <w:rPr>
                <w:i/>
              </w:rPr>
            </w:pPr>
            <w:r w:rsidRPr="00BE65E2">
              <w:rPr>
                <w:i/>
              </w:rPr>
              <w:t>2,0</w:t>
            </w:r>
          </w:p>
        </w:tc>
        <w:tc>
          <w:tcPr>
            <w:tcW w:w="393" w:type="pct"/>
            <w:shd w:val="clear" w:color="auto" w:fill="auto"/>
            <w:noWrap/>
          </w:tcPr>
          <w:p w14:paraId="27DC8007" w14:textId="77777777" w:rsidR="00EA69F4" w:rsidRPr="00BE65E2" w:rsidRDefault="00EA69F4" w:rsidP="00C1771D">
            <w:pPr>
              <w:pStyle w:val="af3"/>
              <w:spacing w:after="60"/>
              <w:rPr>
                <w:i/>
              </w:rPr>
            </w:pPr>
            <w:r w:rsidRPr="00BE65E2">
              <w:rPr>
                <w:i/>
              </w:rPr>
              <w:t>2,0</w:t>
            </w:r>
          </w:p>
        </w:tc>
        <w:tc>
          <w:tcPr>
            <w:tcW w:w="393" w:type="pct"/>
            <w:shd w:val="clear" w:color="auto" w:fill="auto"/>
            <w:noWrap/>
          </w:tcPr>
          <w:p w14:paraId="51286123" w14:textId="77777777" w:rsidR="00EA69F4" w:rsidRPr="00BE65E2" w:rsidRDefault="00EA69F4" w:rsidP="00C1771D">
            <w:pPr>
              <w:pStyle w:val="af3"/>
              <w:spacing w:after="60"/>
              <w:rPr>
                <w:i/>
              </w:rPr>
            </w:pPr>
            <w:r w:rsidRPr="00BE65E2">
              <w:rPr>
                <w:i/>
              </w:rPr>
              <w:t>2,0</w:t>
            </w:r>
          </w:p>
        </w:tc>
        <w:tc>
          <w:tcPr>
            <w:tcW w:w="393" w:type="pct"/>
            <w:shd w:val="clear" w:color="auto" w:fill="auto"/>
            <w:noWrap/>
          </w:tcPr>
          <w:p w14:paraId="152363D5" w14:textId="77777777" w:rsidR="00EA69F4" w:rsidRPr="00BE65E2" w:rsidRDefault="00EA69F4" w:rsidP="00C1771D">
            <w:pPr>
              <w:pStyle w:val="af3"/>
              <w:spacing w:after="60"/>
              <w:rPr>
                <w:i/>
              </w:rPr>
            </w:pPr>
            <w:r w:rsidRPr="00BE65E2">
              <w:rPr>
                <w:i/>
              </w:rPr>
              <w:t>2,1</w:t>
            </w:r>
          </w:p>
        </w:tc>
        <w:tc>
          <w:tcPr>
            <w:tcW w:w="393" w:type="pct"/>
            <w:shd w:val="clear" w:color="auto" w:fill="auto"/>
            <w:noWrap/>
          </w:tcPr>
          <w:p w14:paraId="09B99196" w14:textId="77777777" w:rsidR="00EA69F4" w:rsidRPr="00BE65E2" w:rsidRDefault="00EA69F4" w:rsidP="00C1771D">
            <w:pPr>
              <w:pStyle w:val="af3"/>
              <w:spacing w:after="60"/>
              <w:rPr>
                <w:i/>
              </w:rPr>
            </w:pPr>
            <w:r w:rsidRPr="00BE65E2">
              <w:rPr>
                <w:i/>
              </w:rPr>
              <w:t>2,6</w:t>
            </w:r>
          </w:p>
        </w:tc>
        <w:tc>
          <w:tcPr>
            <w:tcW w:w="393" w:type="pct"/>
            <w:shd w:val="clear" w:color="auto" w:fill="auto"/>
            <w:noWrap/>
          </w:tcPr>
          <w:p w14:paraId="2F12EB9A" w14:textId="77777777" w:rsidR="00EA69F4" w:rsidRPr="00BE65E2" w:rsidRDefault="00EA69F4" w:rsidP="00C1771D">
            <w:pPr>
              <w:pStyle w:val="af3"/>
              <w:spacing w:after="60"/>
              <w:rPr>
                <w:i/>
              </w:rPr>
            </w:pPr>
            <w:r w:rsidRPr="00BE65E2">
              <w:rPr>
                <w:i/>
              </w:rPr>
              <w:t>2,5</w:t>
            </w:r>
          </w:p>
        </w:tc>
        <w:tc>
          <w:tcPr>
            <w:tcW w:w="383" w:type="pct"/>
            <w:shd w:val="clear" w:color="auto" w:fill="auto"/>
            <w:noWrap/>
          </w:tcPr>
          <w:p w14:paraId="03E5510F" w14:textId="77777777" w:rsidR="00EA69F4" w:rsidRPr="00BE65E2" w:rsidRDefault="00EA69F4" w:rsidP="00C1771D">
            <w:pPr>
              <w:pStyle w:val="af3"/>
              <w:spacing w:after="60"/>
              <w:rPr>
                <w:i/>
              </w:rPr>
            </w:pPr>
            <w:r w:rsidRPr="00BE65E2">
              <w:rPr>
                <w:i/>
              </w:rPr>
              <w:t>2,4</w:t>
            </w:r>
          </w:p>
        </w:tc>
      </w:tr>
      <w:tr w:rsidR="00EA69F4" w:rsidRPr="00402377" w14:paraId="057EE92C" w14:textId="77777777" w:rsidTr="00B94957">
        <w:tc>
          <w:tcPr>
            <w:tcW w:w="1473" w:type="pct"/>
            <w:shd w:val="clear" w:color="auto" w:fill="auto"/>
            <w:noWrap/>
            <w:vAlign w:val="center"/>
            <w:hideMark/>
          </w:tcPr>
          <w:p w14:paraId="7332CF75" w14:textId="77777777" w:rsidR="00EA69F4" w:rsidRPr="00BE65E2" w:rsidRDefault="00EA69F4" w:rsidP="00C1771D">
            <w:pPr>
              <w:pStyle w:val="af2"/>
              <w:spacing w:after="60"/>
              <w:rPr>
                <w:i/>
              </w:rPr>
            </w:pPr>
            <w:r w:rsidRPr="00BE65E2">
              <w:rPr>
                <w:i/>
              </w:rPr>
              <w:t>Иные межбюджетные трансферты</w:t>
            </w:r>
          </w:p>
        </w:tc>
        <w:tc>
          <w:tcPr>
            <w:tcW w:w="393" w:type="pct"/>
            <w:shd w:val="clear" w:color="auto" w:fill="auto"/>
            <w:noWrap/>
          </w:tcPr>
          <w:p w14:paraId="7F4D9F14" w14:textId="77777777" w:rsidR="00EA69F4" w:rsidRPr="00BE65E2" w:rsidRDefault="00EA69F4" w:rsidP="00C1771D">
            <w:pPr>
              <w:pStyle w:val="af3"/>
              <w:spacing w:after="60"/>
              <w:rPr>
                <w:i/>
              </w:rPr>
            </w:pPr>
            <w:r w:rsidRPr="00BE65E2">
              <w:rPr>
                <w:i/>
              </w:rPr>
              <w:t>0,8</w:t>
            </w:r>
          </w:p>
        </w:tc>
        <w:tc>
          <w:tcPr>
            <w:tcW w:w="393" w:type="pct"/>
            <w:shd w:val="clear" w:color="auto" w:fill="auto"/>
            <w:noWrap/>
          </w:tcPr>
          <w:p w14:paraId="5FDCD1E7" w14:textId="77777777" w:rsidR="00EA69F4" w:rsidRPr="00BE65E2" w:rsidRDefault="00EA69F4" w:rsidP="00C1771D">
            <w:pPr>
              <w:pStyle w:val="af3"/>
              <w:spacing w:after="60"/>
              <w:rPr>
                <w:i/>
              </w:rPr>
            </w:pPr>
            <w:r w:rsidRPr="00BE65E2">
              <w:rPr>
                <w:i/>
              </w:rPr>
              <w:t>1,4</w:t>
            </w:r>
          </w:p>
        </w:tc>
        <w:tc>
          <w:tcPr>
            <w:tcW w:w="393" w:type="pct"/>
            <w:shd w:val="clear" w:color="auto" w:fill="auto"/>
            <w:noWrap/>
          </w:tcPr>
          <w:p w14:paraId="356D6CB3" w14:textId="77777777" w:rsidR="00EA69F4" w:rsidRPr="00BE65E2" w:rsidRDefault="00EA69F4" w:rsidP="00C1771D">
            <w:pPr>
              <w:pStyle w:val="af3"/>
              <w:spacing w:after="60"/>
              <w:rPr>
                <w:i/>
              </w:rPr>
            </w:pPr>
            <w:r w:rsidRPr="00BE65E2">
              <w:rPr>
                <w:i/>
              </w:rPr>
              <w:t>1,3</w:t>
            </w:r>
          </w:p>
        </w:tc>
        <w:tc>
          <w:tcPr>
            <w:tcW w:w="393" w:type="pct"/>
            <w:shd w:val="clear" w:color="auto" w:fill="auto"/>
            <w:noWrap/>
          </w:tcPr>
          <w:p w14:paraId="41EFEA71" w14:textId="77777777" w:rsidR="00EA69F4" w:rsidRPr="00BE65E2" w:rsidRDefault="00EA69F4" w:rsidP="00C1771D">
            <w:pPr>
              <w:pStyle w:val="af3"/>
              <w:spacing w:after="60"/>
              <w:rPr>
                <w:i/>
              </w:rPr>
            </w:pPr>
            <w:r w:rsidRPr="00BE65E2">
              <w:rPr>
                <w:i/>
              </w:rPr>
              <w:t>1,1</w:t>
            </w:r>
          </w:p>
        </w:tc>
        <w:tc>
          <w:tcPr>
            <w:tcW w:w="393" w:type="pct"/>
            <w:shd w:val="clear" w:color="auto" w:fill="auto"/>
            <w:noWrap/>
          </w:tcPr>
          <w:p w14:paraId="2C01BB9B" w14:textId="77777777" w:rsidR="00EA69F4" w:rsidRPr="00BE65E2" w:rsidRDefault="00EA69F4" w:rsidP="00C1771D">
            <w:pPr>
              <w:pStyle w:val="af3"/>
              <w:spacing w:after="60"/>
              <w:rPr>
                <w:i/>
              </w:rPr>
            </w:pPr>
            <w:r w:rsidRPr="00BE65E2">
              <w:rPr>
                <w:i/>
              </w:rPr>
              <w:t>1,8</w:t>
            </w:r>
          </w:p>
        </w:tc>
        <w:tc>
          <w:tcPr>
            <w:tcW w:w="393" w:type="pct"/>
            <w:shd w:val="clear" w:color="auto" w:fill="auto"/>
            <w:noWrap/>
          </w:tcPr>
          <w:p w14:paraId="5986F8E2" w14:textId="77777777" w:rsidR="00EA69F4" w:rsidRPr="00BE65E2" w:rsidRDefault="00EA69F4" w:rsidP="00C1771D">
            <w:pPr>
              <w:pStyle w:val="af3"/>
              <w:spacing w:after="60"/>
              <w:rPr>
                <w:i/>
              </w:rPr>
            </w:pPr>
            <w:r w:rsidRPr="00BE65E2">
              <w:rPr>
                <w:i/>
              </w:rPr>
              <w:t>2,4</w:t>
            </w:r>
          </w:p>
        </w:tc>
        <w:tc>
          <w:tcPr>
            <w:tcW w:w="393" w:type="pct"/>
            <w:shd w:val="clear" w:color="auto" w:fill="auto"/>
            <w:noWrap/>
          </w:tcPr>
          <w:p w14:paraId="2A06CC32" w14:textId="77777777" w:rsidR="00EA69F4" w:rsidRPr="00BE65E2" w:rsidRDefault="00EA69F4" w:rsidP="00C1771D">
            <w:pPr>
              <w:pStyle w:val="af3"/>
              <w:spacing w:after="60"/>
              <w:rPr>
                <w:i/>
              </w:rPr>
            </w:pPr>
            <w:r w:rsidRPr="00BE65E2">
              <w:rPr>
                <w:i/>
              </w:rPr>
              <w:t>1,7</w:t>
            </w:r>
          </w:p>
        </w:tc>
        <w:tc>
          <w:tcPr>
            <w:tcW w:w="393" w:type="pct"/>
            <w:shd w:val="clear" w:color="auto" w:fill="auto"/>
            <w:noWrap/>
          </w:tcPr>
          <w:p w14:paraId="61D468B0" w14:textId="77777777" w:rsidR="00EA69F4" w:rsidRPr="00BE65E2" w:rsidRDefault="00EA69F4" w:rsidP="00C1771D">
            <w:pPr>
              <w:pStyle w:val="af3"/>
              <w:spacing w:after="60"/>
              <w:rPr>
                <w:i/>
              </w:rPr>
            </w:pPr>
            <w:r w:rsidRPr="00BE65E2">
              <w:rPr>
                <w:i/>
              </w:rPr>
              <w:t>1,9</w:t>
            </w:r>
          </w:p>
        </w:tc>
        <w:tc>
          <w:tcPr>
            <w:tcW w:w="383" w:type="pct"/>
            <w:shd w:val="clear" w:color="auto" w:fill="auto"/>
            <w:noWrap/>
          </w:tcPr>
          <w:p w14:paraId="2CC10F91" w14:textId="77777777" w:rsidR="00EA69F4" w:rsidRPr="00BE65E2" w:rsidRDefault="00EA69F4" w:rsidP="00C1771D">
            <w:pPr>
              <w:pStyle w:val="af3"/>
              <w:spacing w:after="60"/>
              <w:rPr>
                <w:i/>
              </w:rPr>
            </w:pPr>
            <w:r w:rsidRPr="00BE65E2">
              <w:rPr>
                <w:i/>
              </w:rPr>
              <w:t>1,3</w:t>
            </w:r>
          </w:p>
        </w:tc>
      </w:tr>
      <w:tr w:rsidR="00EA69F4" w:rsidRPr="00402377" w14:paraId="2F2E8FF0" w14:textId="77777777" w:rsidTr="00B94957">
        <w:tc>
          <w:tcPr>
            <w:tcW w:w="1473" w:type="pct"/>
            <w:shd w:val="clear" w:color="auto" w:fill="auto"/>
            <w:noWrap/>
            <w:vAlign w:val="center"/>
          </w:tcPr>
          <w:p w14:paraId="70C3F900" w14:textId="77777777" w:rsidR="00EA69F4" w:rsidRPr="00BE65E2" w:rsidRDefault="00EA69F4" w:rsidP="00C1771D">
            <w:pPr>
              <w:pStyle w:val="af2"/>
              <w:spacing w:after="60"/>
              <w:rPr>
                <w:b/>
              </w:rPr>
            </w:pPr>
            <w:r w:rsidRPr="00BE65E2">
              <w:rPr>
                <w:b/>
              </w:rPr>
              <w:t>ВСЕГО без субвенций</w:t>
            </w:r>
          </w:p>
        </w:tc>
        <w:tc>
          <w:tcPr>
            <w:tcW w:w="393" w:type="pct"/>
            <w:shd w:val="clear" w:color="auto" w:fill="auto"/>
            <w:noWrap/>
          </w:tcPr>
          <w:p w14:paraId="293461CC" w14:textId="77777777" w:rsidR="00EA69F4" w:rsidRPr="00BE65E2" w:rsidRDefault="00EA69F4" w:rsidP="00C1771D">
            <w:pPr>
              <w:pStyle w:val="af3"/>
              <w:spacing w:after="60"/>
              <w:rPr>
                <w:b/>
              </w:rPr>
            </w:pPr>
            <w:r w:rsidRPr="00BE65E2">
              <w:rPr>
                <w:b/>
              </w:rPr>
              <w:t>8,8</w:t>
            </w:r>
          </w:p>
        </w:tc>
        <w:tc>
          <w:tcPr>
            <w:tcW w:w="393" w:type="pct"/>
            <w:shd w:val="clear" w:color="auto" w:fill="auto"/>
            <w:noWrap/>
          </w:tcPr>
          <w:p w14:paraId="59989F0E" w14:textId="77777777" w:rsidR="00EA69F4" w:rsidRPr="00BE65E2" w:rsidRDefault="00EA69F4" w:rsidP="00C1771D">
            <w:pPr>
              <w:pStyle w:val="af3"/>
              <w:spacing w:after="60"/>
              <w:rPr>
                <w:b/>
              </w:rPr>
            </w:pPr>
            <w:r w:rsidRPr="00BE65E2">
              <w:rPr>
                <w:b/>
              </w:rPr>
              <w:t>8,1</w:t>
            </w:r>
          </w:p>
        </w:tc>
        <w:tc>
          <w:tcPr>
            <w:tcW w:w="393" w:type="pct"/>
            <w:shd w:val="clear" w:color="auto" w:fill="auto"/>
            <w:noWrap/>
          </w:tcPr>
          <w:p w14:paraId="4F1AD505" w14:textId="77777777" w:rsidR="00EA69F4" w:rsidRPr="00BE65E2" w:rsidRDefault="00EA69F4" w:rsidP="00C1771D">
            <w:pPr>
              <w:pStyle w:val="af3"/>
              <w:spacing w:after="60"/>
              <w:rPr>
                <w:b/>
              </w:rPr>
            </w:pPr>
            <w:r w:rsidRPr="00BE65E2">
              <w:rPr>
                <w:b/>
              </w:rPr>
              <w:t>7,5</w:t>
            </w:r>
          </w:p>
        </w:tc>
        <w:tc>
          <w:tcPr>
            <w:tcW w:w="393" w:type="pct"/>
            <w:shd w:val="clear" w:color="auto" w:fill="auto"/>
            <w:noWrap/>
          </w:tcPr>
          <w:p w14:paraId="536B0119" w14:textId="77777777" w:rsidR="00EA69F4" w:rsidRPr="00BE65E2" w:rsidRDefault="00EA69F4" w:rsidP="00C1771D">
            <w:pPr>
              <w:pStyle w:val="af3"/>
              <w:spacing w:after="60"/>
              <w:rPr>
                <w:b/>
              </w:rPr>
            </w:pPr>
            <w:r w:rsidRPr="00BE65E2">
              <w:rPr>
                <w:b/>
              </w:rPr>
              <w:t>8,3</w:t>
            </w:r>
          </w:p>
        </w:tc>
        <w:tc>
          <w:tcPr>
            <w:tcW w:w="393" w:type="pct"/>
            <w:shd w:val="clear" w:color="auto" w:fill="auto"/>
            <w:noWrap/>
          </w:tcPr>
          <w:p w14:paraId="4B160595" w14:textId="77777777" w:rsidR="00EA69F4" w:rsidRPr="00BE65E2" w:rsidRDefault="00EA69F4" w:rsidP="00C1771D">
            <w:pPr>
              <w:pStyle w:val="af3"/>
              <w:spacing w:after="60"/>
              <w:rPr>
                <w:b/>
              </w:rPr>
            </w:pPr>
            <w:r w:rsidRPr="00BE65E2">
              <w:rPr>
                <w:b/>
              </w:rPr>
              <w:t>10,3</w:t>
            </w:r>
          </w:p>
        </w:tc>
        <w:tc>
          <w:tcPr>
            <w:tcW w:w="393" w:type="pct"/>
            <w:shd w:val="clear" w:color="auto" w:fill="auto"/>
            <w:noWrap/>
          </w:tcPr>
          <w:p w14:paraId="26E0F561" w14:textId="77777777" w:rsidR="00EA69F4" w:rsidRPr="00BE65E2" w:rsidRDefault="00EA69F4" w:rsidP="00C1771D">
            <w:pPr>
              <w:pStyle w:val="af3"/>
              <w:spacing w:after="60"/>
              <w:rPr>
                <w:b/>
              </w:rPr>
            </w:pPr>
            <w:r w:rsidRPr="00BE65E2">
              <w:rPr>
                <w:b/>
              </w:rPr>
              <w:t>11,0</w:t>
            </w:r>
          </w:p>
        </w:tc>
        <w:tc>
          <w:tcPr>
            <w:tcW w:w="393" w:type="pct"/>
            <w:shd w:val="clear" w:color="auto" w:fill="auto"/>
            <w:noWrap/>
          </w:tcPr>
          <w:p w14:paraId="1F325252" w14:textId="77777777" w:rsidR="00EA69F4" w:rsidRPr="00BE65E2" w:rsidRDefault="00EA69F4" w:rsidP="00C1771D">
            <w:pPr>
              <w:pStyle w:val="af3"/>
              <w:spacing w:after="60"/>
              <w:rPr>
                <w:b/>
              </w:rPr>
            </w:pPr>
            <w:r w:rsidRPr="00BE65E2">
              <w:rPr>
                <w:b/>
              </w:rPr>
              <w:t>10,4</w:t>
            </w:r>
          </w:p>
        </w:tc>
        <w:tc>
          <w:tcPr>
            <w:tcW w:w="393" w:type="pct"/>
            <w:shd w:val="clear" w:color="auto" w:fill="auto"/>
            <w:noWrap/>
          </w:tcPr>
          <w:p w14:paraId="688CE396" w14:textId="77777777" w:rsidR="00EA69F4" w:rsidRPr="00BE65E2" w:rsidRDefault="00EA69F4" w:rsidP="00C1771D">
            <w:pPr>
              <w:pStyle w:val="af3"/>
              <w:spacing w:after="60"/>
              <w:rPr>
                <w:b/>
              </w:rPr>
            </w:pPr>
            <w:r w:rsidRPr="00BE65E2">
              <w:rPr>
                <w:b/>
              </w:rPr>
              <w:t>9,9</w:t>
            </w:r>
          </w:p>
        </w:tc>
        <w:tc>
          <w:tcPr>
            <w:tcW w:w="383" w:type="pct"/>
            <w:shd w:val="clear" w:color="auto" w:fill="auto"/>
            <w:noWrap/>
          </w:tcPr>
          <w:p w14:paraId="0003DC7E" w14:textId="77777777" w:rsidR="00EA69F4" w:rsidRPr="00BE65E2" w:rsidRDefault="00EA69F4" w:rsidP="00C1771D">
            <w:pPr>
              <w:pStyle w:val="af3"/>
              <w:spacing w:after="60"/>
              <w:rPr>
                <w:b/>
              </w:rPr>
            </w:pPr>
            <w:r w:rsidRPr="00BE65E2">
              <w:rPr>
                <w:b/>
              </w:rPr>
              <w:t>9,0</w:t>
            </w:r>
          </w:p>
        </w:tc>
      </w:tr>
      <w:tr w:rsidR="00EA69F4" w:rsidRPr="008E6B24" w14:paraId="536D6884" w14:textId="77777777" w:rsidTr="00B94957">
        <w:tc>
          <w:tcPr>
            <w:tcW w:w="5000" w:type="pct"/>
            <w:gridSpan w:val="10"/>
            <w:shd w:val="clear" w:color="auto" w:fill="auto"/>
            <w:noWrap/>
            <w:vAlign w:val="center"/>
            <w:hideMark/>
          </w:tcPr>
          <w:p w14:paraId="2854AC94" w14:textId="77777777" w:rsidR="00EA69F4" w:rsidRPr="008E6B24" w:rsidRDefault="00EA69F4" w:rsidP="00C1771D">
            <w:pPr>
              <w:pStyle w:val="af3"/>
              <w:spacing w:after="60"/>
              <w:rPr>
                <w:b/>
              </w:rPr>
            </w:pPr>
            <w:r w:rsidRPr="008E6B24">
              <w:rPr>
                <w:b/>
              </w:rPr>
              <w:t xml:space="preserve">% </w:t>
            </w:r>
            <w:r>
              <w:rPr>
                <w:b/>
              </w:rPr>
              <w:t xml:space="preserve">от </w:t>
            </w:r>
            <w:r w:rsidRPr="008E6B24">
              <w:rPr>
                <w:b/>
              </w:rPr>
              <w:t>общего объема трансфертов</w:t>
            </w:r>
          </w:p>
        </w:tc>
      </w:tr>
      <w:tr w:rsidR="00EA69F4" w:rsidRPr="00402377" w14:paraId="52131EB4" w14:textId="77777777" w:rsidTr="00B94957">
        <w:tc>
          <w:tcPr>
            <w:tcW w:w="1473" w:type="pct"/>
            <w:shd w:val="clear" w:color="auto" w:fill="auto"/>
            <w:noWrap/>
            <w:vAlign w:val="center"/>
            <w:hideMark/>
          </w:tcPr>
          <w:p w14:paraId="274F81BC" w14:textId="77777777" w:rsidR="00EA69F4" w:rsidRPr="00BE65E2" w:rsidRDefault="00EA69F4" w:rsidP="00C1771D">
            <w:pPr>
              <w:pStyle w:val="af2"/>
              <w:spacing w:after="60"/>
              <w:rPr>
                <w:b/>
              </w:rPr>
            </w:pPr>
            <w:r w:rsidRPr="00BE65E2">
              <w:rPr>
                <w:b/>
              </w:rPr>
              <w:t>ВСЕГО</w:t>
            </w:r>
          </w:p>
        </w:tc>
        <w:tc>
          <w:tcPr>
            <w:tcW w:w="393" w:type="pct"/>
            <w:shd w:val="clear" w:color="auto" w:fill="auto"/>
            <w:noWrap/>
          </w:tcPr>
          <w:p w14:paraId="3030C923" w14:textId="77777777" w:rsidR="00EA69F4" w:rsidRPr="00BE65E2" w:rsidRDefault="00EA69F4" w:rsidP="00C1771D">
            <w:pPr>
              <w:pStyle w:val="af3"/>
              <w:spacing w:after="60"/>
              <w:rPr>
                <w:b/>
              </w:rPr>
            </w:pPr>
            <w:r w:rsidRPr="00BE65E2">
              <w:rPr>
                <w:b/>
              </w:rPr>
              <w:t>100,0</w:t>
            </w:r>
          </w:p>
        </w:tc>
        <w:tc>
          <w:tcPr>
            <w:tcW w:w="393" w:type="pct"/>
            <w:shd w:val="clear" w:color="auto" w:fill="auto"/>
            <w:noWrap/>
          </w:tcPr>
          <w:p w14:paraId="5AA11443" w14:textId="77777777" w:rsidR="00EA69F4" w:rsidRPr="00BE65E2" w:rsidRDefault="00EA69F4" w:rsidP="00C1771D">
            <w:pPr>
              <w:pStyle w:val="af3"/>
              <w:spacing w:after="60"/>
              <w:rPr>
                <w:b/>
              </w:rPr>
            </w:pPr>
            <w:r w:rsidRPr="00BE65E2">
              <w:rPr>
                <w:b/>
              </w:rPr>
              <w:t>100,0</w:t>
            </w:r>
          </w:p>
        </w:tc>
        <w:tc>
          <w:tcPr>
            <w:tcW w:w="393" w:type="pct"/>
            <w:shd w:val="clear" w:color="auto" w:fill="auto"/>
            <w:noWrap/>
          </w:tcPr>
          <w:p w14:paraId="7093324B" w14:textId="77777777" w:rsidR="00EA69F4" w:rsidRPr="00BE65E2" w:rsidRDefault="00EA69F4" w:rsidP="00C1771D">
            <w:pPr>
              <w:pStyle w:val="af3"/>
              <w:spacing w:after="60"/>
              <w:rPr>
                <w:b/>
              </w:rPr>
            </w:pPr>
            <w:r w:rsidRPr="00BE65E2">
              <w:rPr>
                <w:b/>
              </w:rPr>
              <w:t>100,0</w:t>
            </w:r>
          </w:p>
        </w:tc>
        <w:tc>
          <w:tcPr>
            <w:tcW w:w="393" w:type="pct"/>
            <w:shd w:val="clear" w:color="auto" w:fill="auto"/>
            <w:noWrap/>
          </w:tcPr>
          <w:p w14:paraId="59FD4CEC" w14:textId="77777777" w:rsidR="00EA69F4" w:rsidRPr="00BE65E2" w:rsidRDefault="00EA69F4" w:rsidP="00C1771D">
            <w:pPr>
              <w:pStyle w:val="af3"/>
              <w:spacing w:after="60"/>
              <w:rPr>
                <w:b/>
              </w:rPr>
            </w:pPr>
            <w:r w:rsidRPr="00BE65E2">
              <w:rPr>
                <w:b/>
              </w:rPr>
              <w:t>100,0</w:t>
            </w:r>
          </w:p>
        </w:tc>
        <w:tc>
          <w:tcPr>
            <w:tcW w:w="393" w:type="pct"/>
            <w:shd w:val="clear" w:color="auto" w:fill="auto"/>
            <w:noWrap/>
          </w:tcPr>
          <w:p w14:paraId="657CE64E" w14:textId="77777777" w:rsidR="00EA69F4" w:rsidRPr="00BE65E2" w:rsidRDefault="00EA69F4" w:rsidP="00C1771D">
            <w:pPr>
              <w:pStyle w:val="af3"/>
              <w:spacing w:after="60"/>
              <w:rPr>
                <w:b/>
              </w:rPr>
            </w:pPr>
            <w:r w:rsidRPr="00BE65E2">
              <w:rPr>
                <w:b/>
              </w:rPr>
              <w:t>100,0</w:t>
            </w:r>
          </w:p>
        </w:tc>
        <w:tc>
          <w:tcPr>
            <w:tcW w:w="393" w:type="pct"/>
            <w:shd w:val="clear" w:color="auto" w:fill="auto"/>
            <w:noWrap/>
          </w:tcPr>
          <w:p w14:paraId="039C1FBF" w14:textId="77777777" w:rsidR="00EA69F4" w:rsidRPr="00BE65E2" w:rsidRDefault="00EA69F4" w:rsidP="00C1771D">
            <w:pPr>
              <w:pStyle w:val="af3"/>
              <w:spacing w:after="60"/>
              <w:rPr>
                <w:b/>
              </w:rPr>
            </w:pPr>
            <w:r w:rsidRPr="00BE65E2">
              <w:rPr>
                <w:b/>
              </w:rPr>
              <w:t>100,0</w:t>
            </w:r>
          </w:p>
        </w:tc>
        <w:tc>
          <w:tcPr>
            <w:tcW w:w="393" w:type="pct"/>
            <w:shd w:val="clear" w:color="auto" w:fill="auto"/>
            <w:noWrap/>
          </w:tcPr>
          <w:p w14:paraId="177A9AF6" w14:textId="77777777" w:rsidR="00EA69F4" w:rsidRPr="00BE65E2" w:rsidRDefault="00EA69F4" w:rsidP="00C1771D">
            <w:pPr>
              <w:pStyle w:val="af3"/>
              <w:spacing w:after="60"/>
              <w:rPr>
                <w:b/>
              </w:rPr>
            </w:pPr>
            <w:r w:rsidRPr="00BE65E2">
              <w:rPr>
                <w:b/>
              </w:rPr>
              <w:t>100,0</w:t>
            </w:r>
          </w:p>
        </w:tc>
        <w:tc>
          <w:tcPr>
            <w:tcW w:w="393" w:type="pct"/>
            <w:shd w:val="clear" w:color="auto" w:fill="auto"/>
            <w:noWrap/>
          </w:tcPr>
          <w:p w14:paraId="55978829" w14:textId="77777777" w:rsidR="00EA69F4" w:rsidRPr="00BE65E2" w:rsidRDefault="00EA69F4" w:rsidP="00C1771D">
            <w:pPr>
              <w:pStyle w:val="af3"/>
              <w:spacing w:after="60"/>
              <w:rPr>
                <w:b/>
              </w:rPr>
            </w:pPr>
            <w:r w:rsidRPr="00BE65E2">
              <w:rPr>
                <w:b/>
              </w:rPr>
              <w:t>100,0</w:t>
            </w:r>
          </w:p>
        </w:tc>
        <w:tc>
          <w:tcPr>
            <w:tcW w:w="383" w:type="pct"/>
            <w:shd w:val="clear" w:color="auto" w:fill="auto"/>
            <w:noWrap/>
          </w:tcPr>
          <w:p w14:paraId="314F80F6" w14:textId="77777777" w:rsidR="00EA69F4" w:rsidRPr="00BE65E2" w:rsidRDefault="00EA69F4" w:rsidP="00C1771D">
            <w:pPr>
              <w:pStyle w:val="af3"/>
              <w:spacing w:after="60"/>
              <w:rPr>
                <w:b/>
              </w:rPr>
            </w:pPr>
            <w:r w:rsidRPr="00BE65E2">
              <w:rPr>
                <w:b/>
              </w:rPr>
              <w:t>100,0</w:t>
            </w:r>
          </w:p>
        </w:tc>
      </w:tr>
      <w:tr w:rsidR="00EA69F4" w:rsidRPr="00402377" w14:paraId="084ACD35" w14:textId="77777777" w:rsidTr="00B94957">
        <w:tc>
          <w:tcPr>
            <w:tcW w:w="1473" w:type="pct"/>
            <w:shd w:val="clear" w:color="auto" w:fill="auto"/>
            <w:noWrap/>
            <w:vAlign w:val="center"/>
            <w:hideMark/>
          </w:tcPr>
          <w:p w14:paraId="428DC837" w14:textId="77777777" w:rsidR="00EA69F4" w:rsidRPr="00BE65E2" w:rsidRDefault="00EA69F4" w:rsidP="00C1771D">
            <w:pPr>
              <w:pStyle w:val="af2"/>
              <w:spacing w:after="60"/>
              <w:rPr>
                <w:i/>
              </w:rPr>
            </w:pPr>
            <w:r w:rsidRPr="00BE65E2">
              <w:rPr>
                <w:i/>
              </w:rPr>
              <w:t>Дотации, в т.ч.:</w:t>
            </w:r>
          </w:p>
        </w:tc>
        <w:tc>
          <w:tcPr>
            <w:tcW w:w="393" w:type="pct"/>
            <w:shd w:val="clear" w:color="auto" w:fill="auto"/>
            <w:noWrap/>
          </w:tcPr>
          <w:p w14:paraId="5446C43D" w14:textId="77777777" w:rsidR="00EA69F4" w:rsidRPr="00BE65E2" w:rsidRDefault="00EA69F4" w:rsidP="00C1771D">
            <w:pPr>
              <w:pStyle w:val="af3"/>
              <w:spacing w:after="60"/>
              <w:rPr>
                <w:i/>
              </w:rPr>
            </w:pPr>
            <w:r w:rsidRPr="00BE65E2">
              <w:rPr>
                <w:i/>
              </w:rPr>
              <w:t>48,2</w:t>
            </w:r>
          </w:p>
        </w:tc>
        <w:tc>
          <w:tcPr>
            <w:tcW w:w="393" w:type="pct"/>
            <w:shd w:val="clear" w:color="auto" w:fill="auto"/>
            <w:noWrap/>
          </w:tcPr>
          <w:p w14:paraId="39E34555" w14:textId="77777777" w:rsidR="00EA69F4" w:rsidRPr="00BE65E2" w:rsidRDefault="00EA69F4" w:rsidP="00C1771D">
            <w:pPr>
              <w:pStyle w:val="af3"/>
              <w:spacing w:after="60"/>
              <w:rPr>
                <w:i/>
              </w:rPr>
            </w:pPr>
            <w:r w:rsidRPr="00BE65E2">
              <w:rPr>
                <w:i/>
              </w:rPr>
              <w:t>40,6</w:t>
            </w:r>
          </w:p>
        </w:tc>
        <w:tc>
          <w:tcPr>
            <w:tcW w:w="393" w:type="pct"/>
            <w:shd w:val="clear" w:color="auto" w:fill="auto"/>
            <w:noWrap/>
          </w:tcPr>
          <w:p w14:paraId="5EE79A4E" w14:textId="77777777" w:rsidR="00EA69F4" w:rsidRPr="00BE65E2" w:rsidRDefault="00EA69F4" w:rsidP="00C1771D">
            <w:pPr>
              <w:pStyle w:val="af3"/>
              <w:spacing w:after="60"/>
              <w:rPr>
                <w:i/>
              </w:rPr>
            </w:pPr>
            <w:r w:rsidRPr="00BE65E2">
              <w:rPr>
                <w:i/>
              </w:rPr>
              <w:t>41,9</w:t>
            </w:r>
          </w:p>
        </w:tc>
        <w:tc>
          <w:tcPr>
            <w:tcW w:w="393" w:type="pct"/>
            <w:shd w:val="clear" w:color="auto" w:fill="auto"/>
            <w:noWrap/>
          </w:tcPr>
          <w:p w14:paraId="761786A9" w14:textId="77777777" w:rsidR="00EA69F4" w:rsidRPr="00BE65E2" w:rsidRDefault="00EA69F4" w:rsidP="00C1771D">
            <w:pPr>
              <w:pStyle w:val="af3"/>
              <w:spacing w:after="60"/>
              <w:rPr>
                <w:i/>
              </w:rPr>
            </w:pPr>
            <w:r w:rsidRPr="00BE65E2">
              <w:rPr>
                <w:i/>
              </w:rPr>
              <w:t>44,9</w:t>
            </w:r>
          </w:p>
        </w:tc>
        <w:tc>
          <w:tcPr>
            <w:tcW w:w="393" w:type="pct"/>
            <w:shd w:val="clear" w:color="auto" w:fill="auto"/>
            <w:noWrap/>
          </w:tcPr>
          <w:p w14:paraId="7F9609E9" w14:textId="77777777" w:rsidR="00EA69F4" w:rsidRPr="00BE65E2" w:rsidRDefault="00EA69F4" w:rsidP="00C1771D">
            <w:pPr>
              <w:pStyle w:val="af3"/>
              <w:spacing w:after="60"/>
              <w:rPr>
                <w:i/>
              </w:rPr>
            </w:pPr>
            <w:r w:rsidRPr="00BE65E2">
              <w:rPr>
                <w:i/>
              </w:rPr>
              <w:t>50,6</w:t>
            </w:r>
          </w:p>
        </w:tc>
        <w:tc>
          <w:tcPr>
            <w:tcW w:w="393" w:type="pct"/>
            <w:shd w:val="clear" w:color="auto" w:fill="auto"/>
            <w:noWrap/>
          </w:tcPr>
          <w:p w14:paraId="3A072E0D" w14:textId="77777777" w:rsidR="00EA69F4" w:rsidRPr="00BE65E2" w:rsidRDefault="00EA69F4" w:rsidP="00C1771D">
            <w:pPr>
              <w:pStyle w:val="af3"/>
              <w:spacing w:after="60"/>
              <w:rPr>
                <w:i/>
              </w:rPr>
            </w:pPr>
            <w:r w:rsidRPr="00BE65E2">
              <w:rPr>
                <w:i/>
              </w:rPr>
              <w:t>39,5</w:t>
            </w:r>
          </w:p>
        </w:tc>
        <w:tc>
          <w:tcPr>
            <w:tcW w:w="393" w:type="pct"/>
            <w:shd w:val="clear" w:color="auto" w:fill="auto"/>
            <w:noWrap/>
          </w:tcPr>
          <w:p w14:paraId="407E6CAF" w14:textId="77777777" w:rsidR="00EA69F4" w:rsidRPr="00BE65E2" w:rsidRDefault="00EA69F4" w:rsidP="00C1771D">
            <w:pPr>
              <w:pStyle w:val="af3"/>
              <w:spacing w:after="60"/>
              <w:rPr>
                <w:i/>
              </w:rPr>
            </w:pPr>
            <w:r w:rsidRPr="00BE65E2">
              <w:rPr>
                <w:i/>
              </w:rPr>
              <w:t>36,5</w:t>
            </w:r>
          </w:p>
        </w:tc>
        <w:tc>
          <w:tcPr>
            <w:tcW w:w="393" w:type="pct"/>
            <w:shd w:val="clear" w:color="auto" w:fill="auto"/>
            <w:noWrap/>
          </w:tcPr>
          <w:p w14:paraId="4D1C45BF" w14:textId="77777777" w:rsidR="00EA69F4" w:rsidRPr="00BE65E2" w:rsidRDefault="00EA69F4" w:rsidP="00C1771D">
            <w:pPr>
              <w:pStyle w:val="af3"/>
              <w:spacing w:after="60"/>
              <w:rPr>
                <w:i/>
              </w:rPr>
            </w:pPr>
            <w:r w:rsidRPr="00BE65E2">
              <w:rPr>
                <w:i/>
              </w:rPr>
              <w:t>36,6</w:t>
            </w:r>
          </w:p>
        </w:tc>
        <w:tc>
          <w:tcPr>
            <w:tcW w:w="383" w:type="pct"/>
            <w:shd w:val="clear" w:color="auto" w:fill="auto"/>
            <w:noWrap/>
          </w:tcPr>
          <w:p w14:paraId="50AC97DD" w14:textId="77777777" w:rsidR="00EA69F4" w:rsidRPr="00BE65E2" w:rsidRDefault="00EA69F4" w:rsidP="00C1771D">
            <w:pPr>
              <w:pStyle w:val="af3"/>
              <w:spacing w:after="60"/>
              <w:rPr>
                <w:i/>
              </w:rPr>
            </w:pPr>
            <w:r w:rsidRPr="00BE65E2">
              <w:rPr>
                <w:i/>
              </w:rPr>
              <w:t>38,4</w:t>
            </w:r>
          </w:p>
        </w:tc>
      </w:tr>
      <w:tr w:rsidR="00EA69F4" w:rsidRPr="008E6B24" w14:paraId="79F12F1C" w14:textId="77777777" w:rsidTr="00B94957">
        <w:tc>
          <w:tcPr>
            <w:tcW w:w="1473" w:type="pct"/>
            <w:shd w:val="clear" w:color="auto" w:fill="auto"/>
            <w:noWrap/>
            <w:vAlign w:val="center"/>
            <w:hideMark/>
          </w:tcPr>
          <w:p w14:paraId="38AF2E84" w14:textId="77777777" w:rsidR="00EA69F4" w:rsidRPr="008E6B24" w:rsidRDefault="00EA69F4" w:rsidP="00C1771D">
            <w:pPr>
              <w:pStyle w:val="af2"/>
              <w:spacing w:after="60"/>
              <w:ind w:left="171"/>
            </w:pPr>
            <w:r w:rsidRPr="008E6B24">
              <w:t>на выравнивание бюджетной обеспеченности</w:t>
            </w:r>
          </w:p>
        </w:tc>
        <w:tc>
          <w:tcPr>
            <w:tcW w:w="393" w:type="pct"/>
            <w:shd w:val="clear" w:color="auto" w:fill="auto"/>
            <w:noWrap/>
          </w:tcPr>
          <w:p w14:paraId="339843A3" w14:textId="77777777" w:rsidR="00EA69F4" w:rsidRPr="006D5E7C" w:rsidRDefault="00EA69F4" w:rsidP="00C1771D">
            <w:pPr>
              <w:pStyle w:val="af3"/>
              <w:spacing w:after="60"/>
            </w:pPr>
            <w:r w:rsidRPr="00A4675C">
              <w:t>27,4</w:t>
            </w:r>
          </w:p>
        </w:tc>
        <w:tc>
          <w:tcPr>
            <w:tcW w:w="393" w:type="pct"/>
            <w:shd w:val="clear" w:color="auto" w:fill="auto"/>
            <w:noWrap/>
          </w:tcPr>
          <w:p w14:paraId="73679B34" w14:textId="77777777" w:rsidR="00EA69F4" w:rsidRPr="006D5E7C" w:rsidRDefault="00EA69F4" w:rsidP="00C1771D">
            <w:pPr>
              <w:pStyle w:val="af3"/>
              <w:spacing w:after="60"/>
            </w:pPr>
            <w:r w:rsidRPr="00A4675C">
              <w:t>30,4</w:t>
            </w:r>
          </w:p>
        </w:tc>
        <w:tc>
          <w:tcPr>
            <w:tcW w:w="393" w:type="pct"/>
            <w:shd w:val="clear" w:color="auto" w:fill="auto"/>
            <w:noWrap/>
          </w:tcPr>
          <w:p w14:paraId="68BA15AC" w14:textId="77777777" w:rsidR="00EA69F4" w:rsidRPr="006D5E7C" w:rsidRDefault="00EA69F4" w:rsidP="00C1771D">
            <w:pPr>
              <w:pStyle w:val="af3"/>
              <w:spacing w:after="60"/>
            </w:pPr>
            <w:r w:rsidRPr="00A4675C">
              <w:t>32,8</w:t>
            </w:r>
          </w:p>
        </w:tc>
        <w:tc>
          <w:tcPr>
            <w:tcW w:w="393" w:type="pct"/>
            <w:shd w:val="clear" w:color="auto" w:fill="auto"/>
            <w:noWrap/>
          </w:tcPr>
          <w:p w14:paraId="45DE4405" w14:textId="77777777" w:rsidR="00EA69F4" w:rsidRPr="006D5E7C" w:rsidRDefault="00EA69F4" w:rsidP="00C1771D">
            <w:pPr>
              <w:pStyle w:val="af3"/>
              <w:spacing w:after="60"/>
            </w:pPr>
            <w:r w:rsidRPr="00A4675C">
              <w:t>36,4</w:t>
            </w:r>
          </w:p>
        </w:tc>
        <w:tc>
          <w:tcPr>
            <w:tcW w:w="393" w:type="pct"/>
            <w:shd w:val="clear" w:color="auto" w:fill="auto"/>
            <w:noWrap/>
          </w:tcPr>
          <w:p w14:paraId="7AE45A2A" w14:textId="77777777" w:rsidR="00EA69F4" w:rsidRPr="006D5E7C" w:rsidRDefault="00EA69F4" w:rsidP="00C1771D">
            <w:pPr>
              <w:pStyle w:val="af3"/>
              <w:spacing w:after="60"/>
            </w:pPr>
            <w:r w:rsidRPr="00A4675C">
              <w:t>31,5</w:t>
            </w:r>
          </w:p>
        </w:tc>
        <w:tc>
          <w:tcPr>
            <w:tcW w:w="393" w:type="pct"/>
            <w:shd w:val="clear" w:color="auto" w:fill="auto"/>
            <w:noWrap/>
          </w:tcPr>
          <w:p w14:paraId="2564021C" w14:textId="77777777" w:rsidR="00EA69F4" w:rsidRPr="006D5E7C" w:rsidRDefault="00EA69F4" w:rsidP="00C1771D">
            <w:pPr>
              <w:pStyle w:val="af3"/>
              <w:spacing w:after="60"/>
            </w:pPr>
            <w:r w:rsidRPr="00A4675C">
              <w:t>28,1</w:t>
            </w:r>
          </w:p>
        </w:tc>
        <w:tc>
          <w:tcPr>
            <w:tcW w:w="393" w:type="pct"/>
            <w:shd w:val="clear" w:color="auto" w:fill="auto"/>
            <w:noWrap/>
          </w:tcPr>
          <w:p w14:paraId="08B1A199" w14:textId="77777777" w:rsidR="00EA69F4" w:rsidRPr="006D5E7C" w:rsidRDefault="00EA69F4" w:rsidP="00C1771D">
            <w:pPr>
              <w:pStyle w:val="af3"/>
              <w:spacing w:after="60"/>
            </w:pPr>
            <w:r w:rsidRPr="00A4675C">
              <w:t>28,1</w:t>
            </w:r>
          </w:p>
        </w:tc>
        <w:tc>
          <w:tcPr>
            <w:tcW w:w="393" w:type="pct"/>
            <w:shd w:val="clear" w:color="auto" w:fill="auto"/>
            <w:noWrap/>
          </w:tcPr>
          <w:p w14:paraId="2191319E" w14:textId="77777777" w:rsidR="00EA69F4" w:rsidRPr="006D5E7C" w:rsidRDefault="00EA69F4" w:rsidP="00C1771D">
            <w:pPr>
              <w:pStyle w:val="af3"/>
              <w:spacing w:after="60"/>
            </w:pPr>
            <w:r w:rsidRPr="00A4675C">
              <w:t>28,5</w:t>
            </w:r>
          </w:p>
        </w:tc>
        <w:tc>
          <w:tcPr>
            <w:tcW w:w="383" w:type="pct"/>
            <w:shd w:val="clear" w:color="auto" w:fill="auto"/>
            <w:noWrap/>
          </w:tcPr>
          <w:p w14:paraId="5A29355E" w14:textId="77777777" w:rsidR="00EA69F4" w:rsidRPr="006D5E7C" w:rsidRDefault="00EA69F4" w:rsidP="00C1771D">
            <w:pPr>
              <w:pStyle w:val="af3"/>
              <w:spacing w:after="60"/>
            </w:pPr>
            <w:r w:rsidRPr="00A4675C">
              <w:t>29,9</w:t>
            </w:r>
          </w:p>
        </w:tc>
      </w:tr>
      <w:tr w:rsidR="00EA69F4" w:rsidRPr="008E6B24" w14:paraId="630C7A75" w14:textId="77777777" w:rsidTr="00B94957">
        <w:tc>
          <w:tcPr>
            <w:tcW w:w="1473" w:type="pct"/>
            <w:shd w:val="clear" w:color="auto" w:fill="auto"/>
            <w:noWrap/>
            <w:vAlign w:val="center"/>
            <w:hideMark/>
          </w:tcPr>
          <w:p w14:paraId="34A94ED1" w14:textId="77777777" w:rsidR="00EA69F4" w:rsidRPr="008E6B24" w:rsidRDefault="00EA69F4" w:rsidP="00C1771D">
            <w:pPr>
              <w:pStyle w:val="af2"/>
              <w:spacing w:after="60"/>
              <w:ind w:left="171"/>
            </w:pPr>
            <w:r w:rsidRPr="008E6B24">
              <w:t>на обеспечение сбалансированности бюджетов</w:t>
            </w:r>
          </w:p>
        </w:tc>
        <w:tc>
          <w:tcPr>
            <w:tcW w:w="393" w:type="pct"/>
            <w:shd w:val="clear" w:color="auto" w:fill="auto"/>
            <w:noWrap/>
          </w:tcPr>
          <w:p w14:paraId="5E417553" w14:textId="77777777" w:rsidR="00EA69F4" w:rsidRPr="006D5E7C" w:rsidRDefault="00EA69F4" w:rsidP="00C1771D">
            <w:pPr>
              <w:pStyle w:val="af3"/>
              <w:spacing w:after="60"/>
            </w:pPr>
            <w:r w:rsidRPr="00A4675C">
              <w:t>20,1</w:t>
            </w:r>
          </w:p>
        </w:tc>
        <w:tc>
          <w:tcPr>
            <w:tcW w:w="393" w:type="pct"/>
            <w:shd w:val="clear" w:color="auto" w:fill="auto"/>
            <w:noWrap/>
          </w:tcPr>
          <w:p w14:paraId="103EE359" w14:textId="77777777" w:rsidR="00EA69F4" w:rsidRPr="006D5E7C" w:rsidRDefault="00EA69F4" w:rsidP="00C1771D">
            <w:pPr>
              <w:pStyle w:val="af3"/>
              <w:spacing w:after="60"/>
            </w:pPr>
            <w:r w:rsidRPr="00A4675C">
              <w:t>9,5</w:t>
            </w:r>
          </w:p>
        </w:tc>
        <w:tc>
          <w:tcPr>
            <w:tcW w:w="393" w:type="pct"/>
            <w:shd w:val="clear" w:color="auto" w:fill="auto"/>
            <w:noWrap/>
          </w:tcPr>
          <w:p w14:paraId="57A479EA" w14:textId="77777777" w:rsidR="00EA69F4" w:rsidRPr="006D5E7C" w:rsidRDefault="00EA69F4" w:rsidP="00C1771D">
            <w:pPr>
              <w:pStyle w:val="af3"/>
              <w:spacing w:after="60"/>
            </w:pPr>
            <w:r w:rsidRPr="00A4675C">
              <w:t>8,4</w:t>
            </w:r>
          </w:p>
        </w:tc>
        <w:tc>
          <w:tcPr>
            <w:tcW w:w="393" w:type="pct"/>
            <w:shd w:val="clear" w:color="auto" w:fill="auto"/>
            <w:noWrap/>
          </w:tcPr>
          <w:p w14:paraId="5BE5E2C5" w14:textId="77777777" w:rsidR="00EA69F4" w:rsidRPr="006D5E7C" w:rsidRDefault="00EA69F4" w:rsidP="00C1771D">
            <w:pPr>
              <w:pStyle w:val="af3"/>
              <w:spacing w:after="60"/>
            </w:pPr>
            <w:r w:rsidRPr="00A4675C">
              <w:t>7,9</w:t>
            </w:r>
          </w:p>
        </w:tc>
        <w:tc>
          <w:tcPr>
            <w:tcW w:w="393" w:type="pct"/>
            <w:shd w:val="clear" w:color="auto" w:fill="auto"/>
            <w:noWrap/>
          </w:tcPr>
          <w:p w14:paraId="1D397476" w14:textId="77777777" w:rsidR="00EA69F4" w:rsidRPr="006D5E7C" w:rsidRDefault="00EA69F4" w:rsidP="00C1771D">
            <w:pPr>
              <w:pStyle w:val="af3"/>
              <w:spacing w:after="60"/>
            </w:pPr>
            <w:r w:rsidRPr="00A4675C">
              <w:t>18,6</w:t>
            </w:r>
          </w:p>
        </w:tc>
        <w:tc>
          <w:tcPr>
            <w:tcW w:w="393" w:type="pct"/>
            <w:shd w:val="clear" w:color="auto" w:fill="auto"/>
            <w:noWrap/>
          </w:tcPr>
          <w:p w14:paraId="4035A4FD" w14:textId="77777777" w:rsidR="00EA69F4" w:rsidRPr="006D5E7C" w:rsidRDefault="00EA69F4" w:rsidP="00C1771D">
            <w:pPr>
              <w:pStyle w:val="af3"/>
              <w:spacing w:after="60"/>
            </w:pPr>
            <w:r w:rsidRPr="00A4675C">
              <w:t>8,</w:t>
            </w:r>
            <w:r>
              <w:t>4</w:t>
            </w:r>
          </w:p>
        </w:tc>
        <w:tc>
          <w:tcPr>
            <w:tcW w:w="393" w:type="pct"/>
            <w:shd w:val="clear" w:color="auto" w:fill="auto"/>
            <w:noWrap/>
          </w:tcPr>
          <w:p w14:paraId="65075ABF" w14:textId="77777777" w:rsidR="00EA69F4" w:rsidRPr="006D5E7C" w:rsidRDefault="00EA69F4" w:rsidP="00C1771D">
            <w:pPr>
              <w:pStyle w:val="af3"/>
              <w:spacing w:after="60"/>
            </w:pPr>
            <w:r>
              <w:t>8</w:t>
            </w:r>
            <w:r w:rsidRPr="00A4675C">
              <w:t>,0</w:t>
            </w:r>
          </w:p>
        </w:tc>
        <w:tc>
          <w:tcPr>
            <w:tcW w:w="393" w:type="pct"/>
            <w:shd w:val="clear" w:color="auto" w:fill="auto"/>
            <w:noWrap/>
          </w:tcPr>
          <w:p w14:paraId="66312D3F" w14:textId="77777777" w:rsidR="00EA69F4" w:rsidRPr="006D5E7C" w:rsidRDefault="00EA69F4" w:rsidP="00C1771D">
            <w:pPr>
              <w:pStyle w:val="af3"/>
              <w:spacing w:after="60"/>
            </w:pPr>
            <w:r>
              <w:t>7</w:t>
            </w:r>
            <w:r w:rsidRPr="00A4675C">
              <w:t>,</w:t>
            </w:r>
            <w:r>
              <w:t>7</w:t>
            </w:r>
          </w:p>
        </w:tc>
        <w:tc>
          <w:tcPr>
            <w:tcW w:w="383" w:type="pct"/>
            <w:shd w:val="clear" w:color="auto" w:fill="auto"/>
            <w:noWrap/>
          </w:tcPr>
          <w:p w14:paraId="07A1BE41" w14:textId="77777777" w:rsidR="00EA69F4" w:rsidRPr="006D5E7C" w:rsidRDefault="00EA69F4" w:rsidP="00C1771D">
            <w:pPr>
              <w:pStyle w:val="af3"/>
              <w:spacing w:after="60"/>
            </w:pPr>
            <w:r>
              <w:t>8</w:t>
            </w:r>
            <w:r w:rsidRPr="00A4675C">
              <w:t>,0</w:t>
            </w:r>
          </w:p>
        </w:tc>
      </w:tr>
      <w:tr w:rsidR="00EA69F4" w:rsidRPr="00402377" w14:paraId="3C675279" w14:textId="77777777" w:rsidTr="00B94957">
        <w:tc>
          <w:tcPr>
            <w:tcW w:w="1473" w:type="pct"/>
            <w:shd w:val="clear" w:color="auto" w:fill="auto"/>
            <w:noWrap/>
            <w:vAlign w:val="center"/>
            <w:hideMark/>
          </w:tcPr>
          <w:p w14:paraId="70C2D934" w14:textId="77777777" w:rsidR="00EA69F4" w:rsidRPr="00BE65E2" w:rsidRDefault="00EA69F4" w:rsidP="00C1771D">
            <w:pPr>
              <w:pStyle w:val="af2"/>
              <w:spacing w:after="60"/>
              <w:rPr>
                <w:i/>
              </w:rPr>
            </w:pPr>
            <w:r w:rsidRPr="00BE65E2">
              <w:rPr>
                <w:i/>
              </w:rPr>
              <w:t>Субсидии</w:t>
            </w:r>
          </w:p>
        </w:tc>
        <w:tc>
          <w:tcPr>
            <w:tcW w:w="393" w:type="pct"/>
            <w:shd w:val="clear" w:color="auto" w:fill="auto"/>
            <w:noWrap/>
          </w:tcPr>
          <w:p w14:paraId="7E13A602" w14:textId="77777777" w:rsidR="00EA69F4" w:rsidRPr="00BE65E2" w:rsidRDefault="00EA69F4" w:rsidP="00C1771D">
            <w:pPr>
              <w:pStyle w:val="af3"/>
              <w:spacing w:after="60"/>
              <w:rPr>
                <w:i/>
              </w:rPr>
            </w:pPr>
            <w:r w:rsidRPr="00BE65E2">
              <w:rPr>
                <w:i/>
              </w:rPr>
              <w:t>25,5</w:t>
            </w:r>
          </w:p>
        </w:tc>
        <w:tc>
          <w:tcPr>
            <w:tcW w:w="393" w:type="pct"/>
            <w:shd w:val="clear" w:color="auto" w:fill="auto"/>
            <w:noWrap/>
          </w:tcPr>
          <w:p w14:paraId="52D4A053" w14:textId="77777777" w:rsidR="00EA69F4" w:rsidRPr="00BE65E2" w:rsidRDefault="00EA69F4" w:rsidP="00C1771D">
            <w:pPr>
              <w:pStyle w:val="af3"/>
              <w:spacing w:after="60"/>
              <w:rPr>
                <w:i/>
              </w:rPr>
            </w:pPr>
            <w:r w:rsidRPr="00BE65E2">
              <w:rPr>
                <w:i/>
              </w:rPr>
              <w:t>25,0</w:t>
            </w:r>
          </w:p>
        </w:tc>
        <w:tc>
          <w:tcPr>
            <w:tcW w:w="393" w:type="pct"/>
            <w:shd w:val="clear" w:color="auto" w:fill="auto"/>
            <w:noWrap/>
          </w:tcPr>
          <w:p w14:paraId="421764E5" w14:textId="77777777" w:rsidR="00EA69F4" w:rsidRPr="00BE65E2" w:rsidRDefault="00EA69F4" w:rsidP="00C1771D">
            <w:pPr>
              <w:pStyle w:val="af3"/>
              <w:spacing w:after="60"/>
              <w:rPr>
                <w:i/>
              </w:rPr>
            </w:pPr>
            <w:r w:rsidRPr="00BE65E2">
              <w:rPr>
                <w:i/>
              </w:rPr>
              <w:t>22,7</w:t>
            </w:r>
          </w:p>
        </w:tc>
        <w:tc>
          <w:tcPr>
            <w:tcW w:w="393" w:type="pct"/>
            <w:shd w:val="clear" w:color="auto" w:fill="auto"/>
            <w:noWrap/>
          </w:tcPr>
          <w:p w14:paraId="16868FBE" w14:textId="77777777" w:rsidR="00EA69F4" w:rsidRPr="00BE65E2" w:rsidRDefault="00EA69F4" w:rsidP="00C1771D">
            <w:pPr>
              <w:pStyle w:val="af3"/>
              <w:spacing w:after="60"/>
              <w:rPr>
                <w:i/>
              </w:rPr>
            </w:pPr>
            <w:r w:rsidRPr="00BE65E2">
              <w:rPr>
                <w:i/>
              </w:rPr>
              <w:t>24,8</w:t>
            </w:r>
          </w:p>
        </w:tc>
        <w:tc>
          <w:tcPr>
            <w:tcW w:w="393" w:type="pct"/>
            <w:shd w:val="clear" w:color="auto" w:fill="auto"/>
            <w:noWrap/>
          </w:tcPr>
          <w:p w14:paraId="43452ABD" w14:textId="77777777" w:rsidR="00EA69F4" w:rsidRPr="00BE65E2" w:rsidRDefault="00EA69F4" w:rsidP="00C1771D">
            <w:pPr>
              <w:pStyle w:val="af3"/>
              <w:spacing w:after="60"/>
              <w:rPr>
                <w:i/>
              </w:rPr>
            </w:pPr>
            <w:r w:rsidRPr="00BE65E2">
              <w:rPr>
                <w:i/>
              </w:rPr>
              <w:t>18,7</w:t>
            </w:r>
          </w:p>
        </w:tc>
        <w:tc>
          <w:tcPr>
            <w:tcW w:w="393" w:type="pct"/>
            <w:shd w:val="clear" w:color="auto" w:fill="auto"/>
            <w:noWrap/>
          </w:tcPr>
          <w:p w14:paraId="4F856FC6" w14:textId="77777777" w:rsidR="00EA69F4" w:rsidRPr="00BE65E2" w:rsidRDefault="00EA69F4" w:rsidP="00C1771D">
            <w:pPr>
              <w:pStyle w:val="af3"/>
              <w:spacing w:after="60"/>
              <w:rPr>
                <w:i/>
              </w:rPr>
            </w:pPr>
            <w:r w:rsidRPr="00BE65E2">
              <w:rPr>
                <w:i/>
              </w:rPr>
              <w:t>26,0</w:t>
            </w:r>
          </w:p>
        </w:tc>
        <w:tc>
          <w:tcPr>
            <w:tcW w:w="393" w:type="pct"/>
            <w:shd w:val="clear" w:color="auto" w:fill="auto"/>
            <w:noWrap/>
          </w:tcPr>
          <w:p w14:paraId="4D1DD3F9" w14:textId="77777777" w:rsidR="00EA69F4" w:rsidRPr="00BE65E2" w:rsidRDefault="00EA69F4" w:rsidP="00C1771D">
            <w:pPr>
              <w:pStyle w:val="af3"/>
              <w:spacing w:after="60"/>
              <w:rPr>
                <w:i/>
              </w:rPr>
            </w:pPr>
            <w:r w:rsidRPr="00BE65E2">
              <w:rPr>
                <w:i/>
              </w:rPr>
              <w:t>30,0</w:t>
            </w:r>
          </w:p>
        </w:tc>
        <w:tc>
          <w:tcPr>
            <w:tcW w:w="393" w:type="pct"/>
            <w:shd w:val="clear" w:color="auto" w:fill="auto"/>
            <w:noWrap/>
          </w:tcPr>
          <w:p w14:paraId="0C59D785" w14:textId="77777777" w:rsidR="00EA69F4" w:rsidRPr="00BE65E2" w:rsidRDefault="00EA69F4" w:rsidP="00C1771D">
            <w:pPr>
              <w:pStyle w:val="af3"/>
              <w:spacing w:after="60"/>
              <w:rPr>
                <w:i/>
              </w:rPr>
            </w:pPr>
            <w:r w:rsidRPr="00BE65E2">
              <w:rPr>
                <w:i/>
              </w:rPr>
              <w:t>28,0</w:t>
            </w:r>
          </w:p>
        </w:tc>
        <w:tc>
          <w:tcPr>
            <w:tcW w:w="383" w:type="pct"/>
            <w:shd w:val="clear" w:color="auto" w:fill="auto"/>
            <w:noWrap/>
          </w:tcPr>
          <w:p w14:paraId="6DADB78B" w14:textId="77777777" w:rsidR="00EA69F4" w:rsidRPr="00BE65E2" w:rsidRDefault="00EA69F4" w:rsidP="00C1771D">
            <w:pPr>
              <w:pStyle w:val="af3"/>
              <w:spacing w:after="60"/>
              <w:rPr>
                <w:i/>
              </w:rPr>
            </w:pPr>
            <w:r w:rsidRPr="00BE65E2">
              <w:rPr>
                <w:i/>
              </w:rPr>
              <w:t>29,2</w:t>
            </w:r>
          </w:p>
        </w:tc>
      </w:tr>
      <w:tr w:rsidR="00EA69F4" w:rsidRPr="00402377" w14:paraId="63E41EE2" w14:textId="77777777" w:rsidTr="00B94957">
        <w:tc>
          <w:tcPr>
            <w:tcW w:w="1473" w:type="pct"/>
            <w:shd w:val="clear" w:color="auto" w:fill="auto"/>
            <w:noWrap/>
            <w:vAlign w:val="center"/>
            <w:hideMark/>
          </w:tcPr>
          <w:p w14:paraId="62D3B2EA" w14:textId="77777777" w:rsidR="00EA69F4" w:rsidRPr="00BE65E2" w:rsidRDefault="00EA69F4" w:rsidP="00C1771D">
            <w:pPr>
              <w:pStyle w:val="af2"/>
              <w:spacing w:after="60"/>
              <w:rPr>
                <w:i/>
              </w:rPr>
            </w:pPr>
            <w:r w:rsidRPr="00BE65E2">
              <w:rPr>
                <w:i/>
              </w:rPr>
              <w:t>Субвенции</w:t>
            </w:r>
          </w:p>
        </w:tc>
        <w:tc>
          <w:tcPr>
            <w:tcW w:w="393" w:type="pct"/>
            <w:shd w:val="clear" w:color="auto" w:fill="auto"/>
            <w:noWrap/>
          </w:tcPr>
          <w:p w14:paraId="6E83955E" w14:textId="77777777" w:rsidR="00EA69F4" w:rsidRPr="00BE65E2" w:rsidRDefault="00EA69F4" w:rsidP="00C1771D">
            <w:pPr>
              <w:pStyle w:val="af3"/>
              <w:spacing w:after="60"/>
              <w:rPr>
                <w:i/>
              </w:rPr>
            </w:pPr>
            <w:r w:rsidRPr="00BE65E2">
              <w:rPr>
                <w:i/>
              </w:rPr>
              <w:t>19,2</w:t>
            </w:r>
          </w:p>
        </w:tc>
        <w:tc>
          <w:tcPr>
            <w:tcW w:w="393" w:type="pct"/>
            <w:shd w:val="clear" w:color="auto" w:fill="auto"/>
            <w:noWrap/>
          </w:tcPr>
          <w:p w14:paraId="49063999" w14:textId="77777777" w:rsidR="00EA69F4" w:rsidRPr="00BE65E2" w:rsidRDefault="00EA69F4" w:rsidP="00C1771D">
            <w:pPr>
              <w:pStyle w:val="af3"/>
              <w:spacing w:after="60"/>
              <w:rPr>
                <w:i/>
              </w:rPr>
            </w:pPr>
            <w:r w:rsidRPr="00BE65E2">
              <w:rPr>
                <w:i/>
              </w:rPr>
              <w:t>21,0</w:t>
            </w:r>
          </w:p>
        </w:tc>
        <w:tc>
          <w:tcPr>
            <w:tcW w:w="393" w:type="pct"/>
            <w:shd w:val="clear" w:color="auto" w:fill="auto"/>
            <w:noWrap/>
          </w:tcPr>
          <w:p w14:paraId="0EDC8591" w14:textId="77777777" w:rsidR="00EA69F4" w:rsidRPr="00BE65E2" w:rsidRDefault="00EA69F4" w:rsidP="00C1771D">
            <w:pPr>
              <w:pStyle w:val="af3"/>
              <w:spacing w:after="60"/>
              <w:rPr>
                <w:i/>
              </w:rPr>
            </w:pPr>
            <w:r w:rsidRPr="00BE65E2">
              <w:rPr>
                <w:i/>
              </w:rPr>
              <w:t>21,3</w:t>
            </w:r>
          </w:p>
        </w:tc>
        <w:tc>
          <w:tcPr>
            <w:tcW w:w="393" w:type="pct"/>
            <w:shd w:val="clear" w:color="auto" w:fill="auto"/>
            <w:noWrap/>
          </w:tcPr>
          <w:p w14:paraId="3CFCBD21" w14:textId="77777777" w:rsidR="00EA69F4" w:rsidRPr="00BE65E2" w:rsidRDefault="00EA69F4" w:rsidP="00C1771D">
            <w:pPr>
              <w:pStyle w:val="af3"/>
              <w:spacing w:after="60"/>
              <w:rPr>
                <w:i/>
              </w:rPr>
            </w:pPr>
            <w:r w:rsidRPr="00BE65E2">
              <w:rPr>
                <w:i/>
              </w:rPr>
              <w:t>19,3</w:t>
            </w:r>
          </w:p>
        </w:tc>
        <w:tc>
          <w:tcPr>
            <w:tcW w:w="393" w:type="pct"/>
            <w:shd w:val="clear" w:color="auto" w:fill="auto"/>
            <w:noWrap/>
          </w:tcPr>
          <w:p w14:paraId="46F07055" w14:textId="77777777" w:rsidR="00EA69F4" w:rsidRPr="00BE65E2" w:rsidRDefault="00EA69F4" w:rsidP="00C1771D">
            <w:pPr>
              <w:pStyle w:val="af3"/>
              <w:spacing w:after="60"/>
              <w:rPr>
                <w:i/>
              </w:rPr>
            </w:pPr>
            <w:r w:rsidRPr="00BE65E2">
              <w:rPr>
                <w:i/>
              </w:rPr>
              <w:t>16,2</w:t>
            </w:r>
          </w:p>
        </w:tc>
        <w:tc>
          <w:tcPr>
            <w:tcW w:w="393" w:type="pct"/>
            <w:shd w:val="clear" w:color="auto" w:fill="auto"/>
            <w:noWrap/>
          </w:tcPr>
          <w:p w14:paraId="11124273" w14:textId="77777777" w:rsidR="00EA69F4" w:rsidRPr="00BE65E2" w:rsidRDefault="00EA69F4" w:rsidP="00C1771D">
            <w:pPr>
              <w:pStyle w:val="af3"/>
              <w:spacing w:after="60"/>
              <w:rPr>
                <w:i/>
              </w:rPr>
            </w:pPr>
            <w:r w:rsidRPr="00BE65E2">
              <w:rPr>
                <w:i/>
              </w:rPr>
              <w:t>16,0</w:t>
            </w:r>
          </w:p>
        </w:tc>
        <w:tc>
          <w:tcPr>
            <w:tcW w:w="393" w:type="pct"/>
            <w:shd w:val="clear" w:color="auto" w:fill="auto"/>
            <w:noWrap/>
          </w:tcPr>
          <w:p w14:paraId="048BF9E4" w14:textId="77777777" w:rsidR="00EA69F4" w:rsidRPr="00BE65E2" w:rsidRDefault="00EA69F4" w:rsidP="00C1771D">
            <w:pPr>
              <w:pStyle w:val="af3"/>
              <w:spacing w:after="60"/>
              <w:rPr>
                <w:i/>
              </w:rPr>
            </w:pPr>
            <w:r w:rsidRPr="00BE65E2">
              <w:rPr>
                <w:i/>
              </w:rPr>
              <w:t>20,2</w:t>
            </w:r>
          </w:p>
        </w:tc>
        <w:tc>
          <w:tcPr>
            <w:tcW w:w="393" w:type="pct"/>
            <w:shd w:val="clear" w:color="auto" w:fill="auto"/>
            <w:noWrap/>
          </w:tcPr>
          <w:p w14:paraId="08FE5794" w14:textId="77777777" w:rsidR="00EA69F4" w:rsidRPr="00BE65E2" w:rsidRDefault="00EA69F4" w:rsidP="00C1771D">
            <w:pPr>
              <w:pStyle w:val="af3"/>
              <w:spacing w:after="60"/>
              <w:rPr>
                <w:i/>
              </w:rPr>
            </w:pPr>
            <w:r w:rsidRPr="00BE65E2">
              <w:rPr>
                <w:i/>
              </w:rPr>
              <w:t>20,2</w:t>
            </w:r>
          </w:p>
        </w:tc>
        <w:tc>
          <w:tcPr>
            <w:tcW w:w="383" w:type="pct"/>
            <w:shd w:val="clear" w:color="auto" w:fill="auto"/>
            <w:noWrap/>
          </w:tcPr>
          <w:p w14:paraId="207281A3" w14:textId="77777777" w:rsidR="00EA69F4" w:rsidRPr="00BE65E2" w:rsidRDefault="00EA69F4" w:rsidP="00C1771D">
            <w:pPr>
              <w:pStyle w:val="af3"/>
              <w:spacing w:after="60"/>
              <w:rPr>
                <w:i/>
              </w:rPr>
            </w:pPr>
            <w:r w:rsidRPr="00BE65E2">
              <w:rPr>
                <w:i/>
              </w:rPr>
              <w:t>21,4</w:t>
            </w:r>
          </w:p>
        </w:tc>
      </w:tr>
      <w:tr w:rsidR="00EA69F4" w:rsidRPr="00402377" w14:paraId="1DF9B62B" w14:textId="77777777" w:rsidTr="00B94957">
        <w:tc>
          <w:tcPr>
            <w:tcW w:w="1473" w:type="pct"/>
            <w:shd w:val="clear" w:color="auto" w:fill="auto"/>
            <w:noWrap/>
            <w:vAlign w:val="center"/>
            <w:hideMark/>
          </w:tcPr>
          <w:p w14:paraId="4181A7AE" w14:textId="77777777" w:rsidR="00EA69F4" w:rsidRPr="00BE65E2" w:rsidRDefault="00EA69F4" w:rsidP="00C1771D">
            <w:pPr>
              <w:pStyle w:val="af2"/>
              <w:spacing w:after="60"/>
              <w:rPr>
                <w:i/>
              </w:rPr>
            </w:pPr>
            <w:r w:rsidRPr="00BE65E2">
              <w:rPr>
                <w:i/>
              </w:rPr>
              <w:t>Иные межбюджетные трансферты</w:t>
            </w:r>
          </w:p>
        </w:tc>
        <w:tc>
          <w:tcPr>
            <w:tcW w:w="393" w:type="pct"/>
            <w:shd w:val="clear" w:color="auto" w:fill="auto"/>
            <w:noWrap/>
          </w:tcPr>
          <w:p w14:paraId="260AA76A" w14:textId="77777777" w:rsidR="00EA69F4" w:rsidRPr="00BE65E2" w:rsidRDefault="00EA69F4" w:rsidP="00C1771D">
            <w:pPr>
              <w:pStyle w:val="af3"/>
              <w:spacing w:after="60"/>
              <w:rPr>
                <w:i/>
              </w:rPr>
            </w:pPr>
            <w:r w:rsidRPr="00BE65E2">
              <w:rPr>
                <w:i/>
              </w:rPr>
              <w:t>7,1</w:t>
            </w:r>
          </w:p>
        </w:tc>
        <w:tc>
          <w:tcPr>
            <w:tcW w:w="393" w:type="pct"/>
            <w:shd w:val="clear" w:color="auto" w:fill="auto"/>
            <w:noWrap/>
          </w:tcPr>
          <w:p w14:paraId="01C541E3" w14:textId="77777777" w:rsidR="00EA69F4" w:rsidRPr="00BE65E2" w:rsidRDefault="00EA69F4" w:rsidP="00C1771D">
            <w:pPr>
              <w:pStyle w:val="af3"/>
              <w:spacing w:after="60"/>
              <w:rPr>
                <w:i/>
              </w:rPr>
            </w:pPr>
            <w:r w:rsidRPr="00BE65E2">
              <w:rPr>
                <w:i/>
              </w:rPr>
              <w:t>13,5</w:t>
            </w:r>
          </w:p>
        </w:tc>
        <w:tc>
          <w:tcPr>
            <w:tcW w:w="393" w:type="pct"/>
            <w:shd w:val="clear" w:color="auto" w:fill="auto"/>
            <w:noWrap/>
          </w:tcPr>
          <w:p w14:paraId="077D53AC" w14:textId="77777777" w:rsidR="00EA69F4" w:rsidRPr="00BE65E2" w:rsidRDefault="00EA69F4" w:rsidP="00C1771D">
            <w:pPr>
              <w:pStyle w:val="af3"/>
              <w:spacing w:after="60"/>
              <w:rPr>
                <w:i/>
              </w:rPr>
            </w:pPr>
            <w:r w:rsidRPr="00BE65E2">
              <w:rPr>
                <w:i/>
              </w:rPr>
              <w:t>14,1</w:t>
            </w:r>
          </w:p>
        </w:tc>
        <w:tc>
          <w:tcPr>
            <w:tcW w:w="393" w:type="pct"/>
            <w:shd w:val="clear" w:color="auto" w:fill="auto"/>
            <w:noWrap/>
          </w:tcPr>
          <w:p w14:paraId="6DFF956C" w14:textId="77777777" w:rsidR="00EA69F4" w:rsidRPr="00BE65E2" w:rsidRDefault="00EA69F4" w:rsidP="00C1771D">
            <w:pPr>
              <w:pStyle w:val="af3"/>
              <w:spacing w:after="60"/>
              <w:rPr>
                <w:i/>
              </w:rPr>
            </w:pPr>
            <w:r w:rsidRPr="00BE65E2">
              <w:rPr>
                <w:i/>
              </w:rPr>
              <w:t>11,0</w:t>
            </w:r>
          </w:p>
        </w:tc>
        <w:tc>
          <w:tcPr>
            <w:tcW w:w="393" w:type="pct"/>
            <w:shd w:val="clear" w:color="auto" w:fill="auto"/>
            <w:noWrap/>
          </w:tcPr>
          <w:p w14:paraId="011439F4" w14:textId="77777777" w:rsidR="00EA69F4" w:rsidRPr="00BE65E2" w:rsidRDefault="00EA69F4" w:rsidP="00C1771D">
            <w:pPr>
              <w:pStyle w:val="af3"/>
              <w:spacing w:after="60"/>
              <w:rPr>
                <w:i/>
              </w:rPr>
            </w:pPr>
            <w:r w:rsidRPr="00BE65E2">
              <w:rPr>
                <w:i/>
              </w:rPr>
              <w:t>14,5</w:t>
            </w:r>
          </w:p>
        </w:tc>
        <w:tc>
          <w:tcPr>
            <w:tcW w:w="393" w:type="pct"/>
            <w:shd w:val="clear" w:color="auto" w:fill="auto"/>
            <w:noWrap/>
          </w:tcPr>
          <w:p w14:paraId="7FFFF537" w14:textId="77777777" w:rsidR="00EA69F4" w:rsidRPr="00BE65E2" w:rsidRDefault="00EA69F4" w:rsidP="00C1771D">
            <w:pPr>
              <w:pStyle w:val="af3"/>
              <w:spacing w:after="60"/>
              <w:rPr>
                <w:i/>
              </w:rPr>
            </w:pPr>
            <w:r w:rsidRPr="00BE65E2">
              <w:rPr>
                <w:i/>
              </w:rPr>
              <w:t>18,4</w:t>
            </w:r>
          </w:p>
        </w:tc>
        <w:tc>
          <w:tcPr>
            <w:tcW w:w="393" w:type="pct"/>
            <w:shd w:val="clear" w:color="auto" w:fill="auto"/>
            <w:noWrap/>
          </w:tcPr>
          <w:p w14:paraId="196F4C4D" w14:textId="77777777" w:rsidR="00EA69F4" w:rsidRPr="00BE65E2" w:rsidRDefault="00EA69F4" w:rsidP="00C1771D">
            <w:pPr>
              <w:pStyle w:val="af3"/>
              <w:spacing w:after="60"/>
              <w:rPr>
                <w:i/>
              </w:rPr>
            </w:pPr>
            <w:r w:rsidRPr="00BE65E2">
              <w:rPr>
                <w:i/>
              </w:rPr>
              <w:t>13,3</w:t>
            </w:r>
          </w:p>
        </w:tc>
        <w:tc>
          <w:tcPr>
            <w:tcW w:w="393" w:type="pct"/>
            <w:shd w:val="clear" w:color="auto" w:fill="auto"/>
            <w:noWrap/>
          </w:tcPr>
          <w:p w14:paraId="5DCED4A7" w14:textId="77777777" w:rsidR="00EA69F4" w:rsidRPr="00BE65E2" w:rsidRDefault="00EA69F4" w:rsidP="00C1771D">
            <w:pPr>
              <w:pStyle w:val="af3"/>
              <w:spacing w:after="60"/>
              <w:rPr>
                <w:i/>
              </w:rPr>
            </w:pPr>
            <w:r w:rsidRPr="00BE65E2">
              <w:rPr>
                <w:i/>
              </w:rPr>
              <w:t>15,3</w:t>
            </w:r>
          </w:p>
        </w:tc>
        <w:tc>
          <w:tcPr>
            <w:tcW w:w="383" w:type="pct"/>
            <w:shd w:val="clear" w:color="auto" w:fill="auto"/>
            <w:noWrap/>
          </w:tcPr>
          <w:p w14:paraId="62C0EAB9" w14:textId="77777777" w:rsidR="00EA69F4" w:rsidRPr="00BE65E2" w:rsidRDefault="00EA69F4" w:rsidP="00C1771D">
            <w:pPr>
              <w:pStyle w:val="af3"/>
              <w:spacing w:after="60"/>
              <w:rPr>
                <w:i/>
              </w:rPr>
            </w:pPr>
            <w:r w:rsidRPr="00BE65E2">
              <w:rPr>
                <w:i/>
              </w:rPr>
              <w:t>11,0</w:t>
            </w:r>
          </w:p>
        </w:tc>
      </w:tr>
      <w:tr w:rsidR="00EA69F4" w:rsidRPr="00402377" w14:paraId="6AF5DE4F" w14:textId="77777777" w:rsidTr="00B94957">
        <w:tc>
          <w:tcPr>
            <w:tcW w:w="1473" w:type="pct"/>
            <w:shd w:val="clear" w:color="auto" w:fill="auto"/>
            <w:noWrap/>
            <w:vAlign w:val="center"/>
          </w:tcPr>
          <w:p w14:paraId="0FCE45DF" w14:textId="77777777" w:rsidR="00EA69F4" w:rsidRPr="00BE65E2" w:rsidRDefault="00EA69F4" w:rsidP="00C1771D">
            <w:pPr>
              <w:pStyle w:val="af2"/>
              <w:spacing w:after="60"/>
              <w:rPr>
                <w:b/>
              </w:rPr>
            </w:pPr>
            <w:r w:rsidRPr="00BE65E2">
              <w:rPr>
                <w:b/>
              </w:rPr>
              <w:t>ВСЕГО без субвенций</w:t>
            </w:r>
          </w:p>
        </w:tc>
        <w:tc>
          <w:tcPr>
            <w:tcW w:w="393" w:type="pct"/>
            <w:shd w:val="clear" w:color="auto" w:fill="auto"/>
            <w:noWrap/>
          </w:tcPr>
          <w:p w14:paraId="775B42F7" w14:textId="77777777" w:rsidR="00EA69F4" w:rsidRPr="00BE65E2" w:rsidRDefault="00EA69F4" w:rsidP="00C1771D">
            <w:pPr>
              <w:pStyle w:val="af3"/>
              <w:spacing w:after="60"/>
              <w:rPr>
                <w:b/>
              </w:rPr>
            </w:pPr>
            <w:r w:rsidRPr="00BE65E2">
              <w:rPr>
                <w:b/>
              </w:rPr>
              <w:t>80,8</w:t>
            </w:r>
          </w:p>
        </w:tc>
        <w:tc>
          <w:tcPr>
            <w:tcW w:w="393" w:type="pct"/>
            <w:shd w:val="clear" w:color="auto" w:fill="auto"/>
            <w:noWrap/>
          </w:tcPr>
          <w:p w14:paraId="0324FE76" w14:textId="77777777" w:rsidR="00EA69F4" w:rsidRPr="00BE65E2" w:rsidRDefault="00EA69F4" w:rsidP="00C1771D">
            <w:pPr>
              <w:pStyle w:val="af3"/>
              <w:spacing w:after="60"/>
              <w:rPr>
                <w:b/>
              </w:rPr>
            </w:pPr>
            <w:r w:rsidRPr="00BE65E2">
              <w:rPr>
                <w:b/>
              </w:rPr>
              <w:t>79,0</w:t>
            </w:r>
          </w:p>
        </w:tc>
        <w:tc>
          <w:tcPr>
            <w:tcW w:w="393" w:type="pct"/>
            <w:shd w:val="clear" w:color="auto" w:fill="auto"/>
            <w:noWrap/>
          </w:tcPr>
          <w:p w14:paraId="3D42AABE" w14:textId="77777777" w:rsidR="00EA69F4" w:rsidRPr="00BE65E2" w:rsidRDefault="00EA69F4" w:rsidP="00C1771D">
            <w:pPr>
              <w:pStyle w:val="af3"/>
              <w:spacing w:after="60"/>
              <w:rPr>
                <w:b/>
              </w:rPr>
            </w:pPr>
            <w:r w:rsidRPr="00BE65E2">
              <w:rPr>
                <w:b/>
              </w:rPr>
              <w:t>78,7</w:t>
            </w:r>
          </w:p>
        </w:tc>
        <w:tc>
          <w:tcPr>
            <w:tcW w:w="393" w:type="pct"/>
            <w:shd w:val="clear" w:color="auto" w:fill="auto"/>
            <w:noWrap/>
          </w:tcPr>
          <w:p w14:paraId="419D0581" w14:textId="77777777" w:rsidR="00EA69F4" w:rsidRPr="00BE65E2" w:rsidRDefault="00EA69F4" w:rsidP="00C1771D">
            <w:pPr>
              <w:pStyle w:val="af3"/>
              <w:spacing w:after="60"/>
              <w:rPr>
                <w:b/>
              </w:rPr>
            </w:pPr>
            <w:r w:rsidRPr="00BE65E2">
              <w:rPr>
                <w:b/>
              </w:rPr>
              <w:t>80,7</w:t>
            </w:r>
          </w:p>
        </w:tc>
        <w:tc>
          <w:tcPr>
            <w:tcW w:w="393" w:type="pct"/>
            <w:shd w:val="clear" w:color="auto" w:fill="auto"/>
            <w:noWrap/>
          </w:tcPr>
          <w:p w14:paraId="3FE90579" w14:textId="77777777" w:rsidR="00EA69F4" w:rsidRPr="00BE65E2" w:rsidRDefault="00EA69F4" w:rsidP="00C1771D">
            <w:pPr>
              <w:pStyle w:val="af3"/>
              <w:spacing w:after="60"/>
              <w:rPr>
                <w:b/>
              </w:rPr>
            </w:pPr>
            <w:r w:rsidRPr="00BE65E2">
              <w:rPr>
                <w:b/>
              </w:rPr>
              <w:t>83,8</w:t>
            </w:r>
          </w:p>
        </w:tc>
        <w:tc>
          <w:tcPr>
            <w:tcW w:w="393" w:type="pct"/>
            <w:shd w:val="clear" w:color="auto" w:fill="auto"/>
            <w:noWrap/>
          </w:tcPr>
          <w:p w14:paraId="6983C41A" w14:textId="77777777" w:rsidR="00EA69F4" w:rsidRPr="00BE65E2" w:rsidRDefault="00EA69F4" w:rsidP="00C1771D">
            <w:pPr>
              <w:pStyle w:val="af3"/>
              <w:spacing w:after="60"/>
              <w:rPr>
                <w:b/>
              </w:rPr>
            </w:pPr>
            <w:r w:rsidRPr="00BE65E2">
              <w:rPr>
                <w:b/>
              </w:rPr>
              <w:t>84,0</w:t>
            </w:r>
          </w:p>
        </w:tc>
        <w:tc>
          <w:tcPr>
            <w:tcW w:w="393" w:type="pct"/>
            <w:shd w:val="clear" w:color="auto" w:fill="auto"/>
            <w:noWrap/>
          </w:tcPr>
          <w:p w14:paraId="7F070EC8" w14:textId="77777777" w:rsidR="00EA69F4" w:rsidRPr="00BE65E2" w:rsidRDefault="00EA69F4" w:rsidP="00C1771D">
            <w:pPr>
              <w:pStyle w:val="af3"/>
              <w:spacing w:after="60"/>
              <w:rPr>
                <w:b/>
              </w:rPr>
            </w:pPr>
            <w:r w:rsidRPr="00BE65E2">
              <w:rPr>
                <w:b/>
              </w:rPr>
              <w:t>79,8</w:t>
            </w:r>
          </w:p>
        </w:tc>
        <w:tc>
          <w:tcPr>
            <w:tcW w:w="393" w:type="pct"/>
            <w:shd w:val="clear" w:color="auto" w:fill="auto"/>
            <w:noWrap/>
          </w:tcPr>
          <w:p w14:paraId="4CCEF9BA" w14:textId="77777777" w:rsidR="00EA69F4" w:rsidRPr="00BE65E2" w:rsidRDefault="00EA69F4" w:rsidP="00C1771D">
            <w:pPr>
              <w:pStyle w:val="af3"/>
              <w:spacing w:after="60"/>
              <w:rPr>
                <w:b/>
              </w:rPr>
            </w:pPr>
            <w:r w:rsidRPr="00BE65E2">
              <w:rPr>
                <w:b/>
              </w:rPr>
              <w:t>79,8</w:t>
            </w:r>
          </w:p>
        </w:tc>
        <w:tc>
          <w:tcPr>
            <w:tcW w:w="383" w:type="pct"/>
            <w:shd w:val="clear" w:color="auto" w:fill="auto"/>
            <w:noWrap/>
          </w:tcPr>
          <w:p w14:paraId="3B4F4424" w14:textId="77777777" w:rsidR="00EA69F4" w:rsidRPr="00BE65E2" w:rsidRDefault="00EA69F4" w:rsidP="00C1771D">
            <w:pPr>
              <w:pStyle w:val="af3"/>
              <w:spacing w:after="60"/>
              <w:rPr>
                <w:b/>
              </w:rPr>
            </w:pPr>
            <w:r w:rsidRPr="00BE65E2">
              <w:rPr>
                <w:b/>
              </w:rPr>
              <w:t>78,6</w:t>
            </w:r>
          </w:p>
        </w:tc>
      </w:tr>
    </w:tbl>
    <w:p w14:paraId="755E769B" w14:textId="77777777" w:rsidR="00EA69F4" w:rsidRPr="008E6B24" w:rsidRDefault="00EA69F4" w:rsidP="00EA69F4">
      <w:pPr>
        <w:pStyle w:val="af0"/>
        <w:spacing w:before="0" w:after="60"/>
        <w:ind w:firstLine="709"/>
      </w:pPr>
      <w:r w:rsidRPr="0002614E">
        <w:rPr>
          <w:i/>
          <w:sz w:val="20"/>
        </w:rPr>
        <w:t>Источник:</w:t>
      </w:r>
      <w:r w:rsidRPr="0002614E">
        <w:rPr>
          <w:sz w:val="20"/>
        </w:rPr>
        <w:t xml:space="preserve"> Пояснительная записка к проекту федерального закона «О федеральном бюджете на 20</w:t>
      </w:r>
      <w:r>
        <w:rPr>
          <w:sz w:val="20"/>
        </w:rPr>
        <w:t>20</w:t>
      </w:r>
      <w:r w:rsidRPr="0002614E">
        <w:rPr>
          <w:sz w:val="20"/>
        </w:rPr>
        <w:t xml:space="preserve"> год и на плановый период 202</w:t>
      </w:r>
      <w:r>
        <w:rPr>
          <w:sz w:val="20"/>
        </w:rPr>
        <w:t>1</w:t>
      </w:r>
      <w:r w:rsidRPr="0002614E">
        <w:rPr>
          <w:sz w:val="20"/>
        </w:rPr>
        <w:t xml:space="preserve"> и 202</w:t>
      </w:r>
      <w:r>
        <w:rPr>
          <w:sz w:val="20"/>
        </w:rPr>
        <w:t>2</w:t>
      </w:r>
      <w:r w:rsidRPr="0002614E">
        <w:rPr>
          <w:sz w:val="20"/>
        </w:rPr>
        <w:t xml:space="preserve"> годов», Федеральное казначейство, Минфин России, Росстат, расчеты авторов.</w:t>
      </w:r>
    </w:p>
    <w:p w14:paraId="43F90687" w14:textId="14798061" w:rsidR="00EA69F4" w:rsidRDefault="00EA69F4" w:rsidP="00EA69F4">
      <w:pPr>
        <w:spacing w:after="60"/>
        <w:ind w:firstLine="709"/>
        <w:jc w:val="both"/>
        <w:rPr>
          <w:szCs w:val="20"/>
        </w:rPr>
      </w:pPr>
      <w:r>
        <w:rPr>
          <w:szCs w:val="20"/>
        </w:rPr>
        <w:t xml:space="preserve">Сокращение реального объема трансфертов в 2021–2022 гг. приведет к сокращению реального объема доходов консолидированных региональных бюджетов, как видно из </w:t>
      </w:r>
      <w:r w:rsidRPr="00A7415B">
        <w:rPr>
          <w:i/>
          <w:szCs w:val="20"/>
        </w:rPr>
        <w:t>табл</w:t>
      </w:r>
      <w:r w:rsidR="00402377" w:rsidRPr="00A7415B">
        <w:rPr>
          <w:i/>
          <w:szCs w:val="20"/>
        </w:rPr>
        <w:t>ицы</w:t>
      </w:r>
      <w:r w:rsidR="00A7415B" w:rsidRPr="00A7415B">
        <w:rPr>
          <w:i/>
          <w:szCs w:val="20"/>
        </w:rPr>
        <w:t xml:space="preserve"> </w:t>
      </w:r>
      <w:r w:rsidR="008529A6" w:rsidRPr="008529A6">
        <w:rPr>
          <w:i/>
          <w:noProof/>
        </w:rPr>
        <w:t>39</w:t>
      </w:r>
      <w:r>
        <w:rPr>
          <w:szCs w:val="20"/>
        </w:rPr>
        <w:t xml:space="preserve">. То есть прогнозируемое сокращение налоговых и неналоговых доходов в 2021 г. усугубляется сокращением трансфертов из федерального бюджета, а рост налоговых и неналоговых доходов в 2022 г. нивелируется дальнейшим сокращением трансфертов из федерального бюджета. Это создает риски усиления дифференциации регионов по </w:t>
      </w:r>
      <w:r w:rsidRPr="006C4C02">
        <w:rPr>
          <w:szCs w:val="20"/>
        </w:rPr>
        <w:t>уровню бюджетной обеспеченности после предоставления всех трансфертов</w:t>
      </w:r>
      <w:r>
        <w:rPr>
          <w:szCs w:val="20"/>
        </w:rPr>
        <w:t xml:space="preserve"> по сравнению с предыдущими годами</w:t>
      </w:r>
      <w:r w:rsidRPr="006C4C02">
        <w:rPr>
          <w:szCs w:val="20"/>
        </w:rPr>
        <w:t>. В наибольшей степени от этого могут пострадать регионы с наименьшим уровнем бюджетной обеспеченности (</w:t>
      </w:r>
      <w:r>
        <w:rPr>
          <w:szCs w:val="20"/>
        </w:rPr>
        <w:t>в первую очередь, регионы</w:t>
      </w:r>
      <w:r w:rsidRPr="006C4C02">
        <w:rPr>
          <w:szCs w:val="20"/>
        </w:rPr>
        <w:t xml:space="preserve"> Северного Кавказа, </w:t>
      </w:r>
      <w:r>
        <w:rPr>
          <w:szCs w:val="20"/>
        </w:rPr>
        <w:t>Сибири и Дальнего Востока</w:t>
      </w:r>
      <w:r w:rsidRPr="006C4C02">
        <w:rPr>
          <w:szCs w:val="20"/>
        </w:rPr>
        <w:t>).</w:t>
      </w:r>
    </w:p>
    <w:p w14:paraId="437C4A60" w14:textId="7BC5A8A8" w:rsidR="00EA69F4" w:rsidRPr="008E6B24" w:rsidRDefault="00EA69F4" w:rsidP="00A7415B">
      <w:pPr>
        <w:pStyle w:val="aff8"/>
      </w:pPr>
      <w:r>
        <w:t xml:space="preserve">Таблица </w:t>
      </w:r>
      <w:bookmarkStart w:id="84" w:name="_Ref21352131"/>
      <w:r w:rsidR="008529A6">
        <w:rPr>
          <w:noProof/>
        </w:rPr>
        <w:t>39</w:t>
      </w:r>
      <w:bookmarkEnd w:id="84"/>
    </w:p>
    <w:p w14:paraId="123E1CD8" w14:textId="77777777" w:rsidR="00EA69F4" w:rsidRPr="008E6B24" w:rsidRDefault="00EA69F4" w:rsidP="00EA69F4">
      <w:pPr>
        <w:pStyle w:val="af7"/>
      </w:pPr>
      <w:r>
        <w:t>Доходы консолидированных региональных бюджетов, в % к ВВП</w:t>
      </w:r>
    </w:p>
    <w:tbl>
      <w:tblPr>
        <w:tblStyle w:val="a4"/>
        <w:tblW w:w="9094" w:type="dxa"/>
        <w:tblLayout w:type="fixed"/>
        <w:tblLook w:val="04A0" w:firstRow="1" w:lastRow="0" w:firstColumn="1" w:lastColumn="0" w:noHBand="0" w:noVBand="1"/>
      </w:tblPr>
      <w:tblGrid>
        <w:gridCol w:w="3964"/>
        <w:gridCol w:w="1026"/>
        <w:gridCol w:w="1026"/>
        <w:gridCol w:w="1026"/>
        <w:gridCol w:w="1026"/>
        <w:gridCol w:w="1026"/>
      </w:tblGrid>
      <w:tr w:rsidR="00EA69F4" w:rsidRPr="0002762F" w14:paraId="5A7B4857" w14:textId="77777777" w:rsidTr="00B94957">
        <w:trPr>
          <w:trHeight w:val="300"/>
        </w:trPr>
        <w:tc>
          <w:tcPr>
            <w:tcW w:w="3964" w:type="dxa"/>
            <w:noWrap/>
          </w:tcPr>
          <w:p w14:paraId="73E54762" w14:textId="77777777" w:rsidR="00EA69F4" w:rsidRPr="00BE65E2" w:rsidRDefault="00EA69F4" w:rsidP="00B94957">
            <w:pPr>
              <w:spacing w:after="60"/>
              <w:jc w:val="center"/>
              <w:rPr>
                <w:b/>
                <w:sz w:val="20"/>
                <w:szCs w:val="20"/>
              </w:rPr>
            </w:pPr>
          </w:p>
        </w:tc>
        <w:tc>
          <w:tcPr>
            <w:tcW w:w="1026" w:type="dxa"/>
          </w:tcPr>
          <w:p w14:paraId="3DF06E4B" w14:textId="4D9F295E" w:rsidR="00EA69F4" w:rsidRPr="00BE65E2" w:rsidRDefault="00EA69F4" w:rsidP="00B94957">
            <w:pPr>
              <w:spacing w:after="60"/>
              <w:jc w:val="center"/>
              <w:rPr>
                <w:b/>
                <w:sz w:val="20"/>
                <w:szCs w:val="20"/>
              </w:rPr>
            </w:pPr>
            <w:r w:rsidRPr="00BE65E2">
              <w:rPr>
                <w:b/>
                <w:sz w:val="20"/>
                <w:szCs w:val="20"/>
              </w:rPr>
              <w:t>2018</w:t>
            </w:r>
            <w:r w:rsidR="0002762F">
              <w:rPr>
                <w:b/>
                <w:sz w:val="20"/>
                <w:szCs w:val="20"/>
              </w:rPr>
              <w:t xml:space="preserve"> г.</w:t>
            </w:r>
          </w:p>
        </w:tc>
        <w:tc>
          <w:tcPr>
            <w:tcW w:w="1026" w:type="dxa"/>
            <w:noWrap/>
          </w:tcPr>
          <w:p w14:paraId="4BC3F81B" w14:textId="1942DFCC" w:rsidR="00EA69F4" w:rsidRPr="00BE65E2" w:rsidRDefault="00EA69F4" w:rsidP="00B94957">
            <w:pPr>
              <w:spacing w:after="60"/>
              <w:jc w:val="center"/>
              <w:rPr>
                <w:b/>
                <w:sz w:val="20"/>
                <w:szCs w:val="20"/>
              </w:rPr>
            </w:pPr>
            <w:r w:rsidRPr="00BE65E2">
              <w:rPr>
                <w:b/>
                <w:sz w:val="20"/>
                <w:szCs w:val="20"/>
              </w:rPr>
              <w:t>2019</w:t>
            </w:r>
            <w:r w:rsidR="0002762F">
              <w:rPr>
                <w:b/>
                <w:sz w:val="20"/>
                <w:szCs w:val="20"/>
              </w:rPr>
              <w:t xml:space="preserve"> г.</w:t>
            </w:r>
          </w:p>
        </w:tc>
        <w:tc>
          <w:tcPr>
            <w:tcW w:w="1026" w:type="dxa"/>
            <w:noWrap/>
          </w:tcPr>
          <w:p w14:paraId="3811FAE0" w14:textId="7C0C6AD9" w:rsidR="00EA69F4" w:rsidRPr="00BE65E2" w:rsidRDefault="00EA69F4" w:rsidP="00B94957">
            <w:pPr>
              <w:spacing w:after="60"/>
              <w:jc w:val="center"/>
              <w:rPr>
                <w:b/>
                <w:sz w:val="20"/>
                <w:szCs w:val="20"/>
              </w:rPr>
            </w:pPr>
            <w:r w:rsidRPr="00BE65E2">
              <w:rPr>
                <w:b/>
                <w:sz w:val="20"/>
                <w:szCs w:val="20"/>
              </w:rPr>
              <w:t>2020</w:t>
            </w:r>
            <w:r w:rsidR="0002762F">
              <w:rPr>
                <w:b/>
                <w:sz w:val="20"/>
                <w:szCs w:val="20"/>
              </w:rPr>
              <w:t xml:space="preserve"> г.</w:t>
            </w:r>
          </w:p>
        </w:tc>
        <w:tc>
          <w:tcPr>
            <w:tcW w:w="1026" w:type="dxa"/>
            <w:noWrap/>
          </w:tcPr>
          <w:p w14:paraId="24D23FC3" w14:textId="63CC6534" w:rsidR="00EA69F4" w:rsidRPr="00BE65E2" w:rsidRDefault="00EA69F4" w:rsidP="00B94957">
            <w:pPr>
              <w:spacing w:after="60"/>
              <w:jc w:val="center"/>
              <w:rPr>
                <w:b/>
                <w:sz w:val="20"/>
                <w:szCs w:val="20"/>
              </w:rPr>
            </w:pPr>
            <w:r w:rsidRPr="00BE65E2">
              <w:rPr>
                <w:b/>
                <w:sz w:val="20"/>
                <w:szCs w:val="20"/>
              </w:rPr>
              <w:t>2021</w:t>
            </w:r>
            <w:r w:rsidR="0002762F">
              <w:rPr>
                <w:b/>
                <w:sz w:val="20"/>
                <w:szCs w:val="20"/>
              </w:rPr>
              <w:t xml:space="preserve"> г.</w:t>
            </w:r>
          </w:p>
        </w:tc>
        <w:tc>
          <w:tcPr>
            <w:tcW w:w="1026" w:type="dxa"/>
            <w:noWrap/>
          </w:tcPr>
          <w:p w14:paraId="30E4F442" w14:textId="203A8B07" w:rsidR="00EA69F4" w:rsidRPr="00BE65E2" w:rsidRDefault="00EA69F4" w:rsidP="00B94957">
            <w:pPr>
              <w:spacing w:after="60"/>
              <w:jc w:val="center"/>
              <w:rPr>
                <w:b/>
                <w:sz w:val="20"/>
                <w:szCs w:val="20"/>
              </w:rPr>
            </w:pPr>
            <w:r w:rsidRPr="00BE65E2">
              <w:rPr>
                <w:b/>
                <w:sz w:val="20"/>
                <w:szCs w:val="20"/>
              </w:rPr>
              <w:t>2022</w:t>
            </w:r>
            <w:r w:rsidR="0002762F">
              <w:rPr>
                <w:b/>
                <w:sz w:val="20"/>
                <w:szCs w:val="20"/>
              </w:rPr>
              <w:t xml:space="preserve"> г.</w:t>
            </w:r>
          </w:p>
        </w:tc>
      </w:tr>
      <w:tr w:rsidR="00EA69F4" w:rsidRPr="0002762F" w14:paraId="09ED08B3" w14:textId="77777777" w:rsidTr="00B94957">
        <w:trPr>
          <w:trHeight w:val="300"/>
        </w:trPr>
        <w:tc>
          <w:tcPr>
            <w:tcW w:w="3964" w:type="dxa"/>
            <w:noWrap/>
            <w:hideMark/>
          </w:tcPr>
          <w:p w14:paraId="46930C91" w14:textId="77777777" w:rsidR="00EA69F4" w:rsidRPr="00BE65E2" w:rsidRDefault="00EA69F4" w:rsidP="00B94957">
            <w:pPr>
              <w:spacing w:after="60"/>
              <w:rPr>
                <w:b/>
                <w:sz w:val="20"/>
                <w:szCs w:val="20"/>
              </w:rPr>
            </w:pPr>
            <w:r w:rsidRPr="00BE65E2">
              <w:rPr>
                <w:b/>
                <w:sz w:val="20"/>
                <w:szCs w:val="20"/>
              </w:rPr>
              <w:t>Доходы, всего</w:t>
            </w:r>
          </w:p>
        </w:tc>
        <w:tc>
          <w:tcPr>
            <w:tcW w:w="1026" w:type="dxa"/>
          </w:tcPr>
          <w:p w14:paraId="12560426" w14:textId="77777777" w:rsidR="00EA69F4" w:rsidRPr="00BE65E2" w:rsidRDefault="00EA69F4" w:rsidP="00B94957">
            <w:pPr>
              <w:spacing w:after="60"/>
              <w:jc w:val="center"/>
              <w:rPr>
                <w:b/>
                <w:sz w:val="20"/>
                <w:szCs w:val="20"/>
              </w:rPr>
            </w:pPr>
            <w:r w:rsidRPr="00BE65E2">
              <w:rPr>
                <w:b/>
                <w:sz w:val="20"/>
                <w:szCs w:val="20"/>
              </w:rPr>
              <w:t>11,93</w:t>
            </w:r>
          </w:p>
        </w:tc>
        <w:tc>
          <w:tcPr>
            <w:tcW w:w="1026" w:type="dxa"/>
            <w:noWrap/>
            <w:hideMark/>
          </w:tcPr>
          <w:p w14:paraId="08E9E7BF" w14:textId="77777777" w:rsidR="00EA69F4" w:rsidRPr="00BE65E2" w:rsidRDefault="00EA69F4" w:rsidP="00B94957">
            <w:pPr>
              <w:spacing w:after="60"/>
              <w:jc w:val="center"/>
              <w:rPr>
                <w:b/>
                <w:sz w:val="20"/>
                <w:szCs w:val="20"/>
              </w:rPr>
            </w:pPr>
            <w:r w:rsidRPr="00BE65E2">
              <w:rPr>
                <w:b/>
                <w:sz w:val="20"/>
                <w:szCs w:val="20"/>
              </w:rPr>
              <w:t>12,34</w:t>
            </w:r>
          </w:p>
        </w:tc>
        <w:tc>
          <w:tcPr>
            <w:tcW w:w="1026" w:type="dxa"/>
            <w:noWrap/>
            <w:hideMark/>
          </w:tcPr>
          <w:p w14:paraId="106C37DF" w14:textId="77777777" w:rsidR="00EA69F4" w:rsidRPr="00BE65E2" w:rsidRDefault="00EA69F4" w:rsidP="00B94957">
            <w:pPr>
              <w:spacing w:after="60"/>
              <w:jc w:val="center"/>
              <w:rPr>
                <w:b/>
                <w:sz w:val="20"/>
                <w:szCs w:val="20"/>
              </w:rPr>
            </w:pPr>
            <w:r w:rsidRPr="00BE65E2">
              <w:rPr>
                <w:b/>
                <w:sz w:val="20"/>
                <w:szCs w:val="20"/>
              </w:rPr>
              <w:t>12,51</w:t>
            </w:r>
          </w:p>
        </w:tc>
        <w:tc>
          <w:tcPr>
            <w:tcW w:w="1026" w:type="dxa"/>
            <w:noWrap/>
            <w:hideMark/>
          </w:tcPr>
          <w:p w14:paraId="22A8234E" w14:textId="77777777" w:rsidR="00EA69F4" w:rsidRPr="00BE65E2" w:rsidRDefault="00EA69F4" w:rsidP="00B94957">
            <w:pPr>
              <w:spacing w:after="60"/>
              <w:jc w:val="center"/>
              <w:rPr>
                <w:b/>
                <w:sz w:val="20"/>
                <w:szCs w:val="20"/>
              </w:rPr>
            </w:pPr>
            <w:r w:rsidRPr="00BE65E2">
              <w:rPr>
                <w:b/>
                <w:sz w:val="20"/>
                <w:szCs w:val="20"/>
              </w:rPr>
              <w:t>12,33</w:t>
            </w:r>
          </w:p>
        </w:tc>
        <w:tc>
          <w:tcPr>
            <w:tcW w:w="1026" w:type="dxa"/>
            <w:noWrap/>
            <w:hideMark/>
          </w:tcPr>
          <w:p w14:paraId="275F3124" w14:textId="77777777" w:rsidR="00EA69F4" w:rsidRPr="00BE65E2" w:rsidRDefault="00EA69F4" w:rsidP="00B94957">
            <w:pPr>
              <w:spacing w:after="60"/>
              <w:jc w:val="center"/>
              <w:rPr>
                <w:b/>
                <w:sz w:val="20"/>
                <w:szCs w:val="20"/>
              </w:rPr>
            </w:pPr>
            <w:r w:rsidRPr="00BE65E2">
              <w:rPr>
                <w:b/>
                <w:sz w:val="20"/>
                <w:szCs w:val="20"/>
              </w:rPr>
              <w:t>12,15</w:t>
            </w:r>
          </w:p>
        </w:tc>
      </w:tr>
      <w:tr w:rsidR="00EA69F4" w:rsidRPr="004155D5" w14:paraId="51601949" w14:textId="77777777" w:rsidTr="00B94957">
        <w:trPr>
          <w:trHeight w:val="300"/>
        </w:trPr>
        <w:tc>
          <w:tcPr>
            <w:tcW w:w="3964" w:type="dxa"/>
            <w:noWrap/>
            <w:hideMark/>
          </w:tcPr>
          <w:p w14:paraId="65736D9A" w14:textId="77777777" w:rsidR="00EA69F4" w:rsidRPr="004155D5" w:rsidRDefault="00EA69F4" w:rsidP="00B94957">
            <w:pPr>
              <w:spacing w:after="60"/>
              <w:rPr>
                <w:sz w:val="20"/>
                <w:szCs w:val="20"/>
              </w:rPr>
            </w:pPr>
            <w:r>
              <w:rPr>
                <w:sz w:val="20"/>
                <w:szCs w:val="20"/>
              </w:rPr>
              <w:t>Налоговые и неналоговые</w:t>
            </w:r>
            <w:r w:rsidRPr="004155D5">
              <w:rPr>
                <w:sz w:val="20"/>
                <w:szCs w:val="20"/>
              </w:rPr>
              <w:t xml:space="preserve"> </w:t>
            </w:r>
            <w:r>
              <w:rPr>
                <w:sz w:val="20"/>
                <w:szCs w:val="20"/>
              </w:rPr>
              <w:t>доходы</w:t>
            </w:r>
          </w:p>
        </w:tc>
        <w:tc>
          <w:tcPr>
            <w:tcW w:w="1026" w:type="dxa"/>
          </w:tcPr>
          <w:p w14:paraId="18409E17" w14:textId="77777777" w:rsidR="00EA69F4" w:rsidRPr="004155D5" w:rsidRDefault="00EA69F4" w:rsidP="00B94957">
            <w:pPr>
              <w:spacing w:after="60"/>
              <w:jc w:val="center"/>
              <w:rPr>
                <w:sz w:val="20"/>
                <w:szCs w:val="20"/>
              </w:rPr>
            </w:pPr>
            <w:r>
              <w:rPr>
                <w:sz w:val="20"/>
                <w:szCs w:val="20"/>
              </w:rPr>
              <w:t>9,84</w:t>
            </w:r>
          </w:p>
        </w:tc>
        <w:tc>
          <w:tcPr>
            <w:tcW w:w="1026" w:type="dxa"/>
            <w:noWrap/>
            <w:hideMark/>
          </w:tcPr>
          <w:p w14:paraId="01FD967A" w14:textId="77777777" w:rsidR="00EA69F4" w:rsidRPr="004155D5" w:rsidRDefault="00EA69F4" w:rsidP="00B94957">
            <w:pPr>
              <w:spacing w:after="60"/>
              <w:jc w:val="center"/>
              <w:rPr>
                <w:sz w:val="20"/>
                <w:szCs w:val="20"/>
              </w:rPr>
            </w:pPr>
            <w:r w:rsidRPr="004155D5">
              <w:rPr>
                <w:sz w:val="20"/>
                <w:szCs w:val="20"/>
              </w:rPr>
              <w:t>10,12</w:t>
            </w:r>
          </w:p>
        </w:tc>
        <w:tc>
          <w:tcPr>
            <w:tcW w:w="1026" w:type="dxa"/>
            <w:noWrap/>
            <w:hideMark/>
          </w:tcPr>
          <w:p w14:paraId="788269AF" w14:textId="77777777" w:rsidR="00EA69F4" w:rsidRPr="004155D5" w:rsidRDefault="00EA69F4" w:rsidP="00B94957">
            <w:pPr>
              <w:spacing w:after="60"/>
              <w:jc w:val="center"/>
              <w:rPr>
                <w:sz w:val="20"/>
                <w:szCs w:val="20"/>
              </w:rPr>
            </w:pPr>
            <w:r w:rsidRPr="004155D5">
              <w:rPr>
                <w:sz w:val="20"/>
                <w:szCs w:val="20"/>
              </w:rPr>
              <w:t>10,25</w:t>
            </w:r>
          </w:p>
        </w:tc>
        <w:tc>
          <w:tcPr>
            <w:tcW w:w="1026" w:type="dxa"/>
            <w:noWrap/>
            <w:hideMark/>
          </w:tcPr>
          <w:p w14:paraId="3E1D5497" w14:textId="77777777" w:rsidR="00EA69F4" w:rsidRPr="004155D5" w:rsidRDefault="00EA69F4" w:rsidP="00B94957">
            <w:pPr>
              <w:spacing w:after="60"/>
              <w:jc w:val="center"/>
              <w:rPr>
                <w:sz w:val="20"/>
                <w:szCs w:val="20"/>
              </w:rPr>
            </w:pPr>
            <w:r w:rsidRPr="004155D5">
              <w:rPr>
                <w:sz w:val="20"/>
                <w:szCs w:val="20"/>
              </w:rPr>
              <w:t>10,19</w:t>
            </w:r>
          </w:p>
        </w:tc>
        <w:tc>
          <w:tcPr>
            <w:tcW w:w="1026" w:type="dxa"/>
            <w:noWrap/>
            <w:hideMark/>
          </w:tcPr>
          <w:p w14:paraId="0642F28F" w14:textId="77777777" w:rsidR="00EA69F4" w:rsidRPr="004155D5" w:rsidRDefault="00EA69F4" w:rsidP="00B94957">
            <w:pPr>
              <w:spacing w:after="60"/>
              <w:jc w:val="center"/>
              <w:rPr>
                <w:sz w:val="20"/>
                <w:szCs w:val="20"/>
              </w:rPr>
            </w:pPr>
            <w:r w:rsidRPr="004155D5">
              <w:rPr>
                <w:sz w:val="20"/>
                <w:szCs w:val="20"/>
              </w:rPr>
              <w:t>10,22</w:t>
            </w:r>
          </w:p>
        </w:tc>
      </w:tr>
      <w:tr w:rsidR="00EA69F4" w:rsidRPr="004155D5" w14:paraId="24B9B610" w14:textId="77777777" w:rsidTr="00B94957">
        <w:trPr>
          <w:trHeight w:val="300"/>
        </w:trPr>
        <w:tc>
          <w:tcPr>
            <w:tcW w:w="3964" w:type="dxa"/>
            <w:noWrap/>
            <w:hideMark/>
          </w:tcPr>
          <w:p w14:paraId="6EB6EE57" w14:textId="77777777" w:rsidR="00EA69F4" w:rsidRPr="004155D5" w:rsidRDefault="00EA69F4" w:rsidP="00B94957">
            <w:pPr>
              <w:spacing w:after="60"/>
              <w:rPr>
                <w:sz w:val="20"/>
                <w:szCs w:val="20"/>
              </w:rPr>
            </w:pPr>
            <w:r>
              <w:rPr>
                <w:sz w:val="20"/>
                <w:szCs w:val="20"/>
              </w:rPr>
              <w:t>Межбюджетные трансферты из федерального бюджета</w:t>
            </w:r>
          </w:p>
        </w:tc>
        <w:tc>
          <w:tcPr>
            <w:tcW w:w="1026" w:type="dxa"/>
          </w:tcPr>
          <w:p w14:paraId="7AE2843A" w14:textId="77777777" w:rsidR="00EA69F4" w:rsidRPr="004155D5" w:rsidRDefault="00EA69F4" w:rsidP="00B94957">
            <w:pPr>
              <w:spacing w:after="60"/>
              <w:jc w:val="center"/>
              <w:rPr>
                <w:sz w:val="20"/>
                <w:szCs w:val="20"/>
              </w:rPr>
            </w:pPr>
            <w:r>
              <w:rPr>
                <w:sz w:val="20"/>
                <w:szCs w:val="20"/>
              </w:rPr>
              <w:t>1,97</w:t>
            </w:r>
          </w:p>
        </w:tc>
        <w:tc>
          <w:tcPr>
            <w:tcW w:w="1026" w:type="dxa"/>
            <w:noWrap/>
            <w:hideMark/>
          </w:tcPr>
          <w:p w14:paraId="5EF79264" w14:textId="77777777" w:rsidR="00EA69F4" w:rsidRPr="004155D5" w:rsidRDefault="00EA69F4" w:rsidP="00B94957">
            <w:pPr>
              <w:spacing w:after="60"/>
              <w:jc w:val="center"/>
              <w:rPr>
                <w:sz w:val="20"/>
                <w:szCs w:val="20"/>
              </w:rPr>
            </w:pPr>
            <w:r w:rsidRPr="004155D5">
              <w:rPr>
                <w:sz w:val="20"/>
                <w:szCs w:val="20"/>
              </w:rPr>
              <w:t>2,22</w:t>
            </w:r>
          </w:p>
        </w:tc>
        <w:tc>
          <w:tcPr>
            <w:tcW w:w="1026" w:type="dxa"/>
            <w:noWrap/>
            <w:hideMark/>
          </w:tcPr>
          <w:p w14:paraId="5AB7E0C4" w14:textId="77777777" w:rsidR="00EA69F4" w:rsidRPr="004155D5" w:rsidRDefault="00EA69F4" w:rsidP="00B94957">
            <w:pPr>
              <w:spacing w:after="60"/>
              <w:jc w:val="center"/>
              <w:rPr>
                <w:sz w:val="20"/>
                <w:szCs w:val="20"/>
              </w:rPr>
            </w:pPr>
            <w:r w:rsidRPr="004155D5">
              <w:rPr>
                <w:sz w:val="20"/>
                <w:szCs w:val="20"/>
              </w:rPr>
              <w:t>2,26</w:t>
            </w:r>
          </w:p>
        </w:tc>
        <w:tc>
          <w:tcPr>
            <w:tcW w:w="1026" w:type="dxa"/>
            <w:noWrap/>
            <w:hideMark/>
          </w:tcPr>
          <w:p w14:paraId="5B36A242" w14:textId="77777777" w:rsidR="00EA69F4" w:rsidRPr="004155D5" w:rsidRDefault="00EA69F4" w:rsidP="00B94957">
            <w:pPr>
              <w:spacing w:after="60"/>
              <w:jc w:val="center"/>
              <w:rPr>
                <w:sz w:val="20"/>
                <w:szCs w:val="20"/>
              </w:rPr>
            </w:pPr>
            <w:r w:rsidRPr="004155D5">
              <w:rPr>
                <w:sz w:val="20"/>
                <w:szCs w:val="20"/>
              </w:rPr>
              <w:t>2,13</w:t>
            </w:r>
          </w:p>
        </w:tc>
        <w:tc>
          <w:tcPr>
            <w:tcW w:w="1026" w:type="dxa"/>
            <w:noWrap/>
            <w:hideMark/>
          </w:tcPr>
          <w:p w14:paraId="59FB9CC2" w14:textId="77777777" w:rsidR="00EA69F4" w:rsidRPr="004155D5" w:rsidRDefault="00EA69F4" w:rsidP="00B94957">
            <w:pPr>
              <w:spacing w:after="60"/>
              <w:jc w:val="center"/>
              <w:rPr>
                <w:sz w:val="20"/>
                <w:szCs w:val="20"/>
              </w:rPr>
            </w:pPr>
            <w:r w:rsidRPr="004155D5">
              <w:rPr>
                <w:sz w:val="20"/>
                <w:szCs w:val="20"/>
              </w:rPr>
              <w:t>1,93</w:t>
            </w:r>
          </w:p>
        </w:tc>
      </w:tr>
      <w:tr w:rsidR="00EA69F4" w:rsidRPr="004155D5" w14:paraId="30FDF1F1" w14:textId="77777777" w:rsidTr="00B94957">
        <w:trPr>
          <w:trHeight w:val="300"/>
        </w:trPr>
        <w:tc>
          <w:tcPr>
            <w:tcW w:w="3964" w:type="dxa"/>
            <w:noWrap/>
            <w:hideMark/>
          </w:tcPr>
          <w:p w14:paraId="038A59C2" w14:textId="77777777" w:rsidR="00EA69F4" w:rsidRPr="004155D5" w:rsidRDefault="00EA69F4" w:rsidP="00B94957">
            <w:pPr>
              <w:spacing w:after="60"/>
              <w:rPr>
                <w:sz w:val="20"/>
                <w:szCs w:val="20"/>
              </w:rPr>
            </w:pPr>
            <w:r w:rsidRPr="004155D5">
              <w:rPr>
                <w:sz w:val="20"/>
                <w:szCs w:val="20"/>
              </w:rPr>
              <w:t xml:space="preserve">Доходы </w:t>
            </w:r>
            <w:r>
              <w:rPr>
                <w:sz w:val="20"/>
                <w:szCs w:val="20"/>
              </w:rPr>
              <w:t>за вычетом</w:t>
            </w:r>
            <w:r w:rsidRPr="004155D5">
              <w:rPr>
                <w:sz w:val="20"/>
                <w:szCs w:val="20"/>
              </w:rPr>
              <w:t xml:space="preserve"> субвенций</w:t>
            </w:r>
          </w:p>
        </w:tc>
        <w:tc>
          <w:tcPr>
            <w:tcW w:w="1026" w:type="dxa"/>
          </w:tcPr>
          <w:p w14:paraId="6DA22810" w14:textId="77777777" w:rsidR="00EA69F4" w:rsidRPr="004155D5" w:rsidRDefault="00EA69F4" w:rsidP="00B94957">
            <w:pPr>
              <w:spacing w:after="60"/>
              <w:jc w:val="center"/>
              <w:rPr>
                <w:sz w:val="20"/>
                <w:szCs w:val="20"/>
              </w:rPr>
            </w:pPr>
            <w:r>
              <w:rPr>
                <w:sz w:val="20"/>
                <w:szCs w:val="20"/>
              </w:rPr>
              <w:t>11,61</w:t>
            </w:r>
          </w:p>
        </w:tc>
        <w:tc>
          <w:tcPr>
            <w:tcW w:w="1026" w:type="dxa"/>
            <w:noWrap/>
            <w:hideMark/>
          </w:tcPr>
          <w:p w14:paraId="00E7DDAF" w14:textId="77777777" w:rsidR="00EA69F4" w:rsidRPr="004155D5" w:rsidRDefault="00EA69F4" w:rsidP="00B94957">
            <w:pPr>
              <w:spacing w:after="60"/>
              <w:jc w:val="center"/>
              <w:rPr>
                <w:sz w:val="20"/>
                <w:szCs w:val="20"/>
              </w:rPr>
            </w:pPr>
            <w:r w:rsidRPr="004155D5">
              <w:rPr>
                <w:sz w:val="20"/>
                <w:szCs w:val="20"/>
              </w:rPr>
              <w:t>11,98</w:t>
            </w:r>
          </w:p>
        </w:tc>
        <w:tc>
          <w:tcPr>
            <w:tcW w:w="1026" w:type="dxa"/>
            <w:noWrap/>
            <w:hideMark/>
          </w:tcPr>
          <w:p w14:paraId="5A303D64" w14:textId="77777777" w:rsidR="00EA69F4" w:rsidRPr="004155D5" w:rsidRDefault="00EA69F4" w:rsidP="00B94957">
            <w:pPr>
              <w:spacing w:after="60"/>
              <w:jc w:val="center"/>
              <w:rPr>
                <w:sz w:val="20"/>
                <w:szCs w:val="20"/>
              </w:rPr>
            </w:pPr>
            <w:r w:rsidRPr="004155D5">
              <w:rPr>
                <w:sz w:val="20"/>
                <w:szCs w:val="20"/>
              </w:rPr>
              <w:t>12,06</w:t>
            </w:r>
          </w:p>
        </w:tc>
        <w:tc>
          <w:tcPr>
            <w:tcW w:w="1026" w:type="dxa"/>
            <w:noWrap/>
            <w:hideMark/>
          </w:tcPr>
          <w:p w14:paraId="07B015BA" w14:textId="77777777" w:rsidR="00EA69F4" w:rsidRPr="004155D5" w:rsidRDefault="00EA69F4" w:rsidP="00B94957">
            <w:pPr>
              <w:spacing w:after="60"/>
              <w:jc w:val="center"/>
              <w:rPr>
                <w:sz w:val="20"/>
                <w:szCs w:val="20"/>
              </w:rPr>
            </w:pPr>
            <w:r w:rsidRPr="004155D5">
              <w:rPr>
                <w:sz w:val="20"/>
                <w:szCs w:val="20"/>
              </w:rPr>
              <w:t>11,90</w:t>
            </w:r>
          </w:p>
        </w:tc>
        <w:tc>
          <w:tcPr>
            <w:tcW w:w="1026" w:type="dxa"/>
            <w:noWrap/>
            <w:hideMark/>
          </w:tcPr>
          <w:p w14:paraId="093E2AD5" w14:textId="77777777" w:rsidR="00EA69F4" w:rsidRPr="004155D5" w:rsidRDefault="00EA69F4" w:rsidP="00B94957">
            <w:pPr>
              <w:spacing w:after="60"/>
              <w:jc w:val="center"/>
              <w:rPr>
                <w:sz w:val="20"/>
                <w:szCs w:val="20"/>
              </w:rPr>
            </w:pPr>
            <w:r w:rsidRPr="004155D5">
              <w:rPr>
                <w:sz w:val="20"/>
                <w:szCs w:val="20"/>
              </w:rPr>
              <w:t>11,74</w:t>
            </w:r>
          </w:p>
        </w:tc>
      </w:tr>
    </w:tbl>
    <w:p w14:paraId="193765BF" w14:textId="77777777" w:rsidR="00EA69F4" w:rsidRDefault="00EA69F4" w:rsidP="00EA69F4">
      <w:pPr>
        <w:pStyle w:val="af0"/>
        <w:spacing w:before="0" w:after="60"/>
        <w:ind w:firstLine="709"/>
        <w:rPr>
          <w:sz w:val="20"/>
        </w:rPr>
      </w:pPr>
      <w:r w:rsidRPr="0002614E">
        <w:rPr>
          <w:i/>
          <w:sz w:val="20"/>
        </w:rPr>
        <w:t>Источник:</w:t>
      </w:r>
      <w:r w:rsidRPr="0002614E">
        <w:rPr>
          <w:sz w:val="20"/>
        </w:rPr>
        <w:t xml:space="preserve"> Пояснительная записка к проекту федерального закона «О федеральном бюджете на 20</w:t>
      </w:r>
      <w:r>
        <w:rPr>
          <w:sz w:val="20"/>
        </w:rPr>
        <w:t>20</w:t>
      </w:r>
      <w:r w:rsidRPr="0002614E">
        <w:rPr>
          <w:sz w:val="20"/>
        </w:rPr>
        <w:t xml:space="preserve"> год и на плановый период 202</w:t>
      </w:r>
      <w:r>
        <w:rPr>
          <w:sz w:val="20"/>
        </w:rPr>
        <w:t>1</w:t>
      </w:r>
      <w:r w:rsidRPr="0002614E">
        <w:rPr>
          <w:sz w:val="20"/>
        </w:rPr>
        <w:t xml:space="preserve"> и 202</w:t>
      </w:r>
      <w:r>
        <w:rPr>
          <w:sz w:val="20"/>
        </w:rPr>
        <w:t>2</w:t>
      </w:r>
      <w:r w:rsidRPr="0002614E">
        <w:rPr>
          <w:sz w:val="20"/>
        </w:rPr>
        <w:t xml:space="preserve"> годов», Федеральное казначейство, Росстат, расчеты авторов.</w:t>
      </w:r>
    </w:p>
    <w:p w14:paraId="2B46261C" w14:textId="526F1CC8" w:rsidR="00EA69F4" w:rsidRPr="008E6B24" w:rsidRDefault="00EA69F4" w:rsidP="00EA69F4">
      <w:pPr>
        <w:spacing w:after="60"/>
        <w:ind w:firstLine="709"/>
        <w:jc w:val="both"/>
        <w:rPr>
          <w:szCs w:val="20"/>
        </w:rPr>
      </w:pPr>
      <w:r>
        <w:rPr>
          <w:szCs w:val="20"/>
        </w:rPr>
        <w:t xml:space="preserve">Централизованный с 2017 г. 1 п.п. налога на прибыль организаций должен, среди прочего, направляться на увеличение общего объема выравнивающих дотаций. Однако хотя номинальный объем дотаций на выравнивание растет, их реальный объем в 2021–2022 гг. сокращается, </w:t>
      </w:r>
      <w:r w:rsidRPr="00147817">
        <w:rPr>
          <w:szCs w:val="20"/>
        </w:rPr>
        <w:t>оказываясь в 2022 г. ниже, чем в 2016 г.</w:t>
      </w:r>
      <w:r>
        <w:rPr>
          <w:szCs w:val="20"/>
        </w:rPr>
        <w:t xml:space="preserve"> (</w:t>
      </w:r>
      <w:r w:rsidRPr="00BE65E2">
        <w:rPr>
          <w:i/>
          <w:szCs w:val="20"/>
        </w:rPr>
        <w:t>табл</w:t>
      </w:r>
      <w:r w:rsidR="0002762F" w:rsidRPr="00BE65E2">
        <w:rPr>
          <w:i/>
          <w:szCs w:val="20"/>
        </w:rPr>
        <w:t xml:space="preserve">ица </w:t>
      </w:r>
      <w:r w:rsidR="008529A6" w:rsidRPr="008529A6">
        <w:rPr>
          <w:i/>
          <w:noProof/>
        </w:rPr>
        <w:t>38</w:t>
      </w:r>
      <w:r>
        <w:rPr>
          <w:szCs w:val="20"/>
        </w:rPr>
        <w:t xml:space="preserve">). Это исключает </w:t>
      </w:r>
      <w:r w:rsidRPr="00147817">
        <w:rPr>
          <w:szCs w:val="20"/>
        </w:rPr>
        <w:t>выравнивающий эффект от перераспределения части налога на прибыль организаций и может привести к росту дифференциации регионов по уровню бюджетной обеспеченности.</w:t>
      </w:r>
      <w:r>
        <w:rPr>
          <w:szCs w:val="20"/>
        </w:rPr>
        <w:t xml:space="preserve"> </w:t>
      </w:r>
      <w:r w:rsidRPr="008E6B24">
        <w:rPr>
          <w:szCs w:val="20"/>
        </w:rPr>
        <w:t>Реальный объем дотаций на обеспечение сбалансированности в 20</w:t>
      </w:r>
      <w:r>
        <w:rPr>
          <w:szCs w:val="20"/>
        </w:rPr>
        <w:t>20</w:t>
      </w:r>
      <w:r w:rsidRPr="008E6B24">
        <w:rPr>
          <w:szCs w:val="20"/>
        </w:rPr>
        <w:t>–202</w:t>
      </w:r>
      <w:r>
        <w:rPr>
          <w:szCs w:val="20"/>
        </w:rPr>
        <w:t>2</w:t>
      </w:r>
      <w:r w:rsidRPr="008E6B24">
        <w:rPr>
          <w:szCs w:val="20"/>
        </w:rPr>
        <w:t xml:space="preserve"> г</w:t>
      </w:r>
      <w:r>
        <w:rPr>
          <w:szCs w:val="20"/>
        </w:rPr>
        <w:t>г. будет</w:t>
      </w:r>
      <w:r w:rsidRPr="008E6B24">
        <w:rPr>
          <w:szCs w:val="20"/>
        </w:rPr>
        <w:t xml:space="preserve"> </w:t>
      </w:r>
      <w:r>
        <w:rPr>
          <w:szCs w:val="20"/>
        </w:rPr>
        <w:t>постепенно снижаться до уровня 2016–</w:t>
      </w:r>
      <w:r w:rsidRPr="008E6B24">
        <w:rPr>
          <w:szCs w:val="20"/>
        </w:rPr>
        <w:t>201</w:t>
      </w:r>
      <w:r>
        <w:rPr>
          <w:szCs w:val="20"/>
        </w:rPr>
        <w:t>7</w:t>
      </w:r>
      <w:r w:rsidRPr="008E6B24">
        <w:rPr>
          <w:szCs w:val="20"/>
        </w:rPr>
        <w:t xml:space="preserve"> </w:t>
      </w:r>
      <w:r>
        <w:rPr>
          <w:szCs w:val="20"/>
        </w:rPr>
        <w:t>г</w:t>
      </w:r>
      <w:r w:rsidRPr="008E6B24">
        <w:rPr>
          <w:szCs w:val="20"/>
        </w:rPr>
        <w:t>г</w:t>
      </w:r>
      <w:r>
        <w:rPr>
          <w:szCs w:val="20"/>
        </w:rPr>
        <w:t>.</w:t>
      </w:r>
    </w:p>
    <w:p w14:paraId="3D30CE9F" w14:textId="62C438C2" w:rsidR="00EA69F4" w:rsidRDefault="00EA69F4" w:rsidP="00EA69F4">
      <w:pPr>
        <w:spacing w:after="60"/>
        <w:ind w:firstLine="709"/>
        <w:jc w:val="both"/>
        <w:rPr>
          <w:szCs w:val="20"/>
        </w:rPr>
      </w:pPr>
      <w:r>
        <w:rPr>
          <w:szCs w:val="20"/>
        </w:rPr>
        <w:t xml:space="preserve">Для субсидий характерен рост реального объема, начавшийся в 2019 г. и связанный с необходимостью реализации майского Указа Президента РФ </w:t>
      </w:r>
      <w:r w:rsidR="0002762F">
        <w:rPr>
          <w:szCs w:val="20"/>
        </w:rPr>
        <w:t xml:space="preserve">№ 204 </w:t>
      </w:r>
      <w:r>
        <w:rPr>
          <w:szCs w:val="20"/>
        </w:rPr>
        <w:t>и национальных проектов на региональном уровне. Столь зн</w:t>
      </w:r>
      <w:r w:rsidR="0004391A">
        <w:rPr>
          <w:szCs w:val="20"/>
        </w:rPr>
        <w:t>ачительный объем субсидий (0,68</w:t>
      </w:r>
      <w:r>
        <w:rPr>
          <w:szCs w:val="20"/>
        </w:rPr>
        <w:t>% ВВП в 2020 г.) не был характерен для федеральной политики в сфере межбюджетных отношений начиная с 2014 г. (в 2013 г. реальный объем субсидий составил</w:t>
      </w:r>
      <w:r w:rsidR="0004391A">
        <w:rPr>
          <w:szCs w:val="20"/>
        </w:rPr>
        <w:t xml:space="preserve"> 0,71% ВВП, а в 2014 г. – 0,52</w:t>
      </w:r>
      <w:r>
        <w:rPr>
          <w:szCs w:val="20"/>
        </w:rPr>
        <w:t xml:space="preserve">% ВВП). На период 2020–2022 гг. также планируется значительный рост реального объема субвенций – </w:t>
      </w:r>
      <w:r w:rsidR="0004391A">
        <w:rPr>
          <w:szCs w:val="20"/>
        </w:rPr>
        <w:t>до 0,46</w:t>
      </w:r>
      <w:r>
        <w:rPr>
          <w:szCs w:val="20"/>
        </w:rPr>
        <w:t>% ВВП в 2020 г., что является самым высоким показателем за последние годы. Реальный объем иных межбюджетных трансфертов в рассматриваемом периоде значительно сокращает</w:t>
      </w:r>
      <w:r w:rsidR="0004391A">
        <w:rPr>
          <w:szCs w:val="20"/>
        </w:rPr>
        <w:t>ся по сравнению с 2019 г. (0,30% ВВП в 2020 г. против 0,41</w:t>
      </w:r>
      <w:r>
        <w:rPr>
          <w:szCs w:val="20"/>
        </w:rPr>
        <w:t>% ВВП в 2019 г.), однако остается по-прежнему высоким в сравн</w:t>
      </w:r>
      <w:r w:rsidR="0004391A">
        <w:rPr>
          <w:szCs w:val="20"/>
        </w:rPr>
        <w:t>ении с предыдущими годами (0,14</w:t>
      </w:r>
      <w:r>
        <w:rPr>
          <w:szCs w:val="20"/>
        </w:rPr>
        <w:t>% ВВП в 2014 г.).</w:t>
      </w:r>
    </w:p>
    <w:p w14:paraId="14738A6C" w14:textId="2D629993" w:rsidR="00EA69F4" w:rsidRPr="008E6B24" w:rsidRDefault="00EA69F4" w:rsidP="00EA69F4">
      <w:pPr>
        <w:spacing w:after="60"/>
        <w:ind w:firstLine="709"/>
        <w:jc w:val="both"/>
        <w:rPr>
          <w:szCs w:val="20"/>
        </w:rPr>
      </w:pPr>
      <w:bookmarkStart w:id="85" w:name="_Hlk20983938"/>
      <w:r w:rsidRPr="00B700EF">
        <w:rPr>
          <w:szCs w:val="20"/>
        </w:rPr>
        <w:t>На протяжении 2014–2022 гг. достаточно сильно меняется структура межбюджетных трансфертов.</w:t>
      </w:r>
      <w:bookmarkEnd w:id="85"/>
      <w:r>
        <w:rPr>
          <w:szCs w:val="20"/>
        </w:rPr>
        <w:t xml:space="preserve"> Так, в среднем за 2014–2017 гг. доля нецелевой финансовой помощи (дотаций) </w:t>
      </w:r>
      <w:r w:rsidR="0004391A">
        <w:rPr>
          <w:szCs w:val="20"/>
        </w:rPr>
        <w:t>составила 43,3</w:t>
      </w:r>
      <w:r>
        <w:rPr>
          <w:szCs w:val="20"/>
        </w:rPr>
        <w:t>%</w:t>
      </w:r>
      <w:r w:rsidR="0004391A">
        <w:rPr>
          <w:szCs w:val="20"/>
        </w:rPr>
        <w:t>, в 2018 г. – максимальные 50,6</w:t>
      </w:r>
      <w:r>
        <w:rPr>
          <w:szCs w:val="20"/>
        </w:rPr>
        <w:t xml:space="preserve">% </w:t>
      </w:r>
      <w:r w:rsidRPr="00B700EF">
        <w:rPr>
          <w:szCs w:val="20"/>
        </w:rPr>
        <w:t>(в основном за счет резкого роста дотаций на обеспечение сбалансированно</w:t>
      </w:r>
      <w:r w:rsidR="0004391A">
        <w:rPr>
          <w:szCs w:val="20"/>
        </w:rPr>
        <w:t>сти бюджетов), в 2019 г. – 39,5</w:t>
      </w:r>
      <w:r w:rsidRPr="00B700EF">
        <w:rPr>
          <w:szCs w:val="20"/>
        </w:rPr>
        <w:t>%</w:t>
      </w:r>
      <w:r>
        <w:rPr>
          <w:szCs w:val="20"/>
        </w:rPr>
        <w:t>, в среднем за 2020</w:t>
      </w:r>
      <w:r w:rsidR="0004391A">
        <w:rPr>
          <w:szCs w:val="20"/>
        </w:rPr>
        <w:t>–2022 гг. должна составить 37,2</w:t>
      </w:r>
      <w:r>
        <w:rPr>
          <w:szCs w:val="20"/>
        </w:rPr>
        <w:t xml:space="preserve">%. </w:t>
      </w:r>
      <w:r w:rsidRPr="00104DA6">
        <w:rPr>
          <w:szCs w:val="20"/>
        </w:rPr>
        <w:t>В целом это будет способствовать снижению гибкости региональных властей в проведении собственной бюджетной политики.</w:t>
      </w:r>
    </w:p>
    <w:p w14:paraId="6A3CC726" w14:textId="77777777" w:rsidR="00792993" w:rsidRPr="008E6B24" w:rsidRDefault="00792993" w:rsidP="0002614E">
      <w:pPr>
        <w:spacing w:after="60"/>
        <w:ind w:firstLine="709"/>
        <w:jc w:val="both"/>
        <w:rPr>
          <w:szCs w:val="20"/>
        </w:rPr>
      </w:pPr>
    </w:p>
    <w:p w14:paraId="3E765B50" w14:textId="17CDD076" w:rsidR="007C0AD2" w:rsidRDefault="007C0AD2" w:rsidP="0002614E">
      <w:pPr>
        <w:spacing w:after="60"/>
        <w:ind w:firstLine="709"/>
        <w:jc w:val="both"/>
        <w:rPr>
          <w:b/>
          <w:i/>
          <w:szCs w:val="20"/>
        </w:rPr>
      </w:pPr>
      <w:r w:rsidRPr="00645600">
        <w:rPr>
          <w:b/>
          <w:i/>
          <w:szCs w:val="20"/>
        </w:rPr>
        <w:t>Бюджетные кредиты</w:t>
      </w:r>
    </w:p>
    <w:p w14:paraId="71B3F51B" w14:textId="292A74EB" w:rsidR="00A661AF" w:rsidRDefault="00EA69F4" w:rsidP="00EA69F4">
      <w:pPr>
        <w:spacing w:after="60"/>
        <w:ind w:firstLine="709"/>
        <w:jc w:val="both"/>
        <w:rPr>
          <w:szCs w:val="20"/>
        </w:rPr>
      </w:pPr>
      <w:r>
        <w:rPr>
          <w:szCs w:val="20"/>
        </w:rPr>
        <w:t xml:space="preserve">Доступность бюджетных кредитов и активное их использование регионами в целях покрытия бюджетного дефицита на фоне кризисных явлений 2014-2015 гг. привели к критическому росту долговой </w:t>
      </w:r>
      <w:r w:rsidRPr="00A7415B">
        <w:rPr>
          <w:szCs w:val="20"/>
        </w:rPr>
        <w:t>нагрузки на региональные бюджеты. В целях снижения накопленной задолженности по кредитам с 2018 г. начала действие программа реструктуризации бюджетных кредитов регионов, срок которой составляет 7 лет, а для отдельных регионов, демонстрирующих рост доходной базы выше уровня инфляции – до 12 лет. В соответствии с этой программой предоставление новых бюджетных кредитов в 2018 г. резко сократилось (</w:t>
      </w:r>
      <w:r w:rsidRPr="00A7415B">
        <w:rPr>
          <w:i/>
          <w:szCs w:val="20"/>
        </w:rPr>
        <w:t>таблиц</w:t>
      </w:r>
      <w:r w:rsidR="00A7415B" w:rsidRPr="00A7415B">
        <w:rPr>
          <w:i/>
          <w:szCs w:val="20"/>
        </w:rPr>
        <w:t>а</w:t>
      </w:r>
      <w:r w:rsidRPr="00A7415B">
        <w:rPr>
          <w:i/>
          <w:szCs w:val="20"/>
        </w:rPr>
        <w:t xml:space="preserve"> </w:t>
      </w:r>
      <w:r w:rsidR="008529A6" w:rsidRPr="008529A6">
        <w:rPr>
          <w:i/>
          <w:noProof/>
        </w:rPr>
        <w:t>40</w:t>
      </w:r>
      <w:r w:rsidRPr="00A7415B">
        <w:rPr>
          <w:szCs w:val="20"/>
        </w:rPr>
        <w:t xml:space="preserve">). </w:t>
      </w:r>
    </w:p>
    <w:p w14:paraId="0AACE303" w14:textId="2606E60B" w:rsidR="00EA69F4" w:rsidRPr="00A7415B" w:rsidRDefault="00EA69F4" w:rsidP="00EA69F4">
      <w:pPr>
        <w:spacing w:after="60"/>
        <w:ind w:firstLine="709"/>
        <w:jc w:val="both"/>
        <w:rPr>
          <w:szCs w:val="20"/>
        </w:rPr>
      </w:pPr>
      <w:r w:rsidRPr="00A7415B">
        <w:rPr>
          <w:szCs w:val="20"/>
        </w:rPr>
        <w:t>Предполагалось, что к 2021 г. объем выданных регионам бюджетных кредитов сократится до нуля. Однако в проекте Закона о Федеральном бюджете на 2020-2022 гг. предусматривается небольшой рост предоставляемых кредитов в 2020 г. по сравнению с суммой, заложенной в законе о бюджете на предыдущий финансовый цикл, а также планируются к выдаче кредиты в 2021 г. В 2022 г. предоставление бюджетных кредитов регионам не предусмотрено.</w:t>
      </w:r>
    </w:p>
    <w:p w14:paraId="258D97A6" w14:textId="584D72BD" w:rsidR="00EA69F4" w:rsidRPr="007C0AD2" w:rsidRDefault="00EA69F4" w:rsidP="00A7415B">
      <w:pPr>
        <w:pStyle w:val="aff8"/>
        <w:rPr>
          <w:i w:val="0"/>
        </w:rPr>
      </w:pPr>
      <w:r w:rsidRPr="00A7415B">
        <w:t>Таблица</w:t>
      </w:r>
      <w:r w:rsidR="00A7415B">
        <w:t xml:space="preserve"> </w:t>
      </w:r>
      <w:bookmarkStart w:id="86" w:name="_Ref21352310"/>
      <w:r w:rsidR="008529A6">
        <w:rPr>
          <w:noProof/>
        </w:rPr>
        <w:t>40</w:t>
      </w:r>
      <w:bookmarkEnd w:id="86"/>
    </w:p>
    <w:p w14:paraId="43FF7F90" w14:textId="77777777" w:rsidR="00EA69F4" w:rsidRPr="00916038" w:rsidRDefault="00EA69F4" w:rsidP="00EA69F4">
      <w:pPr>
        <w:spacing w:before="60" w:after="120"/>
        <w:ind w:firstLine="709"/>
        <w:jc w:val="center"/>
        <w:rPr>
          <w:b/>
          <w:szCs w:val="20"/>
        </w:rPr>
      </w:pPr>
      <w:r w:rsidRPr="00916038">
        <w:rPr>
          <w:b/>
          <w:szCs w:val="20"/>
        </w:rPr>
        <w:t>Динамика бюджетных кредитов в соответствии с законами о федеральном бюджете</w:t>
      </w:r>
      <w:r>
        <w:rPr>
          <w:b/>
          <w:szCs w:val="20"/>
        </w:rPr>
        <w:t>, млрд руб.</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1055"/>
        <w:gridCol w:w="1017"/>
        <w:gridCol w:w="1017"/>
        <w:gridCol w:w="1017"/>
        <w:gridCol w:w="1160"/>
        <w:gridCol w:w="1162"/>
      </w:tblGrid>
      <w:tr w:rsidR="00EA69F4" w:rsidRPr="000F48C1" w14:paraId="43F942EB" w14:textId="77777777" w:rsidTr="00B94957">
        <w:trPr>
          <w:tblHeader/>
        </w:trPr>
        <w:tc>
          <w:tcPr>
            <w:tcW w:w="1487" w:type="pct"/>
            <w:shd w:val="clear" w:color="auto" w:fill="auto"/>
            <w:noWrap/>
            <w:vAlign w:val="bottom"/>
            <w:hideMark/>
          </w:tcPr>
          <w:p w14:paraId="3BCDA35C" w14:textId="77777777" w:rsidR="00EA69F4" w:rsidRPr="000F48C1" w:rsidRDefault="00EA69F4" w:rsidP="00B94957">
            <w:pPr>
              <w:jc w:val="center"/>
              <w:rPr>
                <w:b/>
                <w:sz w:val="20"/>
                <w:szCs w:val="20"/>
              </w:rPr>
            </w:pPr>
          </w:p>
        </w:tc>
        <w:tc>
          <w:tcPr>
            <w:tcW w:w="576" w:type="pct"/>
            <w:shd w:val="clear" w:color="auto" w:fill="auto"/>
            <w:noWrap/>
            <w:vAlign w:val="bottom"/>
          </w:tcPr>
          <w:p w14:paraId="5B00D76A" w14:textId="77777777" w:rsidR="00EA69F4" w:rsidRPr="000F48C1" w:rsidRDefault="00EA69F4" w:rsidP="00B94957">
            <w:pPr>
              <w:jc w:val="center"/>
              <w:rPr>
                <w:b/>
                <w:sz w:val="20"/>
                <w:szCs w:val="20"/>
              </w:rPr>
            </w:pPr>
            <w:r w:rsidRPr="000F48C1">
              <w:rPr>
                <w:b/>
                <w:sz w:val="20"/>
                <w:szCs w:val="20"/>
              </w:rPr>
              <w:t>2017</w:t>
            </w:r>
            <w:r>
              <w:rPr>
                <w:b/>
                <w:sz w:val="20"/>
                <w:szCs w:val="20"/>
              </w:rPr>
              <w:t xml:space="preserve"> г.</w:t>
            </w:r>
          </w:p>
        </w:tc>
        <w:tc>
          <w:tcPr>
            <w:tcW w:w="556" w:type="pct"/>
            <w:shd w:val="clear" w:color="auto" w:fill="auto"/>
            <w:noWrap/>
            <w:vAlign w:val="bottom"/>
          </w:tcPr>
          <w:p w14:paraId="4A54D2ED" w14:textId="77777777" w:rsidR="00EA69F4" w:rsidRPr="000F48C1" w:rsidRDefault="00EA69F4" w:rsidP="00B94957">
            <w:pPr>
              <w:jc w:val="center"/>
              <w:rPr>
                <w:b/>
                <w:sz w:val="20"/>
                <w:szCs w:val="20"/>
              </w:rPr>
            </w:pPr>
            <w:r w:rsidRPr="000F48C1">
              <w:rPr>
                <w:b/>
                <w:sz w:val="20"/>
                <w:szCs w:val="20"/>
              </w:rPr>
              <w:t>2018</w:t>
            </w:r>
            <w:r>
              <w:rPr>
                <w:b/>
                <w:sz w:val="20"/>
                <w:szCs w:val="20"/>
              </w:rPr>
              <w:t xml:space="preserve"> г.</w:t>
            </w:r>
          </w:p>
        </w:tc>
        <w:tc>
          <w:tcPr>
            <w:tcW w:w="556" w:type="pct"/>
            <w:shd w:val="clear" w:color="auto" w:fill="auto"/>
            <w:noWrap/>
            <w:vAlign w:val="bottom"/>
          </w:tcPr>
          <w:p w14:paraId="332CAAA3" w14:textId="77777777" w:rsidR="00EA69F4" w:rsidRPr="000F48C1" w:rsidRDefault="00EA69F4" w:rsidP="00B94957">
            <w:pPr>
              <w:jc w:val="center"/>
              <w:rPr>
                <w:b/>
                <w:sz w:val="20"/>
                <w:szCs w:val="20"/>
              </w:rPr>
            </w:pPr>
            <w:r w:rsidRPr="000F48C1">
              <w:rPr>
                <w:b/>
                <w:sz w:val="20"/>
                <w:szCs w:val="20"/>
              </w:rPr>
              <w:t>2019</w:t>
            </w:r>
            <w:r>
              <w:rPr>
                <w:b/>
                <w:sz w:val="20"/>
                <w:szCs w:val="20"/>
              </w:rPr>
              <w:t xml:space="preserve"> г.</w:t>
            </w:r>
          </w:p>
        </w:tc>
        <w:tc>
          <w:tcPr>
            <w:tcW w:w="556" w:type="pct"/>
            <w:shd w:val="clear" w:color="auto" w:fill="auto"/>
            <w:noWrap/>
            <w:vAlign w:val="bottom"/>
          </w:tcPr>
          <w:p w14:paraId="539AEF34" w14:textId="77777777" w:rsidR="00EA69F4" w:rsidRPr="000F48C1" w:rsidRDefault="00EA69F4" w:rsidP="00B94957">
            <w:pPr>
              <w:jc w:val="center"/>
              <w:rPr>
                <w:b/>
                <w:sz w:val="20"/>
                <w:szCs w:val="20"/>
              </w:rPr>
            </w:pPr>
            <w:r w:rsidRPr="000F48C1">
              <w:rPr>
                <w:b/>
                <w:sz w:val="20"/>
                <w:szCs w:val="20"/>
              </w:rPr>
              <w:t>2020</w:t>
            </w:r>
            <w:r>
              <w:rPr>
                <w:b/>
                <w:sz w:val="20"/>
                <w:szCs w:val="20"/>
              </w:rPr>
              <w:t xml:space="preserve"> г.</w:t>
            </w:r>
          </w:p>
        </w:tc>
        <w:tc>
          <w:tcPr>
            <w:tcW w:w="634" w:type="pct"/>
            <w:shd w:val="clear" w:color="auto" w:fill="auto"/>
            <w:noWrap/>
            <w:vAlign w:val="bottom"/>
          </w:tcPr>
          <w:p w14:paraId="79D77C5F" w14:textId="77777777" w:rsidR="00EA69F4" w:rsidRPr="000F48C1" w:rsidRDefault="00EA69F4" w:rsidP="00B94957">
            <w:pPr>
              <w:jc w:val="center"/>
              <w:rPr>
                <w:b/>
                <w:sz w:val="20"/>
                <w:szCs w:val="20"/>
              </w:rPr>
            </w:pPr>
            <w:r w:rsidRPr="000F48C1">
              <w:rPr>
                <w:b/>
                <w:sz w:val="20"/>
                <w:szCs w:val="20"/>
              </w:rPr>
              <w:t>2021</w:t>
            </w:r>
            <w:r>
              <w:rPr>
                <w:b/>
                <w:sz w:val="20"/>
                <w:szCs w:val="20"/>
              </w:rPr>
              <w:t xml:space="preserve"> г.</w:t>
            </w:r>
          </w:p>
        </w:tc>
        <w:tc>
          <w:tcPr>
            <w:tcW w:w="635" w:type="pct"/>
            <w:shd w:val="clear" w:color="auto" w:fill="auto"/>
            <w:noWrap/>
            <w:vAlign w:val="bottom"/>
          </w:tcPr>
          <w:p w14:paraId="5ACB4A96" w14:textId="77777777" w:rsidR="00EA69F4" w:rsidRPr="000F48C1" w:rsidRDefault="00EA69F4" w:rsidP="00B94957">
            <w:pPr>
              <w:jc w:val="center"/>
              <w:rPr>
                <w:b/>
                <w:sz w:val="20"/>
                <w:szCs w:val="20"/>
              </w:rPr>
            </w:pPr>
            <w:r>
              <w:rPr>
                <w:b/>
                <w:sz w:val="20"/>
                <w:szCs w:val="20"/>
              </w:rPr>
              <w:t>2022 г.</w:t>
            </w:r>
          </w:p>
        </w:tc>
      </w:tr>
      <w:tr w:rsidR="00EA69F4" w:rsidRPr="000F48C1" w14:paraId="1F2175EB" w14:textId="77777777" w:rsidTr="00B94957">
        <w:tc>
          <w:tcPr>
            <w:tcW w:w="1487" w:type="pct"/>
            <w:shd w:val="clear" w:color="auto" w:fill="auto"/>
            <w:noWrap/>
            <w:vAlign w:val="center"/>
          </w:tcPr>
          <w:p w14:paraId="4C8916D3" w14:textId="77777777" w:rsidR="00EA69F4" w:rsidRPr="000F48C1" w:rsidRDefault="00EA69F4" w:rsidP="00B94957">
            <w:pPr>
              <w:rPr>
                <w:sz w:val="20"/>
                <w:szCs w:val="20"/>
              </w:rPr>
            </w:pPr>
            <w:r w:rsidRPr="000F48C1">
              <w:rPr>
                <w:sz w:val="20"/>
                <w:szCs w:val="20"/>
              </w:rPr>
              <w:t>Закон о федеральном бюджете на 2017-2019 гг.</w:t>
            </w:r>
          </w:p>
        </w:tc>
        <w:tc>
          <w:tcPr>
            <w:tcW w:w="576" w:type="pct"/>
            <w:shd w:val="clear" w:color="auto" w:fill="auto"/>
            <w:noWrap/>
            <w:vAlign w:val="center"/>
          </w:tcPr>
          <w:p w14:paraId="423D743E" w14:textId="77777777" w:rsidR="00EA69F4" w:rsidRPr="000F48C1" w:rsidRDefault="00EA69F4" w:rsidP="00B94957">
            <w:pPr>
              <w:jc w:val="center"/>
              <w:rPr>
                <w:sz w:val="20"/>
                <w:szCs w:val="20"/>
              </w:rPr>
            </w:pPr>
            <w:r w:rsidRPr="000F48C1">
              <w:rPr>
                <w:sz w:val="20"/>
                <w:szCs w:val="20"/>
              </w:rPr>
              <w:t>200</w:t>
            </w:r>
            <w:r>
              <w:rPr>
                <w:sz w:val="20"/>
                <w:szCs w:val="20"/>
              </w:rPr>
              <w:t>,0</w:t>
            </w:r>
          </w:p>
        </w:tc>
        <w:tc>
          <w:tcPr>
            <w:tcW w:w="556" w:type="pct"/>
            <w:shd w:val="clear" w:color="auto" w:fill="auto"/>
            <w:noWrap/>
            <w:vAlign w:val="center"/>
          </w:tcPr>
          <w:p w14:paraId="4AA15553" w14:textId="77777777" w:rsidR="00EA69F4" w:rsidRPr="000F48C1" w:rsidRDefault="00EA69F4" w:rsidP="00B94957">
            <w:pPr>
              <w:jc w:val="center"/>
              <w:rPr>
                <w:sz w:val="20"/>
                <w:szCs w:val="20"/>
              </w:rPr>
            </w:pPr>
            <w:r w:rsidRPr="000F48C1">
              <w:rPr>
                <w:sz w:val="20"/>
                <w:szCs w:val="20"/>
              </w:rPr>
              <w:t>200</w:t>
            </w:r>
            <w:r>
              <w:rPr>
                <w:sz w:val="20"/>
                <w:szCs w:val="20"/>
              </w:rPr>
              <w:t>,0</w:t>
            </w:r>
          </w:p>
        </w:tc>
        <w:tc>
          <w:tcPr>
            <w:tcW w:w="556" w:type="pct"/>
            <w:shd w:val="clear" w:color="auto" w:fill="auto"/>
            <w:noWrap/>
            <w:vAlign w:val="center"/>
          </w:tcPr>
          <w:p w14:paraId="2A533316" w14:textId="77777777" w:rsidR="00EA69F4" w:rsidRPr="000F48C1" w:rsidRDefault="00EA69F4" w:rsidP="00B94957">
            <w:pPr>
              <w:jc w:val="center"/>
              <w:rPr>
                <w:sz w:val="20"/>
                <w:szCs w:val="20"/>
              </w:rPr>
            </w:pPr>
            <w:r w:rsidRPr="000F48C1">
              <w:rPr>
                <w:sz w:val="20"/>
                <w:szCs w:val="20"/>
              </w:rPr>
              <w:t>50</w:t>
            </w:r>
            <w:r>
              <w:rPr>
                <w:sz w:val="20"/>
                <w:szCs w:val="20"/>
              </w:rPr>
              <w:t>,0</w:t>
            </w:r>
          </w:p>
        </w:tc>
        <w:tc>
          <w:tcPr>
            <w:tcW w:w="556" w:type="pct"/>
            <w:shd w:val="clear" w:color="auto" w:fill="auto"/>
            <w:noWrap/>
            <w:vAlign w:val="center"/>
          </w:tcPr>
          <w:p w14:paraId="54DB95FA" w14:textId="77777777" w:rsidR="00EA69F4" w:rsidRPr="000F48C1" w:rsidRDefault="00EA69F4" w:rsidP="00B94957">
            <w:pPr>
              <w:jc w:val="center"/>
              <w:rPr>
                <w:sz w:val="20"/>
                <w:szCs w:val="20"/>
              </w:rPr>
            </w:pPr>
          </w:p>
        </w:tc>
        <w:tc>
          <w:tcPr>
            <w:tcW w:w="634" w:type="pct"/>
            <w:shd w:val="clear" w:color="auto" w:fill="auto"/>
            <w:noWrap/>
            <w:vAlign w:val="center"/>
          </w:tcPr>
          <w:p w14:paraId="07158080" w14:textId="77777777" w:rsidR="00EA69F4" w:rsidRPr="000F48C1" w:rsidRDefault="00EA69F4" w:rsidP="00B94957">
            <w:pPr>
              <w:jc w:val="center"/>
              <w:rPr>
                <w:sz w:val="20"/>
                <w:szCs w:val="20"/>
              </w:rPr>
            </w:pPr>
          </w:p>
        </w:tc>
        <w:tc>
          <w:tcPr>
            <w:tcW w:w="635" w:type="pct"/>
            <w:shd w:val="clear" w:color="auto" w:fill="auto"/>
            <w:noWrap/>
            <w:vAlign w:val="center"/>
          </w:tcPr>
          <w:p w14:paraId="5EEF5875" w14:textId="77777777" w:rsidR="00EA69F4" w:rsidRPr="000F48C1" w:rsidRDefault="00EA69F4" w:rsidP="00B94957">
            <w:pPr>
              <w:jc w:val="center"/>
              <w:rPr>
                <w:sz w:val="20"/>
                <w:szCs w:val="20"/>
              </w:rPr>
            </w:pPr>
          </w:p>
        </w:tc>
      </w:tr>
      <w:tr w:rsidR="00EA69F4" w:rsidRPr="000F48C1" w14:paraId="3C6139C1" w14:textId="77777777" w:rsidTr="00B94957">
        <w:tc>
          <w:tcPr>
            <w:tcW w:w="1487" w:type="pct"/>
            <w:shd w:val="clear" w:color="auto" w:fill="auto"/>
            <w:noWrap/>
            <w:vAlign w:val="center"/>
          </w:tcPr>
          <w:p w14:paraId="61B5840C" w14:textId="77777777" w:rsidR="00EA69F4" w:rsidRPr="000F48C1" w:rsidRDefault="00EA69F4" w:rsidP="00B94957">
            <w:pPr>
              <w:rPr>
                <w:sz w:val="20"/>
                <w:szCs w:val="20"/>
              </w:rPr>
            </w:pPr>
            <w:r w:rsidRPr="000F48C1">
              <w:rPr>
                <w:sz w:val="20"/>
                <w:szCs w:val="20"/>
              </w:rPr>
              <w:t>Закон о федеральном бюджете на 2018-2020 гг.</w:t>
            </w:r>
          </w:p>
        </w:tc>
        <w:tc>
          <w:tcPr>
            <w:tcW w:w="576" w:type="pct"/>
            <w:shd w:val="clear" w:color="auto" w:fill="auto"/>
            <w:noWrap/>
            <w:vAlign w:val="center"/>
          </w:tcPr>
          <w:p w14:paraId="0B97ABBC" w14:textId="77777777" w:rsidR="00EA69F4" w:rsidRPr="000F48C1" w:rsidRDefault="00EA69F4" w:rsidP="00B94957">
            <w:pPr>
              <w:jc w:val="center"/>
              <w:rPr>
                <w:sz w:val="20"/>
                <w:szCs w:val="20"/>
              </w:rPr>
            </w:pPr>
          </w:p>
        </w:tc>
        <w:tc>
          <w:tcPr>
            <w:tcW w:w="556" w:type="pct"/>
            <w:shd w:val="clear" w:color="auto" w:fill="auto"/>
            <w:noWrap/>
            <w:vAlign w:val="center"/>
          </w:tcPr>
          <w:p w14:paraId="54A409F0" w14:textId="77777777" w:rsidR="00EA69F4" w:rsidRPr="000F48C1" w:rsidRDefault="00EA69F4" w:rsidP="00B94957">
            <w:pPr>
              <w:jc w:val="center"/>
              <w:rPr>
                <w:sz w:val="20"/>
                <w:szCs w:val="20"/>
              </w:rPr>
            </w:pPr>
            <w:r w:rsidRPr="000F48C1">
              <w:rPr>
                <w:sz w:val="20"/>
                <w:szCs w:val="20"/>
              </w:rPr>
              <w:t>1</w:t>
            </w:r>
            <w:r>
              <w:rPr>
                <w:sz w:val="20"/>
                <w:szCs w:val="20"/>
              </w:rPr>
              <w:t>,9</w:t>
            </w:r>
          </w:p>
        </w:tc>
        <w:tc>
          <w:tcPr>
            <w:tcW w:w="556" w:type="pct"/>
            <w:shd w:val="clear" w:color="auto" w:fill="auto"/>
            <w:noWrap/>
            <w:vAlign w:val="center"/>
          </w:tcPr>
          <w:p w14:paraId="341E1055" w14:textId="77777777" w:rsidR="00EA69F4" w:rsidRPr="000F48C1" w:rsidRDefault="00EA69F4" w:rsidP="00B94957">
            <w:pPr>
              <w:jc w:val="center"/>
              <w:rPr>
                <w:sz w:val="20"/>
                <w:szCs w:val="20"/>
              </w:rPr>
            </w:pPr>
            <w:r w:rsidRPr="000F48C1">
              <w:rPr>
                <w:sz w:val="20"/>
                <w:szCs w:val="20"/>
              </w:rPr>
              <w:t>1</w:t>
            </w:r>
            <w:r>
              <w:rPr>
                <w:sz w:val="20"/>
                <w:szCs w:val="20"/>
              </w:rPr>
              <w:t>,5</w:t>
            </w:r>
          </w:p>
        </w:tc>
        <w:tc>
          <w:tcPr>
            <w:tcW w:w="556" w:type="pct"/>
            <w:shd w:val="clear" w:color="auto" w:fill="auto"/>
            <w:noWrap/>
            <w:vAlign w:val="center"/>
          </w:tcPr>
          <w:p w14:paraId="0065660C" w14:textId="77777777" w:rsidR="00EA69F4" w:rsidRPr="000F48C1" w:rsidRDefault="00EA69F4" w:rsidP="00B94957">
            <w:pPr>
              <w:jc w:val="center"/>
              <w:rPr>
                <w:sz w:val="20"/>
                <w:szCs w:val="20"/>
              </w:rPr>
            </w:pPr>
            <w:r w:rsidRPr="000F48C1">
              <w:rPr>
                <w:sz w:val="20"/>
                <w:szCs w:val="20"/>
              </w:rPr>
              <w:t>1</w:t>
            </w:r>
            <w:r>
              <w:rPr>
                <w:sz w:val="20"/>
                <w:szCs w:val="20"/>
              </w:rPr>
              <w:t>,0</w:t>
            </w:r>
          </w:p>
        </w:tc>
        <w:tc>
          <w:tcPr>
            <w:tcW w:w="634" w:type="pct"/>
            <w:shd w:val="clear" w:color="auto" w:fill="auto"/>
            <w:noWrap/>
            <w:vAlign w:val="center"/>
          </w:tcPr>
          <w:p w14:paraId="4D0893AE" w14:textId="77777777" w:rsidR="00EA69F4" w:rsidRPr="000F48C1" w:rsidRDefault="00EA69F4" w:rsidP="00B94957">
            <w:pPr>
              <w:jc w:val="center"/>
              <w:rPr>
                <w:sz w:val="20"/>
                <w:szCs w:val="20"/>
              </w:rPr>
            </w:pPr>
          </w:p>
        </w:tc>
        <w:tc>
          <w:tcPr>
            <w:tcW w:w="635" w:type="pct"/>
            <w:shd w:val="clear" w:color="auto" w:fill="auto"/>
            <w:noWrap/>
            <w:vAlign w:val="center"/>
          </w:tcPr>
          <w:p w14:paraId="5D165254" w14:textId="77777777" w:rsidR="00EA69F4" w:rsidRPr="000F48C1" w:rsidRDefault="00EA69F4" w:rsidP="00B94957">
            <w:pPr>
              <w:jc w:val="center"/>
              <w:rPr>
                <w:sz w:val="20"/>
                <w:szCs w:val="20"/>
              </w:rPr>
            </w:pPr>
          </w:p>
        </w:tc>
      </w:tr>
      <w:tr w:rsidR="00EA69F4" w:rsidRPr="000F48C1" w14:paraId="448F542E" w14:textId="77777777" w:rsidTr="00B94957">
        <w:tc>
          <w:tcPr>
            <w:tcW w:w="1487" w:type="pct"/>
            <w:shd w:val="clear" w:color="auto" w:fill="auto"/>
            <w:noWrap/>
            <w:vAlign w:val="center"/>
          </w:tcPr>
          <w:p w14:paraId="78F187C3" w14:textId="77777777" w:rsidR="00EA69F4" w:rsidRPr="000F48C1" w:rsidRDefault="00EA69F4" w:rsidP="00B94957">
            <w:pPr>
              <w:rPr>
                <w:sz w:val="20"/>
                <w:szCs w:val="20"/>
              </w:rPr>
            </w:pPr>
            <w:r w:rsidRPr="004175C4">
              <w:rPr>
                <w:sz w:val="20"/>
                <w:szCs w:val="20"/>
              </w:rPr>
              <w:t>Закон о федеральном бюджете на 201</w:t>
            </w:r>
            <w:r>
              <w:rPr>
                <w:sz w:val="20"/>
                <w:szCs w:val="20"/>
              </w:rPr>
              <w:t>9</w:t>
            </w:r>
            <w:r w:rsidRPr="004175C4">
              <w:rPr>
                <w:sz w:val="20"/>
                <w:szCs w:val="20"/>
              </w:rPr>
              <w:t>-202</w:t>
            </w:r>
            <w:r>
              <w:rPr>
                <w:sz w:val="20"/>
                <w:szCs w:val="20"/>
              </w:rPr>
              <w:t>1</w:t>
            </w:r>
            <w:r w:rsidRPr="004175C4">
              <w:rPr>
                <w:sz w:val="20"/>
                <w:szCs w:val="20"/>
              </w:rPr>
              <w:t xml:space="preserve"> гг.</w:t>
            </w:r>
          </w:p>
        </w:tc>
        <w:tc>
          <w:tcPr>
            <w:tcW w:w="576" w:type="pct"/>
            <w:shd w:val="clear" w:color="auto" w:fill="auto"/>
            <w:noWrap/>
            <w:vAlign w:val="center"/>
          </w:tcPr>
          <w:p w14:paraId="64F23E32" w14:textId="77777777" w:rsidR="00EA69F4" w:rsidRPr="000F48C1" w:rsidRDefault="00EA69F4" w:rsidP="00B94957">
            <w:pPr>
              <w:jc w:val="center"/>
              <w:rPr>
                <w:sz w:val="20"/>
                <w:szCs w:val="20"/>
              </w:rPr>
            </w:pPr>
          </w:p>
        </w:tc>
        <w:tc>
          <w:tcPr>
            <w:tcW w:w="556" w:type="pct"/>
            <w:shd w:val="clear" w:color="auto" w:fill="auto"/>
            <w:noWrap/>
            <w:vAlign w:val="center"/>
          </w:tcPr>
          <w:p w14:paraId="3C48F5D5" w14:textId="77777777" w:rsidR="00EA69F4" w:rsidRPr="000F48C1" w:rsidRDefault="00EA69F4" w:rsidP="00B94957">
            <w:pPr>
              <w:jc w:val="center"/>
              <w:rPr>
                <w:sz w:val="20"/>
                <w:szCs w:val="20"/>
              </w:rPr>
            </w:pPr>
          </w:p>
        </w:tc>
        <w:tc>
          <w:tcPr>
            <w:tcW w:w="556" w:type="pct"/>
            <w:shd w:val="clear" w:color="auto" w:fill="auto"/>
            <w:noWrap/>
            <w:vAlign w:val="center"/>
          </w:tcPr>
          <w:p w14:paraId="560BB4E9" w14:textId="77777777" w:rsidR="00EA69F4" w:rsidRPr="000F48C1" w:rsidRDefault="00EA69F4" w:rsidP="00B94957">
            <w:pPr>
              <w:jc w:val="center"/>
              <w:rPr>
                <w:sz w:val="20"/>
                <w:szCs w:val="20"/>
              </w:rPr>
            </w:pPr>
            <w:r w:rsidRPr="000F48C1">
              <w:rPr>
                <w:sz w:val="20"/>
                <w:szCs w:val="20"/>
              </w:rPr>
              <w:t>1</w:t>
            </w:r>
            <w:r>
              <w:rPr>
                <w:sz w:val="20"/>
                <w:szCs w:val="20"/>
              </w:rPr>
              <w:t>,4</w:t>
            </w:r>
          </w:p>
        </w:tc>
        <w:tc>
          <w:tcPr>
            <w:tcW w:w="556" w:type="pct"/>
            <w:shd w:val="clear" w:color="auto" w:fill="auto"/>
            <w:noWrap/>
            <w:vAlign w:val="center"/>
          </w:tcPr>
          <w:p w14:paraId="1A2821E4" w14:textId="77777777" w:rsidR="00EA69F4" w:rsidRPr="000F48C1" w:rsidRDefault="00EA69F4" w:rsidP="00B94957">
            <w:pPr>
              <w:jc w:val="center"/>
              <w:rPr>
                <w:sz w:val="20"/>
                <w:szCs w:val="20"/>
              </w:rPr>
            </w:pPr>
            <w:r>
              <w:rPr>
                <w:sz w:val="20"/>
                <w:szCs w:val="20"/>
              </w:rPr>
              <w:t>0,9</w:t>
            </w:r>
          </w:p>
        </w:tc>
        <w:tc>
          <w:tcPr>
            <w:tcW w:w="634" w:type="pct"/>
            <w:shd w:val="clear" w:color="auto" w:fill="auto"/>
            <w:noWrap/>
            <w:vAlign w:val="center"/>
          </w:tcPr>
          <w:p w14:paraId="10A8FA1A" w14:textId="77777777" w:rsidR="00EA69F4" w:rsidRPr="000F48C1" w:rsidRDefault="00EA69F4" w:rsidP="00B94957">
            <w:pPr>
              <w:jc w:val="center"/>
              <w:rPr>
                <w:sz w:val="20"/>
                <w:szCs w:val="20"/>
              </w:rPr>
            </w:pPr>
            <w:r w:rsidRPr="000F48C1">
              <w:rPr>
                <w:sz w:val="20"/>
                <w:szCs w:val="20"/>
              </w:rPr>
              <w:t>-</w:t>
            </w:r>
          </w:p>
        </w:tc>
        <w:tc>
          <w:tcPr>
            <w:tcW w:w="635" w:type="pct"/>
            <w:shd w:val="clear" w:color="auto" w:fill="auto"/>
            <w:noWrap/>
            <w:vAlign w:val="center"/>
          </w:tcPr>
          <w:p w14:paraId="3D8F7BDB" w14:textId="77777777" w:rsidR="00EA69F4" w:rsidRPr="000F48C1" w:rsidRDefault="00EA69F4" w:rsidP="00B94957">
            <w:pPr>
              <w:jc w:val="center"/>
              <w:rPr>
                <w:sz w:val="20"/>
                <w:szCs w:val="20"/>
              </w:rPr>
            </w:pPr>
          </w:p>
        </w:tc>
      </w:tr>
      <w:tr w:rsidR="00EA69F4" w:rsidRPr="000F48C1" w14:paraId="61D5ED18" w14:textId="77777777" w:rsidTr="00B94957">
        <w:tc>
          <w:tcPr>
            <w:tcW w:w="1487" w:type="pct"/>
            <w:shd w:val="clear" w:color="auto" w:fill="auto"/>
            <w:noWrap/>
            <w:vAlign w:val="center"/>
          </w:tcPr>
          <w:p w14:paraId="499D3776" w14:textId="77777777" w:rsidR="00EA69F4" w:rsidRDefault="00EA69F4" w:rsidP="00B94957">
            <w:pPr>
              <w:rPr>
                <w:sz w:val="20"/>
                <w:szCs w:val="20"/>
              </w:rPr>
            </w:pPr>
            <w:r>
              <w:rPr>
                <w:sz w:val="20"/>
                <w:szCs w:val="20"/>
              </w:rPr>
              <w:t>Законопроект</w:t>
            </w:r>
          </w:p>
        </w:tc>
        <w:tc>
          <w:tcPr>
            <w:tcW w:w="576" w:type="pct"/>
            <w:shd w:val="clear" w:color="auto" w:fill="auto"/>
            <w:noWrap/>
            <w:vAlign w:val="center"/>
          </w:tcPr>
          <w:p w14:paraId="2F658009" w14:textId="77777777" w:rsidR="00EA69F4" w:rsidRPr="000F48C1" w:rsidRDefault="00EA69F4" w:rsidP="00B94957">
            <w:pPr>
              <w:jc w:val="center"/>
              <w:rPr>
                <w:sz w:val="20"/>
                <w:szCs w:val="20"/>
              </w:rPr>
            </w:pPr>
          </w:p>
        </w:tc>
        <w:tc>
          <w:tcPr>
            <w:tcW w:w="556" w:type="pct"/>
            <w:shd w:val="clear" w:color="auto" w:fill="auto"/>
            <w:noWrap/>
            <w:vAlign w:val="center"/>
          </w:tcPr>
          <w:p w14:paraId="63EDAEC3" w14:textId="77777777" w:rsidR="00EA69F4" w:rsidRPr="000F48C1" w:rsidRDefault="00EA69F4" w:rsidP="00B94957">
            <w:pPr>
              <w:jc w:val="center"/>
              <w:rPr>
                <w:sz w:val="20"/>
                <w:szCs w:val="20"/>
              </w:rPr>
            </w:pPr>
          </w:p>
        </w:tc>
        <w:tc>
          <w:tcPr>
            <w:tcW w:w="556" w:type="pct"/>
            <w:shd w:val="clear" w:color="auto" w:fill="auto"/>
            <w:noWrap/>
            <w:vAlign w:val="center"/>
          </w:tcPr>
          <w:p w14:paraId="30565259" w14:textId="77777777" w:rsidR="00EA69F4" w:rsidRPr="000F48C1" w:rsidRDefault="00EA69F4" w:rsidP="00B94957">
            <w:pPr>
              <w:jc w:val="center"/>
              <w:rPr>
                <w:sz w:val="20"/>
                <w:szCs w:val="20"/>
              </w:rPr>
            </w:pPr>
          </w:p>
        </w:tc>
        <w:tc>
          <w:tcPr>
            <w:tcW w:w="556" w:type="pct"/>
            <w:shd w:val="clear" w:color="auto" w:fill="auto"/>
            <w:noWrap/>
            <w:vAlign w:val="center"/>
          </w:tcPr>
          <w:p w14:paraId="7AA1DC32" w14:textId="77777777" w:rsidR="00EA69F4" w:rsidRPr="000F48C1" w:rsidRDefault="00EA69F4" w:rsidP="00B94957">
            <w:pPr>
              <w:jc w:val="center"/>
              <w:rPr>
                <w:sz w:val="20"/>
                <w:szCs w:val="20"/>
              </w:rPr>
            </w:pPr>
            <w:r>
              <w:rPr>
                <w:sz w:val="20"/>
                <w:szCs w:val="20"/>
              </w:rPr>
              <w:t>1,0</w:t>
            </w:r>
          </w:p>
        </w:tc>
        <w:tc>
          <w:tcPr>
            <w:tcW w:w="634" w:type="pct"/>
            <w:shd w:val="clear" w:color="auto" w:fill="auto"/>
            <w:noWrap/>
            <w:vAlign w:val="center"/>
          </w:tcPr>
          <w:p w14:paraId="2E896F63" w14:textId="77777777" w:rsidR="00EA69F4" w:rsidRPr="000F48C1" w:rsidRDefault="00EA69F4" w:rsidP="00B94957">
            <w:pPr>
              <w:jc w:val="center"/>
              <w:rPr>
                <w:sz w:val="20"/>
                <w:szCs w:val="20"/>
              </w:rPr>
            </w:pPr>
            <w:r>
              <w:rPr>
                <w:sz w:val="20"/>
                <w:szCs w:val="20"/>
              </w:rPr>
              <w:t>2,1</w:t>
            </w:r>
          </w:p>
        </w:tc>
        <w:tc>
          <w:tcPr>
            <w:tcW w:w="635" w:type="pct"/>
            <w:shd w:val="clear" w:color="auto" w:fill="auto"/>
            <w:noWrap/>
            <w:vAlign w:val="center"/>
          </w:tcPr>
          <w:p w14:paraId="6983014E" w14:textId="77777777" w:rsidR="00EA69F4" w:rsidRPr="000F48C1" w:rsidRDefault="00EA69F4" w:rsidP="00B94957">
            <w:pPr>
              <w:jc w:val="center"/>
              <w:rPr>
                <w:sz w:val="20"/>
                <w:szCs w:val="20"/>
              </w:rPr>
            </w:pPr>
            <w:r>
              <w:rPr>
                <w:sz w:val="20"/>
                <w:szCs w:val="20"/>
              </w:rPr>
              <w:t>-</w:t>
            </w:r>
          </w:p>
        </w:tc>
      </w:tr>
    </w:tbl>
    <w:p w14:paraId="66F590CD" w14:textId="77777777" w:rsidR="00EA69F4" w:rsidRPr="008E6B24" w:rsidRDefault="00EA69F4" w:rsidP="00EA69F4">
      <w:pPr>
        <w:pStyle w:val="af0"/>
        <w:spacing w:before="0" w:after="60"/>
        <w:ind w:firstLine="709"/>
      </w:pPr>
      <w:r w:rsidRPr="0002614E">
        <w:rPr>
          <w:i/>
          <w:sz w:val="20"/>
        </w:rPr>
        <w:t>Источник:</w:t>
      </w:r>
      <w:r w:rsidRPr="0002614E">
        <w:rPr>
          <w:sz w:val="20"/>
        </w:rPr>
        <w:t xml:space="preserve"> </w:t>
      </w:r>
      <w:r>
        <w:rPr>
          <w:sz w:val="20"/>
        </w:rPr>
        <w:t>федеральные законы о федеральном бюджете, расчеты авторов.</w:t>
      </w:r>
    </w:p>
    <w:p w14:paraId="0699A780" w14:textId="77777777" w:rsidR="00EA69F4" w:rsidRDefault="00EA69F4" w:rsidP="00EA69F4">
      <w:pPr>
        <w:ind w:firstLine="709"/>
        <w:jc w:val="both"/>
        <w:rPr>
          <w:szCs w:val="20"/>
        </w:rPr>
      </w:pPr>
      <w:r>
        <w:rPr>
          <w:szCs w:val="20"/>
        </w:rPr>
        <w:t xml:space="preserve">В соответствии с пояснительной запиской к законопроекту, бюджетные кредиты в 2020-2021 гг. будут иметь целевой характер и направятся на строительство и эксплуатацию транспортных путей, соединяющих федеральные трассы. </w:t>
      </w:r>
    </w:p>
    <w:p w14:paraId="4FBB9BA9" w14:textId="77777777" w:rsidR="00EA69F4" w:rsidRDefault="00EA69F4" w:rsidP="00EA69F4">
      <w:pPr>
        <w:spacing w:after="60"/>
        <w:ind w:firstLine="709"/>
        <w:jc w:val="both"/>
        <w:rPr>
          <w:szCs w:val="20"/>
        </w:rPr>
      </w:pPr>
      <w:r>
        <w:rPr>
          <w:szCs w:val="20"/>
        </w:rPr>
        <w:t xml:space="preserve">Политика минимизации предоставления бюджетных кредитов должна способствовать оздоровлению региональных финансов и повышению сбалансированности бюджетов. </w:t>
      </w:r>
    </w:p>
    <w:p w14:paraId="5B75B44C" w14:textId="77777777" w:rsidR="00EA69F4" w:rsidRPr="006C2801" w:rsidRDefault="00EA69F4" w:rsidP="00EA69F4">
      <w:pPr>
        <w:spacing w:after="60"/>
        <w:ind w:firstLine="709"/>
        <w:jc w:val="both"/>
        <w:rPr>
          <w:szCs w:val="20"/>
        </w:rPr>
      </w:pPr>
      <w:r w:rsidRPr="006C2801">
        <w:rPr>
          <w:szCs w:val="20"/>
        </w:rPr>
        <w:t xml:space="preserve">По итогам рассмотрения параметров межбюджетных отношений на 2020–2022 гг. можно сделать выводы </w:t>
      </w:r>
      <w:r>
        <w:rPr>
          <w:szCs w:val="20"/>
        </w:rPr>
        <w:t xml:space="preserve">о присутствии </w:t>
      </w:r>
      <w:r w:rsidRPr="006C2801">
        <w:rPr>
          <w:szCs w:val="20"/>
        </w:rPr>
        <w:t>как положительных, так и отрицательных тенденци</w:t>
      </w:r>
      <w:r>
        <w:rPr>
          <w:szCs w:val="20"/>
        </w:rPr>
        <w:t>й</w:t>
      </w:r>
      <w:r w:rsidRPr="006C2801">
        <w:rPr>
          <w:szCs w:val="20"/>
        </w:rPr>
        <w:t xml:space="preserve">. Позитивным трендом является повышение сбалансированности субфедеральных бюджетов, появление бюджетного профицита и возможность его использования в целях оздоровления региональных финансов (в частности, на </w:t>
      </w:r>
      <w:r>
        <w:rPr>
          <w:szCs w:val="20"/>
        </w:rPr>
        <w:t>снижение долговой нагрузки</w:t>
      </w:r>
      <w:r w:rsidRPr="006C2801">
        <w:rPr>
          <w:szCs w:val="20"/>
        </w:rPr>
        <w:t xml:space="preserve">). </w:t>
      </w:r>
    </w:p>
    <w:p w14:paraId="4D92C0FE" w14:textId="03E3E977" w:rsidR="00EA69F4" w:rsidRDefault="00EA69F4" w:rsidP="00EA69F4">
      <w:pPr>
        <w:spacing w:after="60"/>
        <w:ind w:firstLine="709"/>
        <w:jc w:val="both"/>
        <w:rPr>
          <w:szCs w:val="20"/>
          <w:highlight w:val="yellow"/>
        </w:rPr>
      </w:pPr>
      <w:r w:rsidRPr="006C2801">
        <w:rPr>
          <w:szCs w:val="20"/>
        </w:rPr>
        <w:t xml:space="preserve">Отрицательной тенденцией следует считать сокращение </w:t>
      </w:r>
      <w:r>
        <w:rPr>
          <w:szCs w:val="20"/>
        </w:rPr>
        <w:t xml:space="preserve">реального </w:t>
      </w:r>
      <w:r w:rsidRPr="006C2801">
        <w:rPr>
          <w:szCs w:val="20"/>
        </w:rPr>
        <w:t>объема финансовой помощи регионам</w:t>
      </w:r>
      <w:r>
        <w:rPr>
          <w:szCs w:val="20"/>
        </w:rPr>
        <w:t xml:space="preserve"> (</w:t>
      </w:r>
      <w:r w:rsidRPr="006C2801">
        <w:rPr>
          <w:szCs w:val="20"/>
        </w:rPr>
        <w:t>выраженно</w:t>
      </w:r>
      <w:r>
        <w:rPr>
          <w:szCs w:val="20"/>
        </w:rPr>
        <w:t>го</w:t>
      </w:r>
      <w:r w:rsidRPr="006C2801">
        <w:rPr>
          <w:szCs w:val="20"/>
        </w:rPr>
        <w:t xml:space="preserve"> в </w:t>
      </w:r>
      <w:r w:rsidR="00A661AF">
        <w:rPr>
          <w:szCs w:val="20"/>
        </w:rPr>
        <w:t>долях</w:t>
      </w:r>
      <w:r w:rsidRPr="006C2801">
        <w:rPr>
          <w:szCs w:val="20"/>
        </w:rPr>
        <w:t xml:space="preserve"> ВВП</w:t>
      </w:r>
      <w:r>
        <w:rPr>
          <w:szCs w:val="20"/>
        </w:rPr>
        <w:t>)</w:t>
      </w:r>
      <w:r w:rsidRPr="006C2801">
        <w:rPr>
          <w:szCs w:val="20"/>
        </w:rPr>
        <w:t xml:space="preserve">, а также </w:t>
      </w:r>
      <w:r>
        <w:rPr>
          <w:szCs w:val="20"/>
        </w:rPr>
        <w:t xml:space="preserve">ее </w:t>
      </w:r>
      <w:r w:rsidRPr="006C2801">
        <w:rPr>
          <w:szCs w:val="20"/>
        </w:rPr>
        <w:t xml:space="preserve">нецелевой части (дотаций). Согласно законопроекту, относительный объем дотаций регионам к 2022 г. снизится до минимальной величины за период с 2014 г., что не будет способствовать повышению прозрачности межбюджетных отношений, а также повышению гибкости региональных властей в проведении собственной бюджетной политики. Сокращение реального объема межбюджетных трансфертов регионам </w:t>
      </w:r>
      <w:r>
        <w:rPr>
          <w:szCs w:val="20"/>
        </w:rPr>
        <w:t>в 2021-</w:t>
      </w:r>
      <w:r w:rsidRPr="006C2801">
        <w:rPr>
          <w:szCs w:val="20"/>
        </w:rPr>
        <w:t>202</w:t>
      </w:r>
      <w:r>
        <w:rPr>
          <w:szCs w:val="20"/>
        </w:rPr>
        <w:t>2</w:t>
      </w:r>
      <w:r w:rsidRPr="006C2801">
        <w:rPr>
          <w:szCs w:val="20"/>
        </w:rPr>
        <w:t xml:space="preserve"> г.</w:t>
      </w:r>
      <w:r>
        <w:rPr>
          <w:szCs w:val="20"/>
        </w:rPr>
        <w:t xml:space="preserve"> на фоне снижения прогнозного </w:t>
      </w:r>
      <w:r w:rsidRPr="006C2801">
        <w:rPr>
          <w:szCs w:val="20"/>
        </w:rPr>
        <w:t>объема доходов региональных и местных бюджетов в реальном выражении</w:t>
      </w:r>
      <w:r>
        <w:rPr>
          <w:szCs w:val="20"/>
        </w:rPr>
        <w:t xml:space="preserve"> может привести к </w:t>
      </w:r>
      <w:r w:rsidRPr="006C2801">
        <w:rPr>
          <w:szCs w:val="20"/>
        </w:rPr>
        <w:t>росту бюджетного неравенства, а также сокращению инвестиционных расходов субнациональных бюджетов</w:t>
      </w:r>
      <w:r>
        <w:rPr>
          <w:szCs w:val="20"/>
        </w:rPr>
        <w:t>, что, в свою очередь, может негативно отразиться на результатах реализации национальных проектов</w:t>
      </w:r>
      <w:r w:rsidRPr="006C2801">
        <w:rPr>
          <w:szCs w:val="20"/>
        </w:rPr>
        <w:t>.</w:t>
      </w:r>
      <w:r>
        <w:rPr>
          <w:szCs w:val="20"/>
        </w:rPr>
        <w:t xml:space="preserve"> </w:t>
      </w:r>
    </w:p>
    <w:p w14:paraId="5F43A6D5" w14:textId="2DDC017B" w:rsidR="00C37714" w:rsidRPr="0033726B" w:rsidRDefault="00C37714" w:rsidP="00C1771D">
      <w:pPr>
        <w:spacing w:after="60"/>
        <w:ind w:firstLine="709"/>
        <w:jc w:val="both"/>
      </w:pPr>
      <w:r w:rsidRPr="0033726B">
        <w:t>Основны</w:t>
      </w:r>
      <w:r w:rsidR="00A661AF">
        <w:t>е</w:t>
      </w:r>
      <w:r w:rsidRPr="0033726B">
        <w:t xml:space="preserve"> рекомендаци</w:t>
      </w:r>
      <w:r w:rsidR="00A661AF">
        <w:t>и</w:t>
      </w:r>
      <w:r w:rsidRPr="0033726B">
        <w:t xml:space="preserve"> </w:t>
      </w:r>
      <w:r w:rsidR="00A661AF">
        <w:t>по дальнейшему развитию межбюджетных отношений можно свести к следующим</w:t>
      </w:r>
      <w:r w:rsidRPr="0033726B">
        <w:t>:</w:t>
      </w:r>
    </w:p>
    <w:p w14:paraId="416410E5" w14:textId="1B4AB22B" w:rsidR="00C37714" w:rsidRPr="0033726B" w:rsidRDefault="00C37714" w:rsidP="00C1771D">
      <w:pPr>
        <w:pStyle w:val="afc"/>
        <w:numPr>
          <w:ilvl w:val="0"/>
          <w:numId w:val="14"/>
        </w:numPr>
        <w:spacing w:before="0" w:after="60"/>
        <w:ind w:left="1066" w:hanging="357"/>
        <w:contextualSpacing w:val="0"/>
      </w:pPr>
      <w:r w:rsidRPr="00C37714">
        <w:rPr>
          <w:b/>
          <w:bCs/>
        </w:rPr>
        <w:t>уменьш</w:t>
      </w:r>
      <w:r w:rsidR="00A661AF">
        <w:rPr>
          <w:b/>
          <w:bCs/>
        </w:rPr>
        <w:t>ить</w:t>
      </w:r>
      <w:r w:rsidRPr="00C37714">
        <w:rPr>
          <w:b/>
          <w:bCs/>
        </w:rPr>
        <w:t xml:space="preserve"> дол</w:t>
      </w:r>
      <w:r w:rsidR="00A661AF">
        <w:rPr>
          <w:b/>
          <w:bCs/>
        </w:rPr>
        <w:t>ю</w:t>
      </w:r>
      <w:r w:rsidRPr="00C37714">
        <w:rPr>
          <w:b/>
          <w:bCs/>
        </w:rPr>
        <w:t xml:space="preserve"> целевых трансфертов </w:t>
      </w:r>
      <w:r w:rsidRPr="00BE65E2">
        <w:rPr>
          <w:bCs/>
        </w:rPr>
        <w:t>(з</w:t>
      </w:r>
      <w:r w:rsidRPr="0033726B">
        <w:t xml:space="preserve">аменить существенную часть субсидий дотациями, перейти к блочным грантам вместо субсидий, закрепить в </w:t>
      </w:r>
      <w:r w:rsidR="00A661AF">
        <w:t xml:space="preserve">Бюджетном прогнозе </w:t>
      </w:r>
      <w:r w:rsidRPr="0033726B">
        <w:t xml:space="preserve">объем и направления </w:t>
      </w:r>
      <w:r w:rsidR="00A661AF">
        <w:t>межбюджетных трансфертов</w:t>
      </w:r>
      <w:r w:rsidRPr="0033726B">
        <w:t xml:space="preserve"> на 6 лет);</w:t>
      </w:r>
    </w:p>
    <w:p w14:paraId="36E90107" w14:textId="7F37DDE8" w:rsidR="00C37714" w:rsidRPr="0033726B" w:rsidRDefault="00C37714" w:rsidP="00C1771D">
      <w:pPr>
        <w:pStyle w:val="afc"/>
        <w:numPr>
          <w:ilvl w:val="0"/>
          <w:numId w:val="14"/>
        </w:numPr>
        <w:spacing w:before="0" w:after="60"/>
        <w:ind w:left="1066" w:hanging="357"/>
        <w:contextualSpacing w:val="0"/>
      </w:pPr>
      <w:r w:rsidRPr="00BE65E2">
        <w:rPr>
          <w:b/>
        </w:rPr>
        <w:t>д</w:t>
      </w:r>
      <w:r w:rsidRPr="00C37714">
        <w:rPr>
          <w:b/>
          <w:bCs/>
        </w:rPr>
        <w:t>ецентрализ</w:t>
      </w:r>
      <w:r w:rsidR="00A661AF">
        <w:rPr>
          <w:b/>
          <w:bCs/>
        </w:rPr>
        <w:t xml:space="preserve">овать </w:t>
      </w:r>
      <w:r w:rsidRPr="00C37714">
        <w:rPr>
          <w:b/>
          <w:bCs/>
        </w:rPr>
        <w:t>регулировани</w:t>
      </w:r>
      <w:r w:rsidR="00A661AF">
        <w:rPr>
          <w:b/>
          <w:bCs/>
        </w:rPr>
        <w:t>е</w:t>
      </w:r>
      <w:r w:rsidRPr="00C37714">
        <w:rPr>
          <w:b/>
          <w:bCs/>
        </w:rPr>
        <w:t xml:space="preserve"> расходных полномочий субъектов РФ </w:t>
      </w:r>
      <w:r w:rsidRPr="00BE65E2">
        <w:rPr>
          <w:bCs/>
        </w:rPr>
        <w:t>(п</w:t>
      </w:r>
      <w:r w:rsidRPr="0033726B">
        <w:t>ередать регионам право устанавливать ГОСТы, СанПины, СНИПы с регламентацией на федеральном уровне только наиболее общих вопросов и вопросов безопасности; инвентаризировать и сократить перечень федеральных норм, содержащих избыточное регулирование объема региональных вопросов и полномочий);</w:t>
      </w:r>
    </w:p>
    <w:p w14:paraId="23D9293C" w14:textId="205A6107" w:rsidR="00C37714" w:rsidRPr="0033726B" w:rsidRDefault="00C37714" w:rsidP="00C1771D">
      <w:pPr>
        <w:pStyle w:val="afc"/>
        <w:numPr>
          <w:ilvl w:val="0"/>
          <w:numId w:val="14"/>
        </w:numPr>
        <w:spacing w:before="0" w:after="60"/>
        <w:ind w:left="1066" w:hanging="357"/>
        <w:contextualSpacing w:val="0"/>
      </w:pPr>
      <w:r w:rsidRPr="00C37714">
        <w:rPr>
          <w:b/>
          <w:bCs/>
        </w:rPr>
        <w:t>повы</w:t>
      </w:r>
      <w:r w:rsidR="00A661AF">
        <w:rPr>
          <w:b/>
          <w:bCs/>
        </w:rPr>
        <w:t>сить</w:t>
      </w:r>
      <w:r w:rsidRPr="00C37714">
        <w:rPr>
          <w:b/>
          <w:bCs/>
        </w:rPr>
        <w:t xml:space="preserve"> доходн</w:t>
      </w:r>
      <w:r w:rsidR="00A661AF">
        <w:rPr>
          <w:b/>
          <w:bCs/>
        </w:rPr>
        <w:t>ую</w:t>
      </w:r>
      <w:r w:rsidRPr="00C37714">
        <w:rPr>
          <w:b/>
          <w:bCs/>
        </w:rPr>
        <w:t xml:space="preserve"> баз</w:t>
      </w:r>
      <w:r w:rsidR="00A661AF">
        <w:rPr>
          <w:b/>
          <w:bCs/>
        </w:rPr>
        <w:t>у</w:t>
      </w:r>
      <w:r w:rsidRPr="00C37714">
        <w:rPr>
          <w:b/>
          <w:bCs/>
        </w:rPr>
        <w:t xml:space="preserve"> и налогов</w:t>
      </w:r>
      <w:r w:rsidR="00A661AF">
        <w:rPr>
          <w:b/>
          <w:bCs/>
        </w:rPr>
        <w:t>ую</w:t>
      </w:r>
      <w:r w:rsidRPr="00C37714">
        <w:rPr>
          <w:b/>
          <w:bCs/>
        </w:rPr>
        <w:t xml:space="preserve"> самостоятельност</w:t>
      </w:r>
      <w:r w:rsidR="00A661AF">
        <w:rPr>
          <w:b/>
          <w:bCs/>
        </w:rPr>
        <w:t>ь</w:t>
      </w:r>
      <w:r w:rsidRPr="00C37714">
        <w:rPr>
          <w:b/>
          <w:bCs/>
        </w:rPr>
        <w:t xml:space="preserve"> регионов и </w:t>
      </w:r>
      <w:r w:rsidR="00A661AF">
        <w:rPr>
          <w:b/>
          <w:bCs/>
        </w:rPr>
        <w:t>муниципальных образований</w:t>
      </w:r>
      <w:r w:rsidRPr="00C37714">
        <w:rPr>
          <w:b/>
          <w:bCs/>
        </w:rPr>
        <w:t xml:space="preserve"> </w:t>
      </w:r>
      <w:r w:rsidRPr="00BE65E2">
        <w:rPr>
          <w:bCs/>
        </w:rPr>
        <w:t>(п</w:t>
      </w:r>
      <w:r w:rsidRPr="0033726B">
        <w:t>ередать 2 п.п. ставки НДС в бюджеты субъектов РФ по формуле распределения выравнивающих дотаций, установить размер общего объема выравнивающих дотаций регионам в % к НДС, закрепить отчисления по всем налоговым вы</w:t>
      </w:r>
      <w:r w:rsidR="00A661AF">
        <w:t>платам малого бизнеса в местные бюджеты</w:t>
      </w:r>
      <w:r w:rsidRPr="0033726B">
        <w:t xml:space="preserve">, отменить федеральные льготы по региональным и местным налогам, отказаться от регулирования НК РФ предельных размеров ставок и льгот по региональным и местным налогам); </w:t>
      </w:r>
    </w:p>
    <w:p w14:paraId="1EE1AFFB" w14:textId="55BACEEB" w:rsidR="00792993" w:rsidRPr="0066068F" w:rsidRDefault="00C37714" w:rsidP="00C1771D">
      <w:pPr>
        <w:pStyle w:val="afc"/>
        <w:numPr>
          <w:ilvl w:val="0"/>
          <w:numId w:val="14"/>
        </w:numPr>
        <w:spacing w:before="0" w:after="60"/>
        <w:ind w:left="1066" w:hanging="357"/>
        <w:contextualSpacing w:val="0"/>
      </w:pPr>
      <w:r w:rsidRPr="00C37714">
        <w:rPr>
          <w:b/>
          <w:bCs/>
        </w:rPr>
        <w:t>вовле</w:t>
      </w:r>
      <w:r w:rsidR="00A661AF">
        <w:rPr>
          <w:b/>
          <w:bCs/>
        </w:rPr>
        <w:t xml:space="preserve">кать </w:t>
      </w:r>
      <w:r w:rsidRPr="00C37714">
        <w:rPr>
          <w:b/>
          <w:bCs/>
        </w:rPr>
        <w:t>населени</w:t>
      </w:r>
      <w:r w:rsidR="00A661AF">
        <w:rPr>
          <w:b/>
          <w:bCs/>
        </w:rPr>
        <w:t>е</w:t>
      </w:r>
      <w:r w:rsidRPr="00C37714">
        <w:rPr>
          <w:b/>
          <w:bCs/>
        </w:rPr>
        <w:t xml:space="preserve"> в принятие управленческих решений на уровне регионов и муниципалитетов через </w:t>
      </w:r>
      <w:r w:rsidRPr="0033726B">
        <w:t>резкое увеличение масштабов применения инициативного бюджетирования и распространения этой практики на широкий перечень расходных статьей по благоустройству и ЖКХ; «перезапуск» механизма публичных слушаний по генеральным планам городов, бюджетам субъектов и муниципалитетов, а также другим документам стратегического и оперативного управления.</w:t>
      </w:r>
    </w:p>
    <w:sectPr w:rsidR="00792993" w:rsidRPr="0066068F" w:rsidSect="00F249D3">
      <w:headerReference w:type="default" r:id="rId15"/>
      <w:footerReference w:type="default" r:id="rId16"/>
      <w:pgSz w:w="11906" w:h="16838"/>
      <w:pgMar w:top="964" w:right="1134" w:bottom="964" w:left="1134" w:header="708" w:footer="708"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9E146" w14:textId="77777777" w:rsidR="00757725" w:rsidRDefault="00757725" w:rsidP="00995E45">
      <w:r>
        <w:separator/>
      </w:r>
    </w:p>
  </w:endnote>
  <w:endnote w:type="continuationSeparator" w:id="0">
    <w:p w14:paraId="526AF56C" w14:textId="77777777" w:rsidR="00757725" w:rsidRDefault="00757725" w:rsidP="0099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784920"/>
      <w:docPartObj>
        <w:docPartGallery w:val="Page Numbers (Bottom of Page)"/>
        <w:docPartUnique/>
      </w:docPartObj>
    </w:sdtPr>
    <w:sdtEndPr/>
    <w:sdtContent>
      <w:p w14:paraId="16EA190B" w14:textId="3C4681F4" w:rsidR="004C5802" w:rsidRDefault="004C5802">
        <w:pPr>
          <w:pStyle w:val="af5"/>
          <w:jc w:val="right"/>
        </w:pPr>
        <w:r>
          <w:fldChar w:fldCharType="begin"/>
        </w:r>
        <w:r>
          <w:instrText>PAGE   \* MERGEFORMAT</w:instrText>
        </w:r>
        <w:r>
          <w:fldChar w:fldCharType="separate"/>
        </w:r>
        <w:r w:rsidR="00280A4F">
          <w:rPr>
            <w:noProof/>
          </w:rPr>
          <w:t>20</w:t>
        </w:r>
        <w:r>
          <w:rPr>
            <w:noProof/>
          </w:rPr>
          <w:fldChar w:fldCharType="end"/>
        </w:r>
      </w:p>
    </w:sdtContent>
  </w:sdt>
  <w:p w14:paraId="2DCF80D5" w14:textId="77777777" w:rsidR="004C5802" w:rsidRDefault="004C5802">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460524"/>
      <w:docPartObj>
        <w:docPartGallery w:val="Page Numbers (Bottom of Page)"/>
        <w:docPartUnique/>
      </w:docPartObj>
    </w:sdtPr>
    <w:sdtEndPr/>
    <w:sdtContent>
      <w:p w14:paraId="37AE4BE3" w14:textId="3A2CB2B5" w:rsidR="004C5802" w:rsidRDefault="004C5802">
        <w:pPr>
          <w:pStyle w:val="af5"/>
          <w:jc w:val="right"/>
        </w:pPr>
        <w:r>
          <w:fldChar w:fldCharType="begin"/>
        </w:r>
        <w:r>
          <w:instrText>PAGE   \* MERGEFORMAT</w:instrText>
        </w:r>
        <w:r>
          <w:fldChar w:fldCharType="separate"/>
        </w:r>
        <w:r w:rsidR="00E56F03">
          <w:rPr>
            <w:noProof/>
          </w:rPr>
          <w:t>89</w:t>
        </w:r>
        <w:r>
          <w:rPr>
            <w:noProof/>
          </w:rPr>
          <w:fldChar w:fldCharType="end"/>
        </w:r>
      </w:p>
    </w:sdtContent>
  </w:sdt>
  <w:p w14:paraId="34A21F1A" w14:textId="77777777" w:rsidR="004C5802" w:rsidRDefault="004C580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B9FDB" w14:textId="77777777" w:rsidR="00757725" w:rsidRDefault="00757725" w:rsidP="00995E45">
      <w:r>
        <w:separator/>
      </w:r>
    </w:p>
  </w:footnote>
  <w:footnote w:type="continuationSeparator" w:id="0">
    <w:p w14:paraId="5279053B" w14:textId="77777777" w:rsidR="00757725" w:rsidRDefault="00757725" w:rsidP="00995E45">
      <w:r>
        <w:continuationSeparator/>
      </w:r>
    </w:p>
  </w:footnote>
  <w:footnote w:id="1">
    <w:p w14:paraId="36FD0DFC" w14:textId="5A51FEFB" w:rsidR="004C5802" w:rsidRDefault="004C5802" w:rsidP="00DF020C">
      <w:pPr>
        <w:pStyle w:val="a8"/>
        <w:ind w:firstLine="708"/>
      </w:pPr>
      <w:r>
        <w:rPr>
          <w:rStyle w:val="aa"/>
        </w:rPr>
        <w:footnoteRef/>
      </w:r>
      <w:r>
        <w:t xml:space="preserve"> Федеральный закон о федеральном бюджете </w:t>
      </w:r>
      <w:r w:rsidRPr="00CE7F89">
        <w:t>№ 459-ФЗ</w:t>
      </w:r>
      <w:r>
        <w:t>.</w:t>
      </w:r>
    </w:p>
  </w:footnote>
  <w:footnote w:id="2">
    <w:p w14:paraId="1E98A211" w14:textId="77777777" w:rsidR="004C5802" w:rsidRPr="005F4A84" w:rsidRDefault="004C5802" w:rsidP="00EA5518">
      <w:pPr>
        <w:pStyle w:val="a8"/>
        <w:spacing w:after="60"/>
        <w:ind w:firstLine="709"/>
        <w:contextualSpacing/>
        <w:rPr>
          <w:lang w:val="en-US"/>
        </w:rPr>
      </w:pPr>
      <w:r w:rsidRPr="005F4A84">
        <w:rPr>
          <w:rStyle w:val="aa"/>
        </w:rPr>
        <w:footnoteRef/>
      </w:r>
      <w:r w:rsidRPr="005F4A84">
        <w:rPr>
          <w:lang w:val="en-US"/>
        </w:rPr>
        <w:t xml:space="preserve"> World Bank Commodities Price Forecast, nominal US dollars (released: April 23, 2019) // </w:t>
      </w:r>
      <w:hyperlink r:id="rId1" w:history="1">
        <w:r w:rsidRPr="005F4A84">
          <w:rPr>
            <w:lang w:val="en-US"/>
          </w:rPr>
          <w:t>http://pubdocs.worldbank.org/en/598821555973008624/CMO-April-2019-Forecasts.pdf</w:t>
        </w:r>
      </w:hyperlink>
    </w:p>
  </w:footnote>
  <w:footnote w:id="3">
    <w:p w14:paraId="608E2663" w14:textId="77777777" w:rsidR="004C5802" w:rsidRPr="005F4A84" w:rsidRDefault="004C5802" w:rsidP="00EA5518">
      <w:pPr>
        <w:pStyle w:val="a8"/>
        <w:ind w:firstLine="709"/>
        <w:contextualSpacing/>
      </w:pPr>
      <w:r w:rsidRPr="005F4A84">
        <w:rPr>
          <w:rStyle w:val="aa"/>
        </w:rPr>
        <w:footnoteRef/>
      </w:r>
      <w:r w:rsidRPr="005F4A84">
        <w:t xml:space="preserve"> Прогноз социально-экономического развития Российской Федерации на период до 2024 года (30.09.2019) // </w:t>
      </w:r>
      <w:hyperlink r:id="rId2" w:history="1">
        <w:r w:rsidRPr="005F4A84">
          <w:rPr>
            <w:lang w:val="en-US"/>
          </w:rPr>
          <w:t>http</w:t>
        </w:r>
        <w:r w:rsidRPr="005F4A84">
          <w:t>://</w:t>
        </w:r>
        <w:r w:rsidRPr="005F4A84">
          <w:rPr>
            <w:lang w:val="en-US"/>
          </w:rPr>
          <w:t>economy</w:t>
        </w:r>
        <w:r w:rsidRPr="005F4A84">
          <w:t>.</w:t>
        </w:r>
        <w:r w:rsidRPr="005F4A84">
          <w:rPr>
            <w:lang w:val="en-US"/>
          </w:rPr>
          <w:t>gov</w:t>
        </w:r>
        <w:r w:rsidRPr="005F4A84">
          <w:t>.</w:t>
        </w:r>
        <w:r w:rsidRPr="005F4A84">
          <w:rPr>
            <w:lang w:val="en-US"/>
          </w:rPr>
          <w:t>ru</w:t>
        </w:r>
        <w:r w:rsidRPr="005F4A84">
          <w:t>/</w:t>
        </w:r>
        <w:r w:rsidRPr="005F4A84">
          <w:rPr>
            <w:lang w:val="en-US"/>
          </w:rPr>
          <w:t>wps</w:t>
        </w:r>
        <w:r w:rsidRPr="005F4A84">
          <w:t>/</w:t>
        </w:r>
        <w:r w:rsidRPr="005F4A84">
          <w:rPr>
            <w:lang w:val="en-US"/>
          </w:rPr>
          <w:t>wcm</w:t>
        </w:r>
        <w:r w:rsidRPr="005F4A84">
          <w:t>/</w:t>
        </w:r>
        <w:r w:rsidRPr="005F4A84">
          <w:rPr>
            <w:lang w:val="en-US"/>
          </w:rPr>
          <w:t>connect</w:t>
        </w:r>
        <w:r w:rsidRPr="005F4A84">
          <w:t>/</w:t>
        </w:r>
        <w:r w:rsidRPr="005F4A84">
          <w:rPr>
            <w:lang w:val="en-US"/>
          </w:rPr>
          <w:t>e</w:t>
        </w:r>
        <w:r w:rsidRPr="005F4A84">
          <w:t>60</w:t>
        </w:r>
        <w:r w:rsidRPr="005F4A84">
          <w:rPr>
            <w:lang w:val="en-US"/>
          </w:rPr>
          <w:t>abb</w:t>
        </w:r>
        <w:r w:rsidRPr="005F4A84">
          <w:t>9</w:t>
        </w:r>
        <w:r w:rsidRPr="005F4A84">
          <w:rPr>
            <w:lang w:val="en-US"/>
          </w:rPr>
          <w:t>e</w:t>
        </w:r>
        <w:r w:rsidRPr="005F4A84">
          <w:t>-5506-4371-</w:t>
        </w:r>
        <w:r w:rsidRPr="005F4A84">
          <w:rPr>
            <w:lang w:val="en-US"/>
          </w:rPr>
          <w:t>b</w:t>
        </w:r>
        <w:r w:rsidRPr="005F4A84">
          <w:t>555-304</w:t>
        </w:r>
        <w:r w:rsidRPr="005F4A84">
          <w:rPr>
            <w:lang w:val="en-US"/>
          </w:rPr>
          <w:t>b</w:t>
        </w:r>
        <w:r w:rsidRPr="005F4A84">
          <w:t>0350</w:t>
        </w:r>
        <w:r w:rsidRPr="005F4A84">
          <w:rPr>
            <w:lang w:val="en-US"/>
          </w:rPr>
          <w:t>ea</w:t>
        </w:r>
        <w:r w:rsidRPr="005F4A84">
          <w:t>38/</w:t>
        </w:r>
        <w:r w:rsidRPr="005F4A84">
          <w:rPr>
            <w:lang w:val="en-US"/>
          </w:rPr>
          <w:t>Prognoz</w:t>
        </w:r>
        <w:r w:rsidRPr="005F4A84">
          <w:t>2024.</w:t>
        </w:r>
        <w:r w:rsidRPr="005F4A84">
          <w:rPr>
            <w:lang w:val="en-US"/>
          </w:rPr>
          <w:t>pdf</w:t>
        </w:r>
        <w:r w:rsidRPr="005F4A84">
          <w:t>?</w:t>
        </w:r>
        <w:r w:rsidRPr="005F4A84">
          <w:rPr>
            <w:lang w:val="en-US"/>
          </w:rPr>
          <w:t>MOD</w:t>
        </w:r>
        <w:r w:rsidRPr="005F4A84">
          <w:t>=</w:t>
        </w:r>
        <w:r w:rsidRPr="005F4A84">
          <w:rPr>
            <w:lang w:val="en-US"/>
          </w:rPr>
          <w:t>AJPERES</w:t>
        </w:r>
        <w:r w:rsidRPr="005F4A84">
          <w:t>&amp;</w:t>
        </w:r>
        <w:r w:rsidRPr="005F4A84">
          <w:rPr>
            <w:lang w:val="en-US"/>
          </w:rPr>
          <w:t>CACHEID</w:t>
        </w:r>
        <w:r w:rsidRPr="005F4A84">
          <w:t>=</w:t>
        </w:r>
        <w:r w:rsidRPr="005F4A84">
          <w:rPr>
            <w:lang w:val="en-US"/>
          </w:rPr>
          <w:t>e</w:t>
        </w:r>
        <w:r w:rsidRPr="005F4A84">
          <w:t>60</w:t>
        </w:r>
        <w:r w:rsidRPr="005F4A84">
          <w:rPr>
            <w:lang w:val="en-US"/>
          </w:rPr>
          <w:t>abb</w:t>
        </w:r>
        <w:r w:rsidRPr="005F4A84">
          <w:t>9</w:t>
        </w:r>
        <w:r w:rsidRPr="005F4A84">
          <w:rPr>
            <w:lang w:val="en-US"/>
          </w:rPr>
          <w:t>e</w:t>
        </w:r>
        <w:r w:rsidRPr="005F4A84">
          <w:t>-5506-4371-</w:t>
        </w:r>
        <w:r w:rsidRPr="005F4A84">
          <w:rPr>
            <w:lang w:val="en-US"/>
          </w:rPr>
          <w:t>b</w:t>
        </w:r>
        <w:r w:rsidRPr="005F4A84">
          <w:t>555-304</w:t>
        </w:r>
        <w:r w:rsidRPr="005F4A84">
          <w:rPr>
            <w:lang w:val="en-US"/>
          </w:rPr>
          <w:t>b</w:t>
        </w:r>
        <w:r w:rsidRPr="005F4A84">
          <w:t>0350</w:t>
        </w:r>
        <w:r w:rsidRPr="005F4A84">
          <w:rPr>
            <w:lang w:val="en-US"/>
          </w:rPr>
          <w:t>ea</w:t>
        </w:r>
        <w:r w:rsidRPr="005F4A84">
          <w:t>38</w:t>
        </w:r>
      </w:hyperlink>
    </w:p>
  </w:footnote>
  <w:footnote w:id="4">
    <w:p w14:paraId="4863975B" w14:textId="77777777" w:rsidR="004C5802" w:rsidRPr="005F4A84" w:rsidRDefault="004C5802" w:rsidP="00EA5518">
      <w:pPr>
        <w:pStyle w:val="a8"/>
        <w:spacing w:after="60"/>
        <w:ind w:firstLine="709"/>
        <w:contextualSpacing/>
      </w:pPr>
      <w:r w:rsidRPr="005F4A84">
        <w:rPr>
          <w:rStyle w:val="aa"/>
        </w:rPr>
        <w:footnoteRef/>
      </w:r>
      <w:r w:rsidRPr="005F4A84">
        <w:t xml:space="preserve"> Федеральным законом от 3 августа 2018 года № 305-ФЗ "О внесении изменений в статью 3.1 Закона Российской Федерации "О таможенном тарифе" и Федеральным законом от 3 августа 2018 года № 301-ФЗ "О внесении изменений в часть вторую Налогового кодекса Российской Федерации".</w:t>
      </w:r>
    </w:p>
  </w:footnote>
  <w:footnote w:id="5">
    <w:p w14:paraId="704890C5" w14:textId="77777777" w:rsidR="004C5802" w:rsidRDefault="004C5802" w:rsidP="003A65C0">
      <w:pPr>
        <w:pStyle w:val="a8"/>
        <w:ind w:firstLine="708"/>
      </w:pPr>
      <w:r>
        <w:rPr>
          <w:rStyle w:val="aa"/>
        </w:rPr>
        <w:footnoteRef/>
      </w:r>
      <w:r>
        <w:t xml:space="preserve"> В указанном приложении помимо статей </w:t>
      </w:r>
      <w:r w:rsidRPr="009F7B7E">
        <w:rPr>
          <w:rFonts w:eastAsia="MS Mincho"/>
          <w:lang w:eastAsia="ja-JP"/>
        </w:rPr>
        <w:t>«</w:t>
      </w:r>
      <w:r w:rsidRPr="009F7B7E">
        <w:t>Разница между средствами, поступившими от размещения государственных ценных бумаг, и средствами, направленными на их погашение» и «Изменение остатков средств на счетах по учету средств федерального бюджета в течение соответствующего финансового года» имеется статья «Иные источники финансирования дефицита федерального бюджета» (без детализации).</w:t>
      </w:r>
    </w:p>
  </w:footnote>
  <w:footnote w:id="6">
    <w:p w14:paraId="2AE6BB66" w14:textId="01750FAB" w:rsidR="004C5802" w:rsidRPr="006E3379" w:rsidRDefault="004C5802" w:rsidP="00A27E4D">
      <w:pPr>
        <w:pStyle w:val="a8"/>
        <w:spacing w:after="60"/>
        <w:ind w:firstLine="709"/>
      </w:pPr>
      <w:r>
        <w:rPr>
          <w:rStyle w:val="aa"/>
        </w:rPr>
        <w:footnoteRef/>
      </w:r>
      <w:r>
        <w:t xml:space="preserve"> Между тем, в представленных расчетах по статьям классификации доходов федерального бюджета на 2020-2022 гг</w:t>
      </w:r>
      <w:r w:rsidRPr="006E3379">
        <w:t>.</w:t>
      </w:r>
      <w:r>
        <w:t xml:space="preserve"> величина доходов </w:t>
      </w:r>
      <w:r w:rsidRPr="009F7B7E">
        <w:rPr>
          <w:lang w:eastAsia="en-US"/>
        </w:rPr>
        <w:t>в виде доли прибыльной продукции государства</w:t>
      </w:r>
      <w:r w:rsidRPr="00DB21A3">
        <w:rPr>
          <w:lang w:eastAsia="en-US"/>
        </w:rPr>
        <w:t xml:space="preserve"> </w:t>
      </w:r>
      <w:r w:rsidRPr="009F7B7E">
        <w:rPr>
          <w:lang w:eastAsia="en-US"/>
        </w:rPr>
        <w:t>при выполнении СРП</w:t>
      </w:r>
      <w:r>
        <w:rPr>
          <w:lang w:eastAsia="en-US"/>
        </w:rPr>
        <w:t xml:space="preserve"> за 2020 г</w:t>
      </w:r>
      <w:r w:rsidRPr="006E3379">
        <w:rPr>
          <w:lang w:eastAsia="en-US"/>
        </w:rPr>
        <w:t>.</w:t>
      </w:r>
      <w:r>
        <w:rPr>
          <w:lang w:eastAsia="en-US"/>
        </w:rPr>
        <w:t xml:space="preserve"> отличается от содержащейся в тексте пояснительной записки к законопроекту и Приложении </w:t>
      </w:r>
      <w:r>
        <w:rPr>
          <w:lang w:val="en-US" w:eastAsia="en-US"/>
        </w:rPr>
        <w:t>N</w:t>
      </w:r>
      <w:r w:rsidRPr="007B071A">
        <w:rPr>
          <w:lang w:eastAsia="en-US"/>
        </w:rPr>
        <w:t xml:space="preserve"> 4 </w:t>
      </w:r>
      <w:r>
        <w:rPr>
          <w:lang w:eastAsia="en-US"/>
        </w:rPr>
        <w:t>к ней</w:t>
      </w:r>
      <w:r w:rsidRPr="007B071A">
        <w:rPr>
          <w:lang w:eastAsia="en-US"/>
        </w:rPr>
        <w:t xml:space="preserve">, </w:t>
      </w:r>
      <w:r>
        <w:rPr>
          <w:lang w:eastAsia="en-US"/>
        </w:rPr>
        <w:t>соответствуя величине за 2021 г</w:t>
      </w:r>
      <w:r w:rsidRPr="007B071A">
        <w:rPr>
          <w:lang w:eastAsia="en-US"/>
        </w:rPr>
        <w:t>.</w:t>
      </w:r>
      <w:r>
        <w:rPr>
          <w:lang w:eastAsia="en-US"/>
        </w:rPr>
        <w:t xml:space="preserve"> Вероятно</w:t>
      </w:r>
      <w:r w:rsidRPr="008C70D9">
        <w:rPr>
          <w:lang w:eastAsia="en-US"/>
        </w:rPr>
        <w:t xml:space="preserve">, </w:t>
      </w:r>
      <w:r>
        <w:rPr>
          <w:lang w:eastAsia="en-US"/>
        </w:rPr>
        <w:t>в названии одного из столбцов в первой строке таблицы по данному виду поступлений ошибочно указан 2019 г</w:t>
      </w:r>
      <w:r w:rsidRPr="00A747D3">
        <w:rPr>
          <w:lang w:eastAsia="en-US"/>
        </w:rPr>
        <w:t xml:space="preserve">., </w:t>
      </w:r>
      <w:r>
        <w:rPr>
          <w:lang w:eastAsia="en-US"/>
        </w:rPr>
        <w:t>в результате чего оказались представлены расчеты за 2019-2021 гг</w:t>
      </w:r>
      <w:r w:rsidRPr="00A747D3">
        <w:rPr>
          <w:lang w:eastAsia="en-US"/>
        </w:rPr>
        <w:t xml:space="preserve">. </w:t>
      </w:r>
      <w:r>
        <w:rPr>
          <w:lang w:eastAsia="en-US"/>
        </w:rPr>
        <w:t>вместо 2020-2022 гг</w:t>
      </w:r>
      <w:r w:rsidRPr="00A747D3">
        <w:rPr>
          <w:lang w:eastAsia="en-US"/>
        </w:rPr>
        <w:t>.</w:t>
      </w:r>
    </w:p>
  </w:footnote>
  <w:footnote w:id="7">
    <w:p w14:paraId="70AFFCC3" w14:textId="77777777" w:rsidR="004C5802" w:rsidRPr="00342C2F" w:rsidRDefault="004C5802" w:rsidP="00A27E4D">
      <w:pPr>
        <w:pStyle w:val="a8"/>
        <w:spacing w:after="60"/>
        <w:ind w:firstLine="709"/>
      </w:pPr>
      <w:r>
        <w:rPr>
          <w:rStyle w:val="aa"/>
        </w:rPr>
        <w:footnoteRef/>
      </w:r>
      <w:r>
        <w:t xml:space="preserve"> В суммах по второму и третьему из данных источников показаны доходы от реализации основных средств и материальных запасов в совокупности</w:t>
      </w:r>
      <w:r w:rsidRPr="00342C2F">
        <w:t>.</w:t>
      </w:r>
      <w:r>
        <w:t xml:space="preserve"> </w:t>
      </w:r>
    </w:p>
  </w:footnote>
  <w:footnote w:id="8">
    <w:p w14:paraId="4BA3BF7C" w14:textId="77777777" w:rsidR="004C5802" w:rsidRDefault="004C5802" w:rsidP="0006181E">
      <w:pPr>
        <w:pStyle w:val="a8"/>
        <w:spacing w:after="60"/>
        <w:ind w:firstLine="709"/>
        <w:rPr>
          <w:szCs w:val="24"/>
        </w:rPr>
      </w:pPr>
      <w:r>
        <w:rPr>
          <w:rStyle w:val="aa"/>
        </w:rPr>
        <w:footnoteRef/>
      </w:r>
      <w:r>
        <w:t xml:space="preserve"> В текущем году такие поступления на основании специального закона от 28 ноября 2018 г</w:t>
      </w:r>
      <w:r w:rsidRPr="00F11ED1">
        <w:t xml:space="preserve">. </w:t>
      </w:r>
      <w:r w:rsidRPr="00637064">
        <w:t>(</w:t>
      </w:r>
      <w:r>
        <w:t>№</w:t>
      </w:r>
      <w:r w:rsidRPr="007360A3">
        <w:rPr>
          <w:szCs w:val="24"/>
        </w:rPr>
        <w:t xml:space="preserve"> </w:t>
      </w:r>
      <w:r>
        <w:rPr>
          <w:szCs w:val="24"/>
        </w:rPr>
        <w:t>454</w:t>
      </w:r>
      <w:r w:rsidRPr="007360A3">
        <w:rPr>
          <w:szCs w:val="24"/>
        </w:rPr>
        <w:t>-</w:t>
      </w:r>
      <w:r>
        <w:rPr>
          <w:szCs w:val="24"/>
        </w:rPr>
        <w:t>ФЗ</w:t>
      </w:r>
      <w:r w:rsidRPr="00637064">
        <w:rPr>
          <w:szCs w:val="24"/>
        </w:rPr>
        <w:t>)</w:t>
      </w:r>
      <w:r>
        <w:rPr>
          <w:szCs w:val="24"/>
        </w:rPr>
        <w:t xml:space="preserve"> подлежали перечислению до 1 августа 2019 г</w:t>
      </w:r>
      <w:r w:rsidRPr="007360A3">
        <w:rPr>
          <w:szCs w:val="24"/>
        </w:rPr>
        <w:t>.</w:t>
      </w:r>
      <w:r>
        <w:rPr>
          <w:szCs w:val="24"/>
        </w:rPr>
        <w:t xml:space="preserve"> с уменьшением на эту сумму части совокупной прибыли Центробанка</w:t>
      </w:r>
      <w:r w:rsidRPr="007360A3">
        <w:rPr>
          <w:szCs w:val="24"/>
        </w:rPr>
        <w:t xml:space="preserve">, </w:t>
      </w:r>
      <w:r>
        <w:rPr>
          <w:szCs w:val="24"/>
        </w:rPr>
        <w:t>направляемой в федеральный бюджет</w:t>
      </w:r>
      <w:r w:rsidRPr="00725BEA">
        <w:rPr>
          <w:szCs w:val="24"/>
        </w:rPr>
        <w:t>.</w:t>
      </w:r>
      <w:r>
        <w:rPr>
          <w:szCs w:val="24"/>
        </w:rPr>
        <w:t xml:space="preserve"> </w:t>
      </w:r>
    </w:p>
    <w:p w14:paraId="63F5D734" w14:textId="77777777" w:rsidR="004C5802" w:rsidRPr="007360A3" w:rsidRDefault="004C5802" w:rsidP="0006181E">
      <w:pPr>
        <w:pStyle w:val="a8"/>
        <w:spacing w:after="60"/>
        <w:ind w:firstLine="709"/>
      </w:pPr>
      <w:r>
        <w:t>Аналогичная норма действовала и годом ранее</w:t>
      </w:r>
      <w:r>
        <w:rPr>
          <w:szCs w:val="24"/>
        </w:rPr>
        <w:t xml:space="preserve"> (закон от 5 декабря 2017 г</w:t>
      </w:r>
      <w:r w:rsidRPr="00F11ED1">
        <w:rPr>
          <w:szCs w:val="24"/>
        </w:rPr>
        <w:t>.,</w:t>
      </w:r>
      <w:r w:rsidRPr="00637064">
        <w:rPr>
          <w:szCs w:val="24"/>
        </w:rPr>
        <w:t xml:space="preserve"> </w:t>
      </w:r>
      <w:r>
        <w:t>№</w:t>
      </w:r>
      <w:r w:rsidRPr="007360A3">
        <w:rPr>
          <w:szCs w:val="24"/>
        </w:rPr>
        <w:t xml:space="preserve"> </w:t>
      </w:r>
      <w:r w:rsidRPr="00725BEA">
        <w:rPr>
          <w:szCs w:val="24"/>
        </w:rPr>
        <w:t>370</w:t>
      </w:r>
      <w:r w:rsidRPr="007360A3">
        <w:rPr>
          <w:szCs w:val="24"/>
        </w:rPr>
        <w:t>-</w:t>
      </w:r>
      <w:r>
        <w:rPr>
          <w:szCs w:val="24"/>
        </w:rPr>
        <w:t>ФЗ)</w:t>
      </w:r>
      <w:r w:rsidRPr="007360A3">
        <w:rPr>
          <w:szCs w:val="24"/>
        </w:rPr>
        <w:t>.</w:t>
      </w:r>
    </w:p>
  </w:footnote>
  <w:footnote w:id="9">
    <w:p w14:paraId="4514B14E" w14:textId="77777777" w:rsidR="004C5802" w:rsidRDefault="004C5802" w:rsidP="007C4B50">
      <w:pPr>
        <w:pStyle w:val="a8"/>
        <w:ind w:firstLine="709"/>
      </w:pPr>
      <w:r>
        <w:rPr>
          <w:rStyle w:val="aa"/>
        </w:rPr>
        <w:footnoteRef/>
      </w:r>
      <w:r>
        <w:t xml:space="preserve"> В 2019 году в федеральном бюджете в рамках расходов на национальные проекты было запланировано 1 746 млрд рублей или 9,7% от общего объема расходов федерального бюджета.</w:t>
      </w:r>
    </w:p>
  </w:footnote>
  <w:footnote w:id="10">
    <w:p w14:paraId="30D1BFA9" w14:textId="77777777" w:rsidR="004C5802" w:rsidRDefault="004C5802" w:rsidP="00576B90">
      <w:pPr>
        <w:pStyle w:val="a8"/>
        <w:spacing w:after="60"/>
        <w:ind w:firstLine="709"/>
      </w:pPr>
      <w:r>
        <w:rPr>
          <w:rStyle w:val="aa"/>
        </w:rPr>
        <w:footnoteRef/>
      </w:r>
      <w:r>
        <w:t xml:space="preserve"> «Демография», «Жилье и городская среда», «Образование», «Цифровая экономика Российской Федерации», «Экология».</w:t>
      </w:r>
    </w:p>
  </w:footnote>
  <w:footnote w:id="11">
    <w:p w14:paraId="79B27ACD" w14:textId="77777777" w:rsidR="004C5802" w:rsidRDefault="004C5802" w:rsidP="00576B90">
      <w:pPr>
        <w:pStyle w:val="a8"/>
        <w:spacing w:after="60"/>
        <w:ind w:firstLine="709"/>
      </w:pPr>
      <w:r>
        <w:rPr>
          <w:rStyle w:val="aa"/>
        </w:rPr>
        <w:footnoteRef/>
      </w:r>
      <w:r>
        <w:t xml:space="preserve"> «Безопасные и качественные автомобильные дороги», «Демография», «Комплексный план модернизации инфраструктуры», «Малое и среднее предпринимательство и поддержка индивидуальной предпринимательской инициативы», «Международная кооперация и экспорт», «Наука», «Производительность труда и поддержка занятости», «Цифровая экономика Российской Федерации», «Экология».</w:t>
      </w:r>
    </w:p>
  </w:footnote>
  <w:footnote w:id="12">
    <w:p w14:paraId="4F1E0475" w14:textId="77777777" w:rsidR="004C5802" w:rsidRDefault="004C5802" w:rsidP="00576B90">
      <w:pPr>
        <w:pStyle w:val="a8"/>
        <w:spacing w:after="60"/>
        <w:ind w:firstLine="709"/>
      </w:pPr>
      <w:r>
        <w:rPr>
          <w:rStyle w:val="aa"/>
        </w:rPr>
        <w:footnoteRef/>
      </w:r>
      <w:r>
        <w:t xml:space="preserve"> «Безопасные и качественные автомобильные дороги», «Демография», «Здравоохранение», «Культура», «Наука», «Образование», «Производительность труда и поддержка занятости», «Цифровая экономика Российской Федерации».</w:t>
      </w:r>
    </w:p>
  </w:footnote>
  <w:footnote w:id="13">
    <w:p w14:paraId="7FEE7A85" w14:textId="1F82991E" w:rsidR="004C5802" w:rsidRPr="000D147D" w:rsidRDefault="004C5802" w:rsidP="00576B90">
      <w:pPr>
        <w:pStyle w:val="a8"/>
        <w:spacing w:after="60"/>
        <w:ind w:firstLine="709"/>
      </w:pPr>
      <w:r>
        <w:rPr>
          <w:rStyle w:val="aa"/>
        </w:rPr>
        <w:footnoteRef/>
      </w:r>
      <w:r>
        <w:t xml:space="preserve"> При этом по данным национальным проектам также практически отсутствует и внебюджетное финансирование. В соответствии с утвержденными паспортами национальных проектов «Малое и среднее предпринимательство и поддержка индивидуальной предпринимательской инициативы» и «</w:t>
      </w:r>
      <w:r w:rsidRPr="002262AB">
        <w:t>Производительность труда и поддержка занятости</w:t>
      </w:r>
      <w:r>
        <w:t>», уровень внебюджетного финансирования в период 2020 – 2022 гг. составит 24,4 млрд рублей и 3,2 млрд рублей соответственно (что составляет 13% и 15% от уровня расходов федерального бюджета на указанные национальные проекты за период</w:t>
      </w:r>
      <w:r w:rsidRPr="000D147D">
        <w:t xml:space="preserve"> 2020 – 2022</w:t>
      </w:r>
      <w:r>
        <w:t xml:space="preserve"> гг.).</w:t>
      </w:r>
    </w:p>
  </w:footnote>
  <w:footnote w:id="14">
    <w:p w14:paraId="22E2F44F" w14:textId="0C18444D" w:rsidR="004C5802" w:rsidRDefault="004C5802" w:rsidP="00B01522">
      <w:pPr>
        <w:pStyle w:val="a8"/>
        <w:ind w:firstLine="708"/>
      </w:pPr>
      <w:r>
        <w:rPr>
          <w:rStyle w:val="aa"/>
        </w:rPr>
        <w:footnoteRef/>
      </w:r>
      <w:r>
        <w:t xml:space="preserve"> Федеральный закон</w:t>
      </w:r>
      <w:r w:rsidRPr="00B01522">
        <w:t xml:space="preserve"> "О федеральном бюджете на 2019 год и на плановый период 2020 и 2021 годов" от 29.11.2018 N 459-ФЗ (ред. от 18.07.2019)</w:t>
      </w:r>
      <w:r>
        <w:t xml:space="preserve"> (далее – федеральный закон № 459-ФЗ, закон № 459-ФЗ).</w:t>
      </w:r>
    </w:p>
  </w:footnote>
  <w:footnote w:id="15">
    <w:p w14:paraId="32198312" w14:textId="77777777" w:rsidR="004C5802" w:rsidRDefault="004C5802" w:rsidP="0027435E">
      <w:pPr>
        <w:pStyle w:val="a8"/>
        <w:spacing w:after="60"/>
        <w:ind w:firstLine="709"/>
      </w:pPr>
      <w:r>
        <w:rPr>
          <w:rStyle w:val="aa"/>
        </w:rPr>
        <w:footnoteRef/>
      </w:r>
      <w:r>
        <w:t xml:space="preserve"> Постановление Правительства РФ от 15 апреля 2014 г. N 328</w:t>
      </w:r>
      <w:r w:rsidRPr="00682E9D">
        <w:t xml:space="preserve"> </w:t>
      </w:r>
      <w:r>
        <w:t xml:space="preserve">"Об утверждении государственной программы Российской Федерации "Развитие промышленности и повышение ее конкурентоспособности" С изменениями и дополнениями от </w:t>
      </w:r>
      <w:r w:rsidRPr="00A01403">
        <w:rPr>
          <w:shd w:val="clear" w:color="auto" w:fill="FFFFFF"/>
        </w:rPr>
        <w:t>29 марта 2019 г.</w:t>
      </w:r>
    </w:p>
  </w:footnote>
  <w:footnote w:id="16">
    <w:p w14:paraId="17C628DA" w14:textId="69079CA5" w:rsidR="004C5802" w:rsidRDefault="004C5802" w:rsidP="0027435E">
      <w:pPr>
        <w:pStyle w:val="a8"/>
        <w:spacing w:after="60"/>
        <w:ind w:firstLine="709"/>
      </w:pPr>
      <w:r>
        <w:rPr>
          <w:rStyle w:val="aa"/>
        </w:rPr>
        <w:footnoteRef/>
      </w:r>
      <w:r>
        <w:t xml:space="preserve"> В соответствии с </w:t>
      </w:r>
      <w:r>
        <w:rPr>
          <w:color w:val="22272F"/>
          <w:shd w:val="clear" w:color="auto" w:fill="FFFFFF"/>
        </w:rPr>
        <w:t xml:space="preserve">Постановлением Правительства РФ </w:t>
      </w:r>
      <w:r>
        <w:t>от 15 апреля 2014 г. N 328</w:t>
      </w:r>
      <w:r w:rsidRPr="00682E9D">
        <w:t xml:space="preserve"> </w:t>
      </w:r>
      <w:r>
        <w:t>с</w:t>
      </w:r>
      <w:r w:rsidRPr="00556B4B">
        <w:t xml:space="preserve"> изменениями и дополнениями от 29 марта 2019 г.</w:t>
      </w:r>
      <w:r>
        <w:t xml:space="preserve"> – </w:t>
      </w:r>
      <w:r>
        <w:rPr>
          <w:color w:val="22272F"/>
          <w:shd w:val="clear" w:color="auto" w:fill="FFFFFF"/>
        </w:rPr>
        <w:t>310,2 млрд руб.</w:t>
      </w:r>
    </w:p>
  </w:footnote>
  <w:footnote w:id="17">
    <w:p w14:paraId="2819E879" w14:textId="6743626B" w:rsidR="004C5802" w:rsidRDefault="004C5802" w:rsidP="0027435E">
      <w:pPr>
        <w:pStyle w:val="a8"/>
        <w:spacing w:after="60"/>
        <w:ind w:firstLine="709"/>
      </w:pPr>
      <w:r>
        <w:rPr>
          <w:rStyle w:val="aa"/>
        </w:rPr>
        <w:footnoteRef/>
      </w:r>
      <w:r>
        <w:t xml:space="preserve"> В соответствии с ФЗ</w:t>
      </w:r>
      <w:r w:rsidRPr="00195377">
        <w:rPr>
          <w:color w:val="22272F"/>
          <w:shd w:val="clear" w:color="auto" w:fill="FFFFFF"/>
        </w:rPr>
        <w:t xml:space="preserve"> "О федеральном бюджете на 2019 год и на плановый период 2020 и 2021</w:t>
      </w:r>
      <w:r>
        <w:rPr>
          <w:color w:val="22272F"/>
          <w:shd w:val="clear" w:color="auto" w:fill="FFFFFF"/>
        </w:rPr>
        <w:t xml:space="preserve"> годов" от 29.11.2018 N 459-ФЗ</w:t>
      </w:r>
      <w:r w:rsidRPr="00195377">
        <w:rPr>
          <w:color w:val="22272F"/>
          <w:shd w:val="clear" w:color="auto" w:fill="FFFFFF"/>
        </w:rPr>
        <w:t xml:space="preserve"> </w:t>
      </w:r>
      <w:r>
        <w:rPr>
          <w:color w:val="22272F"/>
          <w:shd w:val="clear" w:color="auto" w:fill="FFFFFF"/>
        </w:rPr>
        <w:t xml:space="preserve">– </w:t>
      </w:r>
      <w:r w:rsidRPr="00A01403">
        <w:rPr>
          <w:color w:val="22272F"/>
          <w:shd w:val="clear" w:color="auto" w:fill="FFFFFF"/>
        </w:rPr>
        <w:t>310</w:t>
      </w:r>
      <w:r>
        <w:rPr>
          <w:color w:val="22272F"/>
          <w:shd w:val="clear" w:color="auto" w:fill="FFFFFF"/>
        </w:rPr>
        <w:t>,2 млрд руб.</w:t>
      </w:r>
    </w:p>
  </w:footnote>
  <w:footnote w:id="18">
    <w:p w14:paraId="04F8230E" w14:textId="77777777" w:rsidR="004C5802" w:rsidRDefault="004C5802" w:rsidP="0027435E">
      <w:pPr>
        <w:pStyle w:val="a8"/>
        <w:spacing w:after="60"/>
        <w:ind w:firstLine="709"/>
      </w:pPr>
      <w:r>
        <w:rPr>
          <w:rStyle w:val="aa"/>
        </w:rPr>
        <w:footnoteRef/>
      </w:r>
      <w:r>
        <w:t xml:space="preserve"> Приложение 1 и Приложение 2 </w:t>
      </w:r>
      <w:r>
        <w:rPr>
          <w:color w:val="22272F"/>
          <w:shd w:val="clear" w:color="auto" w:fill="FFFFFF"/>
        </w:rPr>
        <w:t xml:space="preserve">Постановления Правительства РФ </w:t>
      </w:r>
      <w:r>
        <w:t>от 15 апреля 2014 г. N 328</w:t>
      </w:r>
      <w:r w:rsidRPr="00682E9D">
        <w:t xml:space="preserve"> </w:t>
      </w:r>
      <w:r>
        <w:t>с</w:t>
      </w:r>
      <w:r w:rsidRPr="00556B4B">
        <w:t xml:space="preserve"> изменениями и дополнениями от 29 марта 2019 г.</w:t>
      </w:r>
    </w:p>
  </w:footnote>
  <w:footnote w:id="19">
    <w:p w14:paraId="46C73CC0" w14:textId="7D495333" w:rsidR="004C5802" w:rsidRDefault="004C5802" w:rsidP="00CE6F4D">
      <w:pPr>
        <w:pStyle w:val="a8"/>
        <w:ind w:firstLine="709"/>
      </w:pPr>
      <w:r>
        <w:rPr>
          <w:rStyle w:val="aa"/>
        </w:rPr>
        <w:footnoteRef/>
      </w:r>
      <w:r>
        <w:t xml:space="preserve"> Взяты расходы на ВЦП «</w:t>
      </w:r>
      <w:r w:rsidRPr="002B0052">
        <w:t>Устойчивое развитие сельских территорий</w:t>
      </w:r>
      <w:r>
        <w:t>».</w:t>
      </w:r>
    </w:p>
  </w:footnote>
  <w:footnote w:id="20">
    <w:p w14:paraId="30EE85D1" w14:textId="2971708C" w:rsidR="004C5802" w:rsidRDefault="004C5802" w:rsidP="00BE65E2">
      <w:pPr>
        <w:pStyle w:val="a8"/>
        <w:ind w:firstLine="708"/>
      </w:pPr>
      <w:r w:rsidRPr="00BE6696">
        <w:rPr>
          <w:rStyle w:val="aa"/>
        </w:rPr>
        <w:footnoteRef/>
      </w:r>
      <w:r w:rsidRPr="00BE6696">
        <w:t xml:space="preserve"> В соответствии с «Основны</w:t>
      </w:r>
      <w:r>
        <w:t>ми</w:t>
      </w:r>
      <w:r w:rsidRPr="00BE6696">
        <w:t xml:space="preserve"> направления</w:t>
      </w:r>
      <w:r>
        <w:t>ми</w:t>
      </w:r>
      <w:r w:rsidRPr="00BE6696">
        <w:t xml:space="preserve"> бюджетной, налоговой и таможенно-тарифной политики на 2020 год и на плановый период 2021 и 2022 годов</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BF617" w14:textId="77777777" w:rsidR="004C5802" w:rsidRPr="008C5537" w:rsidRDefault="004C5802" w:rsidP="006238F0">
    <w:pPr>
      <w:pStyle w:val="ab"/>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1468016"/>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4C221420"/>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A3382046"/>
    <w:lvl w:ilvl="0">
      <w:start w:val="1"/>
      <w:numFmt w:val="bullet"/>
      <w:pStyle w:val="3"/>
      <w:lvlText w:val=""/>
      <w:lvlJc w:val="left"/>
      <w:pPr>
        <w:tabs>
          <w:tab w:val="num" w:pos="1080"/>
        </w:tabs>
        <w:ind w:left="1080" w:hanging="360"/>
      </w:pPr>
      <w:rPr>
        <w:rFonts w:ascii="Symbol" w:hAnsi="Symbol" w:hint="default"/>
      </w:rPr>
    </w:lvl>
  </w:abstractNum>
  <w:abstractNum w:abstractNumId="3">
    <w:nsid w:val="FFFFFF83"/>
    <w:multiLevelType w:val="singleLevel"/>
    <w:tmpl w:val="85FA4EB4"/>
    <w:lvl w:ilvl="0">
      <w:start w:val="1"/>
      <w:numFmt w:val="bullet"/>
      <w:pStyle w:val="2"/>
      <w:lvlText w:val=""/>
      <w:lvlJc w:val="left"/>
      <w:pPr>
        <w:tabs>
          <w:tab w:val="num" w:pos="720"/>
        </w:tabs>
        <w:ind w:left="720" w:hanging="360"/>
      </w:pPr>
      <w:rPr>
        <w:rFonts w:ascii="Symbol" w:hAnsi="Symbol" w:hint="default"/>
      </w:rPr>
    </w:lvl>
  </w:abstractNum>
  <w:abstractNum w:abstractNumId="4">
    <w:nsid w:val="FFFFFF89"/>
    <w:multiLevelType w:val="singleLevel"/>
    <w:tmpl w:val="C0F6570A"/>
    <w:lvl w:ilvl="0">
      <w:start w:val="1"/>
      <w:numFmt w:val="bullet"/>
      <w:pStyle w:val="a"/>
      <w:lvlText w:val=""/>
      <w:lvlJc w:val="left"/>
      <w:pPr>
        <w:tabs>
          <w:tab w:val="num" w:pos="360"/>
        </w:tabs>
        <w:ind w:left="360" w:hanging="360"/>
      </w:pPr>
      <w:rPr>
        <w:rFonts w:ascii="Symbol" w:hAnsi="Symbol" w:hint="default"/>
      </w:rPr>
    </w:lvl>
  </w:abstractNum>
  <w:abstractNum w:abstractNumId="5">
    <w:nsid w:val="05A95A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68B2B4A"/>
    <w:multiLevelType w:val="hybridMultilevel"/>
    <w:tmpl w:val="FE4E8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741B7F"/>
    <w:multiLevelType w:val="hybridMultilevel"/>
    <w:tmpl w:val="05804C2C"/>
    <w:lvl w:ilvl="0" w:tplc="5C0E13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530DCE"/>
    <w:multiLevelType w:val="hybridMultilevel"/>
    <w:tmpl w:val="A8E044EE"/>
    <w:lvl w:ilvl="0" w:tplc="5C0E13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4348C9"/>
    <w:multiLevelType w:val="hybridMultilevel"/>
    <w:tmpl w:val="2A8CC2DC"/>
    <w:lvl w:ilvl="0" w:tplc="5C0E13E0">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A4C34AD"/>
    <w:multiLevelType w:val="multilevel"/>
    <w:tmpl w:val="F5C4E728"/>
    <w:lvl w:ilvl="0">
      <w:start w:val="1"/>
      <w:numFmt w:val="decimal"/>
      <w:lvlText w:val="Глава %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Restart w:val="0"/>
      <w:isLgl/>
      <w:lvlText w:val="§%1.%2.%3."/>
      <w:lvlJc w:val="left"/>
      <w:pPr>
        <w:tabs>
          <w:tab w:val="num" w:pos="1080"/>
        </w:tabs>
        <w:ind w:left="720" w:hanging="720"/>
      </w:pPr>
    </w:lvl>
    <w:lvl w:ilvl="3">
      <w:start w:val="1"/>
      <w:numFmt w:val="decimal"/>
      <w:lvlRestart w:val="0"/>
      <w:lvlText w:val="%4.%2.%3"/>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3E36580B"/>
    <w:multiLevelType w:val="hybridMultilevel"/>
    <w:tmpl w:val="B282A5B2"/>
    <w:lvl w:ilvl="0" w:tplc="5C0E13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CD105C"/>
    <w:multiLevelType w:val="hybridMultilevel"/>
    <w:tmpl w:val="D7C05D5C"/>
    <w:lvl w:ilvl="0" w:tplc="084A440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48900F95"/>
    <w:multiLevelType w:val="hybridMultilevel"/>
    <w:tmpl w:val="D152B398"/>
    <w:lvl w:ilvl="0" w:tplc="5C0E13E0">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B7506F0"/>
    <w:multiLevelType w:val="hybridMultilevel"/>
    <w:tmpl w:val="B0D8BC86"/>
    <w:lvl w:ilvl="0" w:tplc="5C0E13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965E9D"/>
    <w:multiLevelType w:val="hybridMultilevel"/>
    <w:tmpl w:val="D6EA6D0C"/>
    <w:lvl w:ilvl="0" w:tplc="5C0E13E0">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16B3927"/>
    <w:multiLevelType w:val="hybridMultilevel"/>
    <w:tmpl w:val="9294D55E"/>
    <w:lvl w:ilvl="0" w:tplc="B7805DF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A8B5931"/>
    <w:multiLevelType w:val="hybridMultilevel"/>
    <w:tmpl w:val="E8A462E8"/>
    <w:lvl w:ilvl="0" w:tplc="5C0E13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071991"/>
    <w:multiLevelType w:val="hybridMultilevel"/>
    <w:tmpl w:val="E5BC1C14"/>
    <w:lvl w:ilvl="0" w:tplc="5C0E13E0">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27E59E6"/>
    <w:multiLevelType w:val="hybridMultilevel"/>
    <w:tmpl w:val="2DF45C6C"/>
    <w:lvl w:ilvl="0" w:tplc="5C0E13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0D2EA5"/>
    <w:multiLevelType w:val="hybridMultilevel"/>
    <w:tmpl w:val="5922CBCA"/>
    <w:lvl w:ilvl="0" w:tplc="5C0E13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393F61"/>
    <w:multiLevelType w:val="hybridMultilevel"/>
    <w:tmpl w:val="19BA6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5C2CF1"/>
    <w:multiLevelType w:val="hybridMultilevel"/>
    <w:tmpl w:val="CA90B246"/>
    <w:lvl w:ilvl="0" w:tplc="5C0E13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2D053E0"/>
    <w:multiLevelType w:val="multilevel"/>
    <w:tmpl w:val="F00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0"/>
  </w:num>
  <w:num w:numId="5">
    <w:abstractNumId w:val="21"/>
  </w:num>
  <w:num w:numId="6">
    <w:abstractNumId w:val="9"/>
  </w:num>
  <w:num w:numId="7">
    <w:abstractNumId w:val="17"/>
  </w:num>
  <w:num w:numId="8">
    <w:abstractNumId w:val="6"/>
  </w:num>
  <w:num w:numId="9">
    <w:abstractNumId w:val="7"/>
  </w:num>
  <w:num w:numId="10">
    <w:abstractNumId w:val="22"/>
  </w:num>
  <w:num w:numId="11">
    <w:abstractNumId w:val="20"/>
  </w:num>
  <w:num w:numId="12">
    <w:abstractNumId w:val="11"/>
  </w:num>
  <w:num w:numId="13">
    <w:abstractNumId w:val="19"/>
  </w:num>
  <w:num w:numId="14">
    <w:abstractNumId w:val="14"/>
  </w:num>
  <w:num w:numId="15">
    <w:abstractNumId w:val="16"/>
  </w:num>
  <w:num w:numId="16">
    <w:abstractNumId w:val="18"/>
  </w:num>
  <w:num w:numId="17">
    <w:abstractNumId w:val="15"/>
  </w:num>
  <w:num w:numId="18">
    <w:abstractNumId w:val="13"/>
  </w:num>
  <w:num w:numId="19">
    <w:abstractNumId w:val="1"/>
  </w:num>
  <w:num w:numId="20">
    <w:abstractNumId w:val="0"/>
  </w:num>
  <w:num w:numId="21">
    <w:abstractNumId w:val="5"/>
  </w:num>
  <w:num w:numId="22">
    <w:abstractNumId w:val="12"/>
  </w:num>
  <w:num w:numId="23">
    <w:abstractNumId w:val="23"/>
  </w:num>
  <w:num w:numId="2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FB"/>
    <w:rsid w:val="000011EC"/>
    <w:rsid w:val="000020D0"/>
    <w:rsid w:val="000026E2"/>
    <w:rsid w:val="00005DF0"/>
    <w:rsid w:val="00006A49"/>
    <w:rsid w:val="00010EEB"/>
    <w:rsid w:val="00011240"/>
    <w:rsid w:val="00014E8D"/>
    <w:rsid w:val="00015211"/>
    <w:rsid w:val="00017018"/>
    <w:rsid w:val="00021561"/>
    <w:rsid w:val="00021F14"/>
    <w:rsid w:val="0002614E"/>
    <w:rsid w:val="0002762F"/>
    <w:rsid w:val="00035686"/>
    <w:rsid w:val="00040466"/>
    <w:rsid w:val="000419EA"/>
    <w:rsid w:val="0004391A"/>
    <w:rsid w:val="00044FB8"/>
    <w:rsid w:val="00045A26"/>
    <w:rsid w:val="00046F5C"/>
    <w:rsid w:val="000476EC"/>
    <w:rsid w:val="00047FF0"/>
    <w:rsid w:val="00055C80"/>
    <w:rsid w:val="0006181E"/>
    <w:rsid w:val="0006546A"/>
    <w:rsid w:val="00066592"/>
    <w:rsid w:val="00067A72"/>
    <w:rsid w:val="00073893"/>
    <w:rsid w:val="00076489"/>
    <w:rsid w:val="0007677C"/>
    <w:rsid w:val="000830B8"/>
    <w:rsid w:val="00083C07"/>
    <w:rsid w:val="00083ECE"/>
    <w:rsid w:val="0008478A"/>
    <w:rsid w:val="00087B7D"/>
    <w:rsid w:val="000919A8"/>
    <w:rsid w:val="00094724"/>
    <w:rsid w:val="00094B9B"/>
    <w:rsid w:val="00097C85"/>
    <w:rsid w:val="000A2509"/>
    <w:rsid w:val="000A2FED"/>
    <w:rsid w:val="000A6E93"/>
    <w:rsid w:val="000B225F"/>
    <w:rsid w:val="000B59B8"/>
    <w:rsid w:val="000B73D5"/>
    <w:rsid w:val="000D213E"/>
    <w:rsid w:val="000D4018"/>
    <w:rsid w:val="000D6E2B"/>
    <w:rsid w:val="000E3DA6"/>
    <w:rsid w:val="000F1A97"/>
    <w:rsid w:val="000F34A0"/>
    <w:rsid w:val="000F3825"/>
    <w:rsid w:val="000F4235"/>
    <w:rsid w:val="000F48C1"/>
    <w:rsid w:val="000F4E3A"/>
    <w:rsid w:val="000F596A"/>
    <w:rsid w:val="001026EB"/>
    <w:rsid w:val="0010335D"/>
    <w:rsid w:val="00105382"/>
    <w:rsid w:val="00111372"/>
    <w:rsid w:val="001125F8"/>
    <w:rsid w:val="001163EC"/>
    <w:rsid w:val="001173C1"/>
    <w:rsid w:val="0012375A"/>
    <w:rsid w:val="00126409"/>
    <w:rsid w:val="00126F91"/>
    <w:rsid w:val="00130D58"/>
    <w:rsid w:val="0013248E"/>
    <w:rsid w:val="00132F26"/>
    <w:rsid w:val="00134CE4"/>
    <w:rsid w:val="0014371E"/>
    <w:rsid w:val="00146F7B"/>
    <w:rsid w:val="001502C1"/>
    <w:rsid w:val="00155371"/>
    <w:rsid w:val="001554B8"/>
    <w:rsid w:val="00156669"/>
    <w:rsid w:val="00160F26"/>
    <w:rsid w:val="00161118"/>
    <w:rsid w:val="00163D81"/>
    <w:rsid w:val="001644A4"/>
    <w:rsid w:val="001671AF"/>
    <w:rsid w:val="00171DED"/>
    <w:rsid w:val="00172042"/>
    <w:rsid w:val="00173630"/>
    <w:rsid w:val="001745C0"/>
    <w:rsid w:val="001754BA"/>
    <w:rsid w:val="001837A2"/>
    <w:rsid w:val="00185059"/>
    <w:rsid w:val="00185928"/>
    <w:rsid w:val="00190977"/>
    <w:rsid w:val="001917B5"/>
    <w:rsid w:val="00191F82"/>
    <w:rsid w:val="00192BE7"/>
    <w:rsid w:val="001947E9"/>
    <w:rsid w:val="001A20FB"/>
    <w:rsid w:val="001A632E"/>
    <w:rsid w:val="001B201F"/>
    <w:rsid w:val="001B3BFF"/>
    <w:rsid w:val="001B4014"/>
    <w:rsid w:val="001B5104"/>
    <w:rsid w:val="001B6917"/>
    <w:rsid w:val="001B710D"/>
    <w:rsid w:val="001C2483"/>
    <w:rsid w:val="001D0E83"/>
    <w:rsid w:val="001D3373"/>
    <w:rsid w:val="001E17D8"/>
    <w:rsid w:val="001F196A"/>
    <w:rsid w:val="001F3FAC"/>
    <w:rsid w:val="00203D31"/>
    <w:rsid w:val="00205AC5"/>
    <w:rsid w:val="00211249"/>
    <w:rsid w:val="00217133"/>
    <w:rsid w:val="0021794A"/>
    <w:rsid w:val="00221D6D"/>
    <w:rsid w:val="00224322"/>
    <w:rsid w:val="00231EC9"/>
    <w:rsid w:val="0023272A"/>
    <w:rsid w:val="00236197"/>
    <w:rsid w:val="00236DB9"/>
    <w:rsid w:val="0024133A"/>
    <w:rsid w:val="00242084"/>
    <w:rsid w:val="002422F5"/>
    <w:rsid w:val="00244A57"/>
    <w:rsid w:val="002472AA"/>
    <w:rsid w:val="0025013E"/>
    <w:rsid w:val="00252312"/>
    <w:rsid w:val="0025528A"/>
    <w:rsid w:val="002612E4"/>
    <w:rsid w:val="00265327"/>
    <w:rsid w:val="00266699"/>
    <w:rsid w:val="0027435E"/>
    <w:rsid w:val="00276E68"/>
    <w:rsid w:val="00280A4F"/>
    <w:rsid w:val="00282C0C"/>
    <w:rsid w:val="00283769"/>
    <w:rsid w:val="00285401"/>
    <w:rsid w:val="00285A2F"/>
    <w:rsid w:val="00285AC4"/>
    <w:rsid w:val="00286322"/>
    <w:rsid w:val="002908F7"/>
    <w:rsid w:val="0029175D"/>
    <w:rsid w:val="00291BCB"/>
    <w:rsid w:val="00292ED3"/>
    <w:rsid w:val="002945A8"/>
    <w:rsid w:val="00294D49"/>
    <w:rsid w:val="00295E97"/>
    <w:rsid w:val="002A0202"/>
    <w:rsid w:val="002A19E4"/>
    <w:rsid w:val="002A3B96"/>
    <w:rsid w:val="002A640F"/>
    <w:rsid w:val="002B0CBE"/>
    <w:rsid w:val="002B15D6"/>
    <w:rsid w:val="002B6CBF"/>
    <w:rsid w:val="002C2263"/>
    <w:rsid w:val="002C283D"/>
    <w:rsid w:val="002C3A28"/>
    <w:rsid w:val="002C7635"/>
    <w:rsid w:val="002D09D3"/>
    <w:rsid w:val="002D146E"/>
    <w:rsid w:val="002D1D00"/>
    <w:rsid w:val="002D3E62"/>
    <w:rsid w:val="002D7130"/>
    <w:rsid w:val="002E544E"/>
    <w:rsid w:val="002E7591"/>
    <w:rsid w:val="002F7D4B"/>
    <w:rsid w:val="00300800"/>
    <w:rsid w:val="00301A6F"/>
    <w:rsid w:val="0030215F"/>
    <w:rsid w:val="00313506"/>
    <w:rsid w:val="00313A8F"/>
    <w:rsid w:val="0031481C"/>
    <w:rsid w:val="0031705F"/>
    <w:rsid w:val="0033013F"/>
    <w:rsid w:val="003308E0"/>
    <w:rsid w:val="00334299"/>
    <w:rsid w:val="00337FE1"/>
    <w:rsid w:val="00341B58"/>
    <w:rsid w:val="003512B6"/>
    <w:rsid w:val="003530C0"/>
    <w:rsid w:val="0035462F"/>
    <w:rsid w:val="00354F5F"/>
    <w:rsid w:val="00356D48"/>
    <w:rsid w:val="0035761E"/>
    <w:rsid w:val="0035799D"/>
    <w:rsid w:val="00362930"/>
    <w:rsid w:val="00363098"/>
    <w:rsid w:val="00365C20"/>
    <w:rsid w:val="003660E4"/>
    <w:rsid w:val="00366447"/>
    <w:rsid w:val="00371B9A"/>
    <w:rsid w:val="003755D0"/>
    <w:rsid w:val="003778A0"/>
    <w:rsid w:val="00383EDD"/>
    <w:rsid w:val="00392F03"/>
    <w:rsid w:val="003A0A35"/>
    <w:rsid w:val="003A3D97"/>
    <w:rsid w:val="003A4E96"/>
    <w:rsid w:val="003A65C0"/>
    <w:rsid w:val="003A719F"/>
    <w:rsid w:val="003A7722"/>
    <w:rsid w:val="003B266B"/>
    <w:rsid w:val="003C1A24"/>
    <w:rsid w:val="003C2AE6"/>
    <w:rsid w:val="003C793F"/>
    <w:rsid w:val="003D1B2E"/>
    <w:rsid w:val="003D4870"/>
    <w:rsid w:val="003E0222"/>
    <w:rsid w:val="003E2810"/>
    <w:rsid w:val="003E28A7"/>
    <w:rsid w:val="003E40EE"/>
    <w:rsid w:val="003E4F4A"/>
    <w:rsid w:val="003F0313"/>
    <w:rsid w:val="003F19EA"/>
    <w:rsid w:val="003F1B87"/>
    <w:rsid w:val="003F1EE1"/>
    <w:rsid w:val="003F3CFC"/>
    <w:rsid w:val="00400492"/>
    <w:rsid w:val="004011FC"/>
    <w:rsid w:val="00402232"/>
    <w:rsid w:val="00402377"/>
    <w:rsid w:val="00402B75"/>
    <w:rsid w:val="00402EEC"/>
    <w:rsid w:val="00404CCD"/>
    <w:rsid w:val="00410478"/>
    <w:rsid w:val="004116E4"/>
    <w:rsid w:val="00416629"/>
    <w:rsid w:val="00422BD7"/>
    <w:rsid w:val="00423A93"/>
    <w:rsid w:val="00424A0F"/>
    <w:rsid w:val="004311DA"/>
    <w:rsid w:val="0043171B"/>
    <w:rsid w:val="00432AAB"/>
    <w:rsid w:val="00433C17"/>
    <w:rsid w:val="00435957"/>
    <w:rsid w:val="00450601"/>
    <w:rsid w:val="00452AAA"/>
    <w:rsid w:val="00452DA9"/>
    <w:rsid w:val="00453DCE"/>
    <w:rsid w:val="00454DAB"/>
    <w:rsid w:val="00463AE7"/>
    <w:rsid w:val="00464C7D"/>
    <w:rsid w:val="00465F0C"/>
    <w:rsid w:val="00465FED"/>
    <w:rsid w:val="0047565A"/>
    <w:rsid w:val="00476304"/>
    <w:rsid w:val="00476A01"/>
    <w:rsid w:val="0048542F"/>
    <w:rsid w:val="00487ADD"/>
    <w:rsid w:val="00490160"/>
    <w:rsid w:val="00494741"/>
    <w:rsid w:val="00495E91"/>
    <w:rsid w:val="004962C0"/>
    <w:rsid w:val="00496C8D"/>
    <w:rsid w:val="004A35B2"/>
    <w:rsid w:val="004A52CD"/>
    <w:rsid w:val="004A63AB"/>
    <w:rsid w:val="004A6A78"/>
    <w:rsid w:val="004A7C37"/>
    <w:rsid w:val="004B0376"/>
    <w:rsid w:val="004B2C39"/>
    <w:rsid w:val="004B422C"/>
    <w:rsid w:val="004C127B"/>
    <w:rsid w:val="004C1FDD"/>
    <w:rsid w:val="004C5802"/>
    <w:rsid w:val="004C6B40"/>
    <w:rsid w:val="004D1D00"/>
    <w:rsid w:val="004D3F1C"/>
    <w:rsid w:val="004D70D5"/>
    <w:rsid w:val="004E1980"/>
    <w:rsid w:val="004E35C2"/>
    <w:rsid w:val="004E375F"/>
    <w:rsid w:val="004E49A2"/>
    <w:rsid w:val="004E5F60"/>
    <w:rsid w:val="004F05B8"/>
    <w:rsid w:val="004F533F"/>
    <w:rsid w:val="004F6655"/>
    <w:rsid w:val="004F77F0"/>
    <w:rsid w:val="00500906"/>
    <w:rsid w:val="005022EF"/>
    <w:rsid w:val="005028DF"/>
    <w:rsid w:val="00506088"/>
    <w:rsid w:val="005100B1"/>
    <w:rsid w:val="005111EA"/>
    <w:rsid w:val="005112D2"/>
    <w:rsid w:val="00521A95"/>
    <w:rsid w:val="005221FA"/>
    <w:rsid w:val="00525602"/>
    <w:rsid w:val="00531AD7"/>
    <w:rsid w:val="00542E6B"/>
    <w:rsid w:val="00543EFB"/>
    <w:rsid w:val="00544459"/>
    <w:rsid w:val="00550DFF"/>
    <w:rsid w:val="00555D9E"/>
    <w:rsid w:val="00557157"/>
    <w:rsid w:val="00563506"/>
    <w:rsid w:val="00564454"/>
    <w:rsid w:val="00564C76"/>
    <w:rsid w:val="005666B7"/>
    <w:rsid w:val="005667D5"/>
    <w:rsid w:val="0057319A"/>
    <w:rsid w:val="005742AE"/>
    <w:rsid w:val="005768D2"/>
    <w:rsid w:val="00576B90"/>
    <w:rsid w:val="005831EE"/>
    <w:rsid w:val="00583335"/>
    <w:rsid w:val="00592B53"/>
    <w:rsid w:val="005A36EC"/>
    <w:rsid w:val="005A540F"/>
    <w:rsid w:val="005B32CC"/>
    <w:rsid w:val="005B395F"/>
    <w:rsid w:val="005B468A"/>
    <w:rsid w:val="005B47D7"/>
    <w:rsid w:val="005B5BB5"/>
    <w:rsid w:val="005B5BF9"/>
    <w:rsid w:val="005B61E3"/>
    <w:rsid w:val="005B6C09"/>
    <w:rsid w:val="005C2605"/>
    <w:rsid w:val="005C5F2F"/>
    <w:rsid w:val="005D145E"/>
    <w:rsid w:val="005D1E64"/>
    <w:rsid w:val="005D6872"/>
    <w:rsid w:val="005E5D90"/>
    <w:rsid w:val="005E6DC2"/>
    <w:rsid w:val="005F001A"/>
    <w:rsid w:val="005F0819"/>
    <w:rsid w:val="005F5973"/>
    <w:rsid w:val="00600DF7"/>
    <w:rsid w:val="00603E6E"/>
    <w:rsid w:val="006054BE"/>
    <w:rsid w:val="0062212F"/>
    <w:rsid w:val="00622676"/>
    <w:rsid w:val="006238F0"/>
    <w:rsid w:val="00624A07"/>
    <w:rsid w:val="006251C4"/>
    <w:rsid w:val="00640E45"/>
    <w:rsid w:val="0064296B"/>
    <w:rsid w:val="00645600"/>
    <w:rsid w:val="006463DA"/>
    <w:rsid w:val="00655FF0"/>
    <w:rsid w:val="00656BB2"/>
    <w:rsid w:val="00660135"/>
    <w:rsid w:val="0066068F"/>
    <w:rsid w:val="00661627"/>
    <w:rsid w:val="00663212"/>
    <w:rsid w:val="00666424"/>
    <w:rsid w:val="006675C2"/>
    <w:rsid w:val="00671E24"/>
    <w:rsid w:val="0067300F"/>
    <w:rsid w:val="00673F4D"/>
    <w:rsid w:val="00674D9B"/>
    <w:rsid w:val="00675915"/>
    <w:rsid w:val="00681D8A"/>
    <w:rsid w:val="00682459"/>
    <w:rsid w:val="006829CF"/>
    <w:rsid w:val="00684DCB"/>
    <w:rsid w:val="00690AC1"/>
    <w:rsid w:val="006919BE"/>
    <w:rsid w:val="00697FFE"/>
    <w:rsid w:val="006A0553"/>
    <w:rsid w:val="006A1D8B"/>
    <w:rsid w:val="006A2062"/>
    <w:rsid w:val="006A5B93"/>
    <w:rsid w:val="006B246C"/>
    <w:rsid w:val="006B646E"/>
    <w:rsid w:val="006B7001"/>
    <w:rsid w:val="006B74B4"/>
    <w:rsid w:val="006C0C71"/>
    <w:rsid w:val="006C0E7E"/>
    <w:rsid w:val="006C4CD2"/>
    <w:rsid w:val="006C5A4B"/>
    <w:rsid w:val="006C63D9"/>
    <w:rsid w:val="006D36B9"/>
    <w:rsid w:val="006D5E7C"/>
    <w:rsid w:val="006D689A"/>
    <w:rsid w:val="006E0070"/>
    <w:rsid w:val="006E3067"/>
    <w:rsid w:val="006F01F0"/>
    <w:rsid w:val="006F125F"/>
    <w:rsid w:val="006F74C4"/>
    <w:rsid w:val="0070020A"/>
    <w:rsid w:val="007005E9"/>
    <w:rsid w:val="00703CEC"/>
    <w:rsid w:val="00703F1E"/>
    <w:rsid w:val="007067C2"/>
    <w:rsid w:val="007100C1"/>
    <w:rsid w:val="0071102D"/>
    <w:rsid w:val="00711A86"/>
    <w:rsid w:val="00711F20"/>
    <w:rsid w:val="00720ADA"/>
    <w:rsid w:val="00721B02"/>
    <w:rsid w:val="00725114"/>
    <w:rsid w:val="007254B9"/>
    <w:rsid w:val="007265BC"/>
    <w:rsid w:val="00731D2B"/>
    <w:rsid w:val="00733417"/>
    <w:rsid w:val="0073359F"/>
    <w:rsid w:val="00736A77"/>
    <w:rsid w:val="00744F44"/>
    <w:rsid w:val="00746FD0"/>
    <w:rsid w:val="007501E9"/>
    <w:rsid w:val="00757725"/>
    <w:rsid w:val="00760267"/>
    <w:rsid w:val="00761958"/>
    <w:rsid w:val="00766F62"/>
    <w:rsid w:val="007670DC"/>
    <w:rsid w:val="00773F1C"/>
    <w:rsid w:val="00775085"/>
    <w:rsid w:val="00775433"/>
    <w:rsid w:val="00782F27"/>
    <w:rsid w:val="00792993"/>
    <w:rsid w:val="00792D28"/>
    <w:rsid w:val="007979DA"/>
    <w:rsid w:val="007A002D"/>
    <w:rsid w:val="007B51EE"/>
    <w:rsid w:val="007B598B"/>
    <w:rsid w:val="007B5A80"/>
    <w:rsid w:val="007C0AD2"/>
    <w:rsid w:val="007C1F6D"/>
    <w:rsid w:val="007C41E2"/>
    <w:rsid w:val="007C4B50"/>
    <w:rsid w:val="007C5FC0"/>
    <w:rsid w:val="007C67D4"/>
    <w:rsid w:val="007C7A1E"/>
    <w:rsid w:val="007D0902"/>
    <w:rsid w:val="007D098C"/>
    <w:rsid w:val="007E09F1"/>
    <w:rsid w:val="007E55D7"/>
    <w:rsid w:val="007E66D2"/>
    <w:rsid w:val="007F17A0"/>
    <w:rsid w:val="007F5F9B"/>
    <w:rsid w:val="0080787D"/>
    <w:rsid w:val="00807EF9"/>
    <w:rsid w:val="008140D6"/>
    <w:rsid w:val="0081621A"/>
    <w:rsid w:val="00817463"/>
    <w:rsid w:val="00817473"/>
    <w:rsid w:val="0081751D"/>
    <w:rsid w:val="00817B95"/>
    <w:rsid w:val="00826F81"/>
    <w:rsid w:val="00830447"/>
    <w:rsid w:val="00835324"/>
    <w:rsid w:val="00837652"/>
    <w:rsid w:val="0084181B"/>
    <w:rsid w:val="0084205B"/>
    <w:rsid w:val="008432A6"/>
    <w:rsid w:val="00851329"/>
    <w:rsid w:val="008529A6"/>
    <w:rsid w:val="00864705"/>
    <w:rsid w:val="0086579F"/>
    <w:rsid w:val="00866137"/>
    <w:rsid w:val="00870548"/>
    <w:rsid w:val="008742A2"/>
    <w:rsid w:val="00875694"/>
    <w:rsid w:val="00880163"/>
    <w:rsid w:val="008819EA"/>
    <w:rsid w:val="00882EB3"/>
    <w:rsid w:val="008919CF"/>
    <w:rsid w:val="008924F3"/>
    <w:rsid w:val="008930A3"/>
    <w:rsid w:val="008A01E5"/>
    <w:rsid w:val="008A0B87"/>
    <w:rsid w:val="008A2488"/>
    <w:rsid w:val="008A699D"/>
    <w:rsid w:val="008A6C47"/>
    <w:rsid w:val="008C186C"/>
    <w:rsid w:val="008C19B5"/>
    <w:rsid w:val="008C611C"/>
    <w:rsid w:val="008C770A"/>
    <w:rsid w:val="008D2B21"/>
    <w:rsid w:val="008D31DC"/>
    <w:rsid w:val="008E66A2"/>
    <w:rsid w:val="008E6B24"/>
    <w:rsid w:val="008E6E1B"/>
    <w:rsid w:val="008E6F92"/>
    <w:rsid w:val="008E78DD"/>
    <w:rsid w:val="009120C7"/>
    <w:rsid w:val="009126A1"/>
    <w:rsid w:val="00916621"/>
    <w:rsid w:val="00917697"/>
    <w:rsid w:val="00917813"/>
    <w:rsid w:val="00920BCF"/>
    <w:rsid w:val="00920CAD"/>
    <w:rsid w:val="00927EED"/>
    <w:rsid w:val="00947D2E"/>
    <w:rsid w:val="00957FB1"/>
    <w:rsid w:val="00962D82"/>
    <w:rsid w:val="00965A98"/>
    <w:rsid w:val="00965F4A"/>
    <w:rsid w:val="009663B5"/>
    <w:rsid w:val="00972E18"/>
    <w:rsid w:val="009746CE"/>
    <w:rsid w:val="00981C25"/>
    <w:rsid w:val="0098219F"/>
    <w:rsid w:val="00984255"/>
    <w:rsid w:val="0098464F"/>
    <w:rsid w:val="00986D05"/>
    <w:rsid w:val="009911CE"/>
    <w:rsid w:val="00993BE2"/>
    <w:rsid w:val="00994D48"/>
    <w:rsid w:val="00995E45"/>
    <w:rsid w:val="009963C0"/>
    <w:rsid w:val="009A0C49"/>
    <w:rsid w:val="009A2911"/>
    <w:rsid w:val="009A2CBE"/>
    <w:rsid w:val="009B02D9"/>
    <w:rsid w:val="009B06CE"/>
    <w:rsid w:val="009B1A23"/>
    <w:rsid w:val="009B294E"/>
    <w:rsid w:val="009B2BE2"/>
    <w:rsid w:val="009B71BC"/>
    <w:rsid w:val="009C09B9"/>
    <w:rsid w:val="009C16EB"/>
    <w:rsid w:val="009C4CF8"/>
    <w:rsid w:val="009D345A"/>
    <w:rsid w:val="009D6C12"/>
    <w:rsid w:val="009E156F"/>
    <w:rsid w:val="009E168F"/>
    <w:rsid w:val="009E24DC"/>
    <w:rsid w:val="009E5D7F"/>
    <w:rsid w:val="009F17F8"/>
    <w:rsid w:val="009F3C33"/>
    <w:rsid w:val="009F4388"/>
    <w:rsid w:val="009F563E"/>
    <w:rsid w:val="009F7CD7"/>
    <w:rsid w:val="00A039F0"/>
    <w:rsid w:val="00A059D2"/>
    <w:rsid w:val="00A0617F"/>
    <w:rsid w:val="00A10075"/>
    <w:rsid w:val="00A1224C"/>
    <w:rsid w:val="00A12492"/>
    <w:rsid w:val="00A15AC9"/>
    <w:rsid w:val="00A24744"/>
    <w:rsid w:val="00A27E4D"/>
    <w:rsid w:val="00A3077D"/>
    <w:rsid w:val="00A33FB5"/>
    <w:rsid w:val="00A46B79"/>
    <w:rsid w:val="00A47E06"/>
    <w:rsid w:val="00A5443F"/>
    <w:rsid w:val="00A57313"/>
    <w:rsid w:val="00A57817"/>
    <w:rsid w:val="00A61705"/>
    <w:rsid w:val="00A661AF"/>
    <w:rsid w:val="00A70282"/>
    <w:rsid w:val="00A7092A"/>
    <w:rsid w:val="00A7121E"/>
    <w:rsid w:val="00A7415B"/>
    <w:rsid w:val="00A845B5"/>
    <w:rsid w:val="00A8604F"/>
    <w:rsid w:val="00A911FD"/>
    <w:rsid w:val="00A94300"/>
    <w:rsid w:val="00AA534F"/>
    <w:rsid w:val="00AA5ABD"/>
    <w:rsid w:val="00AB1F29"/>
    <w:rsid w:val="00AB227F"/>
    <w:rsid w:val="00AC09C1"/>
    <w:rsid w:val="00AC1DD2"/>
    <w:rsid w:val="00AC566E"/>
    <w:rsid w:val="00AC6D27"/>
    <w:rsid w:val="00AD095C"/>
    <w:rsid w:val="00AD3B0D"/>
    <w:rsid w:val="00AD52B8"/>
    <w:rsid w:val="00AD5E92"/>
    <w:rsid w:val="00AD6903"/>
    <w:rsid w:val="00AD6C16"/>
    <w:rsid w:val="00AE2BE1"/>
    <w:rsid w:val="00AE2F8B"/>
    <w:rsid w:val="00AE469B"/>
    <w:rsid w:val="00AE5D88"/>
    <w:rsid w:val="00AF0857"/>
    <w:rsid w:val="00AF2F0A"/>
    <w:rsid w:val="00AF32A4"/>
    <w:rsid w:val="00B00F2D"/>
    <w:rsid w:val="00B01522"/>
    <w:rsid w:val="00B114B5"/>
    <w:rsid w:val="00B14919"/>
    <w:rsid w:val="00B1667A"/>
    <w:rsid w:val="00B209D0"/>
    <w:rsid w:val="00B20FE8"/>
    <w:rsid w:val="00B2258A"/>
    <w:rsid w:val="00B23A9F"/>
    <w:rsid w:val="00B25D29"/>
    <w:rsid w:val="00B30246"/>
    <w:rsid w:val="00B304A7"/>
    <w:rsid w:val="00B33D5C"/>
    <w:rsid w:val="00B3739E"/>
    <w:rsid w:val="00B41016"/>
    <w:rsid w:val="00B41D40"/>
    <w:rsid w:val="00B436BA"/>
    <w:rsid w:val="00B4496E"/>
    <w:rsid w:val="00B47108"/>
    <w:rsid w:val="00B50945"/>
    <w:rsid w:val="00B656A1"/>
    <w:rsid w:val="00B70F23"/>
    <w:rsid w:val="00B716F5"/>
    <w:rsid w:val="00B80FF1"/>
    <w:rsid w:val="00B83C63"/>
    <w:rsid w:val="00B85580"/>
    <w:rsid w:val="00B85CB8"/>
    <w:rsid w:val="00B86BFC"/>
    <w:rsid w:val="00B90B51"/>
    <w:rsid w:val="00B927FA"/>
    <w:rsid w:val="00B94957"/>
    <w:rsid w:val="00B960CE"/>
    <w:rsid w:val="00BA114C"/>
    <w:rsid w:val="00BA2E07"/>
    <w:rsid w:val="00BA319E"/>
    <w:rsid w:val="00BA344A"/>
    <w:rsid w:val="00BA72CC"/>
    <w:rsid w:val="00BA7D80"/>
    <w:rsid w:val="00BB5AC1"/>
    <w:rsid w:val="00BC2AA5"/>
    <w:rsid w:val="00BC3421"/>
    <w:rsid w:val="00BE12C9"/>
    <w:rsid w:val="00BE268B"/>
    <w:rsid w:val="00BE33FD"/>
    <w:rsid w:val="00BE4072"/>
    <w:rsid w:val="00BE5547"/>
    <w:rsid w:val="00BE5D43"/>
    <w:rsid w:val="00BE65E2"/>
    <w:rsid w:val="00BE6936"/>
    <w:rsid w:val="00BF098E"/>
    <w:rsid w:val="00BF2726"/>
    <w:rsid w:val="00BF2E61"/>
    <w:rsid w:val="00BF3C2F"/>
    <w:rsid w:val="00BF3D5D"/>
    <w:rsid w:val="00BF7A1F"/>
    <w:rsid w:val="00C00E0E"/>
    <w:rsid w:val="00C04D8F"/>
    <w:rsid w:val="00C07084"/>
    <w:rsid w:val="00C078F1"/>
    <w:rsid w:val="00C109BF"/>
    <w:rsid w:val="00C114F8"/>
    <w:rsid w:val="00C12DD7"/>
    <w:rsid w:val="00C14D3F"/>
    <w:rsid w:val="00C16590"/>
    <w:rsid w:val="00C17380"/>
    <w:rsid w:val="00C1771D"/>
    <w:rsid w:val="00C20982"/>
    <w:rsid w:val="00C301B5"/>
    <w:rsid w:val="00C33251"/>
    <w:rsid w:val="00C37714"/>
    <w:rsid w:val="00C37F1E"/>
    <w:rsid w:val="00C43988"/>
    <w:rsid w:val="00C43C68"/>
    <w:rsid w:val="00C43DF8"/>
    <w:rsid w:val="00C4504E"/>
    <w:rsid w:val="00C5172F"/>
    <w:rsid w:val="00C55298"/>
    <w:rsid w:val="00C6757E"/>
    <w:rsid w:val="00C70000"/>
    <w:rsid w:val="00C71A80"/>
    <w:rsid w:val="00C72729"/>
    <w:rsid w:val="00C72F00"/>
    <w:rsid w:val="00C76EB5"/>
    <w:rsid w:val="00C77359"/>
    <w:rsid w:val="00C82885"/>
    <w:rsid w:val="00C84D38"/>
    <w:rsid w:val="00C85E97"/>
    <w:rsid w:val="00C86838"/>
    <w:rsid w:val="00C87F32"/>
    <w:rsid w:val="00C92466"/>
    <w:rsid w:val="00C9484E"/>
    <w:rsid w:val="00CA2361"/>
    <w:rsid w:val="00CA26E3"/>
    <w:rsid w:val="00CA517E"/>
    <w:rsid w:val="00CA7C3C"/>
    <w:rsid w:val="00CA7DC7"/>
    <w:rsid w:val="00CB2AB7"/>
    <w:rsid w:val="00CC3EF0"/>
    <w:rsid w:val="00CC4379"/>
    <w:rsid w:val="00CC71D3"/>
    <w:rsid w:val="00CE024D"/>
    <w:rsid w:val="00CE2F2B"/>
    <w:rsid w:val="00CE343F"/>
    <w:rsid w:val="00CE477D"/>
    <w:rsid w:val="00CE6F4D"/>
    <w:rsid w:val="00CF1F2C"/>
    <w:rsid w:val="00D00451"/>
    <w:rsid w:val="00D01064"/>
    <w:rsid w:val="00D04FBA"/>
    <w:rsid w:val="00D05913"/>
    <w:rsid w:val="00D15FA6"/>
    <w:rsid w:val="00D234A0"/>
    <w:rsid w:val="00D25248"/>
    <w:rsid w:val="00D253F7"/>
    <w:rsid w:val="00D3534E"/>
    <w:rsid w:val="00D35636"/>
    <w:rsid w:val="00D40F27"/>
    <w:rsid w:val="00D424BE"/>
    <w:rsid w:val="00D43F7C"/>
    <w:rsid w:val="00D50302"/>
    <w:rsid w:val="00D527B9"/>
    <w:rsid w:val="00D54624"/>
    <w:rsid w:val="00D55422"/>
    <w:rsid w:val="00D72EC8"/>
    <w:rsid w:val="00D749E2"/>
    <w:rsid w:val="00D76D7C"/>
    <w:rsid w:val="00D86CCA"/>
    <w:rsid w:val="00D8735A"/>
    <w:rsid w:val="00D91318"/>
    <w:rsid w:val="00D945AD"/>
    <w:rsid w:val="00D97507"/>
    <w:rsid w:val="00D975C5"/>
    <w:rsid w:val="00DA0840"/>
    <w:rsid w:val="00DA133F"/>
    <w:rsid w:val="00DA35EE"/>
    <w:rsid w:val="00DA4B64"/>
    <w:rsid w:val="00DA5047"/>
    <w:rsid w:val="00DA6CF7"/>
    <w:rsid w:val="00DA7388"/>
    <w:rsid w:val="00DB0263"/>
    <w:rsid w:val="00DB2447"/>
    <w:rsid w:val="00DB55F4"/>
    <w:rsid w:val="00DB5864"/>
    <w:rsid w:val="00DB5FE0"/>
    <w:rsid w:val="00DC255E"/>
    <w:rsid w:val="00DC34DC"/>
    <w:rsid w:val="00DC41B8"/>
    <w:rsid w:val="00DC4E99"/>
    <w:rsid w:val="00DD25B4"/>
    <w:rsid w:val="00DD360B"/>
    <w:rsid w:val="00DD3D95"/>
    <w:rsid w:val="00DD72F3"/>
    <w:rsid w:val="00DE2B28"/>
    <w:rsid w:val="00DE4318"/>
    <w:rsid w:val="00DF020C"/>
    <w:rsid w:val="00DF11BD"/>
    <w:rsid w:val="00DF2D06"/>
    <w:rsid w:val="00DF2ED6"/>
    <w:rsid w:val="00DF409C"/>
    <w:rsid w:val="00DF6086"/>
    <w:rsid w:val="00E00CCB"/>
    <w:rsid w:val="00E06BB1"/>
    <w:rsid w:val="00E103FE"/>
    <w:rsid w:val="00E138ED"/>
    <w:rsid w:val="00E13A0B"/>
    <w:rsid w:val="00E168F3"/>
    <w:rsid w:val="00E22DB6"/>
    <w:rsid w:val="00E30454"/>
    <w:rsid w:val="00E33501"/>
    <w:rsid w:val="00E33F78"/>
    <w:rsid w:val="00E35F1A"/>
    <w:rsid w:val="00E404DA"/>
    <w:rsid w:val="00E413B5"/>
    <w:rsid w:val="00E41C3C"/>
    <w:rsid w:val="00E44790"/>
    <w:rsid w:val="00E50A24"/>
    <w:rsid w:val="00E53F50"/>
    <w:rsid w:val="00E546D8"/>
    <w:rsid w:val="00E555DB"/>
    <w:rsid w:val="00E56815"/>
    <w:rsid w:val="00E56F03"/>
    <w:rsid w:val="00E5734A"/>
    <w:rsid w:val="00E622C3"/>
    <w:rsid w:val="00E6524F"/>
    <w:rsid w:val="00E67829"/>
    <w:rsid w:val="00E72102"/>
    <w:rsid w:val="00E85715"/>
    <w:rsid w:val="00E85DD6"/>
    <w:rsid w:val="00E86142"/>
    <w:rsid w:val="00E915FB"/>
    <w:rsid w:val="00EA18F0"/>
    <w:rsid w:val="00EA264C"/>
    <w:rsid w:val="00EA44D8"/>
    <w:rsid w:val="00EA478E"/>
    <w:rsid w:val="00EA5518"/>
    <w:rsid w:val="00EA69F4"/>
    <w:rsid w:val="00EB21CA"/>
    <w:rsid w:val="00EB2D24"/>
    <w:rsid w:val="00EB4F6B"/>
    <w:rsid w:val="00EB70F0"/>
    <w:rsid w:val="00EC0258"/>
    <w:rsid w:val="00EC4546"/>
    <w:rsid w:val="00ED036E"/>
    <w:rsid w:val="00ED1C7D"/>
    <w:rsid w:val="00ED4DBC"/>
    <w:rsid w:val="00ED539A"/>
    <w:rsid w:val="00ED5AC1"/>
    <w:rsid w:val="00EE0097"/>
    <w:rsid w:val="00EE2232"/>
    <w:rsid w:val="00EE3E53"/>
    <w:rsid w:val="00EE4B12"/>
    <w:rsid w:val="00EF0869"/>
    <w:rsid w:val="00EF24BD"/>
    <w:rsid w:val="00EF3C7D"/>
    <w:rsid w:val="00EF7DB3"/>
    <w:rsid w:val="00EF7F49"/>
    <w:rsid w:val="00F024C5"/>
    <w:rsid w:val="00F050B6"/>
    <w:rsid w:val="00F12077"/>
    <w:rsid w:val="00F13DA8"/>
    <w:rsid w:val="00F2010B"/>
    <w:rsid w:val="00F249D3"/>
    <w:rsid w:val="00F2637B"/>
    <w:rsid w:val="00F316C8"/>
    <w:rsid w:val="00F33898"/>
    <w:rsid w:val="00F37385"/>
    <w:rsid w:val="00F4432A"/>
    <w:rsid w:val="00F4574B"/>
    <w:rsid w:val="00F476FA"/>
    <w:rsid w:val="00F47D81"/>
    <w:rsid w:val="00F5036F"/>
    <w:rsid w:val="00F5046D"/>
    <w:rsid w:val="00F53A44"/>
    <w:rsid w:val="00F64E9C"/>
    <w:rsid w:val="00F66272"/>
    <w:rsid w:val="00F671FF"/>
    <w:rsid w:val="00F76680"/>
    <w:rsid w:val="00F801AD"/>
    <w:rsid w:val="00F82847"/>
    <w:rsid w:val="00F86CDB"/>
    <w:rsid w:val="00F91044"/>
    <w:rsid w:val="00F94E03"/>
    <w:rsid w:val="00F96472"/>
    <w:rsid w:val="00F97C6C"/>
    <w:rsid w:val="00FA4D9B"/>
    <w:rsid w:val="00FA53E7"/>
    <w:rsid w:val="00FB0E5A"/>
    <w:rsid w:val="00FB1DC3"/>
    <w:rsid w:val="00FB2EF7"/>
    <w:rsid w:val="00FB49FB"/>
    <w:rsid w:val="00FC4B65"/>
    <w:rsid w:val="00FC6BAA"/>
    <w:rsid w:val="00FD2C12"/>
    <w:rsid w:val="00FD3AD1"/>
    <w:rsid w:val="00FD3D81"/>
    <w:rsid w:val="00FD4D09"/>
    <w:rsid w:val="00FD6E05"/>
    <w:rsid w:val="00FD743B"/>
    <w:rsid w:val="00FE003C"/>
    <w:rsid w:val="00FE3BF7"/>
    <w:rsid w:val="00FE435D"/>
    <w:rsid w:val="00FE78DC"/>
    <w:rsid w:val="00FF109D"/>
    <w:rsid w:val="00FF1113"/>
    <w:rsid w:val="00FF5D87"/>
    <w:rsid w:val="00FF6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2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DB3"/>
    <w:rPr>
      <w:sz w:val="24"/>
      <w:szCs w:val="24"/>
    </w:rPr>
  </w:style>
  <w:style w:type="paragraph" w:styleId="1">
    <w:name w:val="heading 1"/>
    <w:basedOn w:val="a0"/>
    <w:next w:val="a0"/>
    <w:link w:val="10"/>
    <w:qFormat/>
    <w:rsid w:val="00995E45"/>
    <w:pPr>
      <w:keepNext/>
      <w:spacing w:before="240" w:after="360"/>
      <w:outlineLvl w:val="0"/>
    </w:pPr>
    <w:rPr>
      <w:rFonts w:ascii="Arial" w:hAnsi="Arial"/>
      <w:b/>
      <w:kern w:val="28"/>
      <w:sz w:val="28"/>
      <w:szCs w:val="20"/>
    </w:rPr>
  </w:style>
  <w:style w:type="paragraph" w:styleId="20">
    <w:name w:val="heading 2"/>
    <w:basedOn w:val="a0"/>
    <w:next w:val="a0"/>
    <w:link w:val="21"/>
    <w:qFormat/>
    <w:rsid w:val="00995E45"/>
    <w:pPr>
      <w:keepNext/>
      <w:spacing w:before="240" w:after="60"/>
      <w:outlineLvl w:val="1"/>
    </w:pPr>
    <w:rPr>
      <w:rFonts w:ascii="Arial" w:hAnsi="Arial"/>
      <w:b/>
      <w:szCs w:val="20"/>
    </w:rPr>
  </w:style>
  <w:style w:type="paragraph" w:styleId="30">
    <w:name w:val="heading 3"/>
    <w:basedOn w:val="a0"/>
    <w:next w:val="a0"/>
    <w:link w:val="31"/>
    <w:qFormat/>
    <w:rsid w:val="00995E45"/>
    <w:pPr>
      <w:keepNext/>
      <w:spacing w:before="60" w:after="60"/>
      <w:ind w:left="680"/>
      <w:outlineLvl w:val="2"/>
    </w:pPr>
    <w:rPr>
      <w:rFonts w:ascii="Arial" w:hAnsi="Arial"/>
      <w:i/>
      <w:szCs w:val="20"/>
    </w:rPr>
  </w:style>
  <w:style w:type="paragraph" w:styleId="4">
    <w:name w:val="heading 4"/>
    <w:basedOn w:val="a0"/>
    <w:next w:val="a0"/>
    <w:link w:val="40"/>
    <w:qFormat/>
    <w:rsid w:val="00995E45"/>
    <w:pPr>
      <w:keepNext/>
      <w:spacing w:before="60"/>
      <w:ind w:left="680"/>
      <w:outlineLvl w:val="3"/>
    </w:pPr>
    <w:rPr>
      <w:b/>
      <w:bCs/>
      <w:szCs w:val="28"/>
    </w:rPr>
  </w:style>
  <w:style w:type="paragraph" w:styleId="5">
    <w:name w:val="heading 5"/>
    <w:basedOn w:val="a0"/>
    <w:next w:val="a0"/>
    <w:link w:val="50"/>
    <w:qFormat/>
    <w:rsid w:val="00995E45"/>
    <w:pPr>
      <w:numPr>
        <w:ilvl w:val="4"/>
        <w:numId w:val="4"/>
      </w:numPr>
      <w:spacing w:before="240" w:after="60"/>
      <w:jc w:val="both"/>
      <w:outlineLvl w:val="4"/>
    </w:pPr>
    <w:rPr>
      <w:sz w:val="22"/>
      <w:szCs w:val="20"/>
    </w:rPr>
  </w:style>
  <w:style w:type="paragraph" w:styleId="6">
    <w:name w:val="heading 6"/>
    <w:basedOn w:val="a0"/>
    <w:next w:val="a0"/>
    <w:link w:val="60"/>
    <w:qFormat/>
    <w:rsid w:val="00995E45"/>
    <w:pPr>
      <w:numPr>
        <w:ilvl w:val="5"/>
        <w:numId w:val="4"/>
      </w:numPr>
      <w:spacing w:before="240" w:after="60"/>
      <w:jc w:val="both"/>
      <w:outlineLvl w:val="5"/>
    </w:pPr>
    <w:rPr>
      <w:i/>
      <w:sz w:val="22"/>
      <w:szCs w:val="20"/>
    </w:rPr>
  </w:style>
  <w:style w:type="paragraph" w:styleId="7">
    <w:name w:val="heading 7"/>
    <w:basedOn w:val="a0"/>
    <w:next w:val="a0"/>
    <w:link w:val="70"/>
    <w:qFormat/>
    <w:rsid w:val="00995E45"/>
    <w:pPr>
      <w:numPr>
        <w:ilvl w:val="6"/>
        <w:numId w:val="4"/>
      </w:numPr>
      <w:spacing w:before="240" w:after="60"/>
      <w:jc w:val="both"/>
      <w:outlineLvl w:val="6"/>
    </w:pPr>
    <w:rPr>
      <w:rFonts w:ascii="Arial" w:hAnsi="Arial"/>
      <w:sz w:val="20"/>
      <w:szCs w:val="20"/>
    </w:rPr>
  </w:style>
  <w:style w:type="paragraph" w:styleId="8">
    <w:name w:val="heading 8"/>
    <w:basedOn w:val="a0"/>
    <w:next w:val="a0"/>
    <w:link w:val="80"/>
    <w:qFormat/>
    <w:rsid w:val="00995E45"/>
    <w:pPr>
      <w:numPr>
        <w:ilvl w:val="7"/>
        <w:numId w:val="4"/>
      </w:numPr>
      <w:spacing w:before="240" w:after="60"/>
      <w:jc w:val="both"/>
      <w:outlineLvl w:val="7"/>
    </w:pPr>
    <w:rPr>
      <w:rFonts w:ascii="Arial" w:hAnsi="Arial"/>
      <w:i/>
      <w:sz w:val="20"/>
      <w:szCs w:val="20"/>
    </w:rPr>
  </w:style>
  <w:style w:type="paragraph" w:styleId="9">
    <w:name w:val="heading 9"/>
    <w:basedOn w:val="a0"/>
    <w:next w:val="a0"/>
    <w:link w:val="90"/>
    <w:qFormat/>
    <w:rsid w:val="00995E45"/>
    <w:pPr>
      <w:numPr>
        <w:ilvl w:val="8"/>
        <w:numId w:val="4"/>
      </w:numPr>
      <w:spacing w:before="240" w:after="60"/>
      <w:jc w:val="both"/>
      <w:outlineLvl w:val="8"/>
    </w:pPr>
    <w:rPr>
      <w:rFonts w:ascii="Arial" w:hAnsi="Arial"/>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C07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rsid w:val="001F3FAC"/>
    <w:rPr>
      <w:rFonts w:ascii="Tahoma" w:hAnsi="Tahoma" w:cs="Tahoma"/>
      <w:sz w:val="16"/>
      <w:szCs w:val="16"/>
    </w:rPr>
  </w:style>
  <w:style w:type="character" w:styleId="a7">
    <w:name w:val="Hyperlink"/>
    <w:basedOn w:val="a1"/>
    <w:uiPriority w:val="99"/>
    <w:unhideWhenUsed/>
    <w:rsid w:val="000919A8"/>
    <w:rPr>
      <w:color w:val="0000FF" w:themeColor="hyperlink"/>
      <w:u w:val="single"/>
    </w:rPr>
  </w:style>
  <w:style w:type="character" w:customStyle="1" w:styleId="10">
    <w:name w:val="Заголовок 1 Знак"/>
    <w:basedOn w:val="a1"/>
    <w:link w:val="1"/>
    <w:rsid w:val="00995E45"/>
    <w:rPr>
      <w:rFonts w:ascii="Arial" w:hAnsi="Arial"/>
      <w:b/>
      <w:kern w:val="28"/>
      <w:sz w:val="28"/>
    </w:rPr>
  </w:style>
  <w:style w:type="character" w:customStyle="1" w:styleId="21">
    <w:name w:val="Заголовок 2 Знак"/>
    <w:basedOn w:val="a1"/>
    <w:link w:val="20"/>
    <w:rsid w:val="00995E45"/>
    <w:rPr>
      <w:rFonts w:ascii="Arial" w:hAnsi="Arial"/>
      <w:b/>
      <w:sz w:val="24"/>
    </w:rPr>
  </w:style>
  <w:style w:type="character" w:customStyle="1" w:styleId="31">
    <w:name w:val="Заголовок 3 Знак"/>
    <w:basedOn w:val="a1"/>
    <w:link w:val="30"/>
    <w:rsid w:val="00995E45"/>
    <w:rPr>
      <w:rFonts w:ascii="Arial" w:hAnsi="Arial"/>
      <w:i/>
      <w:sz w:val="24"/>
    </w:rPr>
  </w:style>
  <w:style w:type="character" w:customStyle="1" w:styleId="40">
    <w:name w:val="Заголовок 4 Знак"/>
    <w:basedOn w:val="a1"/>
    <w:link w:val="4"/>
    <w:rsid w:val="00995E45"/>
    <w:rPr>
      <w:b/>
      <w:bCs/>
      <w:sz w:val="24"/>
      <w:szCs w:val="28"/>
    </w:rPr>
  </w:style>
  <w:style w:type="character" w:customStyle="1" w:styleId="50">
    <w:name w:val="Заголовок 5 Знак"/>
    <w:basedOn w:val="a1"/>
    <w:link w:val="5"/>
    <w:rsid w:val="00995E45"/>
    <w:rPr>
      <w:sz w:val="22"/>
    </w:rPr>
  </w:style>
  <w:style w:type="character" w:customStyle="1" w:styleId="60">
    <w:name w:val="Заголовок 6 Знак"/>
    <w:basedOn w:val="a1"/>
    <w:link w:val="6"/>
    <w:rsid w:val="00995E45"/>
    <w:rPr>
      <w:i/>
      <w:sz w:val="22"/>
    </w:rPr>
  </w:style>
  <w:style w:type="character" w:customStyle="1" w:styleId="70">
    <w:name w:val="Заголовок 7 Знак"/>
    <w:basedOn w:val="a1"/>
    <w:link w:val="7"/>
    <w:rsid w:val="00995E45"/>
    <w:rPr>
      <w:rFonts w:ascii="Arial" w:hAnsi="Arial"/>
    </w:rPr>
  </w:style>
  <w:style w:type="character" w:customStyle="1" w:styleId="80">
    <w:name w:val="Заголовок 8 Знак"/>
    <w:basedOn w:val="a1"/>
    <w:link w:val="8"/>
    <w:rsid w:val="00995E45"/>
    <w:rPr>
      <w:rFonts w:ascii="Arial" w:hAnsi="Arial"/>
      <w:i/>
    </w:rPr>
  </w:style>
  <w:style w:type="character" w:customStyle="1" w:styleId="90">
    <w:name w:val="Заголовок 9 Знак"/>
    <w:basedOn w:val="a1"/>
    <w:link w:val="9"/>
    <w:rsid w:val="00995E45"/>
    <w:rPr>
      <w:rFonts w:ascii="Arial" w:hAnsi="Arial"/>
      <w:i/>
      <w:sz w:val="18"/>
    </w:rPr>
  </w:style>
  <w:style w:type="numbering" w:customStyle="1" w:styleId="11">
    <w:name w:val="Нет списка1"/>
    <w:next w:val="a3"/>
    <w:uiPriority w:val="99"/>
    <w:semiHidden/>
    <w:unhideWhenUsed/>
    <w:rsid w:val="00995E45"/>
  </w:style>
  <w:style w:type="paragraph" w:styleId="a8">
    <w:name w:val="footnote text"/>
    <w:aliases w:val="Table_Footnote_last,Текст сноски-FN,Oaeno niinee-FN,Oaeno niinee Ciae,Footnote Text Char Знак Знак,Footnote Text Char Знак,single space,footnote text,Schriftart: 9 pt,Schriftart: 10 pt,Schriftart: 8 pt,Footnote Text Char,f,FOOTNOTE,FOOTNOT"/>
    <w:basedOn w:val="a0"/>
    <w:link w:val="a9"/>
    <w:uiPriority w:val="99"/>
    <w:qFormat/>
    <w:rsid w:val="00995E45"/>
    <w:pPr>
      <w:jc w:val="both"/>
    </w:pPr>
    <w:rPr>
      <w:sz w:val="20"/>
      <w:szCs w:val="20"/>
    </w:rPr>
  </w:style>
  <w:style w:type="character" w:customStyle="1" w:styleId="a9">
    <w:name w:val="Текст сноски Знак"/>
    <w:aliases w:val="Table_Footnote_last Знак1,Текст сноски-FN Знак1,Oaeno niinee-FN Знак1,Oaeno niinee Ciae Знак1,Footnote Text Char Знак Знак Знак1,Footnote Text Char Знак Знак2,single space Знак1,footnote text Знак1,Schriftart: 9 pt Знак,f Знак1"/>
    <w:basedOn w:val="a1"/>
    <w:link w:val="a8"/>
    <w:uiPriority w:val="99"/>
    <w:qFormat/>
    <w:rsid w:val="00995E45"/>
  </w:style>
  <w:style w:type="character" w:styleId="aa">
    <w:name w:val="footnote reference"/>
    <w:aliases w:val="Знак сноски-FN,Ciae niinee-FN,Знак сноски 1,SUPERS,Footnote Reference Number,fr,Used by Word for Help footnote symbols,Referencia nota al pie,16 Point,Superscript 6 Point,Footnote Reference_LVL6,Footnote Reference_LVL61,Ciae niinee 1,ОР"/>
    <w:basedOn w:val="a1"/>
    <w:uiPriority w:val="99"/>
    <w:qFormat/>
    <w:rsid w:val="00995E45"/>
    <w:rPr>
      <w:vertAlign w:val="superscript"/>
    </w:rPr>
  </w:style>
  <w:style w:type="paragraph" w:styleId="ab">
    <w:name w:val="header"/>
    <w:basedOn w:val="a0"/>
    <w:link w:val="ac"/>
    <w:rsid w:val="00995E45"/>
    <w:pPr>
      <w:tabs>
        <w:tab w:val="center" w:pos="4153"/>
        <w:tab w:val="right" w:pos="8306"/>
      </w:tabs>
      <w:jc w:val="both"/>
    </w:pPr>
    <w:rPr>
      <w:sz w:val="18"/>
      <w:szCs w:val="20"/>
    </w:rPr>
  </w:style>
  <w:style w:type="character" w:customStyle="1" w:styleId="ac">
    <w:name w:val="Верхний колонтитул Знак"/>
    <w:basedOn w:val="a1"/>
    <w:link w:val="ab"/>
    <w:rsid w:val="00995E45"/>
    <w:rPr>
      <w:sz w:val="18"/>
    </w:rPr>
  </w:style>
  <w:style w:type="paragraph" w:styleId="a">
    <w:name w:val="List Bullet"/>
    <w:basedOn w:val="a0"/>
    <w:autoRedefine/>
    <w:rsid w:val="00995E45"/>
    <w:pPr>
      <w:numPr>
        <w:numId w:val="1"/>
      </w:numPr>
      <w:spacing w:before="60"/>
      <w:jc w:val="both"/>
    </w:pPr>
    <w:rPr>
      <w:szCs w:val="20"/>
    </w:rPr>
  </w:style>
  <w:style w:type="paragraph" w:styleId="2">
    <w:name w:val="List Bullet 2"/>
    <w:basedOn w:val="a0"/>
    <w:autoRedefine/>
    <w:rsid w:val="00995E45"/>
    <w:pPr>
      <w:numPr>
        <w:numId w:val="2"/>
      </w:numPr>
      <w:spacing w:before="60"/>
      <w:jc w:val="both"/>
    </w:pPr>
    <w:rPr>
      <w:szCs w:val="20"/>
    </w:rPr>
  </w:style>
  <w:style w:type="paragraph" w:styleId="3">
    <w:name w:val="List Bullet 3"/>
    <w:basedOn w:val="a0"/>
    <w:autoRedefine/>
    <w:rsid w:val="00995E45"/>
    <w:pPr>
      <w:numPr>
        <w:numId w:val="3"/>
      </w:numPr>
      <w:spacing w:before="60"/>
      <w:jc w:val="both"/>
    </w:pPr>
    <w:rPr>
      <w:szCs w:val="20"/>
    </w:rPr>
  </w:style>
  <w:style w:type="character" w:styleId="ad">
    <w:name w:val="page number"/>
    <w:basedOn w:val="a1"/>
    <w:rsid w:val="00995E45"/>
  </w:style>
  <w:style w:type="paragraph" w:customStyle="1" w:styleId="ae">
    <w:name w:val="Источник основной"/>
    <w:basedOn w:val="a0"/>
    <w:rsid w:val="00995E45"/>
    <w:pPr>
      <w:keepLines/>
      <w:spacing w:before="60"/>
      <w:jc w:val="both"/>
    </w:pPr>
    <w:rPr>
      <w:sz w:val="18"/>
      <w:szCs w:val="20"/>
    </w:rPr>
  </w:style>
  <w:style w:type="paragraph" w:customStyle="1" w:styleId="af">
    <w:name w:val="Номер_ТАБ"/>
    <w:basedOn w:val="a0"/>
    <w:rsid w:val="00995E45"/>
    <w:pPr>
      <w:keepNext/>
      <w:spacing w:before="120"/>
      <w:jc w:val="right"/>
    </w:pPr>
    <w:rPr>
      <w:i/>
      <w:szCs w:val="20"/>
    </w:rPr>
  </w:style>
  <w:style w:type="paragraph" w:customStyle="1" w:styleId="af0">
    <w:name w:val="Источник последний абзац"/>
    <w:basedOn w:val="ae"/>
    <w:rsid w:val="00995E45"/>
    <w:pPr>
      <w:spacing w:after="120"/>
    </w:pPr>
  </w:style>
  <w:style w:type="paragraph" w:customStyle="1" w:styleId="af1">
    <w:name w:val="Объект (рисунок"/>
    <w:aliases w:val="график)"/>
    <w:basedOn w:val="a0"/>
    <w:rsid w:val="00995E45"/>
    <w:pPr>
      <w:spacing w:before="60" w:after="120"/>
      <w:jc w:val="center"/>
    </w:pPr>
    <w:rPr>
      <w:szCs w:val="20"/>
    </w:rPr>
  </w:style>
  <w:style w:type="paragraph" w:customStyle="1" w:styleId="af2">
    <w:name w:val="#Таблица текст"/>
    <w:basedOn w:val="a0"/>
    <w:rsid w:val="00995E45"/>
    <w:rPr>
      <w:sz w:val="20"/>
      <w:szCs w:val="20"/>
    </w:rPr>
  </w:style>
  <w:style w:type="paragraph" w:customStyle="1" w:styleId="af3">
    <w:name w:val="#Таблица цифры"/>
    <w:basedOn w:val="a0"/>
    <w:rsid w:val="00995E45"/>
    <w:pPr>
      <w:jc w:val="center"/>
    </w:pPr>
    <w:rPr>
      <w:sz w:val="20"/>
      <w:szCs w:val="20"/>
    </w:rPr>
  </w:style>
  <w:style w:type="paragraph" w:customStyle="1" w:styleId="af4">
    <w:name w:val="#Таблица названия столбцов"/>
    <w:basedOn w:val="a0"/>
    <w:rsid w:val="00995E45"/>
    <w:pPr>
      <w:jc w:val="center"/>
    </w:pPr>
    <w:rPr>
      <w:b/>
      <w:sz w:val="20"/>
      <w:szCs w:val="20"/>
    </w:rPr>
  </w:style>
  <w:style w:type="paragraph" w:styleId="af5">
    <w:name w:val="footer"/>
    <w:basedOn w:val="a0"/>
    <w:link w:val="af6"/>
    <w:rsid w:val="00995E45"/>
    <w:pPr>
      <w:tabs>
        <w:tab w:val="center" w:pos="4153"/>
        <w:tab w:val="right" w:pos="8306"/>
      </w:tabs>
      <w:spacing w:before="60"/>
      <w:ind w:firstLine="567"/>
      <w:jc w:val="both"/>
    </w:pPr>
    <w:rPr>
      <w:szCs w:val="20"/>
    </w:rPr>
  </w:style>
  <w:style w:type="character" w:customStyle="1" w:styleId="af6">
    <w:name w:val="Нижний колонтитул Знак"/>
    <w:basedOn w:val="a1"/>
    <w:link w:val="af5"/>
    <w:rsid w:val="00995E45"/>
    <w:rPr>
      <w:sz w:val="24"/>
    </w:rPr>
  </w:style>
  <w:style w:type="paragraph" w:customStyle="1" w:styleId="af7">
    <w:name w:val="Заголовок_ТАБ"/>
    <w:basedOn w:val="a0"/>
    <w:link w:val="af8"/>
    <w:rsid w:val="00995E45"/>
    <w:pPr>
      <w:spacing w:before="60" w:after="120"/>
      <w:jc w:val="center"/>
    </w:pPr>
    <w:rPr>
      <w:b/>
      <w:szCs w:val="20"/>
    </w:rPr>
  </w:style>
  <w:style w:type="paragraph" w:customStyle="1" w:styleId="af9">
    <w:name w:val="Заголовок_РИС"/>
    <w:basedOn w:val="a0"/>
    <w:rsid w:val="00995E45"/>
    <w:pPr>
      <w:keepNext/>
      <w:spacing w:before="240" w:after="60"/>
      <w:jc w:val="center"/>
    </w:pPr>
    <w:rPr>
      <w:szCs w:val="20"/>
    </w:rPr>
  </w:style>
  <w:style w:type="character" w:customStyle="1" w:styleId="afa">
    <w:name w:val="Номер_РИС"/>
    <w:basedOn w:val="a1"/>
    <w:rsid w:val="00995E45"/>
    <w:rPr>
      <w:i/>
      <w:sz w:val="24"/>
    </w:rPr>
  </w:style>
  <w:style w:type="paragraph" w:customStyle="1" w:styleId="afb">
    <w:name w:val="раздилитель сноски"/>
    <w:basedOn w:val="a0"/>
    <w:next w:val="a8"/>
    <w:rsid w:val="00995E45"/>
    <w:pPr>
      <w:spacing w:before="60"/>
      <w:jc w:val="both"/>
    </w:pPr>
    <w:rPr>
      <w:szCs w:val="20"/>
      <w:lang w:val="en-US"/>
    </w:rPr>
  </w:style>
  <w:style w:type="paragraph" w:styleId="afc">
    <w:name w:val="List Paragraph"/>
    <w:aliases w:val="ПАРАГРАФ,Абзац списка11"/>
    <w:basedOn w:val="a0"/>
    <w:link w:val="afd"/>
    <w:uiPriority w:val="34"/>
    <w:qFormat/>
    <w:rsid w:val="00995E45"/>
    <w:pPr>
      <w:spacing w:before="60"/>
      <w:ind w:left="720" w:firstLine="567"/>
      <w:contextualSpacing/>
      <w:jc w:val="both"/>
    </w:pPr>
    <w:rPr>
      <w:szCs w:val="20"/>
    </w:rPr>
  </w:style>
  <w:style w:type="table" w:customStyle="1" w:styleId="12">
    <w:name w:val="Сетка таблицы1"/>
    <w:basedOn w:val="a2"/>
    <w:next w:val="a4"/>
    <w:uiPriority w:val="59"/>
    <w:rsid w:val="00995E4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Заголовок_ТАБ Знак"/>
    <w:link w:val="af7"/>
    <w:locked/>
    <w:rsid w:val="00995E45"/>
    <w:rPr>
      <w:b/>
      <w:sz w:val="24"/>
    </w:rPr>
  </w:style>
  <w:style w:type="character" w:customStyle="1" w:styleId="afd">
    <w:name w:val="Абзац списка Знак"/>
    <w:aliases w:val="ПАРАГРАФ Знак,Абзац списка11 Знак"/>
    <w:link w:val="afc"/>
    <w:uiPriority w:val="34"/>
    <w:locked/>
    <w:rsid w:val="00995E45"/>
    <w:rPr>
      <w:sz w:val="24"/>
    </w:rPr>
  </w:style>
  <w:style w:type="character" w:customStyle="1" w:styleId="paragraph">
    <w:name w:val="paragraph"/>
    <w:basedOn w:val="a1"/>
    <w:rsid w:val="00995E45"/>
  </w:style>
  <w:style w:type="character" w:customStyle="1" w:styleId="13">
    <w:name w:val="Текст сноски Знак1"/>
    <w:aliases w:val="Текст сноски Знак Знак,Table_Footnote_last Знак,Текст сноски-FN Знак,Oaeno niinee-FN Знак,Oaeno niinee Ciae Знак,Footnote Text Char Знак Знак Знак,Footnote Text Char Знак Знак1,single space Знак,footnote text Знак,f Знак"/>
    <w:locked/>
    <w:rsid w:val="00995E45"/>
    <w:rPr>
      <w:lang w:val="ru-RU" w:eastAsia="ru-RU" w:bidi="ar-SA"/>
    </w:rPr>
  </w:style>
  <w:style w:type="character" w:customStyle="1" w:styleId="a6">
    <w:name w:val="Текст выноски Знак"/>
    <w:basedOn w:val="a1"/>
    <w:link w:val="a5"/>
    <w:uiPriority w:val="99"/>
    <w:semiHidden/>
    <w:rsid w:val="00995E45"/>
    <w:rPr>
      <w:rFonts w:ascii="Tahoma" w:hAnsi="Tahoma" w:cs="Tahoma"/>
      <w:sz w:val="16"/>
      <w:szCs w:val="16"/>
    </w:rPr>
  </w:style>
  <w:style w:type="paragraph" w:customStyle="1" w:styleId="Default">
    <w:name w:val="Default"/>
    <w:rsid w:val="00995E45"/>
    <w:pPr>
      <w:autoSpaceDE w:val="0"/>
      <w:autoSpaceDN w:val="0"/>
      <w:adjustRightInd w:val="0"/>
    </w:pPr>
    <w:rPr>
      <w:rFonts w:eastAsia="Calibri"/>
      <w:color w:val="000000"/>
      <w:sz w:val="24"/>
      <w:szCs w:val="24"/>
      <w:lang w:eastAsia="en-US"/>
    </w:rPr>
  </w:style>
  <w:style w:type="paragraph" w:customStyle="1" w:styleId="14">
    <w:name w:val="Стиль1"/>
    <w:basedOn w:val="a0"/>
    <w:link w:val="15"/>
    <w:qFormat/>
    <w:rsid w:val="00995E45"/>
    <w:pPr>
      <w:tabs>
        <w:tab w:val="left" w:pos="993"/>
      </w:tabs>
      <w:ind w:firstLine="567"/>
      <w:jc w:val="center"/>
    </w:pPr>
    <w:rPr>
      <w:b/>
    </w:rPr>
  </w:style>
  <w:style w:type="character" w:styleId="afe">
    <w:name w:val="Emphasis"/>
    <w:basedOn w:val="a1"/>
    <w:qFormat/>
    <w:rsid w:val="00995E45"/>
    <w:rPr>
      <w:i/>
      <w:iCs/>
    </w:rPr>
  </w:style>
  <w:style w:type="character" w:customStyle="1" w:styleId="15">
    <w:name w:val="Стиль1 Знак"/>
    <w:basedOn w:val="a1"/>
    <w:link w:val="14"/>
    <w:rsid w:val="00995E45"/>
    <w:rPr>
      <w:b/>
      <w:sz w:val="24"/>
      <w:szCs w:val="24"/>
    </w:rPr>
  </w:style>
  <w:style w:type="paragraph" w:styleId="aff">
    <w:name w:val="No Spacing"/>
    <w:uiPriority w:val="1"/>
    <w:qFormat/>
    <w:rsid w:val="00995E45"/>
    <w:pPr>
      <w:ind w:firstLine="567"/>
      <w:jc w:val="both"/>
    </w:pPr>
    <w:rPr>
      <w:sz w:val="24"/>
    </w:rPr>
  </w:style>
  <w:style w:type="paragraph" w:styleId="aff0">
    <w:name w:val="TOC Heading"/>
    <w:basedOn w:val="1"/>
    <w:next w:val="a0"/>
    <w:uiPriority w:val="39"/>
    <w:unhideWhenUsed/>
    <w:qFormat/>
    <w:rsid w:val="00995E45"/>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16">
    <w:name w:val="toc 1"/>
    <w:basedOn w:val="a0"/>
    <w:next w:val="a0"/>
    <w:autoRedefine/>
    <w:uiPriority w:val="39"/>
    <w:unhideWhenUsed/>
    <w:rsid w:val="00995E45"/>
    <w:pPr>
      <w:spacing w:before="60" w:after="100"/>
      <w:ind w:firstLine="567"/>
      <w:jc w:val="both"/>
    </w:pPr>
    <w:rPr>
      <w:szCs w:val="20"/>
    </w:rPr>
  </w:style>
  <w:style w:type="paragraph" w:styleId="32">
    <w:name w:val="toc 3"/>
    <w:basedOn w:val="a0"/>
    <w:next w:val="a0"/>
    <w:autoRedefine/>
    <w:uiPriority w:val="39"/>
    <w:unhideWhenUsed/>
    <w:rsid w:val="00995E45"/>
    <w:pPr>
      <w:spacing w:before="60" w:after="100"/>
      <w:ind w:left="480" w:firstLine="567"/>
      <w:jc w:val="both"/>
    </w:pPr>
    <w:rPr>
      <w:szCs w:val="20"/>
    </w:rPr>
  </w:style>
  <w:style w:type="paragraph" w:styleId="22">
    <w:name w:val="toc 2"/>
    <w:basedOn w:val="a0"/>
    <w:next w:val="a0"/>
    <w:autoRedefine/>
    <w:uiPriority w:val="39"/>
    <w:unhideWhenUsed/>
    <w:rsid w:val="00362930"/>
    <w:pPr>
      <w:tabs>
        <w:tab w:val="right" w:leader="dot" w:pos="9061"/>
      </w:tabs>
      <w:spacing w:before="60" w:after="100" w:line="360" w:lineRule="auto"/>
      <w:ind w:firstLine="851"/>
    </w:pPr>
    <w:rPr>
      <w:szCs w:val="20"/>
    </w:rPr>
  </w:style>
  <w:style w:type="character" w:styleId="aff1">
    <w:name w:val="annotation reference"/>
    <w:basedOn w:val="a1"/>
    <w:uiPriority w:val="99"/>
    <w:semiHidden/>
    <w:unhideWhenUsed/>
    <w:rsid w:val="00995E45"/>
    <w:rPr>
      <w:sz w:val="16"/>
      <w:szCs w:val="16"/>
    </w:rPr>
  </w:style>
  <w:style w:type="paragraph" w:styleId="aff2">
    <w:name w:val="annotation text"/>
    <w:basedOn w:val="a0"/>
    <w:link w:val="aff3"/>
    <w:uiPriority w:val="99"/>
    <w:unhideWhenUsed/>
    <w:rsid w:val="00995E45"/>
    <w:pPr>
      <w:spacing w:before="60"/>
      <w:ind w:firstLine="567"/>
      <w:jc w:val="both"/>
    </w:pPr>
    <w:rPr>
      <w:sz w:val="20"/>
      <w:szCs w:val="20"/>
    </w:rPr>
  </w:style>
  <w:style w:type="character" w:customStyle="1" w:styleId="aff3">
    <w:name w:val="Текст примечания Знак"/>
    <w:basedOn w:val="a1"/>
    <w:link w:val="aff2"/>
    <w:uiPriority w:val="99"/>
    <w:rsid w:val="00995E45"/>
  </w:style>
  <w:style w:type="paragraph" w:styleId="aff4">
    <w:name w:val="Revision"/>
    <w:hidden/>
    <w:uiPriority w:val="99"/>
    <w:semiHidden/>
    <w:rsid w:val="00995E45"/>
    <w:rPr>
      <w:sz w:val="24"/>
    </w:rPr>
  </w:style>
  <w:style w:type="paragraph" w:styleId="aff5">
    <w:name w:val="annotation subject"/>
    <w:basedOn w:val="aff2"/>
    <w:next w:val="aff2"/>
    <w:link w:val="aff6"/>
    <w:semiHidden/>
    <w:unhideWhenUsed/>
    <w:rsid w:val="00995E45"/>
    <w:rPr>
      <w:b/>
      <w:bCs/>
    </w:rPr>
  </w:style>
  <w:style w:type="character" w:customStyle="1" w:styleId="aff6">
    <w:name w:val="Тема примечания Знак"/>
    <w:basedOn w:val="aff3"/>
    <w:link w:val="aff5"/>
    <w:semiHidden/>
    <w:rsid w:val="00995E45"/>
    <w:rPr>
      <w:b/>
      <w:bCs/>
    </w:rPr>
  </w:style>
  <w:style w:type="paragraph" w:customStyle="1" w:styleId="aff7">
    <w:name w:val="Заголовок раздела отчета о НИР"/>
    <w:basedOn w:val="a0"/>
    <w:qFormat/>
    <w:rsid w:val="003B266B"/>
    <w:pPr>
      <w:spacing w:before="480" w:after="360" w:line="360" w:lineRule="auto"/>
      <w:jc w:val="center"/>
    </w:pPr>
    <w:rPr>
      <w:b/>
      <w:bCs/>
      <w:spacing w:val="40"/>
      <w:sz w:val="26"/>
    </w:rPr>
  </w:style>
  <w:style w:type="numbering" w:customStyle="1" w:styleId="110">
    <w:name w:val="Нет списка11"/>
    <w:next w:val="a3"/>
    <w:uiPriority w:val="99"/>
    <w:semiHidden/>
    <w:unhideWhenUsed/>
    <w:rsid w:val="003B266B"/>
  </w:style>
  <w:style w:type="numbering" w:customStyle="1" w:styleId="111">
    <w:name w:val="Нет списка111"/>
    <w:next w:val="a3"/>
    <w:uiPriority w:val="99"/>
    <w:semiHidden/>
    <w:unhideWhenUsed/>
    <w:rsid w:val="003B266B"/>
  </w:style>
  <w:style w:type="paragraph" w:styleId="aff8">
    <w:name w:val="caption"/>
    <w:basedOn w:val="a0"/>
    <w:next w:val="a0"/>
    <w:qFormat/>
    <w:rsid w:val="003A7722"/>
    <w:pPr>
      <w:spacing w:before="120"/>
      <w:jc w:val="right"/>
    </w:pPr>
    <w:rPr>
      <w:bCs/>
      <w:i/>
      <w:szCs w:val="20"/>
    </w:rPr>
  </w:style>
  <w:style w:type="numbering" w:customStyle="1" w:styleId="1111">
    <w:name w:val="Нет списка1111"/>
    <w:next w:val="a3"/>
    <w:uiPriority w:val="99"/>
    <w:semiHidden/>
    <w:unhideWhenUsed/>
    <w:rsid w:val="003B266B"/>
  </w:style>
  <w:style w:type="numbering" w:customStyle="1" w:styleId="23">
    <w:name w:val="Нет списка2"/>
    <w:next w:val="a3"/>
    <w:uiPriority w:val="99"/>
    <w:semiHidden/>
    <w:unhideWhenUsed/>
    <w:rsid w:val="003B266B"/>
  </w:style>
  <w:style w:type="paragraph" w:customStyle="1" w:styleId="NormalANX">
    <w:name w:val="NormalANX"/>
    <w:basedOn w:val="a0"/>
    <w:rsid w:val="008742A2"/>
    <w:pPr>
      <w:spacing w:before="240" w:after="240" w:line="360" w:lineRule="auto"/>
      <w:ind w:firstLine="720"/>
      <w:jc w:val="both"/>
    </w:pPr>
    <w:rPr>
      <w:sz w:val="28"/>
      <w:szCs w:val="20"/>
    </w:rPr>
  </w:style>
  <w:style w:type="paragraph" w:customStyle="1" w:styleId="ConsPlusNormal">
    <w:name w:val="ConsPlusNormal"/>
    <w:rsid w:val="008742A2"/>
    <w:pPr>
      <w:ind w:firstLine="720"/>
    </w:pPr>
    <w:rPr>
      <w:rFonts w:ascii="Arial" w:hAnsi="Arial"/>
      <w:snapToGrid w:val="0"/>
    </w:rPr>
  </w:style>
  <w:style w:type="character" w:styleId="aff9">
    <w:name w:val="FollowedHyperlink"/>
    <w:basedOn w:val="a1"/>
    <w:uiPriority w:val="99"/>
    <w:semiHidden/>
    <w:unhideWhenUsed/>
    <w:rsid w:val="008742A2"/>
    <w:rPr>
      <w:color w:val="800080"/>
      <w:u w:val="single"/>
    </w:rPr>
  </w:style>
  <w:style w:type="paragraph" w:customStyle="1" w:styleId="xl63">
    <w:name w:val="xl63"/>
    <w:basedOn w:val="a0"/>
    <w:rsid w:val="008742A2"/>
    <w:pPr>
      <w:spacing w:before="100" w:beforeAutospacing="1" w:after="100" w:afterAutospacing="1"/>
    </w:pPr>
    <w:rPr>
      <w:sz w:val="16"/>
      <w:szCs w:val="16"/>
    </w:rPr>
  </w:style>
  <w:style w:type="paragraph" w:customStyle="1" w:styleId="xl64">
    <w:name w:val="xl64"/>
    <w:basedOn w:val="a0"/>
    <w:rsid w:val="008742A2"/>
    <w:pPr>
      <w:spacing w:before="100" w:beforeAutospacing="1" w:after="100" w:afterAutospacing="1"/>
    </w:pPr>
    <w:rPr>
      <w:sz w:val="16"/>
      <w:szCs w:val="16"/>
    </w:rPr>
  </w:style>
  <w:style w:type="paragraph" w:customStyle="1" w:styleId="xl65">
    <w:name w:val="xl65"/>
    <w:basedOn w:val="a0"/>
    <w:rsid w:val="008742A2"/>
    <w:pPr>
      <w:spacing w:before="100" w:beforeAutospacing="1" w:after="100" w:afterAutospacing="1"/>
    </w:pPr>
    <w:rPr>
      <w:sz w:val="16"/>
      <w:szCs w:val="16"/>
    </w:rPr>
  </w:style>
  <w:style w:type="paragraph" w:customStyle="1" w:styleId="xl66">
    <w:name w:val="xl66"/>
    <w:basedOn w:val="a0"/>
    <w:rsid w:val="008742A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0"/>
    <w:rsid w:val="008742A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0"/>
    <w:rsid w:val="008742A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0"/>
    <w:rsid w:val="008742A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0">
    <w:name w:val="xl70"/>
    <w:basedOn w:val="a0"/>
    <w:rsid w:val="008742A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0"/>
    <w:rsid w:val="008742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styleId="affa">
    <w:name w:val="Normal (Web)"/>
    <w:basedOn w:val="a0"/>
    <w:uiPriority w:val="99"/>
    <w:unhideWhenUsed/>
    <w:rsid w:val="00555D9E"/>
    <w:pPr>
      <w:spacing w:before="100" w:beforeAutospacing="1" w:after="100" w:afterAutospacing="1"/>
    </w:pPr>
  </w:style>
  <w:style w:type="numbering" w:customStyle="1" w:styleId="11111">
    <w:name w:val="Нет списка11111"/>
    <w:next w:val="a3"/>
    <w:uiPriority w:val="99"/>
    <w:semiHidden/>
    <w:unhideWhenUsed/>
    <w:rsid w:val="00300800"/>
  </w:style>
  <w:style w:type="numbering" w:customStyle="1" w:styleId="33">
    <w:name w:val="Нет списка3"/>
    <w:next w:val="a3"/>
    <w:uiPriority w:val="99"/>
    <w:semiHidden/>
    <w:unhideWhenUsed/>
    <w:rsid w:val="00300800"/>
  </w:style>
  <w:style w:type="paragraph" w:customStyle="1" w:styleId="affb">
    <w:name w:val="Текст обычный"/>
    <w:basedOn w:val="a0"/>
    <w:link w:val="affc"/>
    <w:qFormat/>
    <w:rsid w:val="00EF7F49"/>
    <w:pPr>
      <w:spacing w:line="360" w:lineRule="auto"/>
      <w:ind w:firstLine="567"/>
      <w:jc w:val="both"/>
    </w:pPr>
    <w:rPr>
      <w:rFonts w:eastAsiaTheme="minorHAnsi"/>
      <w:lang w:eastAsia="en-US"/>
    </w:rPr>
  </w:style>
  <w:style w:type="character" w:customStyle="1" w:styleId="affc">
    <w:name w:val="Текст обычный Знак"/>
    <w:basedOn w:val="a1"/>
    <w:link w:val="affb"/>
    <w:rsid w:val="00EF7F49"/>
    <w:rPr>
      <w:rFonts w:eastAsiaTheme="minorHAnsi"/>
      <w:sz w:val="24"/>
      <w:szCs w:val="24"/>
      <w:lang w:eastAsia="en-US"/>
    </w:rPr>
  </w:style>
  <w:style w:type="numbering" w:customStyle="1" w:styleId="41">
    <w:name w:val="Нет списка4"/>
    <w:next w:val="a3"/>
    <w:uiPriority w:val="99"/>
    <w:semiHidden/>
    <w:unhideWhenUsed/>
    <w:rsid w:val="00221D6D"/>
  </w:style>
  <w:style w:type="table" w:customStyle="1" w:styleId="24">
    <w:name w:val="Сетка таблицы2"/>
    <w:basedOn w:val="a2"/>
    <w:next w:val="a4"/>
    <w:uiPriority w:val="39"/>
    <w:rsid w:val="00733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DB3"/>
    <w:rPr>
      <w:sz w:val="24"/>
      <w:szCs w:val="24"/>
    </w:rPr>
  </w:style>
  <w:style w:type="paragraph" w:styleId="1">
    <w:name w:val="heading 1"/>
    <w:basedOn w:val="a0"/>
    <w:next w:val="a0"/>
    <w:link w:val="10"/>
    <w:qFormat/>
    <w:rsid w:val="00995E45"/>
    <w:pPr>
      <w:keepNext/>
      <w:spacing w:before="240" w:after="360"/>
      <w:outlineLvl w:val="0"/>
    </w:pPr>
    <w:rPr>
      <w:rFonts w:ascii="Arial" w:hAnsi="Arial"/>
      <w:b/>
      <w:kern w:val="28"/>
      <w:sz w:val="28"/>
      <w:szCs w:val="20"/>
    </w:rPr>
  </w:style>
  <w:style w:type="paragraph" w:styleId="20">
    <w:name w:val="heading 2"/>
    <w:basedOn w:val="a0"/>
    <w:next w:val="a0"/>
    <w:link w:val="21"/>
    <w:qFormat/>
    <w:rsid w:val="00995E45"/>
    <w:pPr>
      <w:keepNext/>
      <w:spacing w:before="240" w:after="60"/>
      <w:outlineLvl w:val="1"/>
    </w:pPr>
    <w:rPr>
      <w:rFonts w:ascii="Arial" w:hAnsi="Arial"/>
      <w:b/>
      <w:szCs w:val="20"/>
    </w:rPr>
  </w:style>
  <w:style w:type="paragraph" w:styleId="30">
    <w:name w:val="heading 3"/>
    <w:basedOn w:val="a0"/>
    <w:next w:val="a0"/>
    <w:link w:val="31"/>
    <w:qFormat/>
    <w:rsid w:val="00995E45"/>
    <w:pPr>
      <w:keepNext/>
      <w:spacing w:before="60" w:after="60"/>
      <w:ind w:left="680"/>
      <w:outlineLvl w:val="2"/>
    </w:pPr>
    <w:rPr>
      <w:rFonts w:ascii="Arial" w:hAnsi="Arial"/>
      <w:i/>
      <w:szCs w:val="20"/>
    </w:rPr>
  </w:style>
  <w:style w:type="paragraph" w:styleId="4">
    <w:name w:val="heading 4"/>
    <w:basedOn w:val="a0"/>
    <w:next w:val="a0"/>
    <w:link w:val="40"/>
    <w:qFormat/>
    <w:rsid w:val="00995E45"/>
    <w:pPr>
      <w:keepNext/>
      <w:spacing w:before="60"/>
      <w:ind w:left="680"/>
      <w:outlineLvl w:val="3"/>
    </w:pPr>
    <w:rPr>
      <w:b/>
      <w:bCs/>
      <w:szCs w:val="28"/>
    </w:rPr>
  </w:style>
  <w:style w:type="paragraph" w:styleId="5">
    <w:name w:val="heading 5"/>
    <w:basedOn w:val="a0"/>
    <w:next w:val="a0"/>
    <w:link w:val="50"/>
    <w:qFormat/>
    <w:rsid w:val="00995E45"/>
    <w:pPr>
      <w:numPr>
        <w:ilvl w:val="4"/>
        <w:numId w:val="4"/>
      </w:numPr>
      <w:spacing w:before="240" w:after="60"/>
      <w:jc w:val="both"/>
      <w:outlineLvl w:val="4"/>
    </w:pPr>
    <w:rPr>
      <w:sz w:val="22"/>
      <w:szCs w:val="20"/>
    </w:rPr>
  </w:style>
  <w:style w:type="paragraph" w:styleId="6">
    <w:name w:val="heading 6"/>
    <w:basedOn w:val="a0"/>
    <w:next w:val="a0"/>
    <w:link w:val="60"/>
    <w:qFormat/>
    <w:rsid w:val="00995E45"/>
    <w:pPr>
      <w:numPr>
        <w:ilvl w:val="5"/>
        <w:numId w:val="4"/>
      </w:numPr>
      <w:spacing w:before="240" w:after="60"/>
      <w:jc w:val="both"/>
      <w:outlineLvl w:val="5"/>
    </w:pPr>
    <w:rPr>
      <w:i/>
      <w:sz w:val="22"/>
      <w:szCs w:val="20"/>
    </w:rPr>
  </w:style>
  <w:style w:type="paragraph" w:styleId="7">
    <w:name w:val="heading 7"/>
    <w:basedOn w:val="a0"/>
    <w:next w:val="a0"/>
    <w:link w:val="70"/>
    <w:qFormat/>
    <w:rsid w:val="00995E45"/>
    <w:pPr>
      <w:numPr>
        <w:ilvl w:val="6"/>
        <w:numId w:val="4"/>
      </w:numPr>
      <w:spacing w:before="240" w:after="60"/>
      <w:jc w:val="both"/>
      <w:outlineLvl w:val="6"/>
    </w:pPr>
    <w:rPr>
      <w:rFonts w:ascii="Arial" w:hAnsi="Arial"/>
      <w:sz w:val="20"/>
      <w:szCs w:val="20"/>
    </w:rPr>
  </w:style>
  <w:style w:type="paragraph" w:styleId="8">
    <w:name w:val="heading 8"/>
    <w:basedOn w:val="a0"/>
    <w:next w:val="a0"/>
    <w:link w:val="80"/>
    <w:qFormat/>
    <w:rsid w:val="00995E45"/>
    <w:pPr>
      <w:numPr>
        <w:ilvl w:val="7"/>
        <w:numId w:val="4"/>
      </w:numPr>
      <w:spacing w:before="240" w:after="60"/>
      <w:jc w:val="both"/>
      <w:outlineLvl w:val="7"/>
    </w:pPr>
    <w:rPr>
      <w:rFonts w:ascii="Arial" w:hAnsi="Arial"/>
      <w:i/>
      <w:sz w:val="20"/>
      <w:szCs w:val="20"/>
    </w:rPr>
  </w:style>
  <w:style w:type="paragraph" w:styleId="9">
    <w:name w:val="heading 9"/>
    <w:basedOn w:val="a0"/>
    <w:next w:val="a0"/>
    <w:link w:val="90"/>
    <w:qFormat/>
    <w:rsid w:val="00995E45"/>
    <w:pPr>
      <w:numPr>
        <w:ilvl w:val="8"/>
        <w:numId w:val="4"/>
      </w:numPr>
      <w:spacing w:before="240" w:after="60"/>
      <w:jc w:val="both"/>
      <w:outlineLvl w:val="8"/>
    </w:pPr>
    <w:rPr>
      <w:rFonts w:ascii="Arial" w:hAnsi="Arial"/>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C07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rsid w:val="001F3FAC"/>
    <w:rPr>
      <w:rFonts w:ascii="Tahoma" w:hAnsi="Tahoma" w:cs="Tahoma"/>
      <w:sz w:val="16"/>
      <w:szCs w:val="16"/>
    </w:rPr>
  </w:style>
  <w:style w:type="character" w:styleId="a7">
    <w:name w:val="Hyperlink"/>
    <w:basedOn w:val="a1"/>
    <w:uiPriority w:val="99"/>
    <w:unhideWhenUsed/>
    <w:rsid w:val="000919A8"/>
    <w:rPr>
      <w:color w:val="0000FF" w:themeColor="hyperlink"/>
      <w:u w:val="single"/>
    </w:rPr>
  </w:style>
  <w:style w:type="character" w:customStyle="1" w:styleId="10">
    <w:name w:val="Заголовок 1 Знак"/>
    <w:basedOn w:val="a1"/>
    <w:link w:val="1"/>
    <w:rsid w:val="00995E45"/>
    <w:rPr>
      <w:rFonts w:ascii="Arial" w:hAnsi="Arial"/>
      <w:b/>
      <w:kern w:val="28"/>
      <w:sz w:val="28"/>
    </w:rPr>
  </w:style>
  <w:style w:type="character" w:customStyle="1" w:styleId="21">
    <w:name w:val="Заголовок 2 Знак"/>
    <w:basedOn w:val="a1"/>
    <w:link w:val="20"/>
    <w:rsid w:val="00995E45"/>
    <w:rPr>
      <w:rFonts w:ascii="Arial" w:hAnsi="Arial"/>
      <w:b/>
      <w:sz w:val="24"/>
    </w:rPr>
  </w:style>
  <w:style w:type="character" w:customStyle="1" w:styleId="31">
    <w:name w:val="Заголовок 3 Знак"/>
    <w:basedOn w:val="a1"/>
    <w:link w:val="30"/>
    <w:rsid w:val="00995E45"/>
    <w:rPr>
      <w:rFonts w:ascii="Arial" w:hAnsi="Arial"/>
      <w:i/>
      <w:sz w:val="24"/>
    </w:rPr>
  </w:style>
  <w:style w:type="character" w:customStyle="1" w:styleId="40">
    <w:name w:val="Заголовок 4 Знак"/>
    <w:basedOn w:val="a1"/>
    <w:link w:val="4"/>
    <w:rsid w:val="00995E45"/>
    <w:rPr>
      <w:b/>
      <w:bCs/>
      <w:sz w:val="24"/>
      <w:szCs w:val="28"/>
    </w:rPr>
  </w:style>
  <w:style w:type="character" w:customStyle="1" w:styleId="50">
    <w:name w:val="Заголовок 5 Знак"/>
    <w:basedOn w:val="a1"/>
    <w:link w:val="5"/>
    <w:rsid w:val="00995E45"/>
    <w:rPr>
      <w:sz w:val="22"/>
    </w:rPr>
  </w:style>
  <w:style w:type="character" w:customStyle="1" w:styleId="60">
    <w:name w:val="Заголовок 6 Знак"/>
    <w:basedOn w:val="a1"/>
    <w:link w:val="6"/>
    <w:rsid w:val="00995E45"/>
    <w:rPr>
      <w:i/>
      <w:sz w:val="22"/>
    </w:rPr>
  </w:style>
  <w:style w:type="character" w:customStyle="1" w:styleId="70">
    <w:name w:val="Заголовок 7 Знак"/>
    <w:basedOn w:val="a1"/>
    <w:link w:val="7"/>
    <w:rsid w:val="00995E45"/>
    <w:rPr>
      <w:rFonts w:ascii="Arial" w:hAnsi="Arial"/>
    </w:rPr>
  </w:style>
  <w:style w:type="character" w:customStyle="1" w:styleId="80">
    <w:name w:val="Заголовок 8 Знак"/>
    <w:basedOn w:val="a1"/>
    <w:link w:val="8"/>
    <w:rsid w:val="00995E45"/>
    <w:rPr>
      <w:rFonts w:ascii="Arial" w:hAnsi="Arial"/>
      <w:i/>
    </w:rPr>
  </w:style>
  <w:style w:type="character" w:customStyle="1" w:styleId="90">
    <w:name w:val="Заголовок 9 Знак"/>
    <w:basedOn w:val="a1"/>
    <w:link w:val="9"/>
    <w:rsid w:val="00995E45"/>
    <w:rPr>
      <w:rFonts w:ascii="Arial" w:hAnsi="Arial"/>
      <w:i/>
      <w:sz w:val="18"/>
    </w:rPr>
  </w:style>
  <w:style w:type="numbering" w:customStyle="1" w:styleId="11">
    <w:name w:val="Нет списка1"/>
    <w:next w:val="a3"/>
    <w:uiPriority w:val="99"/>
    <w:semiHidden/>
    <w:unhideWhenUsed/>
    <w:rsid w:val="00995E45"/>
  </w:style>
  <w:style w:type="paragraph" w:styleId="a8">
    <w:name w:val="footnote text"/>
    <w:aliases w:val="Table_Footnote_last,Текст сноски-FN,Oaeno niinee-FN,Oaeno niinee Ciae,Footnote Text Char Знак Знак,Footnote Text Char Знак,single space,footnote text,Schriftart: 9 pt,Schriftart: 10 pt,Schriftart: 8 pt,Footnote Text Char,f,FOOTNOTE,FOOTNOT"/>
    <w:basedOn w:val="a0"/>
    <w:link w:val="a9"/>
    <w:uiPriority w:val="99"/>
    <w:qFormat/>
    <w:rsid w:val="00995E45"/>
    <w:pPr>
      <w:jc w:val="both"/>
    </w:pPr>
    <w:rPr>
      <w:sz w:val="20"/>
      <w:szCs w:val="20"/>
    </w:rPr>
  </w:style>
  <w:style w:type="character" w:customStyle="1" w:styleId="a9">
    <w:name w:val="Текст сноски Знак"/>
    <w:aliases w:val="Table_Footnote_last Знак1,Текст сноски-FN Знак1,Oaeno niinee-FN Знак1,Oaeno niinee Ciae Знак1,Footnote Text Char Знак Знак Знак1,Footnote Text Char Знак Знак2,single space Знак1,footnote text Знак1,Schriftart: 9 pt Знак,f Знак1"/>
    <w:basedOn w:val="a1"/>
    <w:link w:val="a8"/>
    <w:uiPriority w:val="99"/>
    <w:qFormat/>
    <w:rsid w:val="00995E45"/>
  </w:style>
  <w:style w:type="character" w:styleId="aa">
    <w:name w:val="footnote reference"/>
    <w:aliases w:val="Знак сноски-FN,Ciae niinee-FN,Знак сноски 1,SUPERS,Footnote Reference Number,fr,Used by Word for Help footnote symbols,Referencia nota al pie,16 Point,Superscript 6 Point,Footnote Reference_LVL6,Footnote Reference_LVL61,Ciae niinee 1,ОР"/>
    <w:basedOn w:val="a1"/>
    <w:uiPriority w:val="99"/>
    <w:qFormat/>
    <w:rsid w:val="00995E45"/>
    <w:rPr>
      <w:vertAlign w:val="superscript"/>
    </w:rPr>
  </w:style>
  <w:style w:type="paragraph" w:styleId="ab">
    <w:name w:val="header"/>
    <w:basedOn w:val="a0"/>
    <w:link w:val="ac"/>
    <w:rsid w:val="00995E45"/>
    <w:pPr>
      <w:tabs>
        <w:tab w:val="center" w:pos="4153"/>
        <w:tab w:val="right" w:pos="8306"/>
      </w:tabs>
      <w:jc w:val="both"/>
    </w:pPr>
    <w:rPr>
      <w:sz w:val="18"/>
      <w:szCs w:val="20"/>
    </w:rPr>
  </w:style>
  <w:style w:type="character" w:customStyle="1" w:styleId="ac">
    <w:name w:val="Верхний колонтитул Знак"/>
    <w:basedOn w:val="a1"/>
    <w:link w:val="ab"/>
    <w:rsid w:val="00995E45"/>
    <w:rPr>
      <w:sz w:val="18"/>
    </w:rPr>
  </w:style>
  <w:style w:type="paragraph" w:styleId="a">
    <w:name w:val="List Bullet"/>
    <w:basedOn w:val="a0"/>
    <w:autoRedefine/>
    <w:rsid w:val="00995E45"/>
    <w:pPr>
      <w:numPr>
        <w:numId w:val="1"/>
      </w:numPr>
      <w:spacing w:before="60"/>
      <w:jc w:val="both"/>
    </w:pPr>
    <w:rPr>
      <w:szCs w:val="20"/>
    </w:rPr>
  </w:style>
  <w:style w:type="paragraph" w:styleId="2">
    <w:name w:val="List Bullet 2"/>
    <w:basedOn w:val="a0"/>
    <w:autoRedefine/>
    <w:rsid w:val="00995E45"/>
    <w:pPr>
      <w:numPr>
        <w:numId w:val="2"/>
      </w:numPr>
      <w:spacing w:before="60"/>
      <w:jc w:val="both"/>
    </w:pPr>
    <w:rPr>
      <w:szCs w:val="20"/>
    </w:rPr>
  </w:style>
  <w:style w:type="paragraph" w:styleId="3">
    <w:name w:val="List Bullet 3"/>
    <w:basedOn w:val="a0"/>
    <w:autoRedefine/>
    <w:rsid w:val="00995E45"/>
    <w:pPr>
      <w:numPr>
        <w:numId w:val="3"/>
      </w:numPr>
      <w:spacing w:before="60"/>
      <w:jc w:val="both"/>
    </w:pPr>
    <w:rPr>
      <w:szCs w:val="20"/>
    </w:rPr>
  </w:style>
  <w:style w:type="character" w:styleId="ad">
    <w:name w:val="page number"/>
    <w:basedOn w:val="a1"/>
    <w:rsid w:val="00995E45"/>
  </w:style>
  <w:style w:type="paragraph" w:customStyle="1" w:styleId="ae">
    <w:name w:val="Источник основной"/>
    <w:basedOn w:val="a0"/>
    <w:rsid w:val="00995E45"/>
    <w:pPr>
      <w:keepLines/>
      <w:spacing w:before="60"/>
      <w:jc w:val="both"/>
    </w:pPr>
    <w:rPr>
      <w:sz w:val="18"/>
      <w:szCs w:val="20"/>
    </w:rPr>
  </w:style>
  <w:style w:type="paragraph" w:customStyle="1" w:styleId="af">
    <w:name w:val="Номер_ТАБ"/>
    <w:basedOn w:val="a0"/>
    <w:rsid w:val="00995E45"/>
    <w:pPr>
      <w:keepNext/>
      <w:spacing w:before="120"/>
      <w:jc w:val="right"/>
    </w:pPr>
    <w:rPr>
      <w:i/>
      <w:szCs w:val="20"/>
    </w:rPr>
  </w:style>
  <w:style w:type="paragraph" w:customStyle="1" w:styleId="af0">
    <w:name w:val="Источник последний абзац"/>
    <w:basedOn w:val="ae"/>
    <w:rsid w:val="00995E45"/>
    <w:pPr>
      <w:spacing w:after="120"/>
    </w:pPr>
  </w:style>
  <w:style w:type="paragraph" w:customStyle="1" w:styleId="af1">
    <w:name w:val="Объект (рисунок"/>
    <w:aliases w:val="график)"/>
    <w:basedOn w:val="a0"/>
    <w:rsid w:val="00995E45"/>
    <w:pPr>
      <w:spacing w:before="60" w:after="120"/>
      <w:jc w:val="center"/>
    </w:pPr>
    <w:rPr>
      <w:szCs w:val="20"/>
    </w:rPr>
  </w:style>
  <w:style w:type="paragraph" w:customStyle="1" w:styleId="af2">
    <w:name w:val="#Таблица текст"/>
    <w:basedOn w:val="a0"/>
    <w:rsid w:val="00995E45"/>
    <w:rPr>
      <w:sz w:val="20"/>
      <w:szCs w:val="20"/>
    </w:rPr>
  </w:style>
  <w:style w:type="paragraph" w:customStyle="1" w:styleId="af3">
    <w:name w:val="#Таблица цифры"/>
    <w:basedOn w:val="a0"/>
    <w:rsid w:val="00995E45"/>
    <w:pPr>
      <w:jc w:val="center"/>
    </w:pPr>
    <w:rPr>
      <w:sz w:val="20"/>
      <w:szCs w:val="20"/>
    </w:rPr>
  </w:style>
  <w:style w:type="paragraph" w:customStyle="1" w:styleId="af4">
    <w:name w:val="#Таблица названия столбцов"/>
    <w:basedOn w:val="a0"/>
    <w:rsid w:val="00995E45"/>
    <w:pPr>
      <w:jc w:val="center"/>
    </w:pPr>
    <w:rPr>
      <w:b/>
      <w:sz w:val="20"/>
      <w:szCs w:val="20"/>
    </w:rPr>
  </w:style>
  <w:style w:type="paragraph" w:styleId="af5">
    <w:name w:val="footer"/>
    <w:basedOn w:val="a0"/>
    <w:link w:val="af6"/>
    <w:rsid w:val="00995E45"/>
    <w:pPr>
      <w:tabs>
        <w:tab w:val="center" w:pos="4153"/>
        <w:tab w:val="right" w:pos="8306"/>
      </w:tabs>
      <w:spacing w:before="60"/>
      <w:ind w:firstLine="567"/>
      <w:jc w:val="both"/>
    </w:pPr>
    <w:rPr>
      <w:szCs w:val="20"/>
    </w:rPr>
  </w:style>
  <w:style w:type="character" w:customStyle="1" w:styleId="af6">
    <w:name w:val="Нижний колонтитул Знак"/>
    <w:basedOn w:val="a1"/>
    <w:link w:val="af5"/>
    <w:rsid w:val="00995E45"/>
    <w:rPr>
      <w:sz w:val="24"/>
    </w:rPr>
  </w:style>
  <w:style w:type="paragraph" w:customStyle="1" w:styleId="af7">
    <w:name w:val="Заголовок_ТАБ"/>
    <w:basedOn w:val="a0"/>
    <w:link w:val="af8"/>
    <w:rsid w:val="00995E45"/>
    <w:pPr>
      <w:spacing w:before="60" w:after="120"/>
      <w:jc w:val="center"/>
    </w:pPr>
    <w:rPr>
      <w:b/>
      <w:szCs w:val="20"/>
    </w:rPr>
  </w:style>
  <w:style w:type="paragraph" w:customStyle="1" w:styleId="af9">
    <w:name w:val="Заголовок_РИС"/>
    <w:basedOn w:val="a0"/>
    <w:rsid w:val="00995E45"/>
    <w:pPr>
      <w:keepNext/>
      <w:spacing w:before="240" w:after="60"/>
      <w:jc w:val="center"/>
    </w:pPr>
    <w:rPr>
      <w:szCs w:val="20"/>
    </w:rPr>
  </w:style>
  <w:style w:type="character" w:customStyle="1" w:styleId="afa">
    <w:name w:val="Номер_РИС"/>
    <w:basedOn w:val="a1"/>
    <w:rsid w:val="00995E45"/>
    <w:rPr>
      <w:i/>
      <w:sz w:val="24"/>
    </w:rPr>
  </w:style>
  <w:style w:type="paragraph" w:customStyle="1" w:styleId="afb">
    <w:name w:val="раздилитель сноски"/>
    <w:basedOn w:val="a0"/>
    <w:next w:val="a8"/>
    <w:rsid w:val="00995E45"/>
    <w:pPr>
      <w:spacing w:before="60"/>
      <w:jc w:val="both"/>
    </w:pPr>
    <w:rPr>
      <w:szCs w:val="20"/>
      <w:lang w:val="en-US"/>
    </w:rPr>
  </w:style>
  <w:style w:type="paragraph" w:styleId="afc">
    <w:name w:val="List Paragraph"/>
    <w:aliases w:val="ПАРАГРАФ,Абзац списка11"/>
    <w:basedOn w:val="a0"/>
    <w:link w:val="afd"/>
    <w:uiPriority w:val="34"/>
    <w:qFormat/>
    <w:rsid w:val="00995E45"/>
    <w:pPr>
      <w:spacing w:before="60"/>
      <w:ind w:left="720" w:firstLine="567"/>
      <w:contextualSpacing/>
      <w:jc w:val="both"/>
    </w:pPr>
    <w:rPr>
      <w:szCs w:val="20"/>
    </w:rPr>
  </w:style>
  <w:style w:type="table" w:customStyle="1" w:styleId="12">
    <w:name w:val="Сетка таблицы1"/>
    <w:basedOn w:val="a2"/>
    <w:next w:val="a4"/>
    <w:uiPriority w:val="59"/>
    <w:rsid w:val="00995E4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Заголовок_ТАБ Знак"/>
    <w:link w:val="af7"/>
    <w:locked/>
    <w:rsid w:val="00995E45"/>
    <w:rPr>
      <w:b/>
      <w:sz w:val="24"/>
    </w:rPr>
  </w:style>
  <w:style w:type="character" w:customStyle="1" w:styleId="afd">
    <w:name w:val="Абзац списка Знак"/>
    <w:aliases w:val="ПАРАГРАФ Знак,Абзац списка11 Знак"/>
    <w:link w:val="afc"/>
    <w:uiPriority w:val="34"/>
    <w:locked/>
    <w:rsid w:val="00995E45"/>
    <w:rPr>
      <w:sz w:val="24"/>
    </w:rPr>
  </w:style>
  <w:style w:type="character" w:customStyle="1" w:styleId="paragraph">
    <w:name w:val="paragraph"/>
    <w:basedOn w:val="a1"/>
    <w:rsid w:val="00995E45"/>
  </w:style>
  <w:style w:type="character" w:customStyle="1" w:styleId="13">
    <w:name w:val="Текст сноски Знак1"/>
    <w:aliases w:val="Текст сноски Знак Знак,Table_Footnote_last Знак,Текст сноски-FN Знак,Oaeno niinee-FN Знак,Oaeno niinee Ciae Знак,Footnote Text Char Знак Знак Знак,Footnote Text Char Знак Знак1,single space Знак,footnote text Знак,f Знак"/>
    <w:locked/>
    <w:rsid w:val="00995E45"/>
    <w:rPr>
      <w:lang w:val="ru-RU" w:eastAsia="ru-RU" w:bidi="ar-SA"/>
    </w:rPr>
  </w:style>
  <w:style w:type="character" w:customStyle="1" w:styleId="a6">
    <w:name w:val="Текст выноски Знак"/>
    <w:basedOn w:val="a1"/>
    <w:link w:val="a5"/>
    <w:uiPriority w:val="99"/>
    <w:semiHidden/>
    <w:rsid w:val="00995E45"/>
    <w:rPr>
      <w:rFonts w:ascii="Tahoma" w:hAnsi="Tahoma" w:cs="Tahoma"/>
      <w:sz w:val="16"/>
      <w:szCs w:val="16"/>
    </w:rPr>
  </w:style>
  <w:style w:type="paragraph" w:customStyle="1" w:styleId="Default">
    <w:name w:val="Default"/>
    <w:rsid w:val="00995E45"/>
    <w:pPr>
      <w:autoSpaceDE w:val="0"/>
      <w:autoSpaceDN w:val="0"/>
      <w:adjustRightInd w:val="0"/>
    </w:pPr>
    <w:rPr>
      <w:rFonts w:eastAsia="Calibri"/>
      <w:color w:val="000000"/>
      <w:sz w:val="24"/>
      <w:szCs w:val="24"/>
      <w:lang w:eastAsia="en-US"/>
    </w:rPr>
  </w:style>
  <w:style w:type="paragraph" w:customStyle="1" w:styleId="14">
    <w:name w:val="Стиль1"/>
    <w:basedOn w:val="a0"/>
    <w:link w:val="15"/>
    <w:qFormat/>
    <w:rsid w:val="00995E45"/>
    <w:pPr>
      <w:tabs>
        <w:tab w:val="left" w:pos="993"/>
      </w:tabs>
      <w:ind w:firstLine="567"/>
      <w:jc w:val="center"/>
    </w:pPr>
    <w:rPr>
      <w:b/>
    </w:rPr>
  </w:style>
  <w:style w:type="character" w:styleId="afe">
    <w:name w:val="Emphasis"/>
    <w:basedOn w:val="a1"/>
    <w:qFormat/>
    <w:rsid w:val="00995E45"/>
    <w:rPr>
      <w:i/>
      <w:iCs/>
    </w:rPr>
  </w:style>
  <w:style w:type="character" w:customStyle="1" w:styleId="15">
    <w:name w:val="Стиль1 Знак"/>
    <w:basedOn w:val="a1"/>
    <w:link w:val="14"/>
    <w:rsid w:val="00995E45"/>
    <w:rPr>
      <w:b/>
      <w:sz w:val="24"/>
      <w:szCs w:val="24"/>
    </w:rPr>
  </w:style>
  <w:style w:type="paragraph" w:styleId="aff">
    <w:name w:val="No Spacing"/>
    <w:uiPriority w:val="1"/>
    <w:qFormat/>
    <w:rsid w:val="00995E45"/>
    <w:pPr>
      <w:ind w:firstLine="567"/>
      <w:jc w:val="both"/>
    </w:pPr>
    <w:rPr>
      <w:sz w:val="24"/>
    </w:rPr>
  </w:style>
  <w:style w:type="paragraph" w:styleId="aff0">
    <w:name w:val="TOC Heading"/>
    <w:basedOn w:val="1"/>
    <w:next w:val="a0"/>
    <w:uiPriority w:val="39"/>
    <w:unhideWhenUsed/>
    <w:qFormat/>
    <w:rsid w:val="00995E45"/>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16">
    <w:name w:val="toc 1"/>
    <w:basedOn w:val="a0"/>
    <w:next w:val="a0"/>
    <w:autoRedefine/>
    <w:uiPriority w:val="39"/>
    <w:unhideWhenUsed/>
    <w:rsid w:val="00995E45"/>
    <w:pPr>
      <w:spacing w:before="60" w:after="100"/>
      <w:ind w:firstLine="567"/>
      <w:jc w:val="both"/>
    </w:pPr>
    <w:rPr>
      <w:szCs w:val="20"/>
    </w:rPr>
  </w:style>
  <w:style w:type="paragraph" w:styleId="32">
    <w:name w:val="toc 3"/>
    <w:basedOn w:val="a0"/>
    <w:next w:val="a0"/>
    <w:autoRedefine/>
    <w:uiPriority w:val="39"/>
    <w:unhideWhenUsed/>
    <w:rsid w:val="00995E45"/>
    <w:pPr>
      <w:spacing w:before="60" w:after="100"/>
      <w:ind w:left="480" w:firstLine="567"/>
      <w:jc w:val="both"/>
    </w:pPr>
    <w:rPr>
      <w:szCs w:val="20"/>
    </w:rPr>
  </w:style>
  <w:style w:type="paragraph" w:styleId="22">
    <w:name w:val="toc 2"/>
    <w:basedOn w:val="a0"/>
    <w:next w:val="a0"/>
    <w:autoRedefine/>
    <w:uiPriority w:val="39"/>
    <w:unhideWhenUsed/>
    <w:rsid w:val="00362930"/>
    <w:pPr>
      <w:tabs>
        <w:tab w:val="right" w:leader="dot" w:pos="9061"/>
      </w:tabs>
      <w:spacing w:before="60" w:after="100" w:line="360" w:lineRule="auto"/>
      <w:ind w:firstLine="851"/>
    </w:pPr>
    <w:rPr>
      <w:szCs w:val="20"/>
    </w:rPr>
  </w:style>
  <w:style w:type="character" w:styleId="aff1">
    <w:name w:val="annotation reference"/>
    <w:basedOn w:val="a1"/>
    <w:uiPriority w:val="99"/>
    <w:semiHidden/>
    <w:unhideWhenUsed/>
    <w:rsid w:val="00995E45"/>
    <w:rPr>
      <w:sz w:val="16"/>
      <w:szCs w:val="16"/>
    </w:rPr>
  </w:style>
  <w:style w:type="paragraph" w:styleId="aff2">
    <w:name w:val="annotation text"/>
    <w:basedOn w:val="a0"/>
    <w:link w:val="aff3"/>
    <w:uiPriority w:val="99"/>
    <w:unhideWhenUsed/>
    <w:rsid w:val="00995E45"/>
    <w:pPr>
      <w:spacing w:before="60"/>
      <w:ind w:firstLine="567"/>
      <w:jc w:val="both"/>
    </w:pPr>
    <w:rPr>
      <w:sz w:val="20"/>
      <w:szCs w:val="20"/>
    </w:rPr>
  </w:style>
  <w:style w:type="character" w:customStyle="1" w:styleId="aff3">
    <w:name w:val="Текст примечания Знак"/>
    <w:basedOn w:val="a1"/>
    <w:link w:val="aff2"/>
    <w:uiPriority w:val="99"/>
    <w:rsid w:val="00995E45"/>
  </w:style>
  <w:style w:type="paragraph" w:styleId="aff4">
    <w:name w:val="Revision"/>
    <w:hidden/>
    <w:uiPriority w:val="99"/>
    <w:semiHidden/>
    <w:rsid w:val="00995E45"/>
    <w:rPr>
      <w:sz w:val="24"/>
    </w:rPr>
  </w:style>
  <w:style w:type="paragraph" w:styleId="aff5">
    <w:name w:val="annotation subject"/>
    <w:basedOn w:val="aff2"/>
    <w:next w:val="aff2"/>
    <w:link w:val="aff6"/>
    <w:semiHidden/>
    <w:unhideWhenUsed/>
    <w:rsid w:val="00995E45"/>
    <w:rPr>
      <w:b/>
      <w:bCs/>
    </w:rPr>
  </w:style>
  <w:style w:type="character" w:customStyle="1" w:styleId="aff6">
    <w:name w:val="Тема примечания Знак"/>
    <w:basedOn w:val="aff3"/>
    <w:link w:val="aff5"/>
    <w:semiHidden/>
    <w:rsid w:val="00995E45"/>
    <w:rPr>
      <w:b/>
      <w:bCs/>
    </w:rPr>
  </w:style>
  <w:style w:type="paragraph" w:customStyle="1" w:styleId="aff7">
    <w:name w:val="Заголовок раздела отчета о НИР"/>
    <w:basedOn w:val="a0"/>
    <w:qFormat/>
    <w:rsid w:val="003B266B"/>
    <w:pPr>
      <w:spacing w:before="480" w:after="360" w:line="360" w:lineRule="auto"/>
      <w:jc w:val="center"/>
    </w:pPr>
    <w:rPr>
      <w:b/>
      <w:bCs/>
      <w:spacing w:val="40"/>
      <w:sz w:val="26"/>
    </w:rPr>
  </w:style>
  <w:style w:type="numbering" w:customStyle="1" w:styleId="110">
    <w:name w:val="Нет списка11"/>
    <w:next w:val="a3"/>
    <w:uiPriority w:val="99"/>
    <w:semiHidden/>
    <w:unhideWhenUsed/>
    <w:rsid w:val="003B266B"/>
  </w:style>
  <w:style w:type="numbering" w:customStyle="1" w:styleId="111">
    <w:name w:val="Нет списка111"/>
    <w:next w:val="a3"/>
    <w:uiPriority w:val="99"/>
    <w:semiHidden/>
    <w:unhideWhenUsed/>
    <w:rsid w:val="003B266B"/>
  </w:style>
  <w:style w:type="paragraph" w:styleId="aff8">
    <w:name w:val="caption"/>
    <w:basedOn w:val="a0"/>
    <w:next w:val="a0"/>
    <w:qFormat/>
    <w:rsid w:val="003A7722"/>
    <w:pPr>
      <w:spacing w:before="120"/>
      <w:jc w:val="right"/>
    </w:pPr>
    <w:rPr>
      <w:bCs/>
      <w:i/>
      <w:szCs w:val="20"/>
    </w:rPr>
  </w:style>
  <w:style w:type="numbering" w:customStyle="1" w:styleId="1111">
    <w:name w:val="Нет списка1111"/>
    <w:next w:val="a3"/>
    <w:uiPriority w:val="99"/>
    <w:semiHidden/>
    <w:unhideWhenUsed/>
    <w:rsid w:val="003B266B"/>
  </w:style>
  <w:style w:type="numbering" w:customStyle="1" w:styleId="23">
    <w:name w:val="Нет списка2"/>
    <w:next w:val="a3"/>
    <w:uiPriority w:val="99"/>
    <w:semiHidden/>
    <w:unhideWhenUsed/>
    <w:rsid w:val="003B266B"/>
  </w:style>
  <w:style w:type="paragraph" w:customStyle="1" w:styleId="NormalANX">
    <w:name w:val="NormalANX"/>
    <w:basedOn w:val="a0"/>
    <w:rsid w:val="008742A2"/>
    <w:pPr>
      <w:spacing w:before="240" w:after="240" w:line="360" w:lineRule="auto"/>
      <w:ind w:firstLine="720"/>
      <w:jc w:val="both"/>
    </w:pPr>
    <w:rPr>
      <w:sz w:val="28"/>
      <w:szCs w:val="20"/>
    </w:rPr>
  </w:style>
  <w:style w:type="paragraph" w:customStyle="1" w:styleId="ConsPlusNormal">
    <w:name w:val="ConsPlusNormal"/>
    <w:rsid w:val="008742A2"/>
    <w:pPr>
      <w:ind w:firstLine="720"/>
    </w:pPr>
    <w:rPr>
      <w:rFonts w:ascii="Arial" w:hAnsi="Arial"/>
      <w:snapToGrid w:val="0"/>
    </w:rPr>
  </w:style>
  <w:style w:type="character" w:styleId="aff9">
    <w:name w:val="FollowedHyperlink"/>
    <w:basedOn w:val="a1"/>
    <w:uiPriority w:val="99"/>
    <w:semiHidden/>
    <w:unhideWhenUsed/>
    <w:rsid w:val="008742A2"/>
    <w:rPr>
      <w:color w:val="800080"/>
      <w:u w:val="single"/>
    </w:rPr>
  </w:style>
  <w:style w:type="paragraph" w:customStyle="1" w:styleId="xl63">
    <w:name w:val="xl63"/>
    <w:basedOn w:val="a0"/>
    <w:rsid w:val="008742A2"/>
    <w:pPr>
      <w:spacing w:before="100" w:beforeAutospacing="1" w:after="100" w:afterAutospacing="1"/>
    </w:pPr>
    <w:rPr>
      <w:sz w:val="16"/>
      <w:szCs w:val="16"/>
    </w:rPr>
  </w:style>
  <w:style w:type="paragraph" w:customStyle="1" w:styleId="xl64">
    <w:name w:val="xl64"/>
    <w:basedOn w:val="a0"/>
    <w:rsid w:val="008742A2"/>
    <w:pPr>
      <w:spacing w:before="100" w:beforeAutospacing="1" w:after="100" w:afterAutospacing="1"/>
    </w:pPr>
    <w:rPr>
      <w:sz w:val="16"/>
      <w:szCs w:val="16"/>
    </w:rPr>
  </w:style>
  <w:style w:type="paragraph" w:customStyle="1" w:styleId="xl65">
    <w:name w:val="xl65"/>
    <w:basedOn w:val="a0"/>
    <w:rsid w:val="008742A2"/>
    <w:pPr>
      <w:spacing w:before="100" w:beforeAutospacing="1" w:after="100" w:afterAutospacing="1"/>
    </w:pPr>
    <w:rPr>
      <w:sz w:val="16"/>
      <w:szCs w:val="16"/>
    </w:rPr>
  </w:style>
  <w:style w:type="paragraph" w:customStyle="1" w:styleId="xl66">
    <w:name w:val="xl66"/>
    <w:basedOn w:val="a0"/>
    <w:rsid w:val="008742A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0"/>
    <w:rsid w:val="008742A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0"/>
    <w:rsid w:val="008742A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0"/>
    <w:rsid w:val="008742A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0">
    <w:name w:val="xl70"/>
    <w:basedOn w:val="a0"/>
    <w:rsid w:val="008742A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0"/>
    <w:rsid w:val="008742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styleId="affa">
    <w:name w:val="Normal (Web)"/>
    <w:basedOn w:val="a0"/>
    <w:uiPriority w:val="99"/>
    <w:unhideWhenUsed/>
    <w:rsid w:val="00555D9E"/>
    <w:pPr>
      <w:spacing w:before="100" w:beforeAutospacing="1" w:after="100" w:afterAutospacing="1"/>
    </w:pPr>
  </w:style>
  <w:style w:type="numbering" w:customStyle="1" w:styleId="11111">
    <w:name w:val="Нет списка11111"/>
    <w:next w:val="a3"/>
    <w:uiPriority w:val="99"/>
    <w:semiHidden/>
    <w:unhideWhenUsed/>
    <w:rsid w:val="00300800"/>
  </w:style>
  <w:style w:type="numbering" w:customStyle="1" w:styleId="33">
    <w:name w:val="Нет списка3"/>
    <w:next w:val="a3"/>
    <w:uiPriority w:val="99"/>
    <w:semiHidden/>
    <w:unhideWhenUsed/>
    <w:rsid w:val="00300800"/>
  </w:style>
  <w:style w:type="paragraph" w:customStyle="1" w:styleId="affb">
    <w:name w:val="Текст обычный"/>
    <w:basedOn w:val="a0"/>
    <w:link w:val="affc"/>
    <w:qFormat/>
    <w:rsid w:val="00EF7F49"/>
    <w:pPr>
      <w:spacing w:line="360" w:lineRule="auto"/>
      <w:ind w:firstLine="567"/>
      <w:jc w:val="both"/>
    </w:pPr>
    <w:rPr>
      <w:rFonts w:eastAsiaTheme="minorHAnsi"/>
      <w:lang w:eastAsia="en-US"/>
    </w:rPr>
  </w:style>
  <w:style w:type="character" w:customStyle="1" w:styleId="affc">
    <w:name w:val="Текст обычный Знак"/>
    <w:basedOn w:val="a1"/>
    <w:link w:val="affb"/>
    <w:rsid w:val="00EF7F49"/>
    <w:rPr>
      <w:rFonts w:eastAsiaTheme="minorHAnsi"/>
      <w:sz w:val="24"/>
      <w:szCs w:val="24"/>
      <w:lang w:eastAsia="en-US"/>
    </w:rPr>
  </w:style>
  <w:style w:type="numbering" w:customStyle="1" w:styleId="41">
    <w:name w:val="Нет списка4"/>
    <w:next w:val="a3"/>
    <w:uiPriority w:val="99"/>
    <w:semiHidden/>
    <w:unhideWhenUsed/>
    <w:rsid w:val="00221D6D"/>
  </w:style>
  <w:style w:type="table" w:customStyle="1" w:styleId="24">
    <w:name w:val="Сетка таблицы2"/>
    <w:basedOn w:val="a2"/>
    <w:next w:val="a4"/>
    <w:uiPriority w:val="39"/>
    <w:rsid w:val="00733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5771">
      <w:bodyDiv w:val="1"/>
      <w:marLeft w:val="0"/>
      <w:marRight w:val="0"/>
      <w:marTop w:val="0"/>
      <w:marBottom w:val="0"/>
      <w:divBdr>
        <w:top w:val="none" w:sz="0" w:space="0" w:color="auto"/>
        <w:left w:val="none" w:sz="0" w:space="0" w:color="auto"/>
        <w:bottom w:val="none" w:sz="0" w:space="0" w:color="auto"/>
        <w:right w:val="none" w:sz="0" w:space="0" w:color="auto"/>
      </w:divBdr>
      <w:divsChild>
        <w:div w:id="1172915432">
          <w:marLeft w:val="0"/>
          <w:marRight w:val="0"/>
          <w:marTop w:val="0"/>
          <w:marBottom w:val="0"/>
          <w:divBdr>
            <w:top w:val="none" w:sz="0" w:space="0" w:color="auto"/>
            <w:left w:val="none" w:sz="0" w:space="0" w:color="auto"/>
            <w:bottom w:val="none" w:sz="0" w:space="0" w:color="auto"/>
            <w:right w:val="none" w:sz="0" w:space="0" w:color="auto"/>
          </w:divBdr>
          <w:divsChild>
            <w:div w:id="706488501">
              <w:marLeft w:val="0"/>
              <w:marRight w:val="0"/>
              <w:marTop w:val="0"/>
              <w:marBottom w:val="0"/>
              <w:divBdr>
                <w:top w:val="none" w:sz="0" w:space="0" w:color="auto"/>
                <w:left w:val="none" w:sz="0" w:space="0" w:color="auto"/>
                <w:bottom w:val="none" w:sz="0" w:space="0" w:color="auto"/>
                <w:right w:val="none" w:sz="0" w:space="0" w:color="auto"/>
              </w:divBdr>
              <w:divsChild>
                <w:div w:id="659426719">
                  <w:marLeft w:val="0"/>
                  <w:marRight w:val="0"/>
                  <w:marTop w:val="0"/>
                  <w:marBottom w:val="0"/>
                  <w:divBdr>
                    <w:top w:val="none" w:sz="0" w:space="0" w:color="auto"/>
                    <w:left w:val="none" w:sz="0" w:space="0" w:color="auto"/>
                    <w:bottom w:val="none" w:sz="0" w:space="0" w:color="auto"/>
                    <w:right w:val="none" w:sz="0" w:space="0" w:color="auto"/>
                  </w:divBdr>
                  <w:divsChild>
                    <w:div w:id="808937046">
                      <w:marLeft w:val="0"/>
                      <w:marRight w:val="0"/>
                      <w:marTop w:val="0"/>
                      <w:marBottom w:val="0"/>
                      <w:divBdr>
                        <w:top w:val="none" w:sz="0" w:space="0" w:color="auto"/>
                        <w:left w:val="none" w:sz="0" w:space="0" w:color="auto"/>
                        <w:bottom w:val="none" w:sz="0" w:space="0" w:color="auto"/>
                        <w:right w:val="none" w:sz="0" w:space="0" w:color="auto"/>
                      </w:divBdr>
                      <w:divsChild>
                        <w:div w:id="19964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439701">
      <w:bodyDiv w:val="1"/>
      <w:marLeft w:val="0"/>
      <w:marRight w:val="0"/>
      <w:marTop w:val="0"/>
      <w:marBottom w:val="0"/>
      <w:divBdr>
        <w:top w:val="none" w:sz="0" w:space="0" w:color="auto"/>
        <w:left w:val="none" w:sz="0" w:space="0" w:color="auto"/>
        <w:bottom w:val="none" w:sz="0" w:space="0" w:color="auto"/>
        <w:right w:val="none" w:sz="0" w:space="0" w:color="auto"/>
      </w:divBdr>
    </w:div>
    <w:div w:id="1001276230">
      <w:bodyDiv w:val="1"/>
      <w:marLeft w:val="0"/>
      <w:marRight w:val="0"/>
      <w:marTop w:val="0"/>
      <w:marBottom w:val="0"/>
      <w:divBdr>
        <w:top w:val="none" w:sz="0" w:space="0" w:color="auto"/>
        <w:left w:val="none" w:sz="0" w:space="0" w:color="auto"/>
        <w:bottom w:val="none" w:sz="0" w:space="0" w:color="auto"/>
        <w:right w:val="none" w:sz="0" w:space="0" w:color="auto"/>
      </w:divBdr>
    </w:div>
    <w:div w:id="1777557886">
      <w:bodyDiv w:val="1"/>
      <w:marLeft w:val="0"/>
      <w:marRight w:val="0"/>
      <w:marTop w:val="0"/>
      <w:marBottom w:val="0"/>
      <w:divBdr>
        <w:top w:val="none" w:sz="0" w:space="0" w:color="auto"/>
        <w:left w:val="none" w:sz="0" w:space="0" w:color="auto"/>
        <w:bottom w:val="none" w:sz="0" w:space="0" w:color="auto"/>
        <w:right w:val="none" w:sz="0" w:space="0" w:color="auto"/>
      </w:divBdr>
    </w:div>
    <w:div w:id="1914855669">
      <w:bodyDiv w:val="1"/>
      <w:marLeft w:val="0"/>
      <w:marRight w:val="0"/>
      <w:marTop w:val="0"/>
      <w:marBottom w:val="0"/>
      <w:divBdr>
        <w:top w:val="none" w:sz="0" w:space="0" w:color="auto"/>
        <w:left w:val="none" w:sz="0" w:space="0" w:color="auto"/>
        <w:bottom w:val="none" w:sz="0" w:space="0" w:color="auto"/>
        <w:right w:val="none" w:sz="0" w:space="0" w:color="auto"/>
      </w:divBdr>
    </w:div>
    <w:div w:id="1924559137">
      <w:bodyDiv w:val="1"/>
      <w:marLeft w:val="0"/>
      <w:marRight w:val="0"/>
      <w:marTop w:val="0"/>
      <w:marBottom w:val="0"/>
      <w:divBdr>
        <w:top w:val="none" w:sz="0" w:space="0" w:color="auto"/>
        <w:left w:val="none" w:sz="0" w:space="0" w:color="auto"/>
        <w:bottom w:val="none" w:sz="0" w:space="0" w:color="auto"/>
        <w:right w:val="none" w:sz="0" w:space="0" w:color="auto"/>
      </w:divBdr>
    </w:div>
    <w:div w:id="204806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2" Type="http://schemas.openxmlformats.org/officeDocument/2006/relationships/hyperlink" Target="http://economy.gov.ru/wps/wcm/connect/e60abb9e-5506-4371-b555-304b0350ea38/Prognoz2024.pdf?MOD=AJPERES&amp;CACHEID=e60abb9e-5506-4371-b555-304b0350ea38" TargetMode="External"/><Relationship Id="rId1" Type="http://schemas.openxmlformats.org/officeDocument/2006/relationships/hyperlink" Target="http://pubdocs.worldbank.org/en/598821555973008624/CMO-April-2019-Forecasts.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var\folders\gb\fj00wp1n5bv5bfwzz6w8yqq00000gn\T\com.microsoft.Outlook\Outlook%20Temp\&#1047;&#1072;&#1082;&#1086;&#1085;&#1086;&#1087;&#1088;&#1086;&#1077;&#1082;&#1090;%20&#1086;%20&#1073;&#1102;&#1076;&#1078;&#1077;&#1090;&#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ar\folders\gb\fj00wp1n5bv5bfwzz6w8yqq00000gn\T\com.microsoft.Outlook\Outlook%20Temp\&#1041;&#1102;&#1076;&#1078;&#1077;&#1090;%20&#1060;&#1060;&#1054;&#1052;&#1057;.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Пояснительная записка</c:v>
                </c:pt>
              </c:strCache>
            </c:strRef>
          </c:tx>
          <c:spPr>
            <a:ln w="28575" cap="rnd">
              <a:solidFill>
                <a:schemeClr val="accent1"/>
              </a:solidFill>
              <a:round/>
            </a:ln>
            <a:effectLst/>
          </c:spPr>
          <c:marker>
            <c:symbol val="none"/>
          </c:marker>
          <c:cat>
            <c:numRef>
              <c:f>Лист1!$A$3:$A$4</c:f>
              <c:numCache>
                <c:formatCode>General</c:formatCode>
                <c:ptCount val="2"/>
                <c:pt idx="0">
                  <c:v>2020</c:v>
                </c:pt>
                <c:pt idx="1">
                  <c:v>2021</c:v>
                </c:pt>
              </c:numCache>
            </c:numRef>
          </c:cat>
          <c:val>
            <c:numRef>
              <c:f>Лист1!$B$3:$B$5</c:f>
              <c:numCache>
                <c:formatCode>#,##0.00</c:formatCode>
                <c:ptCount val="3"/>
                <c:pt idx="0">
                  <c:v>1022.0780999999999</c:v>
                </c:pt>
                <c:pt idx="1">
                  <c:v>961.30840000000001</c:v>
                </c:pt>
                <c:pt idx="2">
                  <c:v>976.20939999999996</c:v>
                </c:pt>
              </c:numCache>
            </c:numRef>
          </c:val>
          <c:smooth val="0"/>
          <c:extLst xmlns:c16r2="http://schemas.microsoft.com/office/drawing/2015/06/chart">
            <c:ext xmlns:c16="http://schemas.microsoft.com/office/drawing/2014/chart" uri="{C3380CC4-5D6E-409C-BE32-E72D297353CC}">
              <c16:uniqueId val="{00000000-B2CF-4F17-9E87-29B807EF0DF5}"/>
            </c:ext>
          </c:extLst>
        </c:ser>
        <c:ser>
          <c:idx val="1"/>
          <c:order val="1"/>
          <c:tx>
            <c:strRef>
              <c:f>Лист1!$C$1</c:f>
              <c:strCache>
                <c:ptCount val="1"/>
                <c:pt idx="0">
                  <c:v>Законопроект (приложение 14)</c:v>
                </c:pt>
              </c:strCache>
            </c:strRef>
          </c:tx>
          <c:spPr>
            <a:ln w="28575" cap="rnd">
              <a:solidFill>
                <a:schemeClr val="accent2"/>
              </a:solidFill>
              <a:round/>
            </a:ln>
            <a:effectLst/>
          </c:spPr>
          <c:marker>
            <c:symbol val="none"/>
          </c:marker>
          <c:cat>
            <c:numRef>
              <c:f>Лист1!$A$3:$A$4</c:f>
              <c:numCache>
                <c:formatCode>General</c:formatCode>
                <c:ptCount val="2"/>
                <c:pt idx="0">
                  <c:v>2020</c:v>
                </c:pt>
                <c:pt idx="1">
                  <c:v>2021</c:v>
                </c:pt>
              </c:numCache>
            </c:numRef>
          </c:cat>
          <c:val>
            <c:numRef>
              <c:f>Лист1!$C$3:$C$5</c:f>
              <c:numCache>
                <c:formatCode>#,##0.00</c:formatCode>
                <c:ptCount val="3"/>
                <c:pt idx="0">
                  <c:v>990.27424310000004</c:v>
                </c:pt>
                <c:pt idx="1">
                  <c:v>934.8121519</c:v>
                </c:pt>
                <c:pt idx="2">
                  <c:v>949.40622759999997</c:v>
                </c:pt>
              </c:numCache>
            </c:numRef>
          </c:val>
          <c:smooth val="0"/>
          <c:extLst xmlns:c16r2="http://schemas.microsoft.com/office/drawing/2015/06/chart">
            <c:ext xmlns:c16="http://schemas.microsoft.com/office/drawing/2014/chart" uri="{C3380CC4-5D6E-409C-BE32-E72D297353CC}">
              <c16:uniqueId val="{00000001-B2CF-4F17-9E87-29B807EF0DF5}"/>
            </c:ext>
          </c:extLst>
        </c:ser>
        <c:ser>
          <c:idx val="2"/>
          <c:order val="2"/>
          <c:tx>
            <c:strRef>
              <c:f>Лист1!$D$1</c:f>
              <c:strCache>
                <c:ptCount val="1"/>
                <c:pt idx="0">
                  <c:v>ФЗ-459</c:v>
                </c:pt>
              </c:strCache>
            </c:strRef>
          </c:tx>
          <c:spPr>
            <a:ln w="28575" cap="rnd">
              <a:solidFill>
                <a:schemeClr val="accent3"/>
              </a:solidFill>
              <a:round/>
            </a:ln>
            <a:effectLst/>
          </c:spPr>
          <c:marker>
            <c:symbol val="none"/>
          </c:marker>
          <c:cat>
            <c:numRef>
              <c:f>Лист1!$A$3:$A$4</c:f>
              <c:numCache>
                <c:formatCode>General</c:formatCode>
                <c:ptCount val="2"/>
                <c:pt idx="0">
                  <c:v>2020</c:v>
                </c:pt>
                <c:pt idx="1">
                  <c:v>2021</c:v>
                </c:pt>
              </c:numCache>
            </c:numRef>
          </c:cat>
          <c:val>
            <c:numRef>
              <c:f>Лист1!$D$3:$D$4</c:f>
              <c:numCache>
                <c:formatCode>#,##0.00</c:formatCode>
                <c:ptCount val="2"/>
                <c:pt idx="0">
                  <c:v>900.70074490000002</c:v>
                </c:pt>
                <c:pt idx="1">
                  <c:v>837.06847649999997</c:v>
                </c:pt>
              </c:numCache>
            </c:numRef>
          </c:val>
          <c:smooth val="0"/>
          <c:extLst xmlns:c16r2="http://schemas.microsoft.com/office/drawing/2015/06/chart">
            <c:ext xmlns:c16="http://schemas.microsoft.com/office/drawing/2014/chart" uri="{C3380CC4-5D6E-409C-BE32-E72D297353CC}">
              <c16:uniqueId val="{00000002-B2CF-4F17-9E87-29B807EF0DF5}"/>
            </c:ext>
          </c:extLst>
        </c:ser>
        <c:dLbls>
          <c:showLegendKey val="0"/>
          <c:showVal val="0"/>
          <c:showCatName val="0"/>
          <c:showSerName val="0"/>
          <c:showPercent val="0"/>
          <c:showBubbleSize val="0"/>
        </c:dLbls>
        <c:marker val="1"/>
        <c:smooth val="0"/>
        <c:axId val="183076352"/>
        <c:axId val="162272320"/>
      </c:lineChart>
      <c:catAx>
        <c:axId val="18307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272320"/>
        <c:crosses val="autoZero"/>
        <c:auto val="1"/>
        <c:lblAlgn val="ctr"/>
        <c:lblOffset val="100"/>
        <c:noMultiLvlLbl val="0"/>
      </c:catAx>
      <c:valAx>
        <c:axId val="162272320"/>
        <c:scaling>
          <c:orientation val="minMax"/>
          <c:min val="8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30763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ФЗ-433: доходы</c:v>
                </c:pt>
              </c:strCache>
            </c:strRef>
          </c:tx>
          <c:spPr>
            <a:ln w="28575" cap="rnd">
              <a:solidFill>
                <a:schemeClr val="accent1"/>
              </a:solidFill>
              <a:round/>
            </a:ln>
            <a:effectLst/>
          </c:spPr>
          <c:marker>
            <c:symbol val="none"/>
          </c:marker>
          <c:cat>
            <c:numRef>
              <c:f>Лист1!$A$3:$A$5</c:f>
              <c:numCache>
                <c:formatCode>General</c:formatCode>
                <c:ptCount val="3"/>
                <c:pt idx="0">
                  <c:v>2020</c:v>
                </c:pt>
                <c:pt idx="1">
                  <c:v>2021</c:v>
                </c:pt>
                <c:pt idx="2">
                  <c:v>2022</c:v>
                </c:pt>
              </c:numCache>
            </c:numRef>
          </c:cat>
          <c:val>
            <c:numRef>
              <c:f>Лист1!$B$3:$B$5</c:f>
              <c:numCache>
                <c:formatCode>#,##0.00</c:formatCode>
                <c:ptCount val="3"/>
                <c:pt idx="0">
                  <c:v>2349.9252655</c:v>
                </c:pt>
                <c:pt idx="1">
                  <c:v>2495.7978575000002</c:v>
                </c:pt>
              </c:numCache>
            </c:numRef>
          </c:val>
          <c:smooth val="0"/>
          <c:extLst xmlns:c16r2="http://schemas.microsoft.com/office/drawing/2015/06/chart">
            <c:ext xmlns:c16="http://schemas.microsoft.com/office/drawing/2014/chart" uri="{C3380CC4-5D6E-409C-BE32-E72D297353CC}">
              <c16:uniqueId val="{00000000-2430-4F35-9C5A-90377AD5A4AB}"/>
            </c:ext>
          </c:extLst>
        </c:ser>
        <c:ser>
          <c:idx val="1"/>
          <c:order val="1"/>
          <c:tx>
            <c:strRef>
              <c:f>Лист1!$C$1</c:f>
              <c:strCache>
                <c:ptCount val="1"/>
                <c:pt idx="0">
                  <c:v>Законопроект: доходы</c:v>
                </c:pt>
              </c:strCache>
            </c:strRef>
          </c:tx>
          <c:spPr>
            <a:ln w="28575" cap="rnd">
              <a:solidFill>
                <a:schemeClr val="accent2"/>
              </a:solidFill>
              <a:round/>
            </a:ln>
            <a:effectLst/>
          </c:spPr>
          <c:marker>
            <c:symbol val="none"/>
          </c:marker>
          <c:cat>
            <c:numRef>
              <c:f>Лист1!$A$3:$A$5</c:f>
              <c:numCache>
                <c:formatCode>General</c:formatCode>
                <c:ptCount val="3"/>
                <c:pt idx="0">
                  <c:v>2020</c:v>
                </c:pt>
                <c:pt idx="1">
                  <c:v>2021</c:v>
                </c:pt>
                <c:pt idx="2">
                  <c:v>2022</c:v>
                </c:pt>
              </c:numCache>
            </c:numRef>
          </c:cat>
          <c:val>
            <c:numRef>
              <c:f>Лист1!$C$3:$C$5</c:f>
              <c:numCache>
                <c:formatCode>#,##0.00</c:formatCode>
                <c:ptCount val="3"/>
                <c:pt idx="0">
                  <c:v>2367.2324966000001</c:v>
                </c:pt>
                <c:pt idx="1">
                  <c:v>2511.0091407</c:v>
                </c:pt>
                <c:pt idx="2">
                  <c:v>2645.6811481</c:v>
                </c:pt>
              </c:numCache>
            </c:numRef>
          </c:val>
          <c:smooth val="0"/>
          <c:extLst xmlns:c16r2="http://schemas.microsoft.com/office/drawing/2015/06/chart">
            <c:ext xmlns:c16="http://schemas.microsoft.com/office/drawing/2014/chart" uri="{C3380CC4-5D6E-409C-BE32-E72D297353CC}">
              <c16:uniqueId val="{00000001-2430-4F35-9C5A-90377AD5A4AB}"/>
            </c:ext>
          </c:extLst>
        </c:ser>
        <c:ser>
          <c:idx val="2"/>
          <c:order val="2"/>
          <c:tx>
            <c:strRef>
              <c:f>Лист1!$G$1</c:f>
              <c:strCache>
                <c:ptCount val="1"/>
                <c:pt idx="0">
                  <c:v>ФЗ-433: расходы</c:v>
                </c:pt>
              </c:strCache>
            </c:strRef>
          </c:tx>
          <c:spPr>
            <a:ln w="28575" cap="rnd">
              <a:solidFill>
                <a:schemeClr val="accent3"/>
              </a:solidFill>
              <a:round/>
            </a:ln>
            <a:effectLst/>
          </c:spPr>
          <c:marker>
            <c:symbol val="none"/>
          </c:marker>
          <c:cat>
            <c:numRef>
              <c:f>Лист1!$A$3:$A$5</c:f>
              <c:numCache>
                <c:formatCode>General</c:formatCode>
                <c:ptCount val="3"/>
                <c:pt idx="0">
                  <c:v>2020</c:v>
                </c:pt>
                <c:pt idx="1">
                  <c:v>2021</c:v>
                </c:pt>
                <c:pt idx="2">
                  <c:v>2022</c:v>
                </c:pt>
              </c:numCache>
            </c:numRef>
          </c:cat>
          <c:val>
            <c:numRef>
              <c:f>Лист1!$G$3:$G$5</c:f>
              <c:numCache>
                <c:formatCode>#,##0.00</c:formatCode>
                <c:ptCount val="3"/>
                <c:pt idx="0">
                  <c:v>2350.4562501</c:v>
                </c:pt>
                <c:pt idx="1">
                  <c:v>2501.4741220999999</c:v>
                </c:pt>
              </c:numCache>
            </c:numRef>
          </c:val>
          <c:smooth val="0"/>
          <c:extLst xmlns:c16r2="http://schemas.microsoft.com/office/drawing/2015/06/chart">
            <c:ext xmlns:c16="http://schemas.microsoft.com/office/drawing/2014/chart" uri="{C3380CC4-5D6E-409C-BE32-E72D297353CC}">
              <c16:uniqueId val="{00000002-2430-4F35-9C5A-90377AD5A4AB}"/>
            </c:ext>
          </c:extLst>
        </c:ser>
        <c:ser>
          <c:idx val="3"/>
          <c:order val="3"/>
          <c:tx>
            <c:strRef>
              <c:f>Лист1!$H$1</c:f>
              <c:strCache>
                <c:ptCount val="1"/>
                <c:pt idx="0">
                  <c:v>Законопроект: расходы</c:v>
                </c:pt>
              </c:strCache>
            </c:strRef>
          </c:tx>
          <c:spPr>
            <a:ln w="28575" cap="rnd">
              <a:solidFill>
                <a:schemeClr val="accent4"/>
              </a:solidFill>
              <a:round/>
            </a:ln>
            <a:effectLst/>
          </c:spPr>
          <c:marker>
            <c:symbol val="none"/>
          </c:marker>
          <c:cat>
            <c:numRef>
              <c:f>Лист1!$A$3:$A$5</c:f>
              <c:numCache>
                <c:formatCode>General</c:formatCode>
                <c:ptCount val="3"/>
                <c:pt idx="0">
                  <c:v>2020</c:v>
                </c:pt>
                <c:pt idx="1">
                  <c:v>2021</c:v>
                </c:pt>
                <c:pt idx="2">
                  <c:v>2022</c:v>
                </c:pt>
              </c:numCache>
            </c:numRef>
          </c:cat>
          <c:val>
            <c:numRef>
              <c:f>Лист1!$H$3:$H$5</c:f>
              <c:numCache>
                <c:formatCode>#,##0.00</c:formatCode>
                <c:ptCount val="3"/>
                <c:pt idx="0">
                  <c:v>2368.6108701999997</c:v>
                </c:pt>
                <c:pt idx="1">
                  <c:v>2515.8677746999997</c:v>
                </c:pt>
                <c:pt idx="2">
                  <c:v>2652.6352586999997</c:v>
                </c:pt>
              </c:numCache>
            </c:numRef>
          </c:val>
          <c:smooth val="0"/>
          <c:extLst xmlns:c16r2="http://schemas.microsoft.com/office/drawing/2015/06/chart">
            <c:ext xmlns:c16="http://schemas.microsoft.com/office/drawing/2014/chart" uri="{C3380CC4-5D6E-409C-BE32-E72D297353CC}">
              <c16:uniqueId val="{00000003-2430-4F35-9C5A-90377AD5A4AB}"/>
            </c:ext>
          </c:extLst>
        </c:ser>
        <c:dLbls>
          <c:showLegendKey val="0"/>
          <c:showVal val="0"/>
          <c:showCatName val="0"/>
          <c:showSerName val="0"/>
          <c:showPercent val="0"/>
          <c:showBubbleSize val="0"/>
        </c:dLbls>
        <c:marker val="1"/>
        <c:smooth val="0"/>
        <c:axId val="185174016"/>
        <c:axId val="162274048"/>
      </c:lineChart>
      <c:catAx>
        <c:axId val="18517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274048"/>
        <c:crosses val="autoZero"/>
        <c:auto val="1"/>
        <c:lblAlgn val="ctr"/>
        <c:lblOffset val="100"/>
        <c:noMultiLvlLbl val="0"/>
      </c:catAx>
      <c:valAx>
        <c:axId val="162274048"/>
        <c:scaling>
          <c:orientation val="minMax"/>
          <c:min val="23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51740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Лист1!$A$8</c:f>
              <c:strCache>
                <c:ptCount val="1"/>
                <c:pt idx="0">
                  <c:v>Доходы</c:v>
                </c:pt>
              </c:strCache>
            </c:strRef>
          </c:tx>
          <c:spPr>
            <a:ln w="28575" cap="rnd">
              <a:solidFill>
                <a:schemeClr val="accent1"/>
              </a:solidFill>
              <a:round/>
            </a:ln>
            <a:effectLst/>
          </c:spPr>
          <c:marker>
            <c:symbol val="none"/>
          </c:marker>
          <c:cat>
            <c:numRef>
              <c:f>Лист1!$B$7:$L$7</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Лист1!$B$8:$L$8</c:f>
              <c:numCache>
                <c:formatCode>0.00%</c:formatCode>
                <c:ptCount val="11"/>
                <c:pt idx="0">
                  <c:v>0.1183</c:v>
                </c:pt>
                <c:pt idx="1">
                  <c:v>0.1116</c:v>
                </c:pt>
                <c:pt idx="2">
                  <c:v>0.1124</c:v>
                </c:pt>
                <c:pt idx="3">
                  <c:v>0.1116</c:v>
                </c:pt>
                <c:pt idx="4">
                  <c:v>0.111</c:v>
                </c:pt>
                <c:pt idx="5">
                  <c:v>0.1169</c:v>
                </c:pt>
                <c:pt idx="6">
                  <c:v>0.11899999999999999</c:v>
                </c:pt>
                <c:pt idx="7">
                  <c:v>0.123</c:v>
                </c:pt>
                <c:pt idx="8">
                  <c:v>0.125</c:v>
                </c:pt>
                <c:pt idx="9">
                  <c:v>0.123</c:v>
                </c:pt>
                <c:pt idx="10">
                  <c:v>0.122</c:v>
                </c:pt>
              </c:numCache>
            </c:numRef>
          </c:val>
          <c:smooth val="0"/>
          <c:extLst xmlns:c16r2="http://schemas.microsoft.com/office/drawing/2015/06/chart">
            <c:ext xmlns:c16="http://schemas.microsoft.com/office/drawing/2014/chart" uri="{C3380CC4-5D6E-409C-BE32-E72D297353CC}">
              <c16:uniqueId val="{00000000-085D-45F1-8329-DDB90EE04C87}"/>
            </c:ext>
          </c:extLst>
        </c:ser>
        <c:ser>
          <c:idx val="1"/>
          <c:order val="1"/>
          <c:tx>
            <c:strRef>
              <c:f>Лист1!$A$9</c:f>
              <c:strCache>
                <c:ptCount val="1"/>
                <c:pt idx="0">
                  <c:v>Расходы</c:v>
                </c:pt>
              </c:strCache>
            </c:strRef>
          </c:tx>
          <c:spPr>
            <a:ln w="28575" cap="rnd">
              <a:solidFill>
                <a:schemeClr val="accent2"/>
              </a:solidFill>
              <a:round/>
            </a:ln>
            <a:effectLst/>
          </c:spPr>
          <c:marker>
            <c:symbol val="none"/>
          </c:marker>
          <c:cat>
            <c:numRef>
              <c:f>Лист1!$B$7:$L$7</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Лист1!$B$9:$L$9</c:f>
              <c:numCache>
                <c:formatCode>0.00%</c:formatCode>
                <c:ptCount val="11"/>
                <c:pt idx="0">
                  <c:v>0.12230000000000001</c:v>
                </c:pt>
                <c:pt idx="1">
                  <c:v>0.12039999999999999</c:v>
                </c:pt>
                <c:pt idx="2">
                  <c:v>0.1181</c:v>
                </c:pt>
                <c:pt idx="3">
                  <c:v>0.1137</c:v>
                </c:pt>
                <c:pt idx="4">
                  <c:v>0.1135</c:v>
                </c:pt>
                <c:pt idx="5">
                  <c:v>0.11749999999999999</c:v>
                </c:pt>
                <c:pt idx="6">
                  <c:v>0.114</c:v>
                </c:pt>
                <c:pt idx="7">
                  <c:v>0.122</c:v>
                </c:pt>
                <c:pt idx="8">
                  <c:v>0.125</c:v>
                </c:pt>
                <c:pt idx="9">
                  <c:v>0.123</c:v>
                </c:pt>
                <c:pt idx="10">
                  <c:v>0.121</c:v>
                </c:pt>
              </c:numCache>
            </c:numRef>
          </c:val>
          <c:smooth val="0"/>
          <c:extLst xmlns:c16r2="http://schemas.microsoft.com/office/drawing/2015/06/chart">
            <c:ext xmlns:c16="http://schemas.microsoft.com/office/drawing/2014/chart" uri="{C3380CC4-5D6E-409C-BE32-E72D297353CC}">
              <c16:uniqueId val="{00000001-085D-45F1-8329-DDB90EE04C87}"/>
            </c:ext>
          </c:extLst>
        </c:ser>
        <c:dLbls>
          <c:showLegendKey val="0"/>
          <c:showVal val="0"/>
          <c:showCatName val="0"/>
          <c:showSerName val="0"/>
          <c:showPercent val="0"/>
          <c:showBubbleSize val="0"/>
        </c:dLbls>
        <c:marker val="1"/>
        <c:smooth val="0"/>
        <c:axId val="183500800"/>
        <c:axId val="175702592"/>
      </c:lineChart>
      <c:catAx>
        <c:axId val="183500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702592"/>
        <c:crosses val="autoZero"/>
        <c:auto val="1"/>
        <c:lblAlgn val="ctr"/>
        <c:lblOffset val="100"/>
        <c:noMultiLvlLbl val="0"/>
      </c:catAx>
      <c:valAx>
        <c:axId val="1757025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3500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9AD53-4E5A-4009-BADD-5B070908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35087</Words>
  <Characters>200002</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Посвященной 55 летию</vt:lpstr>
    </vt:vector>
  </TitlesOfParts>
  <Company>ane</Company>
  <LinksUpToDate>false</LinksUpToDate>
  <CharactersWithSpaces>234620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Посвященной 55 летию</dc:title>
  <dc:creator>noskova</dc:creator>
  <cp:lastModifiedBy>MakarovAM</cp:lastModifiedBy>
  <cp:revision>2</cp:revision>
  <cp:lastPrinted>2013-10-09T11:06:00Z</cp:lastPrinted>
  <dcterms:created xsi:type="dcterms:W3CDTF">2019-10-21T16:43:00Z</dcterms:created>
  <dcterms:modified xsi:type="dcterms:W3CDTF">2019-10-21T16:43:00Z</dcterms:modified>
</cp:coreProperties>
</file>